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分割による美容所開設者地位承継届出書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分割により美容所の開設者の地位を承継しましたので、美容師法第</w:t>
      </w:r>
      <w:r>
        <w:rPr>
          <w:rFonts w:hint="eastAsia" w:ascii="ＭＳ 明朝" w:hAnsi="ＭＳ 明朝" w:eastAsia="ＭＳ 明朝"/>
          <w:kern w:val="22"/>
          <w:sz w:val="22"/>
        </w:rPr>
        <w:t>12</w:t>
      </w:r>
      <w:r>
        <w:rPr>
          <w:rFonts w:hint="eastAsia" w:ascii="ＭＳ 明朝" w:hAnsi="ＭＳ 明朝" w:eastAsia="ＭＳ 明朝"/>
          <w:kern w:val="22"/>
          <w:sz w:val="22"/>
        </w:rPr>
        <w:t>条の２第２項の規定により次のとおり関係書類を添えて届け出ます。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64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分割により営業を承継した法人の登記事項証明書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2021-04-03T08:25:00Z</dcterms:modified>
  <cp:revision>54</cp:revision>
</cp:coreProperties>
</file>