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游明朝" w:hAnsi="游明朝" w:eastAsia="游明朝"/>
          <w:kern w:val="0"/>
        </w:rPr>
      </w:pPr>
      <w:bookmarkStart w:id="0" w:name="_Toc155356662"/>
      <w:bookmarkStart w:id="1" w:name="_Toc155710210"/>
      <w:bookmarkStart w:id="2" w:name="_Toc187778862"/>
      <w:bookmarkStart w:id="3" w:name="_Toc192085153"/>
      <w:r>
        <w:rPr>
          <w:rFonts w:hint="eastAsia" w:ascii="ＭＳ 明朝" w:hAnsi="ＭＳ 明朝" w:eastAsia="ＭＳ 明朝"/>
        </w:rPr>
        <w:t>様式第２－１号　</w:t>
      </w:r>
      <w:r>
        <w:rPr>
          <w:rFonts w:hint="eastAsia" w:ascii="ＭＳ 明朝" w:hAnsi="ＭＳ 明朝" w:eastAsia="ＭＳ 明朝"/>
          <w:kern w:val="0"/>
        </w:rPr>
        <w:t>別紙２</w:t>
      </w:r>
    </w:p>
    <w:tbl>
      <w:tblPr>
        <w:tblStyle w:val="73"/>
        <w:tblW w:w="145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1511"/>
        <w:gridCol w:w="1010"/>
        <w:gridCol w:w="1895"/>
        <w:gridCol w:w="321"/>
        <w:gridCol w:w="1511"/>
        <w:gridCol w:w="1011"/>
        <w:gridCol w:w="1642"/>
        <w:gridCol w:w="505"/>
        <w:gridCol w:w="1327"/>
        <w:gridCol w:w="911"/>
        <w:gridCol w:w="2625"/>
      </w:tblGrid>
      <w:tr>
        <w:trPr>
          <w:trHeight w:val="561" w:hRule="atLeast"/>
        </w:trPr>
        <w:tc>
          <w:tcPr>
            <w:tcW w:w="32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51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利用する情報の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範囲</w:t>
            </w:r>
          </w:p>
        </w:tc>
        <w:tc>
          <w:tcPr>
            <w:tcW w:w="10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記入（半角英数字）</w:t>
            </w:r>
          </w:p>
        </w:tc>
        <w:tc>
          <w:tcPr>
            <w:tcW w:w="18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単位・コード</w:t>
            </w:r>
          </w:p>
        </w:tc>
        <w:tc>
          <w:tcPr>
            <w:tcW w:w="32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51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利用する情報の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範囲</w:t>
            </w:r>
          </w:p>
        </w:tc>
        <w:tc>
          <w:tcPr>
            <w:tcW w:w="10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記入（半角英数字）</w:t>
            </w:r>
          </w:p>
        </w:tc>
        <w:tc>
          <w:tcPr>
            <w:tcW w:w="16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単位・コード</w:t>
            </w:r>
          </w:p>
        </w:tc>
        <w:tc>
          <w:tcPr>
            <w:tcW w:w="50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</w:p>
        </w:tc>
        <w:tc>
          <w:tcPr>
            <w:tcW w:w="132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利用する情報の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範囲</w:t>
            </w:r>
          </w:p>
        </w:tc>
        <w:tc>
          <w:tcPr>
            <w:tcW w:w="9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記入（半角英数字）</w:t>
            </w:r>
          </w:p>
        </w:tc>
        <w:tc>
          <w:tcPr>
            <w:tcW w:w="262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単位・コード</w:t>
            </w:r>
          </w:p>
        </w:tc>
      </w:tr>
      <w:tr>
        <w:trPr>
          <w:trHeight w:val="559" w:hRule="atLeast"/>
        </w:trPr>
        <w:tc>
          <w:tcPr>
            <w:tcW w:w="321" w:type="dxa"/>
            <w:vMerge w:val="restar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ア</w:t>
            </w: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診断年次（開始年）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895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（年から）※西暦</w:t>
            </w:r>
          </w:p>
        </w:tc>
        <w:tc>
          <w:tcPr>
            <w:tcW w:w="321" w:type="dxa"/>
            <w:vMerge w:val="restar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ウ</w:t>
            </w: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がんの種類</w:t>
            </w:r>
          </w:p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</w:t>
            </w:r>
            <w:r>
              <w:rPr>
                <w:rFonts w:hint="eastAsia" w:ascii="ＭＳ 明朝" w:hAnsi="ＭＳ 明朝" w:eastAsia="ＭＳ 明朝"/>
                <w:sz w:val="14"/>
              </w:rPr>
              <w:t>ICD10</w:t>
            </w:r>
            <w:r>
              <w:rPr>
                <w:rFonts w:hint="eastAsia" w:ascii="ＭＳ 明朝" w:hAnsi="ＭＳ 明朝" w:eastAsia="ＭＳ 明朝"/>
                <w:sz w:val="14"/>
              </w:rPr>
              <w:t>）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ICD10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コード）</w:t>
            </w:r>
          </w:p>
        </w:tc>
        <w:tc>
          <w:tcPr>
            <w:tcW w:w="505" w:type="dxa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エ</w:t>
            </w:r>
          </w:p>
        </w:tc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性別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（性別コード）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：全て（不明含む）／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0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：両性／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：男性のみ／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：女性のみ</w:t>
            </w:r>
          </w:p>
        </w:tc>
      </w:tr>
      <w:tr>
        <w:trPr>
          <w:trHeight w:val="280" w:hRule="atLeast"/>
        </w:trPr>
        <w:tc>
          <w:tcPr>
            <w:tcW w:w="321" w:type="dxa"/>
            <w:vMerge w:val="continue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5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診断年次（終了年）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895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（年まで）※西暦</w:t>
            </w:r>
          </w:p>
        </w:tc>
        <w:tc>
          <w:tcPr>
            <w:tcW w:w="321" w:type="dxa"/>
            <w:vMerge w:val="continue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511" w:type="dxa"/>
            <w:tcBorders>
              <w:top w:val="dotted" w:color="auto" w:sz="4" w:space="0"/>
              <w:left w:val="none" w:color="auto" w:sz="0" w:space="0"/>
              <w:bottom w:val="dott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又は</w:t>
            </w:r>
          </w:p>
        </w:tc>
        <w:tc>
          <w:tcPr>
            <w:tcW w:w="101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505" w:type="dxa"/>
            <w:vMerge w:val="restar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オ</w:t>
            </w:r>
          </w:p>
        </w:tc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年齢（下限）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（歳以上）</w:t>
            </w:r>
          </w:p>
        </w:tc>
      </w:tr>
      <w:tr>
        <w:trPr>
          <w:trHeight w:val="137" w:hRule="atLeast"/>
        </w:trPr>
        <w:tc>
          <w:tcPr>
            <w:tcW w:w="321" w:type="dxa"/>
            <w:vMerge w:val="restar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イ</w:t>
            </w:r>
          </w:p>
        </w:tc>
        <w:tc>
          <w:tcPr>
            <w:tcW w:w="15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地域</w:t>
            </w:r>
          </w:p>
        </w:tc>
        <w:tc>
          <w:tcPr>
            <w:tcW w:w="101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8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（地域コード）</w:t>
            </w:r>
            <w:r>
              <w:rPr>
                <w:rFonts w:hint="eastAsia" w:ascii="ＭＳ 明朝" w:hAnsi="ＭＳ 明朝" w:eastAsia="ＭＳ 明朝"/>
                <w:sz w:val="14"/>
              </w:rPr>
              <w:t>0</w:t>
            </w:r>
            <w:r>
              <w:rPr>
                <w:rFonts w:hint="eastAsia" w:ascii="ＭＳ 明朝" w:hAnsi="ＭＳ 明朝" w:eastAsia="ＭＳ 明朝"/>
                <w:sz w:val="14"/>
              </w:rPr>
              <w:t>：全国／</w:t>
            </w:r>
            <w:r>
              <w:rPr>
                <w:rFonts w:hint="eastAsia" w:ascii="ＭＳ 明朝" w:hAnsi="ＭＳ 明朝" w:eastAsia="ＭＳ 明朝"/>
                <w:sz w:val="14"/>
              </w:rPr>
              <w:t>1~47</w:t>
            </w:r>
            <w:r>
              <w:rPr>
                <w:rFonts w:hint="eastAsia" w:ascii="ＭＳ 明朝" w:hAnsi="ＭＳ 明朝" w:eastAsia="ＭＳ 明朝"/>
                <w:sz w:val="14"/>
              </w:rPr>
              <w:t>：都道府県コード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511" w:type="dxa"/>
            <w:vMerge w:val="restart"/>
            <w:tcBorders>
              <w:top w:val="dotted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がんの種類</w:t>
            </w:r>
          </w:p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</w:t>
            </w:r>
            <w:r>
              <w:rPr>
                <w:rFonts w:hint="eastAsia" w:ascii="ＭＳ 明朝" w:hAnsi="ＭＳ 明朝" w:eastAsia="ＭＳ 明朝"/>
                <w:sz w:val="14"/>
              </w:rPr>
              <w:t>ICD-O-3</w:t>
            </w:r>
            <w:r>
              <w:rPr>
                <w:rFonts w:hint="eastAsia" w:ascii="ＭＳ 明朝" w:hAnsi="ＭＳ 明朝" w:eastAsia="ＭＳ 明朝"/>
                <w:sz w:val="14"/>
              </w:rPr>
              <w:t>）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（局在コード）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327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年齢（上限）</w:t>
            </w:r>
          </w:p>
        </w:tc>
        <w:tc>
          <w:tcPr>
            <w:tcW w:w="91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625" w:type="dxa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（歳未満）</w:t>
            </w:r>
          </w:p>
        </w:tc>
      </w:tr>
      <w:tr>
        <w:trPr>
          <w:trHeight w:val="206" w:hRule="atLeast"/>
        </w:trPr>
        <w:tc>
          <w:tcPr>
            <w:tcW w:w="321" w:type="dxa"/>
            <w:vMerge w:val="continue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sz w:val="12"/>
              </w:rPr>
            </w:pPr>
          </w:p>
        </w:tc>
        <w:tc>
          <w:tcPr>
            <w:tcW w:w="10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8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sz w:val="12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sz w:val="12"/>
              </w:rPr>
            </w:pPr>
          </w:p>
        </w:tc>
        <w:tc>
          <w:tcPr>
            <w:tcW w:w="10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（形態コード）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13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91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  <w:tc>
          <w:tcPr>
            <w:tcW w:w="2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游明朝" w:hAnsi="游明朝" w:eastAsia="游明朝"/>
                <w:kern w:val="0"/>
                <w:sz w:val="1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  <w:sz w:val="16"/>
        </w:rPr>
      </w:pPr>
      <w:r>
        <w:rPr>
          <w:rFonts w:hint="eastAsia" w:ascii="ＭＳ 明朝" w:hAnsi="ＭＳ 明朝" w:eastAsia="ＭＳ 明朝"/>
          <w:kern w:val="0"/>
          <w:sz w:val="16"/>
        </w:rPr>
        <w:t>左欄の基本提供項目に加えて、以下の太枠内に○をつけた選択提供項目の提供を希望する（不要な項目は空欄とする）。　　（※）様式第</w:t>
      </w:r>
      <w:r>
        <w:rPr>
          <w:rFonts w:hint="eastAsia" w:ascii="ＭＳ 明朝" w:hAnsi="ＭＳ 明朝" w:eastAsia="ＭＳ 明朝"/>
          <w:kern w:val="0"/>
          <w:sz w:val="16"/>
        </w:rPr>
        <w:t>1</w:t>
      </w:r>
      <w:r>
        <w:rPr>
          <w:rFonts w:hint="eastAsia" w:ascii="ＭＳ 明朝" w:hAnsi="ＭＳ 明朝" w:eastAsia="ＭＳ 明朝"/>
          <w:kern w:val="0"/>
          <w:sz w:val="16"/>
        </w:rPr>
        <w:t>号別紙</w:t>
      </w:r>
      <w:r>
        <w:rPr>
          <w:rFonts w:hint="eastAsia" w:ascii="ＭＳ 明朝" w:hAnsi="ＭＳ 明朝" w:eastAsia="ＭＳ 明朝"/>
          <w:kern w:val="0"/>
          <w:sz w:val="16"/>
        </w:rPr>
        <w:t>1</w:t>
      </w:r>
      <w:r>
        <w:rPr>
          <w:rFonts w:hint="eastAsia" w:ascii="ＭＳ 明朝" w:hAnsi="ＭＳ 明朝" w:eastAsia="ＭＳ 明朝"/>
          <w:kern w:val="0"/>
          <w:sz w:val="16"/>
        </w:rPr>
        <w:t>の項目番号</w:t>
      </w:r>
    </w:p>
    <w:tbl>
      <w:tblPr>
        <w:tblStyle w:val="11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8"/>
        <w:gridCol w:w="2141"/>
        <w:gridCol w:w="511"/>
        <w:gridCol w:w="511"/>
        <w:gridCol w:w="2643"/>
        <w:gridCol w:w="496"/>
        <w:gridCol w:w="496"/>
        <w:gridCol w:w="2895"/>
        <w:gridCol w:w="630"/>
        <w:gridCol w:w="499"/>
        <w:gridCol w:w="2894"/>
        <w:gridCol w:w="365"/>
      </w:tblGrid>
      <w:tr>
        <w:trPr>
          <w:trHeight w:val="348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番号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0"/>
              </w:rPr>
              <w:t>（※）</w:t>
            </w: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【基本提供項目】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提供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番号</w:t>
            </w:r>
          </w:p>
        </w:tc>
        <w:tc>
          <w:tcPr>
            <w:tcW w:w="90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【選択提供項目：診療情報等】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sz w:val="14"/>
              </w:rPr>
              <w:t>提供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番号</w:t>
            </w: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【選択提供項目：診療情報等】</w:t>
            </w:r>
          </w:p>
        </w:tc>
        <w:tc>
          <w:tcPr>
            <w:tcW w:w="21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提供</w:t>
            </w:r>
          </w:p>
        </w:tc>
        <w:tc>
          <w:tcPr>
            <w:tcW w:w="171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番号</w:t>
            </w: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【選択提供項目：病院地理情報等】</w:t>
            </w:r>
          </w:p>
        </w:tc>
        <w:tc>
          <w:tcPr>
            <w:tcW w:w="12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提供</w:t>
            </w: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行番号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発見経緯基本提供項目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治療項目基本提供項目</w:t>
            </w:r>
          </w:p>
        </w:tc>
        <w:tc>
          <w:tcPr>
            <w:tcW w:w="2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71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保健所区分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性別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27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発見経緯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31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外科的治療の有無</w:t>
            </w:r>
          </w:p>
        </w:tc>
        <w:tc>
          <w:tcPr>
            <w:tcW w:w="216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41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初診病院保健所コード</w:t>
            </w:r>
          </w:p>
        </w:tc>
        <w:tc>
          <w:tcPr>
            <w:tcW w:w="12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診断時年齢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小児がん基本提供項目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32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鏡視下治療の有無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46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診断病院保健所コード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診断時患者住所都道府県コード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診断時年齢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小児用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)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33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内視鏡的治療の有無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51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観血的治療病院保健所コード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348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12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側性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21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IARC-ICCC3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コード（小児用がん分類）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34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観血的（外科的・鏡視下・内視鏡的）治療の範囲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56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放射線治療病院保健所コード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13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局在コード（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ICD-O-3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22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ICCC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（英名）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35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放射線療法の有無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61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薬物治療病院保健所コード</w:t>
            </w:r>
          </w:p>
        </w:tc>
        <w:tc>
          <w:tcPr>
            <w:tcW w:w="12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14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診断名（和名）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多重がん基本提供項目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36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化学療法の有無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医療圏区分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15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形態コード（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ICD-O-3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提供情報患者番号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37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内分泌療法の有無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42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初診病院医療圏コード</w:t>
            </w:r>
          </w:p>
        </w:tc>
        <w:tc>
          <w:tcPr>
            <w:tcW w:w="12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16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性状コード（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ICD-O-3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多重がん番号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38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その他治療の有無</w:t>
            </w:r>
          </w:p>
        </w:tc>
        <w:tc>
          <w:tcPr>
            <w:tcW w:w="21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47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診断病院医療圏コード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17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分化度（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ICD-O-3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生存率基本提供項目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受療動向基本提供項目</w:t>
            </w:r>
          </w:p>
        </w:tc>
        <w:tc>
          <w:tcPr>
            <w:tcW w:w="2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71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52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観血的治療病院医療圏コード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18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組織診断名（和名）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66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生死区分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71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患者異動動向</w:t>
            </w:r>
          </w:p>
        </w:tc>
        <w:tc>
          <w:tcPr>
            <w:tcW w:w="216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57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放射線治療病院医療圏コード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5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19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ICD-10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コード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67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死亡日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/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最終生存確認日資料源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72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患者受療動向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62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薬物治療病院医療圏コード</w:t>
            </w:r>
          </w:p>
        </w:tc>
        <w:tc>
          <w:tcPr>
            <w:tcW w:w="12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20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ICD-10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（和名）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68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生存期間（日）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39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初診病院コード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所在地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23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診断根拠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74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生存率集計対象区分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40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初診病院都道府県コード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43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初診病院住所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24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診断年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生存率選択提供項目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44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診断病院コード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48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診断病院住所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69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DCI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区分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64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原死因（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ICD-10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）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45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診断病院都道府県コード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53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観血的治療病院住所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5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70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DCO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区分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65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原死因（和名）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49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観血的治療病院コード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58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放射線治療病院住所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173" w:hRule="atLeast"/>
        </w:trPr>
        <w:tc>
          <w:tcPr>
            <w:tcW w:w="174" w:type="pct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73</w:t>
            </w:r>
          </w:p>
        </w:tc>
        <w:tc>
          <w:tcPr>
            <w:tcW w:w="734" w:type="pct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統計対象区分</w:t>
            </w: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○</w:t>
            </w: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76</w:t>
            </w: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■死亡年月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50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観血的治療都道府県コード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63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薬物治療病院住所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</w:tr>
      <w:tr>
        <w:trPr>
          <w:trHeight w:val="347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診断日詳細基本提供項目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54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放射線治療病院コード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【選択提供項目：患者診断時住所地理的属性】</w:t>
            </w:r>
          </w:p>
        </w:tc>
        <w:tc>
          <w:tcPr>
            <w:tcW w:w="12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提供</w:t>
            </w:r>
          </w:p>
        </w:tc>
      </w:tr>
      <w:tr>
        <w:trPr>
          <w:trHeight w:val="174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25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診断年月日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55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放射線治療病院都道府県コード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8</w:t>
            </w: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■診断時患者住所保健所コード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26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診断日精度</w:t>
            </w:r>
          </w:p>
        </w:tc>
        <w:tc>
          <w:tcPr>
            <w:tcW w:w="17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59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薬物治療病院コード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9</w:t>
            </w: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■診断時患者住所医療圏コード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0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14"/>
              </w:rPr>
              <w:t>病期基本提供項目</w:t>
            </w:r>
          </w:p>
        </w:tc>
        <w:tc>
          <w:tcPr>
            <w:tcW w:w="17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0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60</w:t>
            </w:r>
          </w:p>
        </w:tc>
        <w:tc>
          <w:tcPr>
            <w:tcW w:w="992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薬物治療病院都道府県コード</w:t>
            </w: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10</w:t>
            </w: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■診断時患者住所市区町村コード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  <w:highlight w:val="lightGray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28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進展度・治療前</w:t>
            </w:r>
          </w:p>
        </w:tc>
        <w:tc>
          <w:tcPr>
            <w:tcW w:w="1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11</w:t>
            </w: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■診断時患者住所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*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29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進展度・術後病理学的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75</w:t>
            </w:r>
          </w:p>
        </w:tc>
        <w:tc>
          <w:tcPr>
            <w:tcW w:w="99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■集計用市区町村コード</w:t>
            </w:r>
          </w:p>
        </w:tc>
        <w:tc>
          <w:tcPr>
            <w:tcW w:w="12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17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734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17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30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ind w:firstLine="120" w:firstLineChars="100"/>
              <w:rPr>
                <w:rFonts w:hint="eastAsia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進展度・総合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－</w:t>
            </w:r>
          </w:p>
        </w:tc>
        <w:tc>
          <w:tcPr>
            <w:tcW w:w="170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216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71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992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  <w:tc>
          <w:tcPr>
            <w:tcW w:w="12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14"/>
              </w:rPr>
            </w:pPr>
          </w:p>
        </w:tc>
      </w:tr>
    </w:tbl>
    <w:p>
      <w:pPr>
        <w:pStyle w:val="0"/>
        <w:tabs>
          <w:tab w:val="left" w:leader="none" w:pos="7806"/>
        </w:tabs>
        <w:rPr>
          <w:rFonts w:hint="default"/>
        </w:rPr>
      </w:pPr>
      <w:bookmarkEnd w:id="0"/>
      <w:bookmarkEnd w:id="1"/>
      <w:bookmarkEnd w:id="2"/>
      <w:bookmarkEnd w:id="3"/>
      <w:r>
        <w:rPr>
          <w:rFonts w:hint="eastAsia"/>
        </w:rPr>
        <w:tab/>
      </w:r>
      <w:bookmarkStart w:id="4" w:name="_GoBack"/>
      <w:bookmarkEnd w:id="4"/>
    </w:p>
    <w:sectPr>
      <w:footerReference r:id="rId6" w:type="default"/>
      <w:type w:val="continuous"/>
      <w:pgSz w:w="16838" w:h="11906" w:orient="landscape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eastAsiaTheme="minorHAnsi"/>
      <w:color w:val="000000" w:themeColor="text1"/>
      <w:sz w:val="24"/>
    </w:rPr>
  </w:style>
  <w:style w:type="paragraph" w:styleId="2">
    <w:name w:val="heading 2"/>
    <w:basedOn w:val="30"/>
    <w:next w:val="0"/>
    <w:link w:val="16"/>
    <w:uiPriority w:val="0"/>
    <w:qFormat/>
    <w:pPr>
      <w:numPr>
        <w:ilvl w:val="0"/>
        <w:numId w:val="1"/>
      </w:numPr>
      <w:outlineLvl w:val="1"/>
    </w:pPr>
  </w:style>
  <w:style w:type="paragraph" w:styleId="3">
    <w:name w:val="heading 3"/>
    <w:basedOn w:val="0"/>
    <w:next w:val="0"/>
    <w:link w:val="17"/>
    <w:uiPriority w:val="0"/>
    <w:qFormat/>
    <w:pPr>
      <w:outlineLvl w:val="2"/>
    </w:p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eastAsiaTheme="minorHAnsi"/>
      <w:color w:val="000000" w:themeColor="text1"/>
      <w:sz w:val="24"/>
    </w:rPr>
  </w:style>
  <w:style w:type="character" w:styleId="16" w:customStyle="1">
    <w:name w:val="見出し 2 (文字)"/>
    <w:basedOn w:val="10"/>
    <w:next w:val="16"/>
    <w:link w:val="2"/>
    <w:uiPriority w:val="0"/>
  </w:style>
  <w:style w:type="character" w:styleId="17" w:customStyle="1">
    <w:name w:val="見出し 3 (文字)"/>
    <w:basedOn w:val="10"/>
    <w:next w:val="17"/>
    <w:link w:val="3"/>
    <w:uiPriority w:val="0"/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jc w:val="center"/>
    </w:pPr>
    <w:rPr>
      <w:sz w:val="72"/>
    </w:rPr>
  </w:style>
  <w:style w:type="character" w:styleId="25" w:customStyle="1">
    <w:name w:val="表題 (文字)"/>
    <w:basedOn w:val="10"/>
    <w:next w:val="25"/>
    <w:link w:val="24"/>
    <w:uiPriority w:val="0"/>
    <w:rPr>
      <w:sz w:val="72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Body Text"/>
    <w:basedOn w:val="0"/>
    <w:next w:val="35"/>
    <w:link w:val="3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36" w:customStyle="1">
    <w:name w:val="本文 (文字)"/>
    <w:basedOn w:val="10"/>
    <w:next w:val="36"/>
    <w:link w:val="35"/>
    <w:uiPriority w:val="0"/>
    <w:rPr>
      <w:rFonts w:ascii="ＭＳ 明朝" w:hAnsi="ＭＳ 明朝" w:eastAsia="ＭＳ 明朝"/>
      <w:kern w:val="0"/>
    </w:rPr>
  </w:style>
  <w:style w:type="paragraph" w:styleId="37" w:customStyle="1">
    <w:name w:val="Table Paragraph"/>
    <w:basedOn w:val="0"/>
    <w:next w:val="37"/>
    <w:link w:val="0"/>
    <w:uiPriority w:val="0"/>
    <w:qFormat/>
    <w:pPr>
      <w:autoSpaceDE w:val="0"/>
      <w:autoSpaceDN w:val="0"/>
      <w:spacing w:before="18" w:beforeLines="0" w:beforeAutospacing="0"/>
      <w:jc w:val="left"/>
    </w:pPr>
    <w:rPr>
      <w:rFonts w:ascii="ＭＳ 明朝" w:hAnsi="ＭＳ 明朝" w:eastAsia="ＭＳ 明朝"/>
      <w:kern w:val="0"/>
      <w:sz w:val="22"/>
    </w:rPr>
  </w:style>
  <w:style w:type="paragraph" w:styleId="38">
    <w:name w:val="TOC Heading"/>
    <w:basedOn w:val="1"/>
    <w:next w:val="0"/>
    <w:link w:val="0"/>
    <w:uiPriority w:val="0"/>
    <w:qFormat/>
    <w:pPr>
      <w:widowControl w:val="1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color w:val="104861" w:themeColor="accent1" w:themeShade="BF"/>
      <w:kern w:val="0"/>
      <w:sz w:val="32"/>
    </w:rPr>
  </w:style>
  <w:style w:type="paragraph" w:styleId="39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40">
    <w:name w:val="toc 2"/>
    <w:basedOn w:val="0"/>
    <w:next w:val="0"/>
    <w:link w:val="0"/>
    <w:uiPriority w:val="0"/>
    <w:pPr>
      <w:ind w:left="210" w:leftChars="100"/>
    </w:pPr>
  </w:style>
  <w:style w:type="paragraph" w:styleId="41">
    <w:name w:val="toc 3"/>
    <w:basedOn w:val="0"/>
    <w:next w:val="0"/>
    <w:link w:val="0"/>
    <w:uiPriority w:val="0"/>
    <w:pPr>
      <w:ind w:left="420" w:leftChars="200"/>
    </w:pPr>
  </w:style>
  <w:style w:type="character" w:styleId="42">
    <w:name w:val="Hyperlink"/>
    <w:basedOn w:val="10"/>
    <w:next w:val="42"/>
    <w:link w:val="0"/>
    <w:uiPriority w:val="0"/>
    <w:rPr>
      <w:color w:val="467886" w:themeColor="hyperlink"/>
      <w:u w:val="single" w:color="auto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</w:style>
  <w:style w:type="character" w:styleId="49">
    <w:name w:val="annotation reference"/>
    <w:basedOn w:val="10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  <w:pPr>
      <w:jc w:val="left"/>
    </w:pPr>
  </w:style>
  <w:style w:type="character" w:styleId="51" w:customStyle="1">
    <w:name w:val="コメント文字列 (文字)"/>
    <w:basedOn w:val="10"/>
    <w:next w:val="51"/>
    <w:link w:val="50"/>
    <w:uiPriority w:val="0"/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basedOn w:val="51"/>
    <w:next w:val="53"/>
    <w:link w:val="52"/>
    <w:uiPriority w:val="0"/>
    <w:rPr>
      <w:b w:val="1"/>
    </w:rPr>
  </w:style>
  <w:style w:type="paragraph" w:styleId="54">
    <w:name w:val="toc 4"/>
    <w:basedOn w:val="0"/>
    <w:next w:val="0"/>
    <w:link w:val="0"/>
    <w:uiPriority w:val="0"/>
    <w:pPr>
      <w:spacing w:after="160" w:afterLines="0" w:afterAutospacing="0" w:line="259" w:lineRule="auto"/>
      <w:ind w:left="660" w:leftChars="300"/>
      <w:jc w:val="left"/>
    </w:pPr>
    <w:rPr>
      <w:sz w:val="22"/>
    </w:rPr>
  </w:style>
  <w:style w:type="paragraph" w:styleId="55">
    <w:name w:val="toc 5"/>
    <w:basedOn w:val="0"/>
    <w:next w:val="0"/>
    <w:link w:val="0"/>
    <w:uiPriority w:val="0"/>
    <w:pPr>
      <w:spacing w:after="160" w:afterLines="0" w:afterAutospacing="0" w:line="259" w:lineRule="auto"/>
      <w:ind w:left="880" w:leftChars="400"/>
      <w:jc w:val="left"/>
    </w:pPr>
    <w:rPr>
      <w:sz w:val="22"/>
    </w:rPr>
  </w:style>
  <w:style w:type="paragraph" w:styleId="56">
    <w:name w:val="toc 6"/>
    <w:basedOn w:val="0"/>
    <w:next w:val="0"/>
    <w:link w:val="0"/>
    <w:uiPriority w:val="0"/>
    <w:pPr>
      <w:spacing w:after="160" w:afterLines="0" w:afterAutospacing="0" w:line="259" w:lineRule="auto"/>
      <w:ind w:left="1100" w:leftChars="500"/>
      <w:jc w:val="left"/>
    </w:pPr>
    <w:rPr>
      <w:sz w:val="22"/>
    </w:rPr>
  </w:style>
  <w:style w:type="paragraph" w:styleId="57">
    <w:name w:val="toc 7"/>
    <w:basedOn w:val="0"/>
    <w:next w:val="0"/>
    <w:link w:val="0"/>
    <w:uiPriority w:val="0"/>
    <w:pPr>
      <w:spacing w:after="160" w:afterLines="0" w:afterAutospacing="0" w:line="259" w:lineRule="auto"/>
      <w:ind w:left="1320" w:leftChars="600"/>
      <w:jc w:val="left"/>
    </w:pPr>
    <w:rPr>
      <w:sz w:val="22"/>
    </w:rPr>
  </w:style>
  <w:style w:type="paragraph" w:styleId="58">
    <w:name w:val="toc 8"/>
    <w:basedOn w:val="0"/>
    <w:next w:val="0"/>
    <w:link w:val="0"/>
    <w:uiPriority w:val="0"/>
    <w:pPr>
      <w:spacing w:after="160" w:afterLines="0" w:afterAutospacing="0" w:line="259" w:lineRule="auto"/>
      <w:ind w:left="1540" w:leftChars="700"/>
      <w:jc w:val="left"/>
    </w:pPr>
    <w:rPr>
      <w:sz w:val="22"/>
    </w:rPr>
  </w:style>
  <w:style w:type="paragraph" w:styleId="59">
    <w:name w:val="toc 9"/>
    <w:basedOn w:val="0"/>
    <w:next w:val="0"/>
    <w:link w:val="0"/>
    <w:uiPriority w:val="0"/>
    <w:pPr>
      <w:spacing w:after="160" w:afterLines="0" w:afterAutospacing="0" w:line="259" w:lineRule="auto"/>
      <w:ind w:left="1760" w:leftChars="800"/>
      <w:jc w:val="left"/>
    </w:pPr>
    <w:rPr>
      <w:sz w:val="22"/>
    </w:rPr>
  </w:style>
  <w:style w:type="character" w:styleId="60" w:customStyle="1">
    <w:name w:val="Unresolved Mention"/>
    <w:basedOn w:val="10"/>
    <w:next w:val="60"/>
    <w:link w:val="0"/>
    <w:uiPriority w:val="0"/>
    <w:rPr>
      <w:color w:val="605E5C"/>
      <w:shd w:val="clear" w:color="auto" w:fill="E1DFDD"/>
    </w:rPr>
  </w:style>
  <w:style w:type="paragraph" w:styleId="61">
    <w:name w:val="Balloon Text"/>
    <w:basedOn w:val="0"/>
    <w:next w:val="61"/>
    <w:link w:val="62"/>
    <w:uiPriority w:val="0"/>
    <w:semiHidden/>
    <w:rPr>
      <w:rFonts w:asciiTheme="majorHAnsi" w:hAnsiTheme="majorHAnsi" w:eastAsiaTheme="majorEastAsia"/>
      <w:sz w:val="18"/>
    </w:rPr>
  </w:style>
  <w:style w:type="character" w:styleId="62" w:customStyle="1">
    <w:name w:val="吹き出し (文字)"/>
    <w:basedOn w:val="10"/>
    <w:next w:val="62"/>
    <w:link w:val="61"/>
    <w:uiPriority w:val="0"/>
    <w:rPr>
      <w:rFonts w:asciiTheme="majorHAnsi" w:hAnsiTheme="majorHAnsi" w:eastAsiaTheme="majorEastAsia"/>
      <w:sz w:val="18"/>
    </w:rPr>
  </w:style>
  <w:style w:type="paragraph" w:styleId="63">
    <w:name w:val="Revision"/>
    <w:next w:val="63"/>
    <w:link w:val="0"/>
    <w:uiPriority w:val="0"/>
    <w:rPr/>
  </w:style>
  <w:style w:type="character" w:styleId="64">
    <w:name w:val="FollowedHyperlink"/>
    <w:basedOn w:val="10"/>
    <w:next w:val="64"/>
    <w:link w:val="0"/>
    <w:uiPriority w:val="0"/>
    <w:rPr>
      <w:color w:val="96607D" w:themeColor="followedHyperlink"/>
      <w:u w:val="single" w:color="auto"/>
    </w:rPr>
  </w:style>
  <w:style w:type="paragraph" w:styleId="65">
    <w:name w:val="Closing"/>
    <w:basedOn w:val="0"/>
    <w:next w:val="65"/>
    <w:link w:val="66"/>
    <w:uiPriority w:val="0"/>
    <w:pPr>
      <w:jc w:val="right"/>
    </w:pPr>
  </w:style>
  <w:style w:type="character" w:styleId="66" w:customStyle="1">
    <w:name w:val="結語 (文字)"/>
    <w:basedOn w:val="10"/>
    <w:next w:val="66"/>
    <w:link w:val="65"/>
    <w:uiPriority w:val="0"/>
  </w:style>
  <w:style w:type="character" w:styleId="67" w:customStyle="1">
    <w:name w:val="Mention"/>
    <w:basedOn w:val="10"/>
    <w:next w:val="67"/>
    <w:link w:val="0"/>
    <w:uiPriority w:val="0"/>
    <w:rPr>
      <w:color w:val="2B579A"/>
      <w:shd w:val="clear" w:color="auto" w:fill="E1DFDD"/>
    </w:rPr>
  </w:style>
  <w:style w:type="character" w:styleId="68" w:customStyle="1">
    <w:name w:val="cf01"/>
    <w:basedOn w:val="10"/>
    <w:next w:val="68"/>
    <w:link w:val="0"/>
    <w:uiPriority w:val="0"/>
    <w:rPr>
      <w:rFonts w:ascii="Meiryo UI" w:hAnsi="Meiryo UI" w:eastAsia="Meiryo UI"/>
      <w:sz w:val="18"/>
    </w:rPr>
  </w:style>
  <w:style w:type="character" w:styleId="69" w:customStyle="1">
    <w:name w:val="cf11"/>
    <w:basedOn w:val="10"/>
    <w:next w:val="69"/>
    <w:link w:val="0"/>
    <w:uiPriority w:val="0"/>
    <w:rPr>
      <w:rFonts w:ascii="Meiryo UI" w:hAnsi="Meiryo UI" w:eastAsia="Meiryo UI"/>
      <w:sz w:val="18"/>
    </w:rPr>
  </w:style>
  <w:style w:type="paragraph" w:styleId="70" w:customStyle="1">
    <w:name w:val="pf0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71">
    <w:name w:val="footnote reference"/>
    <w:basedOn w:val="10"/>
    <w:next w:val="71"/>
    <w:link w:val="0"/>
    <w:uiPriority w:val="0"/>
    <w:semiHidden/>
    <w:rPr>
      <w:vertAlign w:val="superscript"/>
    </w:rPr>
  </w:style>
  <w:style w:type="character" w:styleId="72">
    <w:name w:val="endnote reference"/>
    <w:basedOn w:val="10"/>
    <w:next w:val="72"/>
    <w:link w:val="0"/>
    <w:uiPriority w:val="0"/>
    <w:semiHidden/>
    <w:rPr>
      <w:vertAlign w:val="superscript"/>
    </w:rPr>
  </w:style>
  <w:style w:type="table" w:styleId="73">
    <w:name w:val="Table Grid"/>
    <w:basedOn w:val="11"/>
    <w:next w:val="7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4" w:customStyle="1">
    <w:name w:val="表 (格子)1"/>
    <w:basedOn w:val="11"/>
    <w:next w:val="74"/>
    <w:link w:val="0"/>
    <w:uiPriority w:val="0"/>
    <w:rPr>
      <w:rFonts w:ascii="游明朝" w:hAnsi="游明朝" w:eastAsia="游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5" w:customStyle="1">
    <w:name w:val="Table Normal1"/>
    <w:basedOn w:val="11"/>
    <w:next w:val="75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kern w:val="0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99</Words>
  <Characters>1451</Characters>
  <Application>JUST Note</Application>
  <Lines>420</Lines>
  <Paragraphs>289</Paragraphs>
  <CharactersWithSpaces>1470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Tomohiro Matsuda</dc:creator>
  <cp:lastModifiedBy>510196</cp:lastModifiedBy>
  <cp:lastPrinted>2025-07-02T04:15:36Z</cp:lastPrinted>
  <dcterms:created xsi:type="dcterms:W3CDTF">2025-04-04T04:02:00Z</dcterms:created>
  <dcterms:modified xsi:type="dcterms:W3CDTF">2025-07-02T07:29:34Z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