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第１号書式（代金即納売払用）</w:t>
      </w:r>
    </w:p>
    <w:tbl>
      <w:tblPr>
        <w:tblStyle w:val="23"/>
        <w:tblW w:w="8330" w:type="dxa"/>
        <w:tblInd w:w="0" w:type="dxa"/>
        <w:tblLayout w:type="fixed"/>
        <w:tblLook w:firstRow="1" w:lastRow="0" w:firstColumn="1" w:lastColumn="0" w:noHBand="0" w:noVBand="1" w:val="04A0"/>
      </w:tblPr>
      <w:tblGrid>
        <w:gridCol w:w="7479"/>
        <w:gridCol w:w="851"/>
      </w:tblGrid>
      <w:tr>
        <w:trPr>
          <w:trHeight w:val="859" w:hRule="atLeast"/>
        </w:trPr>
        <w:tc>
          <w:tcPr>
            <w:tcW w:w="7479" w:type="dxa"/>
            <w:tcBorders>
              <w:top w:val="nil"/>
              <w:left w:val="nil"/>
              <w:bottom w:val="nil"/>
              <w:right w:val="nil"/>
              <w:tl2br w:val="none" w:color="auto" w:sz="0" w:space="0"/>
              <w:tr2bl w:val="none" w:color="auto" w:sz="0" w:space="0"/>
            </w:tcBorders>
            <w:vAlign w:val="center"/>
          </w:tcPr>
          <w:p>
            <w:pPr>
              <w:pStyle w:val="0"/>
              <w:kinsoku w:val="1"/>
              <w:ind w:firstLine="3360" w:firstLineChars="16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県有財産売買契約書</w:t>
            </w:r>
          </w:p>
        </w:tc>
        <w:tc>
          <w:tcPr>
            <w:tcW w:w="851" w:type="dxa"/>
            <w:tcBorders>
              <w:top w:val="nil"/>
              <w:left w:val="nil"/>
              <w:bottom w:val="nil"/>
              <w:right w:val="nil"/>
              <w:tl2br w:val="nil"/>
              <w:tr2bl w:val="nil"/>
            </w:tcBorders>
            <w:vAlign w:val="center"/>
          </w:tcPr>
          <w:p>
            <w:pPr>
              <w:pStyle w:val="0"/>
              <w:kinsoku w:val="1"/>
              <w:jc w:val="center"/>
              <w:rPr>
                <w:rFonts w:hint="eastAsia" w:ascii="ＭＳ 明朝" w:hAnsi="ＭＳ 明朝" w:eastAsia="ＭＳ 明朝"/>
                <w:color w:val="auto"/>
                <w:sz w:val="21"/>
                <w:highlight w:val="none"/>
                <w:u w:val="none" w:color="auto"/>
              </w:rPr>
            </w:pPr>
          </w:p>
        </w:tc>
      </w:tr>
    </w:tbl>
    <w:p>
      <w:pPr>
        <w:pStyle w:val="0"/>
        <w:kinsoku w:val="1"/>
        <w:jc w:val="center"/>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売払人高知県（以下「甲」という。）と買受人</w:t>
      </w:r>
      <w:r>
        <w:rPr>
          <w:rFonts w:hint="eastAsia" w:ascii="ＭＳ 明朝" w:hAnsi="ＭＳ 明朝" w:eastAsia="ＭＳ 明朝"/>
          <w:color w:val="FF0000"/>
          <w:sz w:val="21"/>
          <w:highlight w:val="none"/>
          <w:u w:val="none" w:color="auto"/>
        </w:rPr>
        <w:t>○○○○</w:t>
      </w:r>
      <w:r>
        <w:rPr>
          <w:rFonts w:hint="eastAsia" w:ascii="ＭＳ 明朝" w:hAnsi="ＭＳ 明朝" w:eastAsia="ＭＳ 明朝"/>
          <w:color w:val="auto"/>
          <w:sz w:val="21"/>
          <w:highlight w:val="none"/>
          <w:u w:val="none" w:color="auto"/>
        </w:rPr>
        <w:t>（以下「乙」という。）とは、次の条項により高知県有財産の売買契約を締結する。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（信義誠実等の義務）</w:t>
      </w: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第１条　甲乙両者は、信義を重んじ、誠実にこの契約を履行しなければならない。</w:t>
      </w: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甲乙両者は、日本国の法令を遵守し、この契約を履行しなければならない。</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（売買物件及び売買代金）</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第２条　甲は、次に掲げる物件（以下「売買物件」という。）を金　　　　円をもって乙に売り渡し、乙はこれを買い受ける。</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310"/>
        <w:gridCol w:w="1260"/>
        <w:gridCol w:w="3150"/>
      </w:tblGrid>
      <w:tr>
        <w:trPr>
          <w:cantSplit/>
          <w:trHeight w:val="42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物品名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数量</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u w:val="none" w:color="auto"/>
              </w:rPr>
              <w:t>摘要</w:t>
            </w:r>
          </w:p>
        </w:tc>
      </w:tr>
      <w:tr>
        <w:trPr>
          <w:cantSplit/>
          <w:trHeight w:val="284"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物品</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1"/>
              <w:jc w:val="left"/>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一式</w:t>
            </w:r>
          </w:p>
        </w:tc>
        <w:tc>
          <w:tcPr>
            <w:tcW w:w="31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1"/>
              <w:jc w:val="left"/>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内訳：別紙のとおり</w:t>
            </w:r>
          </w:p>
        </w:tc>
      </w:tr>
    </w:tbl>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（契約保証金）</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第３条　契約保証金は、高知県契約規則（昭和</w:t>
      </w:r>
      <w:r>
        <w:rPr>
          <w:rFonts w:hint="eastAsia" w:ascii="ＭＳ 明朝" w:hAnsi="ＭＳ 明朝" w:eastAsia="ＭＳ 明朝"/>
          <w:color w:val="auto"/>
          <w:sz w:val="21"/>
          <w:highlight w:val="none"/>
          <w:u w:val="none" w:color="auto"/>
        </w:rPr>
        <w:t>39</w:t>
      </w:r>
      <w:r>
        <w:rPr>
          <w:rFonts w:hint="eastAsia" w:ascii="ＭＳ 明朝" w:hAnsi="ＭＳ 明朝" w:eastAsia="ＭＳ 明朝"/>
          <w:color w:val="auto"/>
          <w:sz w:val="21"/>
          <w:highlight w:val="none"/>
          <w:u w:val="none" w:color="auto"/>
        </w:rPr>
        <w:t>年高知県規則</w:t>
      </w:r>
      <w:r>
        <w:rPr>
          <w:rFonts w:hint="eastAsia" w:ascii="ＭＳ 明朝" w:hAnsi="ＭＳ 明朝" w:eastAsia="ＭＳ 明朝"/>
          <w:color w:val="auto"/>
          <w:sz w:val="21"/>
          <w:highlight w:val="none"/>
          <w:u w:val="none" w:color="auto"/>
        </w:rPr>
        <w:t>12</w:t>
      </w:r>
      <w:r>
        <w:rPr>
          <w:rFonts w:hint="eastAsia" w:ascii="ＭＳ 明朝" w:hAnsi="ＭＳ 明朝" w:eastAsia="ＭＳ 明朝"/>
          <w:color w:val="auto"/>
          <w:sz w:val="21"/>
          <w:highlight w:val="none"/>
          <w:u w:val="none" w:color="auto"/>
        </w:rPr>
        <w:t>号）第</w:t>
      </w:r>
      <w:r>
        <w:rPr>
          <w:rFonts w:hint="eastAsia" w:ascii="ＭＳ 明朝" w:hAnsi="ＭＳ 明朝" w:eastAsia="ＭＳ 明朝"/>
          <w:color w:val="auto"/>
          <w:sz w:val="21"/>
          <w:highlight w:val="none"/>
          <w:u w:val="none" w:color="auto"/>
        </w:rPr>
        <w:t>40</w:t>
      </w:r>
      <w:r>
        <w:rPr>
          <w:rFonts w:hint="eastAsia" w:ascii="ＭＳ 明朝" w:hAnsi="ＭＳ 明朝" w:eastAsia="ＭＳ 明朝"/>
          <w:color w:val="auto"/>
          <w:sz w:val="21"/>
          <w:highlight w:val="none"/>
          <w:u w:val="none" w:color="auto"/>
        </w:rPr>
        <w:t>条第２号の規定により免除する。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（代金の支払）</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第４条　乙は、売買代金を、甲の発行する納入通知書により○年○月○日までにその指定する場所において甲に支払わなければならない。</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（所有権の移転及び登記の嘱託）</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第５条　売買物件の所有権は、乙が売買代金を完納した時に、甲から乙に移転するものとする。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（売買物件の引渡し）</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第６条　甲は、売買物件の所有権が移転した日から</w:t>
      </w:r>
      <w:r>
        <w:rPr>
          <w:rFonts w:hint="eastAsia" w:ascii="ＭＳ 明朝" w:hAnsi="ＭＳ 明朝" w:eastAsia="ＭＳ 明朝"/>
          <w:color w:val="auto"/>
          <w:sz w:val="21"/>
          <w:highlight w:val="none"/>
          <w:u w:val="none" w:color="auto"/>
        </w:rPr>
        <w:t>30</w:t>
      </w:r>
      <w:r>
        <w:rPr>
          <w:rFonts w:hint="eastAsia" w:ascii="ＭＳ 明朝" w:hAnsi="ＭＳ 明朝" w:eastAsia="ＭＳ 明朝"/>
          <w:color w:val="auto"/>
          <w:sz w:val="21"/>
          <w:highlight w:val="none"/>
          <w:u w:val="none" w:color="auto"/>
        </w:rPr>
        <w:t>日以内で両者の定める日に、当該物件をその所在する場所において乙に引き渡し、乙は、当該物件の受領証を甲に提出するものとする。</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乙は、売買物件の引受けについては、甲の指示に従わなければならない。</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（危険負担等）</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第７条　乙は、この契約締結の時から売買物件の所有権移転の時までにおいて、当該物件がその責めに帰することのできない事由により滅失又はき損した場合は、甲に対して売買代金の減免を請求することができるものとし、当該物件の所有権移転の時から引渡しの時までにおいて当該物件が甲の責めに帰することのできない事由により滅失又はき損した場合は、売買代金の減免を請求することができないものとする。</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甲は、売買物件を現状有姿で売買するものとし、乙は、この契約締結後売買物件に</w:t>
      </w:r>
      <w:r>
        <w:rPr>
          <w:rFonts w:hint="eastAsia" w:ascii="ＭＳ 明朝" w:hAnsi="ＭＳ 明朝" w:eastAsia="ＭＳ 明朝"/>
          <w:color w:val="auto"/>
          <w:sz w:val="22"/>
          <w:highlight w:val="none"/>
          <w:u w:val="none" w:color="auto"/>
        </w:rPr>
        <w:t>種類、品質又は数量に関して</w:t>
      </w:r>
      <w:r>
        <w:rPr>
          <w:rFonts w:hint="eastAsia" w:ascii="ＭＳ 明朝" w:hAnsi="ＭＳ 明朝" w:eastAsia="ＭＳ 明朝"/>
          <w:color w:val="auto"/>
          <w:sz w:val="21"/>
          <w:highlight w:val="none"/>
          <w:u w:val="none" w:color="auto"/>
        </w:rPr>
        <w:t>契約の内容に適合しない事実のあることを発見しても、売買代金の減免若しくは損害賠償の請求又は契約の解除をすることができないものとする。</w:t>
      </w:r>
    </w:p>
    <w:p>
      <w:pPr>
        <w:pStyle w:val="0"/>
        <w:kinsoku w:val="1"/>
        <w:rPr>
          <w:rFonts w:hint="eastAsia" w:ascii="ＭＳ 明朝" w:hAnsi="ＭＳ 明朝" w:eastAsia="ＭＳ 明朝"/>
          <w:color w:val="auto"/>
          <w:sz w:val="21"/>
          <w:highlight w:val="none"/>
          <w:u w:val="none" w:color="auto"/>
        </w:rPr>
      </w:pPr>
    </w:p>
    <w:p>
      <w:pPr>
        <w:pStyle w:val="0"/>
        <w:kinsoku w:val="1"/>
        <w:ind w:left="210" w:hanging="210" w:hangingChars="100"/>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（用途制限等）</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第８条　乙は、この契約の締結の日から</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年間、売買物件を次の各号に掲げる用途に供してはならない。</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１</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風俗営業等の規制及び業務の適正化等に関する法律（昭和</w:t>
      </w:r>
      <w:r>
        <w:rPr>
          <w:rFonts w:hint="eastAsia" w:ascii="ＭＳ 明朝" w:hAnsi="ＭＳ 明朝" w:eastAsia="ＭＳ 明朝"/>
          <w:color w:val="auto"/>
          <w:sz w:val="21"/>
          <w:highlight w:val="none"/>
          <w:u w:val="none" w:color="auto"/>
        </w:rPr>
        <w:t>23</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122</w:t>
      </w:r>
      <w:r>
        <w:rPr>
          <w:rFonts w:hint="eastAsia" w:ascii="ＭＳ 明朝" w:hAnsi="ＭＳ 明朝" w:eastAsia="ＭＳ 明朝"/>
          <w:color w:val="auto"/>
          <w:sz w:val="21"/>
          <w:highlight w:val="none"/>
          <w:u w:val="none" w:color="auto"/>
        </w:rPr>
        <w:t>号）第２条第１項に規定する風俗営業及び同条第５項に規定する性風俗関連特殊営業その他これらに類する用途</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２</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暴力団員による不当な行為の防止等に関する法律（平成３年法律第</w:t>
      </w:r>
      <w:r>
        <w:rPr>
          <w:rFonts w:hint="eastAsia" w:ascii="ＭＳ 明朝" w:hAnsi="ＭＳ 明朝" w:eastAsia="ＭＳ 明朝"/>
          <w:color w:val="auto"/>
          <w:sz w:val="21"/>
          <w:highlight w:val="none"/>
          <w:u w:val="none" w:color="auto"/>
        </w:rPr>
        <w:t>77</w:t>
      </w:r>
      <w:r>
        <w:rPr>
          <w:rFonts w:hint="eastAsia" w:ascii="ＭＳ 明朝" w:hAnsi="ＭＳ 明朝" w:eastAsia="ＭＳ 明朝"/>
          <w:color w:val="auto"/>
          <w:sz w:val="21"/>
          <w:highlight w:val="none"/>
          <w:u w:val="none" w:color="auto"/>
        </w:rPr>
        <w:t>号）第２条第２号に規定する暴力団の事務所その他これに類する用途</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３</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無差別大量殺人行為を行った団体の規制に関する法律（平成</w:t>
      </w:r>
      <w:r>
        <w:rPr>
          <w:rFonts w:hint="eastAsia" w:ascii="ＭＳ 明朝" w:hAnsi="ＭＳ 明朝" w:eastAsia="ＭＳ 明朝"/>
          <w:color w:val="auto"/>
          <w:sz w:val="21"/>
          <w:highlight w:val="none"/>
          <w:u w:val="none" w:color="auto"/>
        </w:rPr>
        <w:t>11</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147</w:t>
      </w:r>
      <w:r>
        <w:rPr>
          <w:rFonts w:hint="eastAsia" w:ascii="ＭＳ 明朝" w:hAnsi="ＭＳ 明朝" w:eastAsia="ＭＳ 明朝"/>
          <w:color w:val="auto"/>
          <w:sz w:val="21"/>
          <w:highlight w:val="none"/>
          <w:u w:val="none" w:color="auto"/>
        </w:rPr>
        <w:t>号）第５条に規定する観察処分を受けた団体の事務所の用途</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乙は、この契約の締結の日から</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年間、前項各号の用途に供されることを知りながら、売買物件を第三者に譲渡し、又は貸し付けてはならない。</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（暴力団員等からの不当介入に対する通報及び報告の義務）</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第９条　乙は、契約の履行に当たって、暴力団員等（高知県暴力団排除条例（平成</w:t>
      </w:r>
      <w:r>
        <w:rPr>
          <w:rFonts w:hint="eastAsia" w:ascii="ＭＳ 明朝" w:hAnsi="ＭＳ 明朝" w:eastAsia="ＭＳ 明朝"/>
          <w:color w:val="auto"/>
          <w:sz w:val="21"/>
          <w:highlight w:val="none"/>
          <w:u w:val="none" w:color="auto"/>
        </w:rPr>
        <w:t>22</w:t>
      </w:r>
      <w:r>
        <w:rPr>
          <w:rFonts w:hint="eastAsia" w:ascii="ＭＳ 明朝" w:hAnsi="ＭＳ 明朝" w:eastAsia="ＭＳ 明朝"/>
          <w:color w:val="auto"/>
          <w:sz w:val="21"/>
          <w:highlight w:val="none"/>
          <w:u w:val="none" w:color="auto"/>
        </w:rPr>
        <w:t>年高知県条例第</w:t>
      </w:r>
      <w:r>
        <w:rPr>
          <w:rFonts w:hint="eastAsia" w:ascii="ＭＳ 明朝" w:hAnsi="ＭＳ 明朝" w:eastAsia="ＭＳ 明朝"/>
          <w:color w:val="auto"/>
          <w:sz w:val="21"/>
          <w:highlight w:val="none"/>
          <w:u w:val="none" w:color="auto"/>
        </w:rPr>
        <w:t>36</w:t>
      </w:r>
      <w:r>
        <w:rPr>
          <w:rFonts w:hint="eastAsia" w:ascii="ＭＳ 明朝" w:hAnsi="ＭＳ 明朝" w:eastAsia="ＭＳ 明朝"/>
          <w:color w:val="auto"/>
          <w:sz w:val="21"/>
          <w:highlight w:val="none"/>
          <w:u w:val="none" w:color="auto"/>
        </w:rPr>
        <w:t>号）第２条第３号に規定する暴力団員等をいう。第</w:t>
      </w:r>
      <w:r>
        <w:rPr>
          <w:rFonts w:hint="eastAsia" w:ascii="ＭＳ 明朝" w:hAnsi="ＭＳ 明朝" w:eastAsia="ＭＳ 明朝"/>
          <w:color w:val="auto"/>
          <w:sz w:val="21"/>
          <w:highlight w:val="none"/>
          <w:u w:val="none" w:color="auto"/>
        </w:rPr>
        <w:t>12</w:t>
      </w:r>
      <w:r>
        <w:rPr>
          <w:rFonts w:hint="eastAsia" w:ascii="ＭＳ 明朝" w:hAnsi="ＭＳ 明朝" w:eastAsia="ＭＳ 明朝"/>
          <w:color w:val="auto"/>
          <w:sz w:val="21"/>
          <w:highlight w:val="none"/>
          <w:u w:val="none" w:color="auto"/>
        </w:rPr>
        <w:t>条の２において同じ。）による不当若しくは違法な要求又は契約の適正な履行を妨げる妨害を受けたときは、その旨を甲に報告するとともに、所轄の警察署に届け出なければならない。</w:t>
      </w:r>
    </w:p>
    <w:p>
      <w:pPr>
        <w:pStyle w:val="0"/>
        <w:kinsoku w:val="1"/>
        <w:rPr>
          <w:rFonts w:hint="eastAsia" w:ascii="ＭＳ 明朝" w:hAnsi="ＭＳ 明朝" w:eastAsia="ＭＳ 明朝"/>
          <w:color w:val="auto"/>
          <w:sz w:val="21"/>
          <w:highlight w:val="none"/>
          <w:u w:val="none" w:color="auto"/>
        </w:rPr>
      </w:pP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（契約の解除）</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　甲は、乙がこの契約に定める義務を履行しないときは、催告することなく、この契約を解除することができる。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（暴力団排除措置による解除）</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条の２　甲は、乙が次の各号のいずれかに該当するときは、契約を解除することができる。この場合において、解除により乙に損害があっても、甲はその損害の賠償の責めを負わないものとする。</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１</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暴力団（高知県暴力団排除条例第２条第１号に規定する暴力団をいう。以下この条において同じ。）であると認められるとき。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２</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役員等（次に掲げる者をいう。以下この条において同じ。）が暴力団員等であると認められるとき。</w:t>
      </w:r>
    </w:p>
    <w:p>
      <w:pPr>
        <w:pStyle w:val="0"/>
        <w:kinsoku w:val="1"/>
        <w:ind w:left="650" w:leftChars="20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ア　法人にあっては、代表役員等及び一般役員であって経営に事実上参加している者</w:t>
      </w:r>
    </w:p>
    <w:p>
      <w:pPr>
        <w:pStyle w:val="0"/>
        <w:kinsoku w:val="1"/>
        <w:ind w:left="650" w:leftChars="20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イ　法人以外の団体にあっては、代表者、理事その他アに掲げる者と同等の責任を有する者</w:t>
      </w:r>
    </w:p>
    <w:p>
      <w:pPr>
        <w:pStyle w:val="0"/>
        <w:kinsoku w:val="1"/>
        <w:ind w:left="650" w:leftChars="20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３</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役員等が、業務に関し、暴力団員等であることを知りながら当該者を使用し、又は雇用していると認められるとき。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４</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暴力団又は暴力団員等がその経営又は運営に実質的に関与していると認められるとき。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５</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６</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７</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役員等が、業務に関し、暴力団又は暴力団員等が経営又は運営に実質的に関与していると認められる業者であることを知りながら、これを利用していると認められるとき。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８</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役員等が、県との契約に関し、暴力団又は暴力団員等が経営又は運営に実質的に関与していると認められる業者であることを知りながら、これを利用していると認められるとき。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９</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前各号に掲げるもののほか、役員等が暴力団又は暴力団員等と社会的に非難されるべき関係を有していると認められるとき。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　第９条に規定する暴力団員等からの不当介入に対する通報及び報告義務を履行しなかったと認められるとき。</w:t>
      </w:r>
    </w:p>
    <w:p>
      <w:pPr>
        <w:pStyle w:val="0"/>
        <w:kinsoku w:val="1"/>
        <w:rPr>
          <w:rFonts w:hint="eastAsia" w:ascii="ＭＳ 明朝" w:hAnsi="ＭＳ 明朝" w:eastAsia="ＭＳ 明朝"/>
          <w:color w:val="auto"/>
          <w:sz w:val="21"/>
          <w:highlight w:val="none"/>
          <w:u w:val="none" w:color="auto"/>
        </w:rPr>
      </w:pPr>
    </w:p>
    <w:p>
      <w:pPr>
        <w:pStyle w:val="0"/>
        <w:widowControl w:val="1"/>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（談合等の不正行為があった場合の解除）</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条の３　甲は、乙がこの契約に関して、次の各号のいずれかに該当するときは、契約を解除することができる。この解除により乙に損害を及ぼしても甲はその責めを負わないものとする。</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１</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公正取引委員会が、乙に違反行為があったとして私的独占の禁止及び公正取引の確保に関する法律（昭和</w:t>
      </w:r>
      <w:r>
        <w:rPr>
          <w:rFonts w:hint="eastAsia" w:ascii="ＭＳ 明朝" w:hAnsi="ＭＳ 明朝" w:eastAsia="ＭＳ 明朝"/>
          <w:color w:val="auto"/>
          <w:sz w:val="21"/>
          <w:highlight w:val="none"/>
          <w:u w:val="none" w:color="auto"/>
        </w:rPr>
        <w:t>22</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54</w:t>
      </w:r>
      <w:r>
        <w:rPr>
          <w:rFonts w:hint="eastAsia" w:ascii="ＭＳ 明朝" w:hAnsi="ＭＳ 明朝" w:eastAsia="ＭＳ 明朝"/>
          <w:color w:val="auto"/>
          <w:sz w:val="21"/>
          <w:highlight w:val="none"/>
          <w:u w:val="none" w:color="auto"/>
        </w:rPr>
        <w:t>号。以下「独占禁止法」という。）第</w:t>
      </w:r>
      <w:r>
        <w:rPr>
          <w:rFonts w:hint="eastAsia" w:ascii="ＭＳ 明朝" w:hAnsi="ＭＳ 明朝" w:eastAsia="ＭＳ 明朝"/>
          <w:color w:val="auto"/>
          <w:sz w:val="21"/>
          <w:highlight w:val="none"/>
          <w:u w:val="none" w:color="auto"/>
        </w:rPr>
        <w:t>62</w:t>
      </w:r>
      <w:r>
        <w:rPr>
          <w:rFonts w:hint="eastAsia" w:ascii="ＭＳ 明朝" w:hAnsi="ＭＳ 明朝" w:eastAsia="ＭＳ 明朝"/>
          <w:color w:val="auto"/>
          <w:sz w:val="21"/>
          <w:highlight w:val="none"/>
          <w:u w:val="none" w:color="auto"/>
        </w:rPr>
        <w:t>条第１項に規定する課徴金の納付命令（以下「納付命令」という。）を行い、当該納付命令が確定したとき（確定した当該納付命令が独占禁止法第</w:t>
      </w:r>
      <w:r>
        <w:rPr>
          <w:rFonts w:hint="eastAsia" w:ascii="ＭＳ 明朝" w:hAnsi="ＭＳ 明朝" w:eastAsia="ＭＳ 明朝"/>
          <w:color w:val="auto"/>
          <w:sz w:val="21"/>
          <w:highlight w:val="none"/>
          <w:u w:val="none" w:color="auto"/>
        </w:rPr>
        <w:t>63</w:t>
      </w:r>
      <w:r>
        <w:rPr>
          <w:rFonts w:hint="eastAsia" w:ascii="ＭＳ 明朝" w:hAnsi="ＭＳ 明朝" w:eastAsia="ＭＳ 明朝"/>
          <w:color w:val="auto"/>
          <w:sz w:val="21"/>
          <w:highlight w:val="none"/>
          <w:u w:val="none" w:color="auto"/>
        </w:rPr>
        <w:t>条第２項の規定により取り消された場合を含む。以下この条において同じ。）。</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２</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公正取引委員会が、乙に違反行為があったとして独占禁止法第</w:t>
      </w:r>
      <w:r>
        <w:rPr>
          <w:rFonts w:hint="eastAsia" w:ascii="ＭＳ 明朝" w:hAnsi="ＭＳ 明朝" w:eastAsia="ＭＳ 明朝"/>
          <w:color w:val="auto"/>
          <w:sz w:val="21"/>
          <w:highlight w:val="none"/>
          <w:u w:val="none" w:color="auto"/>
        </w:rPr>
        <w:t>49</w:t>
      </w:r>
      <w:r>
        <w:rPr>
          <w:rFonts w:hint="eastAsia" w:ascii="ＭＳ 明朝" w:hAnsi="ＭＳ 明朝" w:eastAsia="ＭＳ 明朝"/>
          <w:color w:val="auto"/>
          <w:sz w:val="21"/>
          <w:highlight w:val="none"/>
          <w:u w:val="none" w:color="auto"/>
        </w:rPr>
        <w:t>条に規定する排除措置命令（以下「排除措置命令」という。）を行い、当該排除措置命令が確定したとき。</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３</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乙（法人の場合にあっては、その役員及びその使用人もこれに含む。）について刑法（明治</w:t>
      </w:r>
      <w:r>
        <w:rPr>
          <w:rFonts w:hint="eastAsia" w:ascii="ＭＳ 明朝" w:hAnsi="ＭＳ 明朝" w:eastAsia="ＭＳ 明朝"/>
          <w:color w:val="auto"/>
          <w:sz w:val="21"/>
          <w:highlight w:val="none"/>
          <w:u w:val="none" w:color="auto"/>
        </w:rPr>
        <w:t>40</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45</w:t>
      </w:r>
      <w:r>
        <w:rPr>
          <w:rFonts w:hint="eastAsia" w:ascii="ＭＳ 明朝" w:hAnsi="ＭＳ 明朝" w:eastAsia="ＭＳ 明朝"/>
          <w:color w:val="auto"/>
          <w:sz w:val="21"/>
          <w:highlight w:val="none"/>
          <w:u w:val="none" w:color="auto"/>
        </w:rPr>
        <w:t>号）第</w:t>
      </w:r>
      <w:r>
        <w:rPr>
          <w:rFonts w:hint="eastAsia" w:ascii="ＭＳ 明朝" w:hAnsi="ＭＳ 明朝" w:eastAsia="ＭＳ 明朝"/>
          <w:color w:val="auto"/>
          <w:sz w:val="21"/>
          <w:highlight w:val="none"/>
          <w:u w:val="none" w:color="auto"/>
        </w:rPr>
        <w:t>96</w:t>
      </w:r>
      <w:r>
        <w:rPr>
          <w:rFonts w:hint="eastAsia" w:ascii="ＭＳ 明朝" w:hAnsi="ＭＳ 明朝" w:eastAsia="ＭＳ 明朝"/>
          <w:color w:val="auto"/>
          <w:sz w:val="21"/>
          <w:highlight w:val="none"/>
          <w:u w:val="none" w:color="auto"/>
        </w:rPr>
        <w:t>条の６若しくは第</w:t>
      </w:r>
      <w:r>
        <w:rPr>
          <w:rFonts w:hint="eastAsia" w:ascii="ＭＳ 明朝" w:hAnsi="ＭＳ 明朝" w:eastAsia="ＭＳ 明朝"/>
          <w:color w:val="auto"/>
          <w:sz w:val="21"/>
          <w:highlight w:val="none"/>
          <w:u w:val="none" w:color="auto"/>
        </w:rPr>
        <w:t>198</w:t>
      </w:r>
      <w:r>
        <w:rPr>
          <w:rFonts w:hint="eastAsia" w:ascii="ＭＳ 明朝" w:hAnsi="ＭＳ 明朝" w:eastAsia="ＭＳ 明朝"/>
          <w:color w:val="auto"/>
          <w:sz w:val="21"/>
          <w:highlight w:val="none"/>
          <w:u w:val="none" w:color="auto"/>
        </w:rPr>
        <w:t>条又は独占禁止法第</w:t>
      </w:r>
      <w:r>
        <w:rPr>
          <w:rFonts w:hint="eastAsia" w:ascii="ＭＳ 明朝" w:hAnsi="ＭＳ 明朝" w:eastAsia="ＭＳ 明朝"/>
          <w:color w:val="auto"/>
          <w:sz w:val="21"/>
          <w:highlight w:val="none"/>
          <w:u w:val="none" w:color="auto"/>
        </w:rPr>
        <w:t>89</w:t>
      </w:r>
      <w:r>
        <w:rPr>
          <w:rFonts w:hint="eastAsia" w:ascii="ＭＳ 明朝" w:hAnsi="ＭＳ 明朝" w:eastAsia="ＭＳ 明朝"/>
          <w:color w:val="auto"/>
          <w:sz w:val="21"/>
          <w:highlight w:val="none"/>
          <w:u w:val="none" w:color="auto"/>
        </w:rPr>
        <w:t>条第１項、第</w:t>
      </w:r>
      <w:r>
        <w:rPr>
          <w:rFonts w:hint="eastAsia" w:ascii="ＭＳ 明朝" w:hAnsi="ＭＳ 明朝" w:eastAsia="ＭＳ 明朝"/>
          <w:color w:val="auto"/>
          <w:sz w:val="21"/>
          <w:highlight w:val="none"/>
          <w:u w:val="none" w:color="auto"/>
        </w:rPr>
        <w:t>90</w:t>
      </w:r>
      <w:r>
        <w:rPr>
          <w:rFonts w:hint="eastAsia" w:ascii="ＭＳ 明朝" w:hAnsi="ＭＳ 明朝" w:eastAsia="ＭＳ 明朝"/>
          <w:color w:val="auto"/>
          <w:sz w:val="21"/>
          <w:highlight w:val="none"/>
          <w:u w:val="none" w:color="auto"/>
        </w:rPr>
        <w:t>条若しくは第</w:t>
      </w:r>
      <w:r>
        <w:rPr>
          <w:rFonts w:hint="eastAsia" w:ascii="ＭＳ 明朝" w:hAnsi="ＭＳ 明朝" w:eastAsia="ＭＳ 明朝"/>
          <w:color w:val="auto"/>
          <w:sz w:val="21"/>
          <w:highlight w:val="none"/>
          <w:u w:val="none" w:color="auto"/>
        </w:rPr>
        <w:t>95</w:t>
      </w:r>
      <w:r>
        <w:rPr>
          <w:rFonts w:hint="eastAsia" w:ascii="ＭＳ 明朝" w:hAnsi="ＭＳ 明朝" w:eastAsia="ＭＳ 明朝"/>
          <w:color w:val="auto"/>
          <w:sz w:val="21"/>
          <w:highlight w:val="none"/>
          <w:u w:val="none" w:color="auto"/>
        </w:rPr>
        <w:t>条（独占禁止法第</w:t>
      </w:r>
      <w:r>
        <w:rPr>
          <w:rFonts w:hint="eastAsia" w:ascii="ＭＳ 明朝" w:hAnsi="ＭＳ 明朝" w:eastAsia="ＭＳ 明朝"/>
          <w:color w:val="auto"/>
          <w:sz w:val="21"/>
          <w:highlight w:val="none"/>
          <w:u w:val="none" w:color="auto"/>
        </w:rPr>
        <w:t>89</w:t>
      </w:r>
      <w:r>
        <w:rPr>
          <w:rFonts w:hint="eastAsia" w:ascii="ＭＳ 明朝" w:hAnsi="ＭＳ 明朝" w:eastAsia="ＭＳ 明朝"/>
          <w:color w:val="auto"/>
          <w:sz w:val="21"/>
          <w:highlight w:val="none"/>
          <w:u w:val="none" w:color="auto"/>
        </w:rPr>
        <w:t>条第１項又は第</w:t>
      </w:r>
      <w:r>
        <w:rPr>
          <w:rFonts w:hint="eastAsia" w:ascii="ＭＳ 明朝" w:hAnsi="ＭＳ 明朝" w:eastAsia="ＭＳ 明朝"/>
          <w:color w:val="auto"/>
          <w:sz w:val="21"/>
          <w:highlight w:val="none"/>
          <w:u w:val="none" w:color="auto"/>
        </w:rPr>
        <w:t>90</w:t>
      </w:r>
      <w:r>
        <w:rPr>
          <w:rFonts w:hint="eastAsia" w:ascii="ＭＳ 明朝" w:hAnsi="ＭＳ 明朝" w:eastAsia="ＭＳ 明朝"/>
          <w:color w:val="auto"/>
          <w:sz w:val="21"/>
          <w:highlight w:val="none"/>
          <w:u w:val="none" w:color="auto"/>
        </w:rPr>
        <w:t>条に規定する違反行為をした場合に限る。）の規定による刑が確定したとき。</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４</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pPr>
        <w:pStyle w:val="0"/>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５</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（違約金）</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11</w:t>
      </w:r>
      <w:r>
        <w:rPr>
          <w:rFonts w:hint="eastAsia" w:ascii="ＭＳ 明朝" w:hAnsi="ＭＳ 明朝" w:eastAsia="ＭＳ 明朝"/>
          <w:color w:val="auto"/>
          <w:sz w:val="21"/>
          <w:highlight w:val="none"/>
          <w:u w:val="none" w:color="auto"/>
        </w:rPr>
        <w:t>条　乙は、第８条に定める義務に違反した場合又は第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条の２若しくは前条の規定によりこの契約が解除された場合には、違約金として売買代金の</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分の１に相当する額（当該額に１円未満の端数があるときは、当該端数を切り捨てた額）を甲に支払わなければならない。</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前項に規定する違約金は、次条及び第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条に定める損害賠償額の予定又はその一部と解釈しないものとする。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（損害賠償）</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12</w:t>
      </w:r>
      <w:r>
        <w:rPr>
          <w:rFonts w:hint="eastAsia" w:ascii="ＭＳ 明朝" w:hAnsi="ＭＳ 明朝" w:eastAsia="ＭＳ 明朝"/>
          <w:color w:val="auto"/>
          <w:sz w:val="21"/>
          <w:highlight w:val="none"/>
          <w:u w:val="none" w:color="auto"/>
        </w:rPr>
        <w:t>条　乙は、この契約に定める義務を履行しないため甲に損害を与えたときは、その損害に相当する金額を損害賠償として甲に支払わなければならない。</w:t>
      </w:r>
    </w:p>
    <w:p>
      <w:pPr>
        <w:pStyle w:val="0"/>
        <w:kinsoku w:val="1"/>
        <w:rPr>
          <w:rFonts w:hint="eastAsia" w:ascii="ＭＳ 明朝" w:hAnsi="ＭＳ 明朝" w:eastAsia="ＭＳ 明朝"/>
          <w:color w:val="auto"/>
          <w:sz w:val="21"/>
          <w:highlight w:val="none"/>
          <w:u w:val="none" w:color="auto"/>
        </w:rPr>
      </w:pPr>
    </w:p>
    <w:p>
      <w:pPr>
        <w:pStyle w:val="0"/>
        <w:widowControl w:val="1"/>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（談合等の不正行為があった場合の賠償額の予定）</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　乙は、第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条の３各号のいずれかに該当するときは、甲が契約を解除するか否かにかかわらず、賠償金として、売買代金の</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分の１に相当する額（当該額に１円未満の端数があるときは、当該端数を切り捨てた額）を、特別の定めがある場合を除き、甲が納入の通知（地方自治法（昭和</w:t>
      </w:r>
      <w:r>
        <w:rPr>
          <w:rFonts w:hint="eastAsia" w:ascii="ＭＳ 明朝" w:hAnsi="ＭＳ 明朝" w:eastAsia="ＭＳ 明朝"/>
          <w:color w:val="auto"/>
          <w:sz w:val="21"/>
          <w:highlight w:val="none"/>
          <w:u w:val="none" w:color="auto"/>
        </w:rPr>
        <w:t>22</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67</w:t>
      </w:r>
      <w:r>
        <w:rPr>
          <w:rFonts w:hint="eastAsia" w:ascii="ＭＳ 明朝" w:hAnsi="ＭＳ 明朝" w:eastAsia="ＭＳ 明朝"/>
          <w:color w:val="auto"/>
          <w:sz w:val="21"/>
          <w:highlight w:val="none"/>
          <w:u w:val="none" w:color="auto"/>
        </w:rPr>
        <w:t>号）第</w:t>
      </w:r>
      <w:r>
        <w:rPr>
          <w:rFonts w:hint="eastAsia" w:ascii="ＭＳ 明朝" w:hAnsi="ＭＳ 明朝" w:eastAsia="ＭＳ 明朝"/>
          <w:color w:val="auto"/>
          <w:sz w:val="21"/>
          <w:highlight w:val="none"/>
          <w:u w:val="none" w:color="auto"/>
        </w:rPr>
        <w:t>231</w:t>
      </w:r>
      <w:r>
        <w:rPr>
          <w:rFonts w:hint="eastAsia" w:ascii="ＭＳ 明朝" w:hAnsi="ＭＳ 明朝" w:eastAsia="ＭＳ 明朝"/>
          <w:color w:val="auto"/>
          <w:sz w:val="21"/>
          <w:highlight w:val="none"/>
          <w:u w:val="none" w:color="auto"/>
        </w:rPr>
        <w:t>条に規定する納入の通知をいう。次条第１項において同じ。）を発する日の属する月の翌月の末日（当該日が日曜日、土曜日若しくは国民の祝日に関する法律（昭和</w:t>
      </w:r>
      <w:r>
        <w:rPr>
          <w:rFonts w:hint="eastAsia" w:ascii="ＭＳ 明朝" w:hAnsi="ＭＳ 明朝" w:eastAsia="ＭＳ 明朝"/>
          <w:color w:val="auto"/>
          <w:sz w:val="21"/>
          <w:highlight w:val="none"/>
          <w:u w:val="none" w:color="auto"/>
        </w:rPr>
        <w:t>23</w:t>
      </w:r>
      <w:r>
        <w:rPr>
          <w:rFonts w:hint="eastAsia" w:ascii="ＭＳ 明朝" w:hAnsi="ＭＳ 明朝" w:eastAsia="ＭＳ 明朝"/>
          <w:color w:val="auto"/>
          <w:sz w:val="21"/>
          <w:highlight w:val="none"/>
          <w:u w:val="none" w:color="auto"/>
        </w:rPr>
        <w:t>年法律第</w:t>
      </w:r>
      <w:r>
        <w:rPr>
          <w:rFonts w:hint="eastAsia" w:ascii="ＭＳ 明朝" w:hAnsi="ＭＳ 明朝" w:eastAsia="ＭＳ 明朝"/>
          <w:color w:val="auto"/>
          <w:sz w:val="21"/>
          <w:highlight w:val="none"/>
          <w:u w:val="none" w:color="auto"/>
        </w:rPr>
        <w:t>178</w:t>
      </w:r>
      <w:r>
        <w:rPr>
          <w:rFonts w:hint="eastAsia" w:ascii="ＭＳ 明朝" w:hAnsi="ＭＳ 明朝" w:eastAsia="ＭＳ 明朝"/>
          <w:color w:val="auto"/>
          <w:sz w:val="21"/>
          <w:highlight w:val="none"/>
          <w:u w:val="none" w:color="auto"/>
        </w:rPr>
        <w:t>号）第３条に規定する休日又は</w:t>
      </w:r>
      <w:r>
        <w:rPr>
          <w:rFonts w:hint="eastAsia" w:ascii="ＭＳ 明朝" w:hAnsi="ＭＳ 明朝" w:eastAsia="ＭＳ 明朝"/>
          <w:color w:val="auto"/>
          <w:sz w:val="21"/>
          <w:highlight w:val="none"/>
          <w:u w:val="none" w:color="auto"/>
        </w:rPr>
        <w:t>12</w:t>
      </w:r>
      <w:r>
        <w:rPr>
          <w:rFonts w:hint="eastAsia" w:ascii="ＭＳ 明朝" w:hAnsi="ＭＳ 明朝" w:eastAsia="ＭＳ 明朝"/>
          <w:color w:val="auto"/>
          <w:sz w:val="21"/>
          <w:highlight w:val="none"/>
          <w:u w:val="none" w:color="auto"/>
        </w:rPr>
        <w:t>月</w:t>
      </w:r>
      <w:r>
        <w:rPr>
          <w:rFonts w:hint="eastAsia" w:ascii="ＭＳ 明朝" w:hAnsi="ＭＳ 明朝" w:eastAsia="ＭＳ 明朝"/>
          <w:color w:val="auto"/>
          <w:sz w:val="21"/>
          <w:highlight w:val="none"/>
          <w:u w:val="none" w:color="auto"/>
        </w:rPr>
        <w:t>31</w:t>
      </w:r>
      <w:r>
        <w:rPr>
          <w:rFonts w:hint="eastAsia" w:ascii="ＭＳ 明朝" w:hAnsi="ＭＳ 明朝" w:eastAsia="ＭＳ 明朝"/>
          <w:color w:val="auto"/>
          <w:sz w:val="21"/>
          <w:highlight w:val="none"/>
          <w:u w:val="none" w:color="auto"/>
        </w:rPr>
        <w:t>日に当たるときは、これらの日の前日をもって当該日とみなす。次条第１項において同じ。）までに支払わなければならない。ただし、第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条の３第３号に該当する場合であって、刑法第</w:t>
      </w:r>
      <w:r>
        <w:rPr>
          <w:rFonts w:hint="eastAsia" w:ascii="ＭＳ 明朝" w:hAnsi="ＭＳ 明朝" w:eastAsia="ＭＳ 明朝"/>
          <w:color w:val="auto"/>
          <w:sz w:val="21"/>
          <w:highlight w:val="none"/>
          <w:u w:val="none" w:color="auto"/>
        </w:rPr>
        <w:t>198</w:t>
      </w:r>
      <w:r>
        <w:rPr>
          <w:rFonts w:hint="eastAsia" w:ascii="ＭＳ 明朝" w:hAnsi="ＭＳ 明朝" w:eastAsia="ＭＳ 明朝"/>
          <w:color w:val="auto"/>
          <w:sz w:val="21"/>
          <w:highlight w:val="none"/>
          <w:u w:val="none" w:color="auto"/>
        </w:rPr>
        <w:t>条の規定による刑が確定した場合その他甲が特に認める場合は、この限りではない。</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前項の規定にかかわらず、甲は、甲に生じた実際の損害金が同項に規定する賠償金の額を超える場合においては、乙に対してその超過した損害金にこの契約における売買代金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３　前２項の規定は、売買物件の引渡しをした後においても適用する。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（談合等の不正行為があった場合の違約罰としての違約金）</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条の２　乙は、第</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条の３第１号から第３号までのいずれかに該当する場合は、前条の賠償額の予定とは別に、違約罰としての違約金を、特別の定めがある場合を除き、甲が納入の通知を発する日の属する月の翌月の末日までに支払わなければならない。</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前項の違約罰としての違約金の額は、売買代金の</w:t>
      </w:r>
      <w:r>
        <w:rPr>
          <w:rFonts w:hint="eastAsia" w:ascii="ＭＳ 明朝" w:hAnsi="ＭＳ 明朝" w:eastAsia="ＭＳ 明朝"/>
          <w:color w:val="auto"/>
          <w:sz w:val="21"/>
          <w:highlight w:val="none"/>
          <w:u w:val="none" w:color="auto"/>
        </w:rPr>
        <w:t>10</w:t>
      </w:r>
      <w:r>
        <w:rPr>
          <w:rFonts w:hint="eastAsia" w:ascii="ＭＳ 明朝" w:hAnsi="ＭＳ 明朝" w:eastAsia="ＭＳ 明朝"/>
          <w:color w:val="auto"/>
          <w:sz w:val="21"/>
          <w:highlight w:val="none"/>
          <w:u w:val="none" w:color="auto"/>
        </w:rPr>
        <w:t>分の１に相当する額（当該額に１円未満の端数があるときは、当該端数を切り捨てた額。以下この項において「違約金額」という。）とする。ただし、乙がこの契約に関し独占禁止法第７条の２第</w:t>
      </w:r>
      <w:r>
        <w:rPr>
          <w:rFonts w:hint="eastAsia" w:ascii="ＭＳ 明朝" w:hAnsi="ＭＳ 明朝" w:eastAsia="ＭＳ 明朝"/>
          <w:color w:val="auto"/>
          <w:sz w:val="21"/>
          <w:highlight w:val="none"/>
          <w:u w:val="none" w:color="auto"/>
        </w:rPr>
        <w:t>11</w:t>
      </w:r>
      <w:r>
        <w:rPr>
          <w:rFonts w:hint="eastAsia" w:ascii="ＭＳ 明朝" w:hAnsi="ＭＳ 明朝" w:eastAsia="ＭＳ 明朝"/>
          <w:color w:val="auto"/>
          <w:sz w:val="21"/>
          <w:highlight w:val="none"/>
          <w:u w:val="none" w:color="auto"/>
        </w:rPr>
        <w:t>項又は第</w:t>
      </w:r>
      <w:r>
        <w:rPr>
          <w:rFonts w:hint="eastAsia" w:ascii="ＭＳ 明朝" w:hAnsi="ＭＳ 明朝" w:eastAsia="ＭＳ 明朝"/>
          <w:color w:val="auto"/>
          <w:sz w:val="21"/>
          <w:highlight w:val="none"/>
          <w:u w:val="none" w:color="auto"/>
        </w:rPr>
        <w:t>12</w:t>
      </w:r>
      <w:r>
        <w:rPr>
          <w:rFonts w:hint="eastAsia" w:ascii="ＭＳ 明朝" w:hAnsi="ＭＳ 明朝" w:eastAsia="ＭＳ 明朝"/>
          <w:color w:val="auto"/>
          <w:sz w:val="21"/>
          <w:highlight w:val="none"/>
          <w:u w:val="none" w:color="auto"/>
        </w:rPr>
        <w:t>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である場合は、違約金額にその者が課徴金の減額を受けた割合を乗じて得た額（当該額に１円未満の端数があるときは、当該端数を切り捨てた額）を違約金額から減額した額とする。</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３　前２項の規定は、売買物件の引渡しをした後においても適用する。</w:t>
      </w:r>
    </w:p>
    <w:p>
      <w:pPr>
        <w:pStyle w:val="0"/>
        <w:widowControl w:val="1"/>
        <w:kinsoku w:val="1"/>
        <w:rPr>
          <w:rFonts w:hint="eastAsia" w:ascii="ＭＳ 明朝" w:hAnsi="ＭＳ 明朝" w:eastAsia="ＭＳ 明朝"/>
          <w:color w:val="auto"/>
          <w:sz w:val="21"/>
          <w:highlight w:val="none"/>
          <w:u w:val="none" w:color="auto"/>
        </w:rPr>
      </w:pPr>
    </w:p>
    <w:p>
      <w:pPr>
        <w:pStyle w:val="0"/>
        <w:widowControl w:val="1"/>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（乙の文書提出義務）</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条の３　乙（乙が法人である場合は、その役員及びその使用人もこれに含む。）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pPr>
        <w:pStyle w:val="0"/>
        <w:widowControl w:val="1"/>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２　前項の規定は、売買物件の引渡しをした後においても適用する。</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３　前２項の規定は、売買物件の引渡しをした日から起算して５年を経過した日の属する年度の末日まで適用する。</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p>
    <w:p>
      <w:pPr>
        <w:pStyle w:val="0"/>
        <w:widowControl w:val="1"/>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（違約金等の徴収）</w:t>
      </w:r>
    </w:p>
    <w:p>
      <w:pPr>
        <w:pStyle w:val="0"/>
        <w:widowControl w:val="1"/>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14</w:t>
      </w:r>
      <w:r>
        <w:rPr>
          <w:rFonts w:hint="eastAsia" w:ascii="ＭＳ 明朝" w:hAnsi="ＭＳ 明朝" w:eastAsia="ＭＳ 明朝"/>
          <w:color w:val="auto"/>
          <w:sz w:val="21"/>
          <w:highlight w:val="none"/>
          <w:u w:val="none" w:color="auto"/>
        </w:rPr>
        <w:t>条　乙がこの契約に基づく違約金、賠償金、損害金又は違約罰としての違約金を甲の指定する期間（第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条に規定する賠償金にあっては同条第１項に、第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の２に規定する違約罰としての違約金にあっては同条第１項にそれぞれ規定する期間とする。以下この項において同じ。）内に支払わないときは、甲は、乙から遅延日数につき年３パーセントの割合で計算した額（当該額に１円未満の端数があるときは、当該端数を切り捨てた額）の遅延利息を徴収する。ただし、計算した遅延利息の額が、</w:t>
      </w:r>
      <w:r>
        <w:rPr>
          <w:rFonts w:hint="eastAsia" w:ascii="ＭＳ 明朝" w:hAnsi="ＭＳ 明朝" w:eastAsia="ＭＳ 明朝"/>
          <w:color w:val="auto"/>
          <w:sz w:val="21"/>
          <w:highlight w:val="none"/>
          <w:u w:val="none" w:color="auto"/>
        </w:rPr>
        <w:t>100</w:t>
      </w:r>
      <w:r>
        <w:rPr>
          <w:rFonts w:hint="eastAsia" w:ascii="ＭＳ 明朝" w:hAnsi="ＭＳ 明朝" w:eastAsia="ＭＳ 明朝"/>
          <w:color w:val="auto"/>
          <w:sz w:val="21"/>
          <w:highlight w:val="none"/>
          <w:u w:val="none" w:color="auto"/>
        </w:rPr>
        <w:t>円に満たないときは、この限りではない。</w:t>
      </w:r>
    </w:p>
    <w:p>
      <w:pPr>
        <w:pStyle w:val="0"/>
        <w:widowControl w:val="1"/>
        <w:kinsoku w:val="1"/>
        <w:ind w:left="420" w:hanging="420" w:hangingChars="200"/>
        <w:rPr>
          <w:rFonts w:hint="eastAsia" w:ascii="ＭＳ 明朝" w:hAnsi="ＭＳ 明朝" w:eastAsia="ＭＳ 明朝"/>
          <w:color w:val="auto"/>
          <w:sz w:val="21"/>
          <w:highlight w:val="none"/>
          <w:u w:val="none" w:color="auto"/>
        </w:rPr>
      </w:pPr>
    </w:p>
    <w:p>
      <w:pPr>
        <w:pStyle w:val="0"/>
        <w:widowControl w:val="1"/>
        <w:kinsoku w:val="1"/>
        <w:ind w:left="420" w:hanging="420" w:hangingChars="2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（年当たりの割合の基礎となる日数）</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15</w:t>
      </w:r>
      <w:r>
        <w:rPr>
          <w:rFonts w:hint="eastAsia" w:ascii="ＭＳ 明朝" w:hAnsi="ＭＳ 明朝" w:eastAsia="ＭＳ 明朝"/>
          <w:color w:val="auto"/>
          <w:sz w:val="21"/>
          <w:highlight w:val="none"/>
          <w:u w:val="none" w:color="auto"/>
        </w:rPr>
        <w:t>条　第</w:t>
      </w:r>
      <w:r>
        <w:rPr>
          <w:rFonts w:hint="eastAsia" w:ascii="ＭＳ 明朝" w:hAnsi="ＭＳ 明朝" w:eastAsia="ＭＳ 明朝"/>
          <w:color w:val="auto"/>
          <w:sz w:val="21"/>
          <w:highlight w:val="none"/>
          <w:u w:val="none" w:color="auto"/>
        </w:rPr>
        <w:t>13</w:t>
      </w:r>
      <w:r>
        <w:rPr>
          <w:rFonts w:hint="eastAsia" w:ascii="ＭＳ 明朝" w:hAnsi="ＭＳ 明朝" w:eastAsia="ＭＳ 明朝"/>
          <w:color w:val="auto"/>
          <w:sz w:val="21"/>
          <w:highlight w:val="none"/>
          <w:u w:val="none" w:color="auto"/>
        </w:rPr>
        <w:t>条第２項及び前条の規定による遅延利息の額を計算する場合における年当たりの割合は、閏年の日を含む期間についても、</w:t>
      </w:r>
      <w:r>
        <w:rPr>
          <w:rFonts w:hint="eastAsia" w:ascii="ＭＳ 明朝" w:hAnsi="ＭＳ 明朝" w:eastAsia="ＭＳ 明朝"/>
          <w:color w:val="auto"/>
          <w:sz w:val="21"/>
          <w:highlight w:val="none"/>
          <w:u w:val="none" w:color="auto"/>
        </w:rPr>
        <w:t>365</w:t>
      </w:r>
      <w:r>
        <w:rPr>
          <w:rFonts w:hint="eastAsia" w:ascii="ＭＳ 明朝" w:hAnsi="ＭＳ 明朝" w:eastAsia="ＭＳ 明朝"/>
          <w:color w:val="auto"/>
          <w:sz w:val="21"/>
          <w:highlight w:val="none"/>
          <w:u w:val="none" w:color="auto"/>
        </w:rPr>
        <w:t>日当たりの割合とする。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（契約の費用）</w:t>
      </w: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16</w:t>
      </w:r>
      <w:r>
        <w:rPr>
          <w:rFonts w:hint="eastAsia" w:ascii="ＭＳ 明朝" w:hAnsi="ＭＳ 明朝" w:eastAsia="ＭＳ 明朝"/>
          <w:color w:val="auto"/>
          <w:sz w:val="21"/>
          <w:highlight w:val="none"/>
          <w:u w:val="none" w:color="auto"/>
        </w:rPr>
        <w:t>条　この契約に要する費用は乙の負担とする。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（疑義の決定）</w:t>
      </w: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17</w:t>
      </w:r>
      <w:r>
        <w:rPr>
          <w:rFonts w:hint="eastAsia" w:ascii="ＭＳ 明朝" w:hAnsi="ＭＳ 明朝" w:eastAsia="ＭＳ 明朝"/>
          <w:color w:val="auto"/>
          <w:sz w:val="21"/>
          <w:highlight w:val="none"/>
          <w:u w:val="none" w:color="auto"/>
        </w:rPr>
        <w:t>条　この契約に関し疑義のあるときは、甲乙協議のうえ定めるものとする。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（裁判管轄）</w:t>
      </w:r>
    </w:p>
    <w:p>
      <w:pPr>
        <w:pStyle w:val="0"/>
        <w:kinsoku w:val="1"/>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第</w:t>
      </w:r>
      <w:r>
        <w:rPr>
          <w:rFonts w:hint="eastAsia" w:ascii="ＭＳ 明朝" w:hAnsi="ＭＳ 明朝" w:eastAsia="ＭＳ 明朝"/>
          <w:color w:val="auto"/>
          <w:sz w:val="21"/>
          <w:highlight w:val="none"/>
          <w:u w:val="none" w:color="auto"/>
        </w:rPr>
        <w:t>18</w:t>
      </w:r>
      <w:r>
        <w:rPr>
          <w:rFonts w:hint="eastAsia" w:ascii="ＭＳ 明朝" w:hAnsi="ＭＳ 明朝" w:eastAsia="ＭＳ 明朝"/>
          <w:color w:val="auto"/>
          <w:sz w:val="21"/>
          <w:highlight w:val="none"/>
          <w:u w:val="none" w:color="auto"/>
        </w:rPr>
        <w:t>条　この契約に関して生じた甲乙間の紛争については、高知地方裁判所を第一審の専属的合意管轄裁判所とする。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上記契約の締結を証するため、この契約書２通を作成し、両者記名押印のうえ各自その１通を保有するものとする。</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年　月　日</w:t>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売払人　　高知県</w:t>
      </w: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契約担当者　職　氏名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pStyle w:val="0"/>
        <w:kinsoku w:val="1"/>
        <w:rPr>
          <w:rFonts w:hint="eastAsia" w:ascii="ＭＳ 明朝" w:hAnsi="ＭＳ 明朝" w:eastAsia="ＭＳ 明朝"/>
          <w:color w:val="auto"/>
          <w:sz w:val="21"/>
          <w:highlight w:val="none"/>
          <w:u w:val="none" w:color="auto"/>
        </w:rPr>
      </w:pPr>
    </w:p>
    <w:p>
      <w:pPr>
        <w:pStyle w:val="0"/>
        <w:kinsoku w:val="1"/>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買受人　　住所</w:t>
      </w:r>
    </w:p>
    <w:p>
      <w:pPr>
        <w:pStyle w:val="0"/>
        <w:kinsoku w:val="1"/>
        <w:rPr>
          <w:rFonts w:hint="default"/>
          <w:color w:val="auto"/>
          <w:sz w:val="21"/>
          <w:highlight w:val="none"/>
          <w:u w:val="none" w:color="auto"/>
        </w:rPr>
      </w:pPr>
      <w:r>
        <w:rPr>
          <w:rFonts w:hint="eastAsia" w:ascii="ＭＳ 明朝" w:hAnsi="ＭＳ 明朝" w:eastAsia="ＭＳ 明朝"/>
          <w:color w:val="auto"/>
          <w:sz w:val="21"/>
          <w:highlight w:val="none"/>
          <w:u w:val="none" w:color="auto"/>
        </w:rPr>
        <w:t>　　　　　　　　　　　　　　　　　　　　氏名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pStyle w:val="0"/>
        <w:kinsoku w:val="1"/>
        <w:rPr>
          <w:rFonts w:hint="default"/>
          <w:color w:val="auto"/>
          <w:sz w:val="21"/>
          <w:highlight w:val="none"/>
          <w:u w:val="none" w:color="auto"/>
        </w:rPr>
      </w:pPr>
    </w:p>
    <w:p>
      <w:pPr>
        <w:pStyle w:val="0"/>
        <w:kinsoku w:val="1"/>
        <w:rPr>
          <w:rFonts w:hint="default"/>
          <w:color w:val="auto"/>
          <w:sz w:val="21"/>
          <w:highlight w:val="none"/>
          <w:u w:val="none" w:color="auto"/>
        </w:rPr>
      </w:pPr>
    </w:p>
    <w:p>
      <w:pPr>
        <w:pStyle w:val="0"/>
        <w:widowControl w:val="1"/>
        <w:kinsoku w:val="1"/>
        <w:jc w:val="left"/>
        <w:rPr>
          <w:rFonts w:hint="default"/>
          <w:color w:val="auto"/>
          <w:sz w:val="21"/>
          <w:highlight w:val="none"/>
          <w:u w:val="none" w:color="auto"/>
        </w:rPr>
      </w:pPr>
    </w:p>
    <w:p>
      <w:pPr>
        <w:pStyle w:val="0"/>
        <w:widowControl w:val="1"/>
        <w:kinsoku w:val="1"/>
        <w:jc w:val="left"/>
        <w:rPr>
          <w:rFonts w:hint="default"/>
          <w:color w:val="auto"/>
          <w:sz w:val="21"/>
          <w:highlight w:val="none"/>
          <w:u w:val="none" w:color="auto"/>
        </w:rPr>
      </w:pPr>
      <w:r>
        <w:rPr>
          <w:rFonts w:hint="eastAsia"/>
        </w:rPr>
        <w:br w:type="page"/>
      </w:r>
      <w:bookmarkStart w:id="0" w:name="_GoBack"/>
      <w:bookmarkEnd w:id="0"/>
    </w:p>
    <w:p>
      <w:pPr>
        <w:pStyle w:val="0"/>
        <w:widowControl w:val="1"/>
        <w:kinsoku w:val="1"/>
        <w:jc w:val="left"/>
        <w:rPr>
          <w:rFonts w:hint="default"/>
          <w:color w:val="auto"/>
          <w:sz w:val="21"/>
          <w:highlight w:val="none"/>
          <w:u w:val="none" w:color="auto"/>
        </w:rPr>
      </w:pPr>
    </w:p>
    <w:p>
      <w:pPr>
        <w:pStyle w:val="0"/>
        <w:widowControl w:val="1"/>
        <w:kinsoku w:val="1"/>
        <w:jc w:val="left"/>
        <w:rPr>
          <w:rFonts w:hint="default"/>
          <w:color w:val="auto"/>
          <w:sz w:val="21"/>
          <w:highlight w:val="none"/>
          <w:u w:val="none" w:color="auto"/>
        </w:rPr>
      </w:pPr>
      <w:r>
        <w:rPr>
          <w:rFonts w:hint="eastAsia"/>
          <w:color w:val="auto"/>
          <w:sz w:val="21"/>
          <w:highlight w:val="none"/>
          <w:u w:val="none" w:color="auto"/>
        </w:rPr>
        <w:t>別紙</w:t>
      </w:r>
    </w:p>
    <w:tbl>
      <w:tblPr>
        <w:tblStyle w:val="24"/>
        <w:tblpPr w:leftFromText="0" w:rightFromText="0" w:topFromText="0" w:bottomFromText="0" w:vertAnchor="text" w:horzAnchor="margin" w:tblpX="208" w:tblpY="300"/>
        <w:tblOverlap w:val="never"/>
        <w:tblW w:w="0" w:type="auto"/>
        <w:tblLayout w:type="fixed"/>
        <w:tblLook w:firstRow="1" w:lastRow="0" w:firstColumn="1" w:lastColumn="0" w:noHBand="0" w:noVBand="1" w:val="04A0"/>
      </w:tblPr>
      <w:tblGrid>
        <w:gridCol w:w="3333"/>
        <w:gridCol w:w="1818"/>
        <w:gridCol w:w="885"/>
        <w:gridCol w:w="2145"/>
      </w:tblGrid>
      <w:tr>
        <w:trPr>
          <w:trHeight w:val="434" w:hRule="atLeast"/>
        </w:trPr>
        <w:tc>
          <w:tcPr>
            <w:tcW w:w="3333" w:type="dxa"/>
            <w:vAlign w:val="top"/>
          </w:tcPr>
          <w:p>
            <w:pPr>
              <w:pStyle w:val="0"/>
              <w:jc w:val="center"/>
              <w:rPr>
                <w:rFonts w:hint="eastAsia"/>
              </w:rPr>
            </w:pPr>
            <w:r>
              <w:rPr>
                <w:rFonts w:hint="eastAsia"/>
              </w:rPr>
              <w:t>品名</w:t>
            </w:r>
          </w:p>
        </w:tc>
        <w:tc>
          <w:tcPr>
            <w:tcW w:w="27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数量</w:t>
            </w:r>
          </w:p>
        </w:tc>
        <w:tc>
          <w:tcPr>
            <w:tcW w:w="2145" w:type="dxa"/>
            <w:vAlign w:val="top"/>
          </w:tcPr>
          <w:p>
            <w:pPr>
              <w:pStyle w:val="0"/>
              <w:jc w:val="center"/>
              <w:rPr>
                <w:rFonts w:hint="eastAsia"/>
              </w:rPr>
            </w:pPr>
            <w:r>
              <w:rPr>
                <w:rFonts w:hint="eastAsia"/>
              </w:rPr>
              <w:t>価額</w:t>
            </w: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4"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9" w:hRule="atLeast"/>
        </w:trPr>
        <w:tc>
          <w:tcPr>
            <w:tcW w:w="60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合計</w:t>
            </w:r>
          </w:p>
        </w:tc>
        <w:tc>
          <w:tcPr>
            <w:tcW w:w="2145" w:type="dxa"/>
            <w:vAlign w:val="top"/>
          </w:tcPr>
          <w:p>
            <w:pPr>
              <w:pStyle w:val="0"/>
              <w:rPr>
                <w:rFonts w:hint="eastAsia"/>
              </w:rPr>
            </w:pPr>
          </w:p>
        </w:tc>
      </w:tr>
    </w:tbl>
    <w:p>
      <w:pPr>
        <w:pStyle w:val="0"/>
        <w:widowControl w:val="1"/>
        <w:kinsoku w:val="1"/>
        <w:jc w:val="left"/>
        <w:rPr>
          <w:rFonts w:hint="default"/>
          <w:color w:val="auto"/>
          <w:sz w:val="21"/>
          <w:highlight w:val="none"/>
          <w:u w:val="none" w:color="auto"/>
        </w:rPr>
      </w:pPr>
    </w:p>
    <w:sectPr>
      <w:footerReference r:id="rId5" w:type="default"/>
      <w:pgSz w:w="11906" w:h="16838"/>
      <w:pgMar w:top="1984" w:right="1701" w:bottom="1701"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1"/>
  <w:drawingGridVerticalSpacing w:val="305"/>
  <w:displayHorizontalDrawingGridEvery w:val="0"/>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6</Pages>
  <Words>66</Words>
  <Characters>5608</Characters>
  <Application>JUST Note</Application>
  <Lines>249</Lines>
  <Paragraphs>96</Paragraphs>
  <CharactersWithSpaces>5792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444390</cp:lastModifiedBy>
  <cp:lastPrinted>2020-05-14T07:50:49Z</cp:lastPrinted>
  <dcterms:created xsi:type="dcterms:W3CDTF">2019-10-08T07:07:00Z</dcterms:created>
  <dcterms:modified xsi:type="dcterms:W3CDTF">2020-07-01T03:15:49Z</dcterms:modified>
  <cp:revision>14</cp:revision>
</cp:coreProperties>
</file>