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embeddings/JUST_Calc____(xlsx)1.xlsx" ContentType="application/vnd.openxmlformats-officedocument.spreadsheetml.sheet"/>
  <Override PartName="/word/drawings/drawing2.xml" ContentType="application/vnd.openxmlformats-officedocument.drawingml.chartshapes+xml"/>
  <Override PartName="/word/charts/chart2.xml" ContentType="application/vnd.openxmlformats-officedocument.drawingml.chart+xml"/>
  <Override PartName="/word/embeddings/JUST_Calc____(xlsx)2.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embeddings/JUST_Calc____(xlsx)3.xlsx" ContentType="application/vnd.openxmlformats-officedocument.spreadsheetml.sheet"/>
  <Override PartName="/word/drawings/drawing3.xml" ContentType="application/vnd.openxmlformats-officedocument.drawingml.chartshapes+xml"/>
  <Override PartName="/word/charts/chart4.xml" ContentType="application/vnd.openxmlformats-officedocument.drawingml.chart+xml"/>
  <Override PartName="/word/embeddings/JUST_Calc____(xlsx)4.xlsx" ContentType="application/vnd.openxmlformats-officedocument.spreadsheetml.sheet"/>
  <Override PartName="/word/charts/chart5.xml" ContentType="application/vnd.openxmlformats-officedocument.drawingml.chart+xml"/>
  <Override PartName="/word/embeddings/JUST_Calc____(xlsx)5.xlsx" ContentType="application/vnd.openxmlformats-officedocument.spreadsheetml.sheet"/>
  <Override PartName="/word/drawings/drawing4.xml" ContentType="application/vnd.openxmlformats-officedocument.drawingml.chartshapes+xml"/>
  <Override PartName="/word/charts/chart6.xml" ContentType="application/vnd.openxmlformats-officedocument.drawingml.chart+xml"/>
  <Override PartName="/word/embeddings/JUST_Calc____(xlsx)6.xlsx" ContentType="application/vnd.openxmlformats-officedocument.spreadsheetml.sheet"/>
  <Override PartName="/word/drawings/drawing5.xml" ContentType="application/vnd.openxmlformats-officedocument.drawingml.chartshapes+xml"/>
  <Override PartName="/word/charts/chart7.xml" ContentType="application/vnd.openxmlformats-officedocument.drawingml.chart+xml"/>
  <Override PartName="/word/embeddings/JUST_Calc____(xlsx)7.xlsx" ContentType="application/vnd.openxmlformats-officedocument.spreadsheetml.sheet"/>
  <Override PartName="/word/drawings/drawing6.xml" ContentType="application/vnd.openxmlformats-officedocument.drawingml.chartshapes+xml"/>
  <Override PartName="/word/charts/chart8.xml" ContentType="application/vnd.openxmlformats-officedocument.drawingml.chart+xml"/>
  <Override PartName="/word/embeddings/JUST_Calc____(xlsx)8.xlsx" ContentType="application/vnd.openxmlformats-officedocument.spreadsheetml.sheet"/>
  <Override PartName="/word/charts/chart9.xml" ContentType="application/vnd.openxmlformats-officedocument.drawingml.chart+xml"/>
  <Override PartName="/word/embeddings/JUST_Calc____(xlsx)9.xlsx" ContentType="application/vnd.openxmlformats-officedocument.spreadsheetml.sheet"/>
  <Override PartName="/word/drawings/drawing7.xml" ContentType="application/vnd.openxmlformats-officedocument.drawingml.chartshapes+xml"/>
  <Override PartName="/word/charts/chart10.xml" ContentType="application/vnd.openxmlformats-officedocument.drawingml.chart+xml"/>
  <Override PartName="/word/embeddings/JUST_Calc____(xlsx)10.xlsx" ContentType="application/vnd.openxmlformats-officedocument.spreadsheetml.sheet"/>
  <Override PartName="/word/drawings/drawing8.xml" ContentType="application/vnd.openxmlformats-officedocument.drawingml.chartshapes+xml"/>
  <Override PartName="/word/charts/chart11.xml" ContentType="application/vnd.openxmlformats-officedocument.drawingml.chart+xml"/>
  <Override PartName="/word/embeddings/JUST_Calc____(xlsx)11.xlsx" ContentType="application/vnd.openxmlformats-officedocument.spreadsheetml.sheet"/>
  <Override PartName="/word/drawings/drawing9.xml" ContentType="application/vnd.openxmlformats-officedocument.drawingml.chartshapes+xml"/>
  <Override PartName="/word/charts/chart12.xml" ContentType="application/vnd.openxmlformats-officedocument.drawingml.chart+xml"/>
  <Override PartName="/word/embeddings/JUST_Calc____(xlsx)12.xlsx" ContentType="application/vnd.openxmlformats-officedocument.spreadsheetml.sheet"/>
  <Override PartName="/word/drawings/drawing10.xml" ContentType="application/vnd.openxmlformats-officedocument.drawingml.chartshapes+xml"/>
  <Override PartName="/word/charts/chart13.xml" ContentType="application/vnd.openxmlformats-officedocument.drawingml.chart+xml"/>
  <Override PartName="/word/embeddings/JUST_Calc____(xlsx)13.xlsx" ContentType="application/vnd.openxmlformats-officedocument.spreadsheetml.sheet"/>
  <Override PartName="/word/drawings/drawing11.xml" ContentType="application/vnd.openxmlformats-officedocument.drawingml.chartshapes+xml"/>
  <Override PartName="/word/charts/chart14.xml" ContentType="application/vnd.openxmlformats-officedocument.drawingml.chart+xml"/>
  <Override PartName="/word/embeddings/JUST_Calc____(xlsx)14.xlsx" ContentType="application/vnd.openxmlformats-officedocument.spreadsheetml.sheet"/>
  <Override PartName="/word/drawings/drawing12.xml" ContentType="application/vnd.openxmlformats-officedocument.drawingml.chartshapes+xml"/>
  <Override PartName="/word/charts/chart15.xml" ContentType="application/vnd.openxmlformats-officedocument.drawingml.chart+xml"/>
  <Override PartName="/word/embeddings/JUST_Calc____(xlsx)15.xlsx" ContentType="application/vnd.openxmlformats-officedocument.spreadsheetml.sheet"/>
  <Override PartName="/word/drawings/drawing13.xml" ContentType="application/vnd.openxmlformats-officedocument.drawingml.chartshapes+xml"/>
  <Override PartName="/word/charts/chart16.xml" ContentType="application/vnd.openxmlformats-officedocument.drawingml.chart+xml"/>
  <Override PartName="/word/embeddings/JUST_Calc____(xlsx)16.xlsx" ContentType="application/vnd.openxmlformats-officedocument.spreadsheetml.sheet"/>
  <Override PartName="/word/drawings/drawing14.xml" ContentType="application/vnd.openxmlformats-officedocument.drawingml.chartshapes+xml"/>
  <Override PartName="/word/charts/chart17.xml" ContentType="application/vnd.openxmlformats-officedocument.drawingml.chart+xml"/>
  <Override PartName="/word/embeddings/JUST_Calc____(xlsx)17.xlsx" ContentType="application/vnd.openxmlformats-officedocument.spreadsheetml.sheet"/>
  <Override PartName="/word/drawings/drawing15.xml" ContentType="application/vnd.openxmlformats-officedocument.drawingml.chartshapes+xml"/>
  <Override PartName="/word/charts/chart18.xml" ContentType="application/vnd.openxmlformats-officedocument.drawingml.chart+xml"/>
  <Override PartName="/word/embeddings/JUST_Calc____(xlsx)18.xlsx" ContentType="application/vnd.openxmlformats-officedocument.spreadsheetml.sheet"/>
  <Override PartName="/word/drawings/drawing16.xml" ContentType="application/vnd.openxmlformats-officedocument.drawingml.chartshapes+xml"/>
  <Override PartName="/word/charts/chart19.xml" ContentType="application/vnd.openxmlformats-officedocument.drawingml.chart+xml"/>
  <Override PartName="/word/embeddings/JUST_Calc____(xlsx)19.xlsx" ContentType="application/vnd.openxmlformats-officedocument.spreadsheetml.sheet"/>
  <Override PartName="/word/drawings/drawing17.xml" ContentType="application/vnd.openxmlformats-officedocument.drawingml.chartshapes+xml"/>
  <Override PartName="/word/charts/chart20.xml" ContentType="application/vnd.openxmlformats-officedocument.drawingml.chart+xml"/>
  <Override PartName="/word/embeddings/JUST_Calc____(xlsx)20.xlsx" ContentType="application/vnd.openxmlformats-officedocument.spreadsheetml.sheet"/>
  <Override PartName="/word/drawings/drawing18.xml" ContentType="application/vnd.openxmlformats-officedocument.drawingml.chartshapes+xml"/>
  <Override PartName="/word/charts/chart21.xml" ContentType="application/vnd.openxmlformats-officedocument.drawingml.chart+xml"/>
  <Override PartName="/word/embeddings/JUST_Calc____(xlsx)21.xlsx" ContentType="application/vnd.openxmlformats-officedocument.spreadsheetml.sheet"/>
  <Override PartName="/word/drawings/drawing19.xml" ContentType="application/vnd.openxmlformats-officedocument.drawingml.chartshapes+xml"/>
  <Override PartName="/word/charts/chart22.xml" ContentType="application/vnd.openxmlformats-officedocument.drawingml.chart+xml"/>
  <Override PartName="/word/embeddings/JUST_Calc____(xlsx)22.xlsx" ContentType="application/vnd.openxmlformats-officedocument.spreadsheetml.sheet"/>
  <Override PartName="/word/drawings/drawing20.xml" ContentType="application/vnd.openxmlformats-officedocument.drawingml.chartshapes+xml"/>
  <Override PartName="/word/charts/chart23.xml" ContentType="application/vnd.openxmlformats-officedocument.drawingml.chart+xml"/>
  <Override PartName="/word/embeddings/JUST_Calc____(xlsx)23.xlsx" ContentType="application/vnd.openxmlformats-officedocument.spreadsheetml.sheet"/>
  <Override PartName="/word/drawings/drawing21.xml" ContentType="application/vnd.openxmlformats-officedocument.drawingml.chartshapes+xml"/>
  <Override PartName="/word/charts/chart24.xml" ContentType="application/vnd.openxmlformats-officedocument.drawingml.chart+xml"/>
  <Override PartName="/word/embeddings/JUST_Calc____(xlsx)24.xlsx" ContentType="application/vnd.openxmlformats-officedocument.spreadsheetml.sheet"/>
  <Override PartName="/word/drawings/drawing22.xml" ContentType="application/vnd.openxmlformats-officedocument.drawingml.chartshapes+xml"/>
  <Override PartName="/word/charts/chart25.xml" ContentType="application/vnd.openxmlformats-officedocument.drawingml.chart+xml"/>
  <Override PartName="/word/embeddings/JUST_Calc____(xlsx)25.xlsx" ContentType="application/vnd.openxmlformats-officedocument.spreadsheetml.sheet"/>
  <Override PartName="/word/drawings/drawing23.xml" ContentType="application/vnd.openxmlformats-officedocument.drawingml.chartshapes+xml"/>
  <Override PartName="/word/charts/chart26.xml" ContentType="application/vnd.openxmlformats-officedocument.drawingml.chart+xml"/>
  <Override PartName="/word/embeddings/JUST_Calc____(xlsx)26.xlsx" ContentType="application/vnd.openxmlformats-officedocument.spreadsheetml.sheet"/>
  <Override PartName="/word/drawings/drawing24.xml" ContentType="application/vnd.openxmlformats-officedocument.drawingml.chartshapes+xml"/>
  <Override PartName="/word/charts/chart27.xml" ContentType="application/vnd.openxmlformats-officedocument.drawingml.chart+xml"/>
  <Override PartName="/word/embeddings/JUST_Calc____(xlsx)27.xlsx" ContentType="application/vnd.openxmlformats-officedocument.spreadsheetml.sheet"/>
  <Override PartName="/word/drawings/drawing25.xml" ContentType="application/vnd.openxmlformats-officedocument.drawingml.chartshapes+xml"/>
  <Override PartName="/word/charts/chart28.xml" ContentType="application/vnd.openxmlformats-officedocument.drawingml.chart+xml"/>
  <Override PartName="/word/embeddings/JUST_Calc____(xlsx)28.xlsx" ContentType="application/vnd.openxmlformats-officedocument.spreadsheetml.sheet"/>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80" w:afterLines="50" w:afterAutospacing="0"/>
        <w:rPr>
          <w:rFonts w:hint="default" w:asciiTheme="minorEastAsia" w:hAnsiTheme="minorEastAsia" w:eastAsiaTheme="minorEastAsia"/>
        </w:rPr>
      </w:pPr>
      <w:r>
        <w:rPr>
          <w:rFonts w:hint="eastAsia" w:asciiTheme="minorEastAsia" w:hAnsiTheme="minorEastAsia" w:eastAsiaTheme="minorEastAsia"/>
          <w:b w:val="1"/>
          <w:color w:val="1F497D" w:themeColor="text2"/>
          <w:sz w:val="28"/>
        </w:rPr>
        <w:t>第５節　精神疾患　</w:t>
      </w:r>
    </w:p>
    <w:p>
      <w:pPr>
        <w:pStyle w:val="0"/>
        <w:rPr>
          <w:rFonts w:hint="default" w:asciiTheme="minorEastAsia" w:hAnsiTheme="minorEastAsia" w:eastAsiaTheme="minorEastAsia"/>
        </w:rPr>
      </w:pPr>
      <w:r>
        <w:rPr>
          <w:rFonts w:hint="eastAsia" w:asciiTheme="minorEastAsia" w:hAnsiTheme="minorEastAsia" w:eastAsiaTheme="minorEastAsia"/>
          <w:b w:val="1"/>
          <w:color w:val="auto"/>
          <w:sz w:val="22"/>
          <w:bdr w:val="single" w:color="auto" w:sz="4" w:space="0"/>
          <w:shd w:val="clear" w:color="auto" w:themeFill="accent4" w:themeFillTint="33" w:themeFillShade="FF"/>
        </w:rPr>
        <w:t>現状</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b w:val="1"/>
          <w:color w:val="538DD5" w:themeColor="text2" w:themeTint="99"/>
          <w:sz w:val="22"/>
          <w:u w:val="none" w:color="auto"/>
        </w:rPr>
        <w:t>１　患者の状況</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本県の精神疾患のある入院患者数の推移を見てみると、これまで減少傾向が続いており、平成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3,000</w:t>
      </w:r>
      <w:r>
        <w:rPr>
          <w:rFonts w:hint="eastAsia" w:asciiTheme="minorEastAsia" w:hAnsiTheme="minorEastAsia" w:eastAsiaTheme="minorEastAsia"/>
          <w:color w:val="000000" w:themeColor="text1"/>
          <w:sz w:val="22"/>
          <w:u w:val="none" w:color="auto"/>
        </w:rPr>
        <w:t>人を下回りました。</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入院患者の年齢別の内訳では、</w:t>
      </w:r>
      <w:r>
        <w:rPr>
          <w:rFonts w:hint="eastAsia" w:asciiTheme="minorEastAsia" w:hAnsiTheme="minorEastAsia" w:eastAsiaTheme="minorEastAsia"/>
          <w:color w:val="000000" w:themeColor="text1"/>
          <w:sz w:val="22"/>
          <w:u w:val="none" w:color="auto"/>
        </w:rPr>
        <w:t>65</w:t>
      </w:r>
      <w:r>
        <w:rPr>
          <w:rFonts w:hint="eastAsia" w:asciiTheme="minorEastAsia" w:hAnsiTheme="minorEastAsia" w:eastAsiaTheme="minorEastAsia"/>
          <w:color w:val="000000" w:themeColor="text1"/>
          <w:sz w:val="22"/>
          <w:u w:val="none" w:color="auto"/>
        </w:rPr>
        <w:t>歳以上の高齢者が増加傾向にあり、平成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64.4</w:t>
      </w:r>
      <w:r>
        <w:rPr>
          <w:rFonts w:hint="eastAsia" w:asciiTheme="minorEastAsia" w:hAnsiTheme="minorEastAsia" w:eastAsiaTheme="minorEastAsia"/>
          <w:color w:val="000000" w:themeColor="text1"/>
          <w:sz w:val="22"/>
          <w:u w:val="none" w:color="auto"/>
        </w:rPr>
        <w:t>％を占め、</w:t>
      </w:r>
      <w:r>
        <w:rPr>
          <w:rFonts w:hint="eastAsia" w:asciiTheme="minorEastAsia" w:hAnsiTheme="minorEastAsia" w:eastAsiaTheme="minorEastAsia"/>
          <w:color w:val="000000" w:themeColor="text1"/>
          <w:sz w:val="22"/>
          <w:u w:val="none" w:color="auto"/>
        </w:rPr>
        <w:t>60</w:t>
      </w:r>
      <w:r>
        <w:rPr>
          <w:rFonts w:hint="eastAsia" w:asciiTheme="minorEastAsia" w:hAnsiTheme="minorEastAsia" w:eastAsiaTheme="minorEastAsia"/>
          <w:color w:val="000000" w:themeColor="text1"/>
          <w:sz w:val="22"/>
          <w:u w:val="none" w:color="auto"/>
        </w:rPr>
        <w:t>％を超えています。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また、入院期間別の内訳としては、入院患者のうち</w:t>
      </w:r>
      <w:r>
        <w:rPr>
          <w:rFonts w:hint="eastAsia" w:asciiTheme="minorEastAsia" w:hAnsiTheme="minorEastAsia" w:eastAsiaTheme="minorEastAsia"/>
          <w:color w:val="000000" w:themeColor="text1"/>
          <w:sz w:val="22"/>
          <w:u w:val="none" w:color="auto"/>
        </w:rPr>
        <w:t>60</w:t>
      </w:r>
      <w:r>
        <w:rPr>
          <w:rFonts w:hint="eastAsia" w:asciiTheme="minorEastAsia" w:hAnsiTheme="minorEastAsia" w:eastAsiaTheme="minorEastAsia"/>
          <w:color w:val="000000" w:themeColor="text1"/>
          <w:sz w:val="22"/>
          <w:u w:val="none" w:color="auto"/>
        </w:rPr>
        <w:t>％を超える方が、１年以上の長期入院患者という状況が続いています。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疾病別では、「統合失調症、統合失調症型障害及び妄想性障害」が減少傾向にあるものの、入院患者全体の約半数を占め、次いで、認知症を含む「症状性を含む器質性精神障害」が約４分の１を占めています。また、うつ病を含む「気分（感情）障害」は微増傾向にあります。</w:t>
      </w:r>
    </w:p>
    <w:p>
      <w:pPr>
        <w:pStyle w:val="0"/>
        <w:ind w:left="181" w:leftChars="86" w:firstLine="40" w:firstLineChars="18"/>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外来患者数については増加傾向にあり、自立支援医療制度の精神通院医療の承認数も大幅に増加してきています。</w:t>
      </w: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2" behindDoc="0" locked="0" layoutInCell="1" hidden="0" allowOverlap="1">
                <wp:simplePos x="0" y="0"/>
                <wp:positionH relativeFrom="column">
                  <wp:posOffset>3046730</wp:posOffset>
                </wp:positionH>
                <wp:positionV relativeFrom="paragraph">
                  <wp:posOffset>6033770</wp:posOffset>
                </wp:positionV>
                <wp:extent cx="2369185" cy="2546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69185" cy="254635"/>
                        </a:xfrm>
                        <a:prstGeom prst="rect">
                          <a:avLst/>
                        </a:prstGeom>
                        <a:solidFill>
                          <a:srgbClr val="FFFFFF"/>
                        </a:solidFill>
                        <a:ln>
                          <a:miter/>
                        </a:ln>
                      </wps:spPr>
                      <wps:txbx>
                        <w:txbxContent>
                          <w:p>
                            <w:pPr>
                              <w:pStyle w:val="0"/>
                              <w:rPr>
                                <w:rFonts w:hint="default"/>
                                <w:sz w:val="16"/>
                              </w:rPr>
                            </w:pPr>
                            <w:r>
                              <w:rPr>
                                <w:rFonts w:hint="eastAsia"/>
                                <w:sz w:val="16"/>
                              </w:rPr>
                              <w:t>出典：精神保健福祉資料（厚生労働省</w:t>
                            </w:r>
                            <w:r>
                              <w:rPr>
                                <w:rFonts w:hint="eastAsia"/>
                                <w:sz w:val="16"/>
                              </w:rPr>
                              <w:t>630</w:t>
                            </w:r>
                            <w:r>
                              <w:rPr>
                                <w:rFonts w:hint="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5.1pt;margin-left:239.9pt;mso-position-horizontal-relative:text;mso-position-vertical-relative:text;position:absolute;height:20.05pt;width:186.5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出典：精神保健福祉資料（厚生労働省</w:t>
                      </w:r>
                      <w:r>
                        <w:rPr>
                          <w:rFonts w:hint="eastAsia"/>
                          <w:sz w:val="16"/>
                        </w:rPr>
                        <w:t>630</w:t>
                      </w:r>
                      <w:r>
                        <w:rPr>
                          <w:rFonts w:hint="eastAsia"/>
                          <w:sz w:val="16"/>
                        </w:rPr>
                        <w:t>調査）</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361940" cy="2061845"/>
            <wp:effectExtent l="0" t="0" r="0" b="0"/>
            <wp:docPr id="1027" name="オブジェクト 0"/>
            <a:graphic xmlns:a="http://schemas.openxmlformats.org/drawingml/2006/main">
              <a:graphicData uri="http://schemas.openxmlformats.org/drawingml/2006/chart">
                <c:chart xmlns:c="http://schemas.openxmlformats.org/drawingml/2006/chart" r:id="rId6"/>
              </a:graphicData>
            </a:graphic>
          </wp:inline>
        </w:drawing>
      </w:r>
      <w:r>
        <w:rPr>
          <w:rFonts w:hint="default" w:asciiTheme="minorEastAsia" w:hAnsiTheme="minorEastAsia" w:eastAsiaTheme="minorEastAsia"/>
        </w:rPr>
        <w:drawing>
          <wp:inline distT="0" distB="0" distL="0" distR="0">
            <wp:extent cx="5401945" cy="2700655"/>
            <wp:effectExtent l="0" t="0" r="0" b="0"/>
            <wp:docPr id="1028" name="オブジェクト 0"/>
            <a:graphic xmlns:a="http://schemas.openxmlformats.org/drawingml/2006/main">
              <a:graphicData uri="http://schemas.openxmlformats.org/drawingml/2006/chart">
                <c:chart xmlns:c="http://schemas.openxmlformats.org/drawingml/2006/chart" r:id="rId7"/>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13" behindDoc="0" locked="0" layoutInCell="1" hidden="0" allowOverlap="1">
                <wp:simplePos x="0" y="0"/>
                <wp:positionH relativeFrom="column">
                  <wp:posOffset>3046730</wp:posOffset>
                </wp:positionH>
                <wp:positionV relativeFrom="paragraph">
                  <wp:posOffset>2955290</wp:posOffset>
                </wp:positionV>
                <wp:extent cx="2369185" cy="25463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369185" cy="254635"/>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32.7pt;margin-left:239.9pt;mso-position-horizontal-relative:text;mso-position-vertical-relative:text;position:absolute;height:20.05pt;width:186.55pt;z-index:13;"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401310" cy="2989580"/>
            <wp:effectExtent l="0" t="0" r="0" b="0"/>
            <wp:docPr id="1030" name="オブジェクト 0"/>
            <a:graphic xmlns:a="http://schemas.openxmlformats.org/drawingml/2006/main">
              <a:graphicData uri="http://schemas.openxmlformats.org/drawingml/2006/chart">
                <c:chart xmlns:c="http://schemas.openxmlformats.org/drawingml/2006/chart" r:id="rId8"/>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5" behindDoc="0" locked="0" layoutInCell="1" hidden="0" allowOverlap="1">
                <wp:simplePos x="0" y="0"/>
                <wp:positionH relativeFrom="column">
                  <wp:posOffset>3046730</wp:posOffset>
                </wp:positionH>
                <wp:positionV relativeFrom="paragraph">
                  <wp:posOffset>5016500</wp:posOffset>
                </wp:positionV>
                <wp:extent cx="2313305" cy="23876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31330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5pt;margin-left:239.9pt;mso-position-horizontal-relative:text;mso-position-vertical-relative:text;position:absolute;height:18.8pt;width:182.15pt;z-index:5;"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v:textbox>
                <v:imagedata o:title=""/>
                <w10:wrap type="none" anchorx="text" anchory="text"/>
              </v:shape>
            </w:pict>
          </mc:Fallback>
        </mc:AlternateContent>
      </w:r>
      <w:r>
        <w:rPr>
          <w:rFonts w:hint="eastAsia"/>
        </w:rPr>
        <mc:AlternateContent>
          <mc:Choice Requires="wps">
            <w:drawing>
              <wp:anchor simplePos="0" relativeHeight="17" behindDoc="0" locked="0" layoutInCell="1" hidden="0" allowOverlap="1">
                <wp:simplePos x="0" y="0"/>
                <wp:positionH relativeFrom="column">
                  <wp:posOffset>2021205</wp:posOffset>
                </wp:positionH>
                <wp:positionV relativeFrom="paragraph">
                  <wp:posOffset>191770</wp:posOffset>
                </wp:positionV>
                <wp:extent cx="485140" cy="28638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485140" cy="286385"/>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（人）</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1pt;margin-left:159.15pt;mso-position-horizontal-relative:text;mso-position-vertical-relative:text;position:absolute;height:22.55pt;width:38.200000000000003pt;z-index:17;"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（人）</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1310" cy="5016500"/>
            <wp:effectExtent l="0" t="0" r="0" b="0"/>
            <wp:docPr id="1033" name="オブジェクト 0"/>
            <a:graphic xmlns:a="http://schemas.openxmlformats.org/drawingml/2006/main">
              <a:graphicData uri="http://schemas.openxmlformats.org/drawingml/2006/chart">
                <c:chart xmlns:c="http://schemas.openxmlformats.org/drawingml/2006/chart" r:id="rId9"/>
              </a:graphicData>
            </a:graphic>
          </wp:inline>
        </w:drawing>
      </w:r>
    </w:p>
    <w:p>
      <w:pPr>
        <w:pStyle w:val="0"/>
        <w:rPr>
          <w:rFonts w:hint="default" w:asciiTheme="minorEastAsia" w:hAnsiTheme="minorEastAsia" w:eastAsiaTheme="minorEastAsia"/>
          <w:b w:val="1"/>
          <w:color w:val="538DD5" w:themeColor="text2" w:themeTint="99"/>
          <w:sz w:val="22"/>
        </w:rPr>
      </w:pPr>
      <w:r>
        <w:rPr>
          <w:rFonts w:hint="eastAsia"/>
        </w:rPr>
        <mc:AlternateContent>
          <mc:Choice Requires="wps">
            <w:drawing>
              <wp:anchor simplePos="0" relativeHeight="7" behindDoc="0" locked="0" layoutInCell="1" hidden="0" allowOverlap="1">
                <wp:simplePos x="0" y="0"/>
                <wp:positionH relativeFrom="column">
                  <wp:posOffset>2466975</wp:posOffset>
                </wp:positionH>
                <wp:positionV relativeFrom="paragraph">
                  <wp:posOffset>2486025</wp:posOffset>
                </wp:positionV>
                <wp:extent cx="2933700" cy="32639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933700" cy="326390"/>
                        </a:xfrm>
                        <a:prstGeom prst="rect">
                          <a:avLst/>
                        </a:prstGeom>
                        <a:solidFill>
                          <a:srgbClr val="FFFFFF"/>
                        </a:solidFill>
                        <a:ln>
                          <a:miter/>
                        </a:ln>
                      </wps:spPr>
                      <wps:txbx>
                        <w:txbxContent>
                          <w:p>
                            <w:pPr>
                              <w:pStyle w:val="0"/>
                              <w:snapToGrid w:val="0"/>
                              <w:rPr>
                                <w:rFonts w:hint="default" w:asciiTheme="minorEastAsia" w:hAnsiTheme="minorEastAsia" w:eastAsiaTheme="minorEastAsia"/>
                                <w:sz w:val="16"/>
                              </w:rPr>
                            </w:pPr>
                            <w:r>
                              <w:rPr>
                                <w:rFonts w:hint="eastAsia" w:asciiTheme="minorEastAsia" w:hAnsiTheme="minorEastAsia" w:eastAsiaTheme="minorEastAsia"/>
                                <w:sz w:val="16"/>
                              </w:rPr>
                              <w:t>出典：【外来患者数】精神保健福祉資料（厚生労働省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p>
                            <w:pPr>
                              <w:pStyle w:val="0"/>
                              <w:snapToGrid w:val="0"/>
                              <w:rPr>
                                <w:rFonts w:hint="default"/>
                                <w:sz w:val="16"/>
                              </w:rPr>
                            </w:pPr>
                            <w:r>
                              <w:rPr>
                                <w:rFonts w:hint="eastAsia" w:asciiTheme="minorEastAsia" w:hAnsiTheme="minorEastAsia" w:eastAsiaTheme="minorEastAsia"/>
                                <w:sz w:val="16"/>
                              </w:rPr>
                              <w:t>　　【精神通院医療承認者数】高知県障害保健福祉課調べ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5.75pt;margin-left:194.25pt;mso-position-horizontal-relative:text;mso-position-vertical-relative:text;position:absolute;height:25.7pt;width:231pt;z-index:7;" o:spid="_x0000_s1034"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default" w:asciiTheme="minorEastAsia" w:hAnsiTheme="minorEastAsia" w:eastAsiaTheme="minorEastAsia"/>
                          <w:sz w:val="16"/>
                        </w:rPr>
                      </w:pPr>
                      <w:r>
                        <w:rPr>
                          <w:rFonts w:hint="eastAsia" w:asciiTheme="minorEastAsia" w:hAnsiTheme="minorEastAsia" w:eastAsiaTheme="minorEastAsia"/>
                          <w:sz w:val="16"/>
                        </w:rPr>
                        <w:t>出典：【外来患者数】精神保健福祉資料（厚生労働省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p>
                      <w:pPr>
                        <w:pStyle w:val="0"/>
                        <w:snapToGrid w:val="0"/>
                        <w:rPr>
                          <w:rFonts w:hint="default"/>
                          <w:sz w:val="16"/>
                        </w:rPr>
                      </w:pPr>
                      <w:r>
                        <w:rPr>
                          <w:rFonts w:hint="eastAsia" w:asciiTheme="minorEastAsia" w:hAnsiTheme="minorEastAsia" w:eastAsiaTheme="minorEastAsia"/>
                          <w:sz w:val="16"/>
                        </w:rPr>
                        <w:t>　　【精神通院医療承認者数】高知県障害保健福祉課調べ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0675" cy="2834640"/>
            <wp:effectExtent l="0" t="0" r="0" b="0"/>
            <wp:docPr id="1035" name="オブジェクト 0"/>
            <a:graphic xmlns:a="http://schemas.openxmlformats.org/drawingml/2006/main">
              <a:graphicData uri="http://schemas.openxmlformats.org/drawingml/2006/chart">
                <c:chart xmlns:c="http://schemas.openxmlformats.org/drawingml/2006/chart" r:id="rId10"/>
              </a:graphicData>
            </a:graphic>
          </wp:inline>
        </w:drawing>
      </w:r>
    </w:p>
    <w:p>
      <w:pPr>
        <w:pStyle w:val="0"/>
        <w:rPr>
          <w:rFonts w:hint="default" w:asciiTheme="minorEastAsia" w:hAnsiTheme="minorEastAsia" w:eastAsiaTheme="minorEastAsia"/>
          <w:b w:val="1"/>
          <w:color w:val="538DD5" w:themeColor="text2" w:themeTint="99"/>
          <w:sz w:val="22"/>
        </w:rPr>
      </w:pPr>
    </w:p>
    <w:p>
      <w:pPr>
        <w:pStyle w:val="0"/>
        <w:rPr>
          <w:rFonts w:hint="default" w:asciiTheme="minorEastAsia" w:hAnsiTheme="minorEastAsia" w:eastAsiaTheme="minorEastAsia"/>
          <w:b w:val="1"/>
          <w:color w:val="538DD5" w:themeColor="text2" w:themeTint="99"/>
          <w:sz w:val="22"/>
        </w:rPr>
      </w:pPr>
      <w:r>
        <w:rPr>
          <w:rFonts w:hint="eastAsia" w:asciiTheme="minorEastAsia" w:hAnsiTheme="minorEastAsia" w:eastAsiaTheme="minorEastAsia"/>
          <w:b w:val="1"/>
          <w:color w:val="538DD5" w:themeColor="text2" w:themeTint="99"/>
          <w:sz w:val="22"/>
        </w:rPr>
        <w:t>２　精神医療圏</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本県の精神医療圏は、二次保健医療圏と同一とします。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b w:val="1"/>
          <w:color w:val="538DD5" w:themeColor="text2" w:themeTint="99"/>
          <w:sz w:val="22"/>
        </w:rPr>
      </w:pPr>
      <w:r>
        <w:rPr>
          <w:rFonts w:hint="eastAsia" w:asciiTheme="minorEastAsia" w:hAnsiTheme="minorEastAsia" w:eastAsiaTheme="minorEastAsia"/>
          <w:b w:val="1"/>
          <w:color w:val="538DD5" w:themeColor="text2" w:themeTint="99"/>
          <w:sz w:val="22"/>
        </w:rPr>
        <w:t>３　受療の状況</w:t>
      </w: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（１）平均在院日数</w:t>
      </w:r>
    </w:p>
    <w:p>
      <w:pPr>
        <w:pStyle w:val="0"/>
        <w:tabs>
          <w:tab w:val="left" w:leader="none" w:pos="179"/>
        </w:tabs>
        <w:ind w:left="181" w:leftChars="86" w:firstLine="352" w:firstLineChars="160"/>
        <w:rPr>
          <w:rFonts w:hint="default" w:asciiTheme="minorEastAsia" w:hAnsiTheme="minorEastAsia" w:eastAsiaTheme="minorEastAsia"/>
          <w:sz w:val="22"/>
        </w:rPr>
      </w:pPr>
      <w:r>
        <w:rPr>
          <w:rFonts w:hint="eastAsia" w:asciiTheme="minorEastAsia" w:hAnsiTheme="minorEastAsia" w:eastAsiaTheme="minorEastAsia"/>
          <w:sz w:val="22"/>
        </w:rPr>
        <w:t>精神病床の平均在院日数は、全国と比較して短く</w:t>
      </w: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231.2</w:t>
      </w:r>
      <w:r>
        <w:rPr>
          <w:rFonts w:hint="eastAsia" w:asciiTheme="minorEastAsia" w:hAnsiTheme="minorEastAsia" w:eastAsiaTheme="minorEastAsia"/>
          <w:color w:val="000000" w:themeColor="text1"/>
          <w:sz w:val="22"/>
          <w:u w:val="none" w:color="auto"/>
        </w:rPr>
        <w:t>日（</w:t>
      </w:r>
      <w:r>
        <w:rPr>
          <w:rFonts w:hint="eastAsia" w:asciiTheme="minorEastAsia" w:hAnsiTheme="minorEastAsia" w:eastAsiaTheme="minorEastAsia"/>
          <w:sz w:val="22"/>
        </w:rPr>
        <w:t>全国６位）となっています。</w:t>
      </w:r>
    </w:p>
    <w:p>
      <w:pPr>
        <w:pStyle w:val="0"/>
        <w:rPr>
          <w:rFonts w:hint="default" w:asciiTheme="minorEastAsia" w:hAnsiTheme="minorEastAsia" w:eastAsiaTheme="minorEastAsia"/>
        </w:rPr>
      </w:pPr>
      <w:r>
        <w:rPr>
          <w:rFonts w:hint="eastAsia"/>
        </w:rPr>
        <mc:AlternateContent>
          <mc:Choice Requires="wps">
            <w:drawing>
              <wp:anchor simplePos="0" relativeHeight="6" behindDoc="0" locked="0" layoutInCell="1" hidden="0" allowOverlap="1">
                <wp:simplePos x="0" y="0"/>
                <wp:positionH relativeFrom="column">
                  <wp:posOffset>3738245</wp:posOffset>
                </wp:positionH>
                <wp:positionV relativeFrom="paragraph">
                  <wp:posOffset>2456180</wp:posOffset>
                </wp:positionV>
                <wp:extent cx="1510665" cy="2540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1510665" cy="25400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出典：病院報告（厚生労働省）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3.4pt;margin-left:294.35000000000002pt;mso-position-horizontal-relative:text;mso-position-vertical-relative:text;position:absolute;height:20pt;width:118.95pt;z-index:6;" o:spid="_x0000_s1036"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出典：病院報告（厚生労働省）</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401945" cy="2400935"/>
            <wp:effectExtent l="0" t="0" r="0" b="0"/>
            <wp:docPr id="1037"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（２）外来患者の受療動向</w:t>
      </w:r>
    </w:p>
    <w:p>
      <w:pPr>
        <w:pStyle w:val="0"/>
        <w:ind w:left="179" w:leftChars="85" w:firstLineChars="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29</w:t>
      </w:r>
      <w:r>
        <w:rPr>
          <w:rFonts w:hint="eastAsia" w:asciiTheme="minorEastAsia" w:hAnsiTheme="minorEastAsia" w:eastAsiaTheme="minorEastAsia"/>
          <w:color w:val="000000" w:themeColor="text1"/>
          <w:sz w:val="22"/>
          <w:u w:val="none" w:color="auto"/>
        </w:rPr>
        <w:t>年高知県患者動態調査（平成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年９月</w:t>
      </w:r>
      <w:r>
        <w:rPr>
          <w:rFonts w:hint="eastAsia" w:asciiTheme="minorEastAsia" w:hAnsiTheme="minorEastAsia" w:eastAsiaTheme="minorEastAsia"/>
          <w:color w:val="000000" w:themeColor="text1"/>
          <w:sz w:val="22"/>
          <w:u w:val="none" w:color="auto"/>
        </w:rPr>
        <w:t>16</w:t>
      </w:r>
      <w:r>
        <w:rPr>
          <w:rFonts w:hint="eastAsia" w:asciiTheme="minorEastAsia" w:hAnsiTheme="minorEastAsia" w:eastAsiaTheme="minorEastAsia"/>
          <w:color w:val="000000" w:themeColor="text1"/>
          <w:sz w:val="22"/>
          <w:u w:val="none" w:color="auto"/>
        </w:rPr>
        <w:t>日の一日の患者動態）</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以下「患者動態調査」という</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によると、居住する保健医療圏で通院治療を受けている割合は、安芸で</w:t>
      </w:r>
      <w:r>
        <w:rPr>
          <w:rFonts w:hint="eastAsia" w:asciiTheme="minorEastAsia" w:hAnsiTheme="minorEastAsia" w:eastAsiaTheme="minorEastAsia"/>
          <w:color w:val="000000" w:themeColor="text1"/>
          <w:sz w:val="22"/>
          <w:u w:val="none" w:color="auto"/>
        </w:rPr>
        <w:t>78.5</w:t>
      </w:r>
      <w:r>
        <w:rPr>
          <w:rFonts w:hint="eastAsia" w:asciiTheme="minorEastAsia" w:hAnsiTheme="minorEastAsia" w:eastAsiaTheme="minorEastAsia"/>
          <w:color w:val="000000" w:themeColor="text1"/>
          <w:sz w:val="22"/>
          <w:u w:val="none" w:color="auto"/>
        </w:rPr>
        <w:t>％、中央で</w:t>
      </w:r>
      <w:r>
        <w:rPr>
          <w:rFonts w:hint="eastAsia" w:asciiTheme="minorEastAsia" w:hAnsiTheme="minorEastAsia" w:eastAsiaTheme="minorEastAsia"/>
          <w:color w:val="000000" w:themeColor="text1"/>
          <w:sz w:val="22"/>
          <w:u w:val="none" w:color="auto"/>
        </w:rPr>
        <w:t>98.4</w:t>
      </w:r>
      <w:r>
        <w:rPr>
          <w:rFonts w:hint="eastAsia" w:asciiTheme="minorEastAsia" w:hAnsiTheme="minorEastAsia" w:eastAsiaTheme="minorEastAsia"/>
          <w:color w:val="000000" w:themeColor="text1"/>
          <w:sz w:val="22"/>
          <w:u w:val="none" w:color="auto"/>
        </w:rPr>
        <w:t>％、高幡で</w:t>
      </w:r>
      <w:r>
        <w:rPr>
          <w:rFonts w:hint="eastAsia" w:asciiTheme="minorEastAsia" w:hAnsiTheme="minorEastAsia" w:eastAsiaTheme="minorEastAsia"/>
          <w:color w:val="000000" w:themeColor="text1"/>
          <w:sz w:val="22"/>
          <w:u w:val="none" w:color="auto"/>
        </w:rPr>
        <w:t>58.8</w:t>
      </w:r>
      <w:r>
        <w:rPr>
          <w:rFonts w:hint="eastAsia" w:asciiTheme="minorEastAsia" w:hAnsiTheme="minorEastAsia" w:eastAsiaTheme="minorEastAsia"/>
          <w:color w:val="000000" w:themeColor="text1"/>
          <w:sz w:val="22"/>
          <w:u w:val="none" w:color="auto"/>
        </w:rPr>
        <w:t>％、幡多で</w:t>
      </w:r>
      <w:r>
        <w:rPr>
          <w:rFonts w:hint="eastAsia" w:asciiTheme="minorEastAsia" w:hAnsiTheme="minorEastAsia" w:eastAsiaTheme="minorEastAsia"/>
          <w:color w:val="000000" w:themeColor="text1"/>
          <w:sz w:val="22"/>
          <w:u w:val="none" w:color="auto"/>
        </w:rPr>
        <w:t>96.2</w:t>
      </w:r>
      <w:r>
        <w:rPr>
          <w:rFonts w:hint="eastAsia" w:asciiTheme="minorEastAsia" w:hAnsiTheme="minorEastAsia" w:eastAsiaTheme="minorEastAsia"/>
          <w:color w:val="000000" w:themeColor="text1"/>
          <w:sz w:val="22"/>
          <w:u w:val="none" w:color="auto"/>
        </w:rPr>
        <w:t>％となっています。</w:t>
      </w:r>
    </w:p>
    <w:p>
      <w:pPr>
        <w:pStyle w:val="0"/>
        <w:ind w:leftChars="0" w:firstLineChars="0"/>
        <w:rPr>
          <w:rFonts w:hint="default" w:asciiTheme="minorEastAsia" w:hAnsiTheme="minorEastAsia" w:eastAsiaTheme="min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 xml:space="preserve"> 6-5-7</w:t>
      </w:r>
      <w:r>
        <w:rPr>
          <w:rFonts w:hint="eastAsia" w:asciiTheme="majorEastAsia" w:hAnsiTheme="majorEastAsia" w:eastAsiaTheme="majorEastAsia"/>
        </w:rPr>
        <w:t>）平成</w:t>
      </w:r>
      <w:r>
        <w:rPr>
          <w:rFonts w:hint="eastAsia" w:asciiTheme="majorEastAsia" w:hAnsiTheme="majorEastAsia" w:eastAsiaTheme="majorEastAsia"/>
        </w:rPr>
        <w:t>29</w:t>
      </w:r>
      <w:r>
        <w:rPr>
          <w:rFonts w:hint="eastAsia" w:asciiTheme="majorEastAsia" w:hAnsiTheme="majorEastAsia" w:eastAsiaTheme="majorEastAsia"/>
        </w:rPr>
        <w:t>年高知県患者動態調査・精神疾患患者の受療動向（外来）</w:t>
      </w:r>
    </w:p>
    <w:tbl>
      <w:tblPr>
        <w:tblStyle w:val="24"/>
        <w:tblW w:w="0" w:type="auto"/>
        <w:jc w:val="left"/>
        <w:tblInd w:w="232" w:type="dxa"/>
        <w:tblLayout w:type="fixed"/>
        <w:tblLook w:firstRow="1" w:lastRow="0" w:firstColumn="1" w:lastColumn="0" w:noHBand="0" w:noVBand="1" w:val="04A0"/>
      </w:tblPr>
      <w:tblGrid>
        <w:gridCol w:w="446"/>
        <w:gridCol w:w="976"/>
        <w:gridCol w:w="794"/>
        <w:gridCol w:w="794"/>
        <w:gridCol w:w="794"/>
        <w:gridCol w:w="794"/>
        <w:gridCol w:w="794"/>
        <w:gridCol w:w="794"/>
        <w:gridCol w:w="794"/>
        <w:gridCol w:w="794"/>
        <w:gridCol w:w="1102"/>
      </w:tblGrid>
      <w:tr>
        <w:trPr/>
        <w:tc>
          <w:tcPr>
            <w:tcW w:w="1422" w:type="dxa"/>
            <w:gridSpan w:val="2"/>
            <w:vMerge w:val="restart"/>
            <w:shd w:val="clear" w:color="auto" w:themeFill="accent5" w:themeFillTint="33" w:themeFillShade="FF"/>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外来患者の受療動向</w:t>
            </w:r>
          </w:p>
        </w:tc>
        <w:tc>
          <w:tcPr>
            <w:tcW w:w="7454" w:type="dxa"/>
            <w:gridSpan w:val="9"/>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医</w:t>
            </w:r>
            <w:r>
              <w:rPr>
                <w:rFonts w:hint="eastAsia" w:asciiTheme="minorEastAsia" w:hAnsiTheme="minorEastAsia" w:eastAsiaTheme="minorEastAsia"/>
              </w:rPr>
              <w:t xml:space="preserve">  </w:t>
            </w:r>
            <w:r>
              <w:rPr>
                <w:rFonts w:hint="eastAsia" w:asciiTheme="minorEastAsia" w:hAnsiTheme="minorEastAsia" w:eastAsiaTheme="minorEastAsia"/>
              </w:rPr>
              <w:t>療</w:t>
            </w:r>
            <w:r>
              <w:rPr>
                <w:rFonts w:hint="eastAsia" w:asciiTheme="minorEastAsia" w:hAnsiTheme="minorEastAsia" w:eastAsiaTheme="minorEastAsia"/>
              </w:rPr>
              <w:t xml:space="preserve">  </w:t>
            </w:r>
            <w:r>
              <w:rPr>
                <w:rFonts w:hint="eastAsia" w:asciiTheme="minorEastAsia" w:hAnsiTheme="minorEastAsia" w:eastAsiaTheme="minorEastAsia"/>
              </w:rPr>
              <w:t>機</w:t>
            </w:r>
            <w:r>
              <w:rPr>
                <w:rFonts w:hint="eastAsia" w:asciiTheme="minorEastAsia" w:hAnsiTheme="minorEastAsia" w:eastAsiaTheme="minorEastAsia"/>
              </w:rPr>
              <w:t xml:space="preserve">  </w:t>
            </w:r>
            <w:r>
              <w:rPr>
                <w:rFonts w:hint="eastAsia" w:asciiTheme="minorEastAsia" w:hAnsiTheme="minorEastAsia" w:eastAsiaTheme="minorEastAsia"/>
              </w:rPr>
              <w:t>関</w:t>
            </w: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tc>
      </w:tr>
      <w:tr>
        <w:trPr/>
        <w:tc>
          <w:tcPr>
            <w:tcW w:w="1422" w:type="dxa"/>
            <w:gridSpan w:val="2"/>
            <w:vMerge w:val="continue"/>
            <w:shd w:val="clear" w:color="auto" w:themeFill="accent5" w:themeFillTint="33" w:themeFillShade="FF"/>
            <w:vAlign w:val="center"/>
          </w:tcPr>
          <w:p>
            <w:pPr>
              <w:pStyle w:val="0"/>
              <w:rPr>
                <w:rFonts w:hint="eastAsia"/>
              </w:rPr>
            </w:pP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w:t>
            </w:r>
            <w:r>
              <w:rPr>
                <w:rFonts w:hint="eastAsia" w:asciiTheme="minorEastAsia" w:hAnsiTheme="minorEastAsia" w:eastAsiaTheme="minorEastAsia"/>
              </w:rPr>
              <w:t xml:space="preserve"> </w:t>
            </w:r>
            <w:r>
              <w:rPr>
                <w:rFonts w:hint="eastAsia" w:asciiTheme="minorEastAsia" w:hAnsiTheme="minorEastAsia" w:eastAsiaTheme="minorEastAsia"/>
              </w:rPr>
              <w:t>芸</w:t>
            </w: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w:t>
            </w:r>
            <w:r>
              <w:rPr>
                <w:rFonts w:hint="eastAsia" w:asciiTheme="minorEastAsia" w:hAnsiTheme="minorEastAsia" w:eastAsiaTheme="minorEastAsia"/>
              </w:rPr>
              <w:t xml:space="preserve"> </w:t>
            </w:r>
            <w:r>
              <w:rPr>
                <w:rFonts w:hint="eastAsia" w:asciiTheme="minorEastAsia" w:hAnsiTheme="minorEastAsia" w:eastAsiaTheme="minorEastAsia"/>
              </w:rPr>
              <w:t>央</w:t>
            </w: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w:t>
            </w:r>
            <w:r>
              <w:rPr>
                <w:rFonts w:hint="eastAsia" w:asciiTheme="minorEastAsia" w:hAnsiTheme="minorEastAsia" w:eastAsiaTheme="minorEastAsia"/>
              </w:rPr>
              <w:t xml:space="preserve"> </w:t>
            </w:r>
            <w:r>
              <w:rPr>
                <w:rFonts w:hint="eastAsia" w:asciiTheme="minorEastAsia" w:hAnsiTheme="minorEastAsia" w:eastAsiaTheme="minorEastAsia"/>
              </w:rPr>
              <w:t>幡</w:t>
            </w: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w:t>
            </w:r>
            <w:r>
              <w:rPr>
                <w:rFonts w:hint="eastAsia" w:asciiTheme="minorEastAsia" w:hAnsiTheme="minorEastAsia" w:eastAsiaTheme="minorEastAsia"/>
              </w:rPr>
              <w:t xml:space="preserve"> </w:t>
            </w:r>
            <w:r>
              <w:rPr>
                <w:rFonts w:hint="eastAsia" w:asciiTheme="minorEastAsia" w:hAnsiTheme="minorEastAsia" w:eastAsiaTheme="minorEastAsia"/>
              </w:rPr>
              <w:t>多</w:t>
            </w:r>
          </w:p>
        </w:tc>
        <w:tc>
          <w:tcPr>
            <w:tcW w:w="1102"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合</w:t>
            </w:r>
            <w:r>
              <w:rPr>
                <w:rFonts w:hint="eastAsia" w:asciiTheme="minorEastAsia" w:hAnsiTheme="minorEastAsia" w:eastAsiaTheme="minorEastAsia"/>
              </w:rPr>
              <w:t xml:space="preserve"> </w:t>
            </w:r>
            <w:r>
              <w:rPr>
                <w:rFonts w:hint="eastAsia" w:asciiTheme="minorEastAsia" w:hAnsiTheme="minorEastAsia" w:eastAsiaTheme="minorEastAsia"/>
              </w:rPr>
              <w:t>計</w:t>
            </w:r>
          </w:p>
        </w:tc>
      </w:tr>
      <w:tr>
        <w:trPr/>
        <w:tc>
          <w:tcPr>
            <w:tcW w:w="1422" w:type="dxa"/>
            <w:gridSpan w:val="2"/>
            <w:vMerge w:val="continue"/>
            <w:shd w:val="clear" w:color="auto" w:themeFill="accent5" w:themeFillTint="33" w:themeFillShade="FF"/>
            <w:vAlign w:val="center"/>
          </w:tcPr>
          <w:p>
            <w:pPr>
              <w:pStyle w:val="0"/>
              <w:rPr>
                <w:rFonts w:hint="eastAsia"/>
              </w:rPr>
            </w:pP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102"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r>
      <w:tr>
        <w:trPr>
          <w:trHeight w:val="508" w:hRule="atLeast"/>
        </w:trPr>
        <w:tc>
          <w:tcPr>
            <w:tcW w:w="446" w:type="dxa"/>
            <w:vMerge w:val="restart"/>
            <w:shd w:val="clear" w:color="auto" w:themeFill="accent5" w:themeFillTint="33" w:themeFillShade="FF"/>
            <w:vAlign w:val="top"/>
          </w:tcPr>
          <w:p>
            <w:pPr>
              <w:pStyle w:val="0"/>
              <w:rPr>
                <w:rFonts w:hint="default" w:asciiTheme="minorEastAsia" w:hAnsiTheme="minorEastAsia" w:eastAsiaTheme="minorEastAsia"/>
              </w:rPr>
            </w:pPr>
            <w:r>
              <w:rPr>
                <w:rFonts w:hint="eastAsia" w:asciiTheme="minorEastAsia" w:hAnsiTheme="minorEastAsia" w:eastAsiaTheme="minorEastAsia"/>
              </w:rPr>
              <w:t>患者住所</w:t>
            </w: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安芸</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124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78.5</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21.5</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158</w:t>
            </w:r>
          </w:p>
        </w:tc>
      </w:tr>
      <w:tr>
        <w:trPr/>
        <w:tc>
          <w:tcPr>
            <w:tcW w:w="446"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中央</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12</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0.7</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1,638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98.4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0.1</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1,665</w:t>
            </w:r>
          </w:p>
        </w:tc>
      </w:tr>
      <w:tr>
        <w:trPr/>
        <w:tc>
          <w:tcPr>
            <w:tcW w:w="446"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高幡</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53</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35.8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87</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58.8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5.4</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148</w:t>
            </w:r>
          </w:p>
        </w:tc>
      </w:tr>
      <w:tr>
        <w:trPr/>
        <w:tc>
          <w:tcPr>
            <w:tcW w:w="446"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幡多</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227</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96.2</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236</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（３）入院患者の受療動向</w:t>
      </w:r>
    </w:p>
    <w:p>
      <w:pPr>
        <w:pStyle w:val="0"/>
        <w:ind w:left="181" w:leftChars="86" w:firstLine="176" w:firstLineChars="8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sz w:val="22"/>
        </w:rPr>
        <w:t>患者動態調査によると、居住する保健医療圏で入院治療を受けている割合は</w:t>
      </w:r>
      <w:r>
        <w:rPr>
          <w:rFonts w:hint="eastAsia" w:asciiTheme="minorEastAsia" w:hAnsiTheme="minorEastAsia" w:eastAsiaTheme="minorEastAsia"/>
          <w:color w:val="000000" w:themeColor="text1"/>
          <w:sz w:val="22"/>
          <w:u w:val="none" w:color="auto"/>
        </w:rPr>
        <w:t>、安芸で</w:t>
      </w:r>
      <w:r>
        <w:rPr>
          <w:rFonts w:hint="eastAsia" w:asciiTheme="minorEastAsia" w:hAnsiTheme="minorEastAsia" w:eastAsiaTheme="minorEastAsia"/>
          <w:color w:val="000000" w:themeColor="text1"/>
          <w:sz w:val="22"/>
          <w:u w:val="none" w:color="auto"/>
        </w:rPr>
        <w:t>83.2</w:t>
      </w:r>
      <w:r>
        <w:rPr>
          <w:rFonts w:hint="eastAsia" w:asciiTheme="minorEastAsia" w:hAnsiTheme="minorEastAsia" w:eastAsiaTheme="minorEastAsia"/>
          <w:color w:val="000000" w:themeColor="text1"/>
          <w:sz w:val="22"/>
          <w:u w:val="none" w:color="auto"/>
        </w:rPr>
        <w:t>％、中央で</w:t>
      </w:r>
      <w:r>
        <w:rPr>
          <w:rFonts w:hint="eastAsia" w:asciiTheme="minorEastAsia" w:hAnsiTheme="minorEastAsia" w:eastAsiaTheme="minorEastAsia"/>
          <w:color w:val="000000" w:themeColor="text1"/>
          <w:sz w:val="22"/>
          <w:u w:val="none" w:color="auto"/>
        </w:rPr>
        <w:t>93.9</w:t>
      </w:r>
      <w:r>
        <w:rPr>
          <w:rFonts w:hint="eastAsia" w:asciiTheme="minorEastAsia" w:hAnsiTheme="minorEastAsia" w:eastAsiaTheme="minorEastAsia"/>
          <w:color w:val="000000" w:themeColor="text1"/>
          <w:sz w:val="22"/>
          <w:u w:val="none" w:color="auto"/>
        </w:rPr>
        <w:t>％、高幡で</w:t>
      </w:r>
      <w:r>
        <w:rPr>
          <w:rFonts w:hint="eastAsia" w:asciiTheme="minorEastAsia" w:hAnsiTheme="minorEastAsia" w:eastAsiaTheme="minorEastAsia"/>
          <w:color w:val="000000" w:themeColor="text1"/>
          <w:sz w:val="22"/>
          <w:u w:val="none" w:color="auto"/>
        </w:rPr>
        <w:t>57.2</w:t>
      </w:r>
      <w:r>
        <w:rPr>
          <w:rFonts w:hint="eastAsia" w:asciiTheme="minorEastAsia" w:hAnsiTheme="minorEastAsia" w:eastAsiaTheme="minorEastAsia"/>
          <w:color w:val="000000" w:themeColor="text1"/>
          <w:sz w:val="22"/>
          <w:u w:val="none" w:color="auto"/>
        </w:rPr>
        <w:t>％、幡多で</w:t>
      </w:r>
      <w:r>
        <w:rPr>
          <w:rFonts w:hint="eastAsia" w:asciiTheme="minorEastAsia" w:hAnsiTheme="minorEastAsia" w:eastAsiaTheme="minorEastAsia"/>
          <w:color w:val="000000" w:themeColor="text1"/>
          <w:sz w:val="22"/>
          <w:u w:val="none" w:color="auto"/>
        </w:rPr>
        <w:t>91.6</w:t>
      </w:r>
      <w:r>
        <w:rPr>
          <w:rFonts w:hint="eastAsia" w:asciiTheme="minorEastAsia" w:hAnsiTheme="minorEastAsia" w:eastAsiaTheme="minorEastAsia"/>
          <w:color w:val="000000" w:themeColor="text1"/>
          <w:sz w:val="22"/>
          <w:u w:val="none" w:color="auto"/>
        </w:rPr>
        <w:t>％となっています。</w:t>
      </w:r>
    </w:p>
    <w:p>
      <w:pPr>
        <w:pStyle w:val="0"/>
        <w:ind w:left="181" w:leftChars="86" w:firstLine="176" w:firstLineChars="80"/>
        <w:rPr>
          <w:rFonts w:hint="default" w:asciiTheme="minorEastAsia" w:hAnsiTheme="minorEastAsia" w:eastAsiaTheme="minorEastAsia"/>
          <w:color w:val="000000" w:themeColor="text1"/>
          <w:u w:val="none" w:color="auto"/>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 xml:space="preserve"> 6-5-8</w:t>
      </w:r>
      <w:r>
        <w:rPr>
          <w:rFonts w:hint="eastAsia" w:asciiTheme="majorEastAsia" w:hAnsiTheme="majorEastAsia" w:eastAsiaTheme="majorEastAsia"/>
        </w:rPr>
        <w:t>）平成</w:t>
      </w:r>
      <w:r>
        <w:rPr>
          <w:rFonts w:hint="eastAsia" w:asciiTheme="majorEastAsia" w:hAnsiTheme="majorEastAsia" w:eastAsiaTheme="majorEastAsia"/>
        </w:rPr>
        <w:t>29</w:t>
      </w:r>
      <w:r>
        <w:rPr>
          <w:rFonts w:hint="eastAsia" w:asciiTheme="majorEastAsia" w:hAnsiTheme="majorEastAsia" w:eastAsiaTheme="majorEastAsia"/>
        </w:rPr>
        <w:t>年高知県患者動態調査・精神疾患患者の受療動向（入院）</w:t>
      </w:r>
    </w:p>
    <w:tbl>
      <w:tblPr>
        <w:tblStyle w:val="24"/>
        <w:tblW w:w="8876" w:type="dxa"/>
        <w:jc w:val="left"/>
        <w:tblInd w:w="232" w:type="dxa"/>
        <w:tblLayout w:type="fixed"/>
        <w:tblLook w:firstRow="1" w:lastRow="0" w:firstColumn="1" w:lastColumn="0" w:noHBand="0" w:noVBand="1" w:val="04A0"/>
      </w:tblPr>
      <w:tblGrid>
        <w:gridCol w:w="455"/>
        <w:gridCol w:w="957"/>
        <w:gridCol w:w="798"/>
        <w:gridCol w:w="797"/>
        <w:gridCol w:w="798"/>
        <w:gridCol w:w="798"/>
        <w:gridCol w:w="798"/>
        <w:gridCol w:w="798"/>
        <w:gridCol w:w="798"/>
        <w:gridCol w:w="710"/>
        <w:gridCol w:w="1169"/>
      </w:tblGrid>
      <w:tr>
        <w:trPr/>
        <w:tc>
          <w:tcPr>
            <w:tcW w:w="1304" w:type="dxa"/>
            <w:gridSpan w:val="2"/>
            <w:vMerge w:val="restart"/>
            <w:shd w:val="clear" w:color="auto" w:themeFill="accent5" w:themeFillTint="33" w:themeFillShade="FF"/>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入院患者の受療動向</w:t>
            </w:r>
          </w:p>
        </w:tc>
        <w:tc>
          <w:tcPr>
            <w:tcW w:w="737" w:type="dxa"/>
            <w:gridSpan w:val="9"/>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医</w:t>
            </w:r>
            <w:r>
              <w:rPr>
                <w:rFonts w:hint="eastAsia" w:asciiTheme="minorEastAsia" w:hAnsiTheme="minorEastAsia" w:eastAsiaTheme="minorEastAsia"/>
              </w:rPr>
              <w:t xml:space="preserve">  </w:t>
            </w:r>
            <w:r>
              <w:rPr>
                <w:rFonts w:hint="eastAsia" w:asciiTheme="minorEastAsia" w:hAnsiTheme="minorEastAsia" w:eastAsiaTheme="minorEastAsia"/>
              </w:rPr>
              <w:t>療</w:t>
            </w:r>
            <w:r>
              <w:rPr>
                <w:rFonts w:hint="eastAsia" w:asciiTheme="minorEastAsia" w:hAnsiTheme="minorEastAsia" w:eastAsiaTheme="minorEastAsia"/>
              </w:rPr>
              <w:t xml:space="preserve">  </w:t>
            </w:r>
            <w:r>
              <w:rPr>
                <w:rFonts w:hint="eastAsia" w:asciiTheme="minorEastAsia" w:hAnsiTheme="minorEastAsia" w:eastAsiaTheme="minorEastAsia"/>
              </w:rPr>
              <w:t>機</w:t>
            </w:r>
            <w:r>
              <w:rPr>
                <w:rFonts w:hint="eastAsia" w:asciiTheme="minorEastAsia" w:hAnsiTheme="minorEastAsia" w:eastAsiaTheme="minorEastAsia"/>
              </w:rPr>
              <w:t xml:space="preserve">  </w:t>
            </w:r>
            <w:r>
              <w:rPr>
                <w:rFonts w:hint="eastAsia" w:asciiTheme="minorEastAsia" w:hAnsiTheme="minorEastAsia" w:eastAsiaTheme="minorEastAsia"/>
              </w:rPr>
              <w:t>関</w:t>
            </w: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tc>
      </w:tr>
      <w:tr>
        <w:trPr/>
        <w:tc>
          <w:tcPr>
            <w:tcW w:w="1304" w:type="dxa"/>
            <w:gridSpan w:val="2"/>
            <w:vMerge w:val="continue"/>
            <w:shd w:val="clear" w:color="auto" w:themeFill="accent5" w:themeFillTint="33" w:themeFillShade="FF"/>
            <w:vAlign w:val="center"/>
          </w:tcPr>
          <w:p>
            <w:pPr>
              <w:pStyle w:val="0"/>
              <w:rPr>
                <w:rFonts w:hint="default" w:asciiTheme="minorEastAsia" w:hAnsiTheme="minorEastAsia" w:eastAsiaTheme="minorEastAsia"/>
              </w:rPr>
            </w:pPr>
          </w:p>
        </w:tc>
        <w:tc>
          <w:tcPr>
            <w:tcW w:w="737"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w:t>
            </w:r>
            <w:r>
              <w:rPr>
                <w:rFonts w:hint="eastAsia" w:asciiTheme="minorEastAsia" w:hAnsiTheme="minorEastAsia" w:eastAsiaTheme="minorEastAsia"/>
              </w:rPr>
              <w:t xml:space="preserve"> </w:t>
            </w:r>
            <w:r>
              <w:rPr>
                <w:rFonts w:hint="eastAsia" w:asciiTheme="minorEastAsia" w:hAnsiTheme="minorEastAsia" w:eastAsiaTheme="minorEastAsia"/>
              </w:rPr>
              <w:t>芸</w:t>
            </w:r>
          </w:p>
        </w:tc>
        <w:tc>
          <w:tcPr>
            <w:tcW w:w="737"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w:t>
            </w:r>
            <w:r>
              <w:rPr>
                <w:rFonts w:hint="eastAsia" w:asciiTheme="minorEastAsia" w:hAnsiTheme="minorEastAsia" w:eastAsiaTheme="minorEastAsia"/>
              </w:rPr>
              <w:t xml:space="preserve"> </w:t>
            </w:r>
            <w:r>
              <w:rPr>
                <w:rFonts w:hint="eastAsia" w:asciiTheme="minorEastAsia" w:hAnsiTheme="minorEastAsia" w:eastAsiaTheme="minorEastAsia"/>
              </w:rPr>
              <w:t>央</w:t>
            </w:r>
          </w:p>
        </w:tc>
        <w:tc>
          <w:tcPr>
            <w:tcW w:w="737"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w:t>
            </w:r>
            <w:r>
              <w:rPr>
                <w:rFonts w:hint="eastAsia" w:asciiTheme="minorEastAsia" w:hAnsiTheme="minorEastAsia" w:eastAsiaTheme="minorEastAsia"/>
              </w:rPr>
              <w:t xml:space="preserve"> </w:t>
            </w:r>
            <w:r>
              <w:rPr>
                <w:rFonts w:hint="eastAsia" w:asciiTheme="minorEastAsia" w:hAnsiTheme="minorEastAsia" w:eastAsiaTheme="minorEastAsia"/>
              </w:rPr>
              <w:t>幡</w:t>
            </w:r>
          </w:p>
        </w:tc>
        <w:tc>
          <w:tcPr>
            <w:tcW w:w="1393"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w:t>
            </w:r>
            <w:r>
              <w:rPr>
                <w:rFonts w:hint="eastAsia" w:asciiTheme="minorEastAsia" w:hAnsiTheme="minorEastAsia" w:eastAsiaTheme="minorEastAsia"/>
              </w:rPr>
              <w:t xml:space="preserve"> </w:t>
            </w:r>
            <w:r>
              <w:rPr>
                <w:rFonts w:hint="eastAsia" w:asciiTheme="minorEastAsia" w:hAnsiTheme="minorEastAsia" w:eastAsiaTheme="minorEastAsia"/>
              </w:rPr>
              <w:t>多</w:t>
            </w:r>
          </w:p>
        </w:tc>
        <w:tc>
          <w:tcPr>
            <w:tcW w:w="1080"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合</w:t>
            </w:r>
            <w:r>
              <w:rPr>
                <w:rFonts w:hint="eastAsia" w:asciiTheme="minorEastAsia" w:hAnsiTheme="minorEastAsia" w:eastAsiaTheme="minorEastAsia"/>
              </w:rPr>
              <w:t xml:space="preserve"> </w:t>
            </w:r>
            <w:r>
              <w:rPr>
                <w:rFonts w:hint="eastAsia" w:asciiTheme="minorEastAsia" w:hAnsiTheme="minorEastAsia" w:eastAsiaTheme="minorEastAsia"/>
              </w:rPr>
              <w:t>計</w:t>
            </w:r>
          </w:p>
        </w:tc>
      </w:tr>
      <w:tr>
        <w:trPr/>
        <w:tc>
          <w:tcPr>
            <w:tcW w:w="1304" w:type="dxa"/>
            <w:gridSpan w:val="2"/>
            <w:vMerge w:val="continue"/>
            <w:shd w:val="clear" w:color="auto" w:themeFill="accent5" w:themeFillTint="33" w:themeFillShade="FF"/>
            <w:vAlign w:val="center"/>
          </w:tcPr>
          <w:p>
            <w:pPr>
              <w:pStyle w:val="0"/>
              <w:rPr>
                <w:rFonts w:hint="default" w:asciiTheme="minorEastAsia" w:hAnsiTheme="minorEastAsia" w:eastAsiaTheme="minorEastAsia"/>
              </w:rPr>
            </w:pP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568"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080"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r>
      <w:tr>
        <w:trPr/>
        <w:tc>
          <w:tcPr>
            <w:tcW w:w="420" w:type="dxa"/>
            <w:vMerge w:val="restart"/>
            <w:shd w:val="clear" w:color="auto" w:themeFill="accent5" w:themeFillTint="33" w:themeFillShade="FF"/>
            <w:vAlign w:val="top"/>
          </w:tcPr>
          <w:p>
            <w:pPr>
              <w:pStyle w:val="0"/>
              <w:rPr>
                <w:rFonts w:hint="default" w:asciiTheme="minorEastAsia" w:hAnsiTheme="minorEastAsia" w:eastAsiaTheme="minorEastAsia"/>
              </w:rPr>
            </w:pPr>
            <w:r>
              <w:rPr>
                <w:rFonts w:hint="eastAsia" w:asciiTheme="minorEastAsia" w:hAnsiTheme="minorEastAsia" w:eastAsiaTheme="minorEastAsia"/>
              </w:rPr>
              <w:t>患者住所</w:t>
            </w: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安芸</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227</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83.2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46</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16.8</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273</w:t>
            </w:r>
          </w:p>
        </w:tc>
      </w:tr>
      <w:tr>
        <w:trPr/>
        <w:tc>
          <w:tcPr>
            <w:tcW w:w="420"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中央</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119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1,866</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93.9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0.1</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2,008</w:t>
            </w:r>
          </w:p>
        </w:tc>
      </w:tr>
      <w:tr>
        <w:trPr/>
        <w:tc>
          <w:tcPr>
            <w:tcW w:w="420"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高幡</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37.9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151</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57.2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3.0</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264</w:t>
            </w:r>
          </w:p>
        </w:tc>
      </w:tr>
      <w:tr>
        <w:trPr/>
        <w:tc>
          <w:tcPr>
            <w:tcW w:w="420" w:type="dxa"/>
            <w:vMerge w:val="continue"/>
            <w:shd w:val="clear" w:color="auto" w:themeFill="accent5" w:themeFillTint="33" w:themeFillShade="FF"/>
            <w:vAlign w:val="top"/>
          </w:tcPr>
          <w:p>
            <w:pPr>
              <w:pStyle w:val="0"/>
              <w:rPr>
                <w:rFonts w:hint="eastAsia"/>
              </w:rPr>
            </w:pP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幡多</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24</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7.2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4</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307</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91.6</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335</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b w:val="1"/>
          <w:color w:val="538DD5" w:themeColor="text2" w:themeTint="99"/>
          <w:sz w:val="22"/>
        </w:rPr>
        <w:t>４　医療提供体制の状況</w:t>
      </w:r>
    </w:p>
    <w:p>
      <w:pPr>
        <w:pStyle w:val="0"/>
        <w:rPr>
          <w:rFonts w:hint="default" w:asciiTheme="minorEastAsia" w:hAnsiTheme="minorEastAsia" w:eastAsiaTheme="minorEastAsia"/>
          <w:sz w:val="22"/>
        </w:rPr>
      </w:pPr>
      <w:r>
        <w:rPr>
          <w:rFonts w:hint="eastAsia" w:asciiTheme="minorEastAsia" w:hAnsiTheme="minorEastAsia" w:eastAsiaTheme="minorEastAsia"/>
          <w:b w:val="1"/>
          <w:sz w:val="22"/>
        </w:rPr>
        <w:t>（１）精神科病院の状況</w:t>
      </w:r>
    </w:p>
    <w:p>
      <w:pPr>
        <w:pStyle w:val="0"/>
        <w:ind w:leftChars="0" w:hanging="178" w:hangingChars="81"/>
        <w:rPr>
          <w:rFonts w:hint="default" w:asciiTheme="minorEastAsia" w:hAnsiTheme="minorEastAsia" w:eastAsiaTheme="minorEastAsia"/>
          <w:sz w:val="22"/>
        </w:rPr>
      </w:pPr>
      <w:r>
        <w:rPr>
          <w:rFonts w:hint="eastAsia" w:asciiTheme="minorEastAsia" w:hAnsiTheme="minorEastAsia" w:eastAsiaTheme="minorEastAsia"/>
          <w:sz w:val="22"/>
        </w:rPr>
        <w:t>　　人口</w:t>
      </w:r>
      <w:r>
        <w:rPr>
          <w:rFonts w:hint="eastAsia" w:asciiTheme="minorEastAsia" w:hAnsiTheme="minorEastAsia" w:eastAsiaTheme="minorEastAsia"/>
          <w:sz w:val="22"/>
        </w:rPr>
        <w:t>10</w:t>
      </w:r>
      <w:r>
        <w:rPr>
          <w:rFonts w:hint="eastAsia" w:asciiTheme="minorEastAsia" w:hAnsiTheme="minorEastAsia" w:eastAsiaTheme="minorEastAsia"/>
          <w:sz w:val="22"/>
        </w:rPr>
        <w:t>万人当たりの精神病床数</w:t>
      </w:r>
      <w:r>
        <w:rPr>
          <w:rFonts w:hint="eastAsia" w:asciiTheme="minorEastAsia" w:hAnsiTheme="minorEastAsia" w:eastAsiaTheme="minorEastAsia"/>
          <w:color w:val="000000" w:themeColor="text1"/>
          <w:sz w:val="22"/>
          <w:u w:val="none" w:color="auto"/>
        </w:rPr>
        <w:t>は全国６位（平成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年医療施設調査）と高い水準にありますが、平均在院日数は全国６位と短く、平均退院率（１年未満群）も全国１位（平成</w:t>
      </w:r>
      <w:r>
        <w:rPr>
          <w:rFonts w:hint="eastAsia" w:asciiTheme="minorEastAsia" w:hAnsiTheme="minorEastAsia" w:eastAsiaTheme="minorEastAsia"/>
          <w:color w:val="000000" w:themeColor="text1"/>
          <w:sz w:val="22"/>
          <w:u w:val="none" w:color="auto"/>
        </w:rPr>
        <w:t>26</w:t>
      </w:r>
      <w:r>
        <w:rPr>
          <w:rFonts w:hint="eastAsia" w:asciiTheme="minorEastAsia" w:hAnsiTheme="minorEastAsia" w:eastAsiaTheme="minorEastAsia"/>
          <w:color w:val="000000" w:themeColor="text1"/>
          <w:sz w:val="22"/>
          <w:u w:val="none" w:color="auto"/>
        </w:rPr>
        <w:t>年精神保健福祉資料）となっています</w:t>
      </w: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b w:val="1"/>
          <w:sz w:val="22"/>
        </w:rPr>
        <w:t>（２）精神科を標榜する診療所の状況</w:t>
      </w: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精神科を標榜する診療所は、中央保健医療圏に</w:t>
      </w:r>
      <w:r>
        <w:rPr>
          <w:rFonts w:hint="eastAsia" w:asciiTheme="minorEastAsia" w:hAnsiTheme="minorEastAsia" w:eastAsiaTheme="minorEastAsia"/>
          <w:sz w:val="22"/>
        </w:rPr>
        <w:t>16</w:t>
      </w:r>
      <w:r>
        <w:rPr>
          <w:rFonts w:hint="eastAsia" w:asciiTheme="minorEastAsia" w:hAnsiTheme="minorEastAsia" w:eastAsiaTheme="minorEastAsia"/>
          <w:sz w:val="22"/>
        </w:rPr>
        <w:t>か所、幡多保健医療圏に２か所となっています。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（３）精神科医師の状況</w:t>
      </w:r>
    </w:p>
    <w:p>
      <w:pPr>
        <w:pStyle w:val="0"/>
        <w:ind w:left="179" w:leftChars="85" w:firstLineChars="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sz w:val="22"/>
        </w:rPr>
        <w:t>　</w:t>
      </w:r>
      <w:r>
        <w:rPr>
          <w:rFonts w:hint="eastAsia" w:asciiTheme="minorEastAsia" w:hAnsiTheme="minorEastAsia" w:eastAsiaTheme="minorEastAsia"/>
          <w:color w:val="000000" w:themeColor="text1"/>
          <w:sz w:val="22"/>
          <w:u w:val="none" w:color="auto"/>
        </w:rPr>
        <w:t>本県の精神科病院・診療所に勤務する医師数は</w:t>
      </w:r>
      <w:r>
        <w:rPr>
          <w:rFonts w:hint="eastAsia" w:asciiTheme="minorEastAsia" w:hAnsiTheme="minorEastAsia" w:eastAsiaTheme="minorEastAsia"/>
          <w:color w:val="000000" w:themeColor="text1"/>
          <w:sz w:val="22"/>
          <w:u w:val="none" w:color="auto"/>
        </w:rPr>
        <w:t>123</w:t>
      </w:r>
      <w:r>
        <w:rPr>
          <w:rFonts w:hint="eastAsia" w:asciiTheme="minorEastAsia" w:hAnsiTheme="minorEastAsia" w:eastAsiaTheme="minorEastAsia"/>
          <w:color w:val="000000" w:themeColor="text1"/>
          <w:sz w:val="22"/>
          <w:u w:val="none" w:color="auto"/>
        </w:rPr>
        <w:t>人となっており、約</w:t>
      </w:r>
      <w:r>
        <w:rPr>
          <w:rFonts w:hint="eastAsia" w:asciiTheme="minorEastAsia" w:hAnsiTheme="minorEastAsia" w:eastAsiaTheme="minorEastAsia"/>
          <w:color w:val="000000" w:themeColor="text1"/>
          <w:sz w:val="22"/>
          <w:u w:val="none" w:color="auto"/>
        </w:rPr>
        <w:t>85</w:t>
      </w:r>
      <w:r>
        <w:rPr>
          <w:rFonts w:hint="eastAsia" w:asciiTheme="minorEastAsia" w:hAnsiTheme="minorEastAsia" w:eastAsiaTheme="minorEastAsia"/>
          <w:color w:val="000000" w:themeColor="text1"/>
          <w:sz w:val="22"/>
          <w:u w:val="none" w:color="auto"/>
        </w:rPr>
        <w:t>％が中央保健医療圏に集中しています。</w:t>
      </w:r>
    </w:p>
    <w:p>
      <w:pPr>
        <w:pStyle w:val="0"/>
        <w:ind w:left="179" w:leftChars="85" w:firstLineChars="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（複数の診療科に従事している場合の主として従事する診療科と</w:t>
      </w:r>
      <w:r>
        <w:rPr>
          <w:rFonts w:hint="eastAsia" w:asciiTheme="minorEastAsia" w:hAnsiTheme="minorEastAsia" w:eastAsiaTheme="minorEastAsia"/>
          <w:color w:val="000000" w:themeColor="text1"/>
          <w:sz w:val="16"/>
          <w:u w:val="none" w:color="auto"/>
        </w:rPr>
        <w:t>1</w:t>
      </w:r>
      <w:r>
        <w:rPr>
          <w:rFonts w:hint="eastAsia" w:asciiTheme="minorEastAsia" w:hAnsiTheme="minorEastAsia" w:eastAsiaTheme="minorEastAsia"/>
          <w:color w:val="000000" w:themeColor="text1"/>
          <w:sz w:val="16"/>
          <w:u w:val="none" w:color="auto"/>
        </w:rPr>
        <w:t>診療科のみに従事している場合の診療科として回答のあった者（主たる診療科・従業地による医療施設従事医師数））</w:t>
      </w:r>
    </w:p>
    <w:p>
      <w:pPr>
        <w:pStyle w:val="0"/>
        <w:ind w:leftChars="0" w:firstLineChars="0"/>
        <w:rPr>
          <w:rFonts w:hint="default" w:asciiTheme="minorEastAsia" w:hAnsiTheme="minorEastAsia" w:eastAsiaTheme="minorEastAsia"/>
          <w:color w:val="000000" w:themeColor="text1"/>
          <w:sz w:val="16"/>
          <w:u w:val="none" w:color="auto"/>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 xml:space="preserve"> 6-5-9</w:t>
      </w:r>
      <w:r>
        <w:rPr>
          <w:rFonts w:hint="eastAsia" w:asciiTheme="majorEastAsia" w:hAnsiTheme="majorEastAsia" w:eastAsiaTheme="majorEastAsia"/>
        </w:rPr>
        <w:t>）精神科医師数</w:t>
      </w:r>
    </w:p>
    <w:tbl>
      <w:tblPr>
        <w:tblStyle w:val="24"/>
        <w:tblW w:w="7785" w:type="dxa"/>
        <w:jc w:val="left"/>
        <w:tblInd w:w="828" w:type="dxa"/>
        <w:tblLayout w:type="fixed"/>
        <w:tblLook w:firstRow="1" w:lastRow="0" w:firstColumn="1" w:lastColumn="0" w:noHBand="0" w:noVBand="1" w:val="04A0"/>
      </w:tblPr>
      <w:tblGrid>
        <w:gridCol w:w="2115"/>
        <w:gridCol w:w="1985"/>
        <w:gridCol w:w="1843"/>
        <w:gridCol w:w="1842"/>
      </w:tblGrid>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保健医療圏</w:t>
            </w:r>
          </w:p>
        </w:tc>
        <w:tc>
          <w:tcPr>
            <w:tcW w:w="1985"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精神科</w:t>
            </w:r>
          </w:p>
        </w:tc>
        <w:tc>
          <w:tcPr>
            <w:tcW w:w="1843"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心療内科</w:t>
            </w:r>
          </w:p>
        </w:tc>
        <w:tc>
          <w:tcPr>
            <w:tcW w:w="1842"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計</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安　芸</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0</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中　央</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104</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3</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107</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高　幡</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4</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5</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幡　多</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5</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0</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5</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　計</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123</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4</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127</w:t>
            </w:r>
          </w:p>
        </w:tc>
      </w:tr>
    </w:tbl>
    <w:p>
      <w:pPr>
        <w:pStyle w:val="0"/>
        <w:jc w:val="left"/>
        <w:rPr>
          <w:rFonts w:hint="default" w:asciiTheme="minorEastAsia" w:hAnsiTheme="minorEastAsia" w:eastAsiaTheme="minorEastAsia"/>
          <w:sz w:val="16"/>
        </w:rPr>
      </w:pPr>
      <w:r>
        <w:rPr>
          <w:rFonts w:hint="eastAsia" w:asciiTheme="minorEastAsia" w:hAnsiTheme="minorEastAsia" w:eastAsiaTheme="minorEastAsia"/>
          <w:color w:val="000000" w:themeColor="text1"/>
          <w:sz w:val="16"/>
          <w:u w:val="none" w:color="auto"/>
        </w:rPr>
        <w:t>　　　　　　　　　　　　　　　　　　　　　　　　　　出典：平成</w:t>
      </w:r>
      <w:r>
        <w:rPr>
          <w:rFonts w:hint="eastAsia" w:asciiTheme="minorEastAsia" w:hAnsiTheme="minorEastAsia" w:eastAsiaTheme="minorEastAsia"/>
          <w:color w:val="000000" w:themeColor="text1"/>
          <w:sz w:val="16"/>
          <w:u w:val="none" w:color="auto"/>
        </w:rPr>
        <w:t>28</w:t>
      </w:r>
      <w:r>
        <w:rPr>
          <w:rFonts w:hint="eastAsia" w:asciiTheme="minorEastAsia" w:hAnsiTheme="minorEastAsia" w:eastAsiaTheme="minorEastAsia"/>
          <w:color w:val="000000" w:themeColor="text1"/>
          <w:sz w:val="16"/>
          <w:u w:val="none" w:color="auto"/>
        </w:rPr>
        <w:t>年医師・歯科医師・薬剤師調査（厚生労</w:t>
      </w:r>
      <w:r>
        <w:rPr>
          <w:rFonts w:hint="eastAsia" w:asciiTheme="minorEastAsia" w:hAnsiTheme="minorEastAsia" w:eastAsiaTheme="minorEastAsia"/>
          <w:sz w:val="16"/>
        </w:rPr>
        <w:t>働省）</w:t>
      </w:r>
    </w:p>
    <w:p>
      <w:pPr>
        <w:pStyle w:val="0"/>
        <w:jc w:val="right"/>
        <w:rPr>
          <w:rFonts w:hint="default" w:asciiTheme="minorEastAsia" w:hAnsiTheme="minorEastAsia" w:eastAsiaTheme="minorEastAsia"/>
          <w:sz w:val="16"/>
        </w:rPr>
      </w:pPr>
    </w:p>
    <w:p>
      <w:pPr>
        <w:pStyle w:val="0"/>
        <w:rPr>
          <w:rFonts w:hint="default" w:asciiTheme="minorEastAsia" w:hAnsiTheme="minorEastAsia" w:eastAsiaTheme="minorEastAsia"/>
          <w:b w:val="1"/>
          <w:color w:val="538DD5" w:themeColor="text2" w:themeTint="99"/>
          <w:sz w:val="22"/>
        </w:rPr>
      </w:pPr>
      <w:r>
        <w:rPr>
          <w:rFonts w:hint="eastAsia" w:asciiTheme="minorEastAsia" w:hAnsiTheme="minorEastAsia" w:eastAsiaTheme="minorEastAsia"/>
          <w:b w:val="1"/>
          <w:color w:val="538DD5" w:themeColor="text2" w:themeTint="99"/>
          <w:sz w:val="22"/>
        </w:rPr>
        <w:t>５　疾病・分野ごとの状況</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（１）統合失調症</w:t>
      </w:r>
    </w:p>
    <w:p>
      <w:pPr>
        <w:pStyle w:val="0"/>
        <w:ind w:left="179" w:leftChars="85" w:firstLineChars="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22"/>
          <w:u w:val="none" w:color="auto"/>
        </w:rPr>
        <w:t>　本県の「統合失調症、統合失調症型障害及び妄想性障害」で精神科病院に入院している患者は年々減少傾向にありますが、精神科病院の入院患者の約５割となっています。また、平成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年には、</w:t>
      </w:r>
      <w:r>
        <w:rPr>
          <w:rFonts w:hint="eastAsia" w:asciiTheme="minorEastAsia" w:hAnsiTheme="minorEastAsia" w:eastAsiaTheme="minorEastAsia"/>
          <w:color w:val="000000" w:themeColor="text1"/>
          <w:sz w:val="22"/>
          <w:u w:val="none" w:color="auto"/>
        </w:rPr>
        <w:t>65</w:t>
      </w:r>
      <w:r>
        <w:rPr>
          <w:rFonts w:hint="eastAsia" w:asciiTheme="minorEastAsia" w:hAnsiTheme="minorEastAsia" w:eastAsiaTheme="minorEastAsia"/>
          <w:color w:val="000000" w:themeColor="text1"/>
          <w:sz w:val="22"/>
          <w:u w:val="none" w:color="auto"/>
        </w:rPr>
        <w:t>歳以上の入院患者の割合が５割を超えており、自立支援医療制度の精神通院医療の承認者数でみると、平成</w:t>
      </w:r>
      <w:r>
        <w:rPr>
          <w:rFonts w:hint="eastAsia" w:asciiTheme="minorEastAsia" w:hAnsiTheme="minorEastAsia" w:eastAsiaTheme="minorEastAsia"/>
          <w:color w:val="000000" w:themeColor="text1"/>
          <w:sz w:val="22"/>
          <w:u w:val="none" w:color="auto"/>
        </w:rPr>
        <w:t>22</w:t>
      </w:r>
      <w:r>
        <w:rPr>
          <w:rFonts w:hint="eastAsia" w:asciiTheme="minorEastAsia" w:hAnsiTheme="minorEastAsia" w:eastAsiaTheme="minorEastAsia"/>
          <w:color w:val="000000" w:themeColor="text1"/>
          <w:sz w:val="22"/>
          <w:u w:val="none" w:color="auto"/>
        </w:rPr>
        <w:t>年まで増加し、以降横ばいとなっています。</w:t>
      </w:r>
    </w:p>
    <w:p>
      <w:pPr>
        <w:pStyle w:val="0"/>
        <w:ind w:left="179" w:leftChars="85" w:firstLineChars="0"/>
        <w:rPr>
          <w:rFonts w:hint="default" w:asciiTheme="minorEastAsia" w:hAnsiTheme="minorEastAsia" w:eastAsiaTheme="minorEastAsia"/>
          <w:color w:val="000000" w:themeColor="text1"/>
          <w:sz w:val="16"/>
          <w:u w:val="none" w:color="auto"/>
        </w:rPr>
      </w:pPr>
    </w:p>
    <w:p>
      <w:pPr>
        <w:pStyle w:val="0"/>
        <w:rPr>
          <w:rFonts w:hint="default" w:asciiTheme="minorEastAsia" w:hAnsiTheme="minorEastAsia" w:eastAsiaTheme="minorEastAsia"/>
        </w:rPr>
      </w:pPr>
      <w:r>
        <w:rPr>
          <w:rFonts w:hint="eastAsia"/>
        </w:rPr>
        <mc:AlternateContent>
          <mc:Choice Requires="wps">
            <w:drawing>
              <wp:anchor simplePos="0" relativeHeight="21" behindDoc="0" locked="0" layoutInCell="1" hidden="0" allowOverlap="1">
                <wp:simplePos x="0" y="0"/>
                <wp:positionH relativeFrom="page">
                  <wp:posOffset>3897630</wp:posOffset>
                </wp:positionH>
                <wp:positionV relativeFrom="page">
                  <wp:posOffset>7105650</wp:posOffset>
                </wp:positionV>
                <wp:extent cx="2418080" cy="200025"/>
                <wp:effectExtent l="0" t="0" r="635" b="635"/>
                <wp:wrapNone/>
                <wp:docPr id="1038" name="テキスト ボックス 3"/>
                <a:graphic xmlns:a="http://schemas.openxmlformats.org/drawingml/2006/main">
                  <a:graphicData uri="http://schemas.microsoft.com/office/word/2010/wordprocessingShape">
                    <wps:wsp>
                      <wps:cNvPr id="1038" name="テキスト ボックス 3"/>
                      <wps:cNvSpPr txBox="1"/>
                      <wps:spPr>
                        <a:xfrm>
                          <a:off x="0" y="0"/>
                          <a:ext cx="2418080" cy="200025"/>
                        </a:xfrm>
                        <a:prstGeom prst="rect">
                          <a:avLst/>
                        </a:prstGeom>
                      </wps:spPr>
                      <wps:txbx>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3" style="margin-top:559.5pt;margin-left:306.89pt;mso-wrap-style:none;mso-position-horizontal-relative:page;mso-position-vertical-relative:page;position:absolute;height:15.75pt;width:190.4pt;z-index:21;" o:spid="_x0000_s1038" o:allowincell="t" o:allowoverlap="t" filled="f" stroked="f" o:spt="202" type="#_x0000_t202">
                <v:fill/>
                <v:textbox style="layout-flow:horizontal;">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v:textbox>
                <v:imagedata o:title=""/>
                <w10:wrap type="none" anchorx="page" anchory="page"/>
              </v:shape>
            </w:pict>
          </mc:Fallback>
        </mc:AlternateContent>
      </w:r>
      <w:r>
        <w:rPr>
          <w:rFonts w:hint="default" w:asciiTheme="minorEastAsia" w:hAnsiTheme="minorEastAsia" w:eastAsiaTheme="minorEastAsia"/>
        </w:rPr>
        <w:drawing>
          <wp:inline distT="0" distB="0" distL="0" distR="0">
            <wp:extent cx="5665470" cy="2496185"/>
            <wp:effectExtent l="0" t="0" r="0" b="0"/>
            <wp:docPr id="1039"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15" behindDoc="0" locked="0" layoutInCell="1" hidden="0" allowOverlap="1">
                <wp:simplePos x="0" y="0"/>
                <wp:positionH relativeFrom="column">
                  <wp:posOffset>280670</wp:posOffset>
                </wp:positionH>
                <wp:positionV relativeFrom="paragraph">
                  <wp:posOffset>676275</wp:posOffset>
                </wp:positionV>
                <wp:extent cx="516890" cy="22288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516890" cy="222885"/>
                        </a:xfrm>
                        <a:prstGeom prst="rect">
                          <a:avLst/>
                        </a:prstGeom>
                        <a:noFill/>
                        <a:ln>
                          <a:miter/>
                        </a:ln>
                      </wps:spPr>
                      <wps:txbx>
                        <w:txbxContent>
                          <w:p>
                            <w:pPr>
                              <w:pStyle w:val="0"/>
                              <w:rPr>
                                <w:rFonts w:hint="default"/>
                                <w:sz w:val="18"/>
                              </w:rPr>
                            </w:pPr>
                            <w:r>
                              <w:rPr>
                                <w:rFonts w:hint="eastAsia"/>
                                <w:sz w:val="1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25pt;margin-left:22.1pt;mso-position-horizontal-relative:text;mso-position-vertical-relative:text;position:absolute;height:17.55pt;width:40.700000000000003pt;z-index:15;" o:spid="_x0000_s1040"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p>
                  </w:txbxContent>
                </v:textbox>
                <v:imagedata o:title=""/>
                <w10:wrap type="none" anchorx="text" anchory="text"/>
              </v:shape>
            </w:pict>
          </mc:Fallback>
        </mc:AlternateContent>
      </w:r>
      <w:r>
        <w:rPr>
          <w:rFonts w:hint="eastAsia"/>
        </w:rPr>
        <mc:AlternateContent>
          <mc:Choice Requires="wps">
            <w:drawing>
              <wp:anchor simplePos="0" relativeHeight="23" behindDoc="0" locked="0" layoutInCell="1" hidden="0" allowOverlap="1">
                <wp:simplePos x="0" y="0"/>
                <wp:positionH relativeFrom="page">
                  <wp:posOffset>4049395</wp:posOffset>
                </wp:positionH>
                <wp:positionV relativeFrom="page">
                  <wp:posOffset>9687560</wp:posOffset>
                </wp:positionV>
                <wp:extent cx="2515870" cy="238125"/>
                <wp:effectExtent l="0" t="0" r="635" b="635"/>
                <wp:wrapNone/>
                <wp:docPr id="1041" name="テキスト ボックス 1"/>
                <a:graphic xmlns:a="http://schemas.openxmlformats.org/drawingml/2006/main">
                  <a:graphicData uri="http://schemas.microsoft.com/office/word/2010/wordprocessingShape">
                    <wps:wsp>
                      <wps:cNvPr id="1041" name="テキスト ボックス 1"/>
                      <wps:cNvSpPr txBox="1"/>
                      <wps:spPr>
                        <a:xfrm>
                          <a:off x="0" y="0"/>
                          <a:ext cx="2515870" cy="238125"/>
                        </a:xfrm>
                        <a:prstGeom prst="rect">
                          <a:avLst/>
                        </a:prstGeom>
                      </wps:spPr>
                      <wps:txbx>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762.8pt;margin-left:318.85000000000002pt;mso-position-horizontal-relative:page;mso-position-vertical-relative:page;position:absolute;height:18.75pt;width:198.1pt;z-index:23;" o:spid="_x0000_s1041" o:allowincell="t" o:allowoverlap="t" filled="f" stroked="f" o:spt="202" type="#_x0000_t202">
                <v:fill/>
                <v:textbox style="layout-flow:horizontal;">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v:textbox>
                <v:imagedata o:title=""/>
                <w10:wrap type="none" anchorx="page" anchory="page"/>
              </v:shape>
            </w:pict>
          </mc:Fallback>
        </mc:AlternateContent>
      </w:r>
      <w:r>
        <w:rPr>
          <w:rFonts w:hint="eastAsia" w:asciiTheme="minorEastAsia" w:hAnsiTheme="minorEastAsia" w:eastAsiaTheme="minorEastAsia"/>
        </w:rPr>
        <w:drawing>
          <wp:inline distT="0" distB="0" distL="0" distR="0">
            <wp:extent cx="5780405" cy="2345055"/>
            <wp:effectExtent l="0" t="0" r="0" b="0"/>
            <wp:docPr id="1042" name="オブジェクト 0"/>
            <a:graphic xmlns:a="http://schemas.openxmlformats.org/drawingml/2006/main">
              <a:graphicData uri="http://schemas.openxmlformats.org/drawingml/2006/chart">
                <c:chart xmlns:c="http://schemas.openxmlformats.org/drawingml/2006/chart" r:id="rId13"/>
              </a:graphicData>
            </a:graphic>
          </wp:inline>
        </w:drawing>
      </w: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8" behindDoc="0" locked="0" layoutInCell="1" hidden="0" allowOverlap="1">
                <wp:simplePos x="0" y="0"/>
                <wp:positionH relativeFrom="column">
                  <wp:posOffset>3730625</wp:posOffset>
                </wp:positionH>
                <wp:positionV relativeFrom="paragraph">
                  <wp:posOffset>2229485</wp:posOffset>
                </wp:positionV>
                <wp:extent cx="1645285" cy="184785"/>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1645285" cy="184785"/>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5.55pt;margin-left:293.75pt;mso-position-horizontal-relative:text;mso-position-vertical-relative:text;position:absolute;height:14.55pt;width:129.55000000000001pt;z-index:8;" o:spid="_x0000_s1043"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1310" cy="2393315"/>
            <wp:effectExtent l="0" t="0" r="0" b="0"/>
            <wp:docPr id="1044" name="オブジェクト 0"/>
            <a:graphic xmlns:a="http://schemas.openxmlformats.org/drawingml/2006/main">
              <a:graphicData uri="http://schemas.openxmlformats.org/drawingml/2006/chart">
                <c:chart xmlns:c="http://schemas.openxmlformats.org/drawingml/2006/chart" r:id="rId14"/>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（２）うつ病・躁うつ病</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うつ病を含む「気分（感情）障害」の精神科病院に入院している患者は人数、割合ともに増加傾向にあります。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また、自立支援医療制度の精神通院医療でみても、承認者数が年々増加してきており、平成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年度は</w:t>
      </w:r>
      <w:r>
        <w:rPr>
          <w:rFonts w:hint="eastAsia" w:asciiTheme="minorEastAsia" w:hAnsiTheme="minorEastAsia" w:eastAsiaTheme="minorEastAsia"/>
          <w:color w:val="000000" w:themeColor="text1"/>
          <w:sz w:val="22"/>
          <w:u w:val="none" w:color="auto"/>
        </w:rPr>
        <w:t>3,000</w:t>
      </w:r>
      <w:r>
        <w:rPr>
          <w:rFonts w:hint="eastAsia" w:asciiTheme="minorEastAsia" w:hAnsiTheme="minorEastAsia" w:eastAsiaTheme="minorEastAsia"/>
          <w:color w:val="000000" w:themeColor="text1"/>
          <w:sz w:val="22"/>
          <w:u w:val="none" w:color="auto"/>
        </w:rPr>
        <w:t>人を上回っています。</w:t>
      </w:r>
    </w:p>
    <w:p>
      <w:pPr>
        <w:pStyle w:val="0"/>
        <w:ind w:left="220" w:hanging="220" w:hangingChars="10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619115" cy="2244725"/>
            <wp:effectExtent l="0" t="0" r="0" b="0"/>
            <wp:docPr id="1045" name="オブジェクト 0"/>
            <a:graphic xmlns:a="http://schemas.openxmlformats.org/drawingml/2006/main">
              <a:graphicData uri="http://schemas.openxmlformats.org/drawingml/2006/chart">
                <c:chart xmlns:c="http://schemas.openxmlformats.org/drawingml/2006/chart" r:id="rId15"/>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0"/>
          <w:sz w:val="22"/>
        </w:rPr>
      </w:pPr>
      <w:r>
        <w:rPr>
          <w:rFonts w:hint="eastAsia" w:asciiTheme="minorEastAsia" w:hAnsiTheme="minorEastAsia" w:eastAsiaTheme="minorEastAsia"/>
        </w:rPr>
        <w:drawing>
          <wp:inline distT="0" distB="0" distL="0" distR="0">
            <wp:extent cx="5618480" cy="2061845"/>
            <wp:effectExtent l="0" t="0" r="0" b="0"/>
            <wp:docPr id="1046" name="オブジェクト 0"/>
            <a:graphic xmlns:a="http://schemas.openxmlformats.org/drawingml/2006/main">
              <a:graphicData uri="http://schemas.openxmlformats.org/drawingml/2006/chart">
                <c:chart xmlns:c="http://schemas.openxmlformats.org/drawingml/2006/chart" r:id="rId16"/>
              </a:graphicData>
            </a:graphic>
          </wp:inline>
        </w:drawing>
      </w:r>
    </w:p>
    <w:p>
      <w:pPr>
        <w:pStyle w:val="0"/>
        <w:rPr>
          <w:rFonts w:hint="default" w:asciiTheme="minorEastAsia" w:hAnsiTheme="minorEastAsia" w:eastAsiaTheme="minorEastAsia"/>
          <w:b w:val="0"/>
          <w:sz w:val="22"/>
        </w:rPr>
      </w:pPr>
      <w:r>
        <w:rPr>
          <w:rFonts w:hint="eastAsia" w:asciiTheme="minorEastAsia" w:hAnsiTheme="minorEastAsia" w:eastAsiaTheme="minorEastAsia"/>
          <w:b w:val="1"/>
          <w:sz w:val="22"/>
        </w:rPr>
        <w:t>（３）認知症</w:t>
      </w:r>
    </w:p>
    <w:p>
      <w:pPr>
        <w:pStyle w:val="0"/>
        <w:ind w:left="220" w:hanging="220" w:hanging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sz w:val="22"/>
        </w:rPr>
        <w:t>　　</w:t>
      </w:r>
      <w:r>
        <w:rPr>
          <w:rFonts w:hint="eastAsia" w:asciiTheme="minorEastAsia" w:hAnsiTheme="minorEastAsia" w:eastAsiaTheme="minorEastAsia"/>
          <w:b w:val="0"/>
          <w:color w:val="000000" w:themeColor="text1"/>
          <w:sz w:val="22"/>
          <w:u w:val="none" w:color="auto"/>
        </w:rPr>
        <w:t>認知症を含む「症状性を含む器質性精神障害」の精神科病院に入院している患者の割合は、近年では入院患者の４分の１を超えて推移しており、自立支援医療制度の精神通院医療の承認者数も増加傾向にあります。</w:t>
      </w:r>
    </w:p>
    <w:p>
      <w:pPr>
        <w:pStyle w:val="0"/>
        <w:ind w:left="220" w:hanging="220" w:hangingChars="100"/>
        <w:rPr>
          <w:rFonts w:hint="default" w:asciiTheme="minorEastAsia" w:hAnsiTheme="minorEastAsia" w:eastAsiaTheme="minorEastAsia"/>
          <w:b w:val="0"/>
          <w:color w:val="000000" w:themeColor="text1"/>
          <w:sz w:val="22"/>
          <w:u w:val="none" w:color="auto"/>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742940" cy="2054860"/>
            <wp:effectExtent l="0" t="0" r="0" b="0"/>
            <wp:docPr id="1047"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95010" cy="2548890"/>
            <wp:effectExtent l="0" t="0" r="0" b="0"/>
            <wp:docPr id="1048" name="オブジェクト 0"/>
            <a:graphic xmlns:a="http://schemas.openxmlformats.org/drawingml/2006/main">
              <a:graphicData uri="http://schemas.openxmlformats.org/drawingml/2006/chart">
                <c:chart xmlns:c="http://schemas.openxmlformats.org/drawingml/2006/chart" r:id="rId18"/>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16" behindDoc="0" locked="0" layoutInCell="1" hidden="0" allowOverlap="1">
                <wp:simplePos x="0" y="0"/>
                <wp:positionH relativeFrom="column">
                  <wp:posOffset>280670</wp:posOffset>
                </wp:positionH>
                <wp:positionV relativeFrom="paragraph">
                  <wp:posOffset>509270</wp:posOffset>
                </wp:positionV>
                <wp:extent cx="572770" cy="21399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572770" cy="213995"/>
                        </a:xfrm>
                        <a:prstGeom prst="rect">
                          <a:avLst/>
                        </a:prstGeom>
                        <a:noFill/>
                        <a:ln>
                          <a:miter/>
                        </a:ln>
                      </wps:spPr>
                      <wps:txbx>
                        <w:txbxContent>
                          <w:p>
                            <w:pPr>
                              <w:pStyle w:val="0"/>
                              <w:rPr>
                                <w:rFonts w:hint="default"/>
                                <w:sz w:val="18"/>
                              </w:rPr>
                            </w:pPr>
                            <w:r>
                              <w:rPr>
                                <w:rFonts w:hint="eastAsia"/>
                                <w:sz w:val="18"/>
                              </w:rPr>
                              <w:t>（人）</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0.1pt;margin-left:22.1pt;mso-position-horizontal-relative:text;mso-position-vertical-relative:text;position:absolute;height:16.850000000000001pt;width:45.1pt;z-index:16;" o:spid="_x0000_s1049"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（人）</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866130" cy="2235835"/>
            <wp:effectExtent l="0" t="0" r="0" b="0"/>
            <wp:docPr id="1050" name="オブジェクト 0"/>
            <a:graphic xmlns:a="http://schemas.openxmlformats.org/drawingml/2006/main">
              <a:graphicData uri="http://schemas.openxmlformats.org/drawingml/2006/chart">
                <c:chart xmlns:c="http://schemas.openxmlformats.org/drawingml/2006/chart" r:id="rId19"/>
              </a:graphicData>
            </a:graphic>
          </wp:inline>
        </w:drawing>
      </w: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（４）児童・思春期精神疾患</w:t>
      </w:r>
    </w:p>
    <w:p>
      <w:pPr>
        <w:pStyle w:val="0"/>
        <w:ind w:left="210" w:hanging="210"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2"/>
          <w:u w:val="none" w:color="auto"/>
        </w:rPr>
        <w:t>20</w:t>
      </w:r>
      <w:r>
        <w:rPr>
          <w:rFonts w:hint="eastAsia" w:asciiTheme="minorEastAsia" w:hAnsiTheme="minorEastAsia" w:eastAsiaTheme="minorEastAsia"/>
          <w:color w:val="000000" w:themeColor="text1"/>
          <w:sz w:val="22"/>
          <w:u w:val="none" w:color="auto"/>
        </w:rPr>
        <w:t>歳未満の精神科病床への入院患者は人数の増減はありますが、全体では</w:t>
      </w:r>
      <w:r>
        <w:rPr>
          <w:rFonts w:hint="eastAsia" w:asciiTheme="minorEastAsia" w:hAnsiTheme="minorEastAsia" w:eastAsiaTheme="minorEastAsia"/>
          <w:color w:val="000000" w:themeColor="text1"/>
          <w:sz w:val="22"/>
          <w:u w:val="none" w:color="auto"/>
        </w:rPr>
        <w:t>0.4</w:t>
      </w:r>
      <w:r>
        <w:rPr>
          <w:rFonts w:hint="eastAsia" w:asciiTheme="minorEastAsia" w:hAnsiTheme="minorEastAsia" w:eastAsiaTheme="minorEastAsia"/>
          <w:color w:val="000000" w:themeColor="text1"/>
          <w:sz w:val="22"/>
          <w:u w:val="none" w:color="auto"/>
        </w:rPr>
        <w:t>％程　　で推移していますが、自立支援医療制度の精神通院医療の承認者数は増加傾向にあります。</w:t>
      </w:r>
    </w:p>
    <w:p>
      <w:pPr>
        <w:pStyle w:val="0"/>
        <w:ind w:left="210" w:hanging="210" w:hangingChars="10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575935" cy="2003425"/>
            <wp:effectExtent l="0" t="0" r="0" b="0"/>
            <wp:docPr id="1051" name="オブジェクト 0"/>
            <a:graphic xmlns:a="http://schemas.openxmlformats.org/drawingml/2006/main">
              <a:graphicData uri="http://schemas.openxmlformats.org/drawingml/2006/chart">
                <c:chart xmlns:c="http://schemas.openxmlformats.org/drawingml/2006/chart" r:id="rId20"/>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FF0000"/>
          <w:sz w:val="16"/>
          <w:u w:val="single" w:color="auto"/>
        </w:rPr>
      </w:pPr>
      <w:r>
        <w:rPr>
          <w:rFonts w:hint="eastAsia" w:asciiTheme="minorEastAsia" w:hAnsiTheme="minorEastAsia" w:eastAsiaTheme="minorEastAsia"/>
        </w:rPr>
        <w:drawing>
          <wp:inline distT="0" distB="0" distL="0" distR="0">
            <wp:extent cx="5618480" cy="1987550"/>
            <wp:effectExtent l="0" t="0" r="0" b="0"/>
            <wp:docPr id="1052" name="オブジェクト 0"/>
            <a:graphic xmlns:a="http://schemas.openxmlformats.org/drawingml/2006/main">
              <a:graphicData uri="http://schemas.openxmlformats.org/drawingml/2006/chart">
                <c:chart xmlns:c="http://schemas.openxmlformats.org/drawingml/2006/chart" r:id="rId21"/>
              </a:graphicData>
            </a:graphic>
          </wp:inline>
        </w:drawing>
      </w:r>
    </w:p>
    <w:p>
      <w:pPr>
        <w:pStyle w:val="0"/>
        <w:rPr>
          <w:rFonts w:hint="default" w:asciiTheme="minorEastAsia" w:hAnsiTheme="minorEastAsia" w:eastAsiaTheme="minorEastAsia"/>
          <w:b w:val="1"/>
          <w:color w:val="FF0000"/>
          <w:sz w:val="16"/>
          <w:u w:val="single" w:color="auto"/>
        </w:rPr>
      </w:pPr>
    </w:p>
    <w:p>
      <w:pPr>
        <w:pStyle w:val="0"/>
        <w:ind w:left="0" w:leftChars="0"/>
        <w:rPr>
          <w:rFonts w:hint="default" w:asciiTheme="minorEastAsia" w:hAnsiTheme="minorEastAsia" w:eastAsiaTheme="minorEastAsia"/>
          <w:b w:val="1"/>
          <w:color w:val="000000" w:themeColor="text1"/>
          <w:sz w:val="22"/>
          <w:u w:val="single" w:color="auto"/>
        </w:rPr>
      </w:pPr>
      <w:r>
        <w:rPr>
          <w:rFonts w:hint="eastAsia" w:asciiTheme="minorEastAsia" w:hAnsiTheme="minorEastAsia" w:eastAsiaTheme="minorEastAsia"/>
          <w:b w:val="1"/>
          <w:color w:val="000000" w:themeColor="text1"/>
          <w:sz w:val="22"/>
          <w:u w:val="none" w:color="auto"/>
        </w:rPr>
        <w:t>（５）発達障害</w:t>
      </w:r>
    </w:p>
    <w:p>
      <w:pPr>
        <w:pStyle w:val="0"/>
        <w:ind w:left="210" w:leftChars="100" w:firstLine="220"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22"/>
          <w:u w:val="none" w:color="auto"/>
        </w:rPr>
        <w:t>「心理的発達の障害」、「小児期及び青年期に通常発症する行動及び情緒の障害及び特定不能の精神障害」についての入院患者の人数は少数ではありますが、年々増加してきており、自立支援医療制度の精神通院医療の承認件数についても増加してきています。</w:t>
      </w:r>
    </w:p>
    <w:p>
      <w:pPr>
        <w:pStyle w:val="0"/>
        <w:ind w:left="210" w:leftChars="100" w:firstLine="220" w:firstLineChars="10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rPr>
      </w:pPr>
      <w:r>
        <w:rPr>
          <w:rFonts w:hint="eastAsia"/>
        </w:rPr>
        <mc:AlternateContent>
          <mc:Choice Requires="wps">
            <w:drawing>
              <wp:anchor simplePos="0" relativeHeight="33" behindDoc="0" locked="0" layoutInCell="1" hidden="0" allowOverlap="1">
                <wp:simplePos x="0" y="0"/>
                <wp:positionH relativeFrom="page">
                  <wp:posOffset>4262120</wp:posOffset>
                </wp:positionH>
                <wp:positionV relativeFrom="page">
                  <wp:posOffset>9563735</wp:posOffset>
                </wp:positionV>
                <wp:extent cx="2505075" cy="209550"/>
                <wp:effectExtent l="0" t="0" r="635" b="635"/>
                <wp:wrapNone/>
                <wp:docPr id="1053" name="テキスト ボックス 2"/>
                <a:graphic xmlns:a="http://schemas.openxmlformats.org/drawingml/2006/main">
                  <a:graphicData uri="http://schemas.microsoft.com/office/word/2010/wordprocessingShape">
                    <wps:wsp>
                      <wps:cNvPr id="1053" name="テキスト ボックス 2"/>
                      <wps:cNvSpPr txBox="1"/>
                      <wps:spPr>
                        <a:xfrm>
                          <a:off x="0" y="0"/>
                          <a:ext cx="2505075" cy="209550"/>
                        </a:xfrm>
                        <a:prstGeom prst="rect">
                          <a:avLst/>
                        </a:prstGeom>
                      </wps:spPr>
                      <wps:txbx>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753.05pt;margin-left:335.6pt;mso-wrap-style:none;mso-position-horizontal-relative:page;mso-position-vertical-relative:page;position:absolute;height:16.5pt;width:197.25pt;z-index:33;" o:spid="_x0000_s1053" o:allowincell="t" o:allowoverlap="t" filled="f" stroked="f" o:spt="202" type="#_x0000_t202">
                <v:fill/>
                <v:textbox style="layout-flow:horizontal;">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v:textbox>
                <v:imagedata o:title=""/>
                <w10:wrap type="none" anchorx="page" anchory="page"/>
              </v:shape>
            </w:pict>
          </mc:Fallback>
        </mc:AlternateContent>
      </w:r>
      <w:r>
        <w:rPr>
          <w:rFonts w:hint="eastAsia" w:asciiTheme="minorEastAsia" w:hAnsiTheme="minorEastAsia" w:eastAsiaTheme="minorEastAsia"/>
        </w:rPr>
        <w:drawing>
          <wp:inline distT="0" distB="0" distL="0" distR="0">
            <wp:extent cx="5697855" cy="2049780"/>
            <wp:effectExtent l="0" t="0" r="0" b="0"/>
            <wp:docPr id="1054" name="オブジェクト 0"/>
            <a:graphic xmlns:a="http://schemas.openxmlformats.org/drawingml/2006/main">
              <a:graphicData uri="http://schemas.openxmlformats.org/drawingml/2006/chart">
                <c:chart xmlns:c="http://schemas.openxmlformats.org/drawingml/2006/chart" r:id="rId22"/>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35" behindDoc="0" locked="0" layoutInCell="1" hidden="0" allowOverlap="1">
                <wp:simplePos x="0" y="0"/>
                <wp:positionH relativeFrom="page">
                  <wp:posOffset>4852670</wp:posOffset>
                </wp:positionH>
                <wp:positionV relativeFrom="page">
                  <wp:posOffset>3150235</wp:posOffset>
                </wp:positionV>
                <wp:extent cx="1838325" cy="257175"/>
                <wp:effectExtent l="0" t="0" r="635" b="635"/>
                <wp:wrapNone/>
                <wp:docPr id="1055" name="テキスト ボックス 1"/>
                <a:graphic xmlns:a="http://schemas.openxmlformats.org/drawingml/2006/main">
                  <a:graphicData uri="http://schemas.microsoft.com/office/word/2010/wordprocessingShape">
                    <wps:wsp>
                      <wps:cNvPr id="1055" name="テキスト ボックス 1"/>
                      <wps:cNvSpPr txBox="1"/>
                      <wps:spPr>
                        <a:xfrm>
                          <a:off x="0" y="0"/>
                          <a:ext cx="1838325" cy="257175"/>
                        </a:xfrm>
                        <a:prstGeom prst="rect">
                          <a:avLst/>
                        </a:prstGeom>
                      </wps:spPr>
                      <wps:txbx>
                        <w:txbxContent>
                          <w:p>
                            <w:pPr>
                              <w:pStyle w:val="0"/>
                              <w:snapToGrid w:val="0"/>
                              <w:rPr>
                                <w:rFonts w:hint="default"/>
                              </w:rPr>
                            </w:pPr>
                            <w:r>
                              <w:rPr>
                                <w:rFonts w:hint="default"/>
                                <w:sz w:val="16"/>
                              </w:rPr>
                              <w:t>出典：高知県障害保健福祉課調べ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248.05pt;margin-left:382.1pt;mso-wrap-style:none;mso-position-horizontal-relative:page;mso-position-vertical-relative:page;position:absolute;height:20.25pt;width:144.75pt;z-index:35;" o:spid="_x0000_s1055" o:allowincell="t" o:allowoverlap="t" filled="f" stroked="f" o:spt="202" type="#_x0000_t202">
                <v:fill/>
                <v:textbox style="layout-flow:horizontal;">
                  <w:txbxContent>
                    <w:p>
                      <w:pPr>
                        <w:pStyle w:val="0"/>
                        <w:snapToGrid w:val="0"/>
                        <w:rPr>
                          <w:rFonts w:hint="default"/>
                        </w:rPr>
                      </w:pPr>
                      <w:r>
                        <w:rPr>
                          <w:rFonts w:hint="default"/>
                          <w:sz w:val="16"/>
                        </w:rPr>
                        <w:t>出典：高知県障害保健福祉課調べ</w:t>
                      </w:r>
                    </w:p>
                  </w:txbxContent>
                </v:textbox>
                <v:imagedata o:title=""/>
                <w10:wrap type="none" anchorx="page" anchory="page"/>
              </v:shape>
            </w:pict>
          </mc:Fallback>
        </mc:AlternateContent>
      </w:r>
      <w:r>
        <w:rPr>
          <w:rFonts w:hint="eastAsia" w:asciiTheme="minorEastAsia" w:hAnsiTheme="minorEastAsia" w:eastAsiaTheme="minorEastAsia"/>
        </w:rPr>
        <w:drawing>
          <wp:inline distT="0" distB="0" distL="0" distR="0">
            <wp:extent cx="5736590" cy="2218055"/>
            <wp:effectExtent l="0" t="0" r="0" b="0"/>
            <wp:docPr id="1056" name="オブジェクト 0"/>
            <a:graphic xmlns:a="http://schemas.openxmlformats.org/drawingml/2006/main">
              <a:graphicData uri="http://schemas.openxmlformats.org/drawingml/2006/chart">
                <c:chart xmlns:c="http://schemas.openxmlformats.org/drawingml/2006/chart" r:id="rId23"/>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（６）依存症</w:t>
      </w:r>
    </w:p>
    <w:p>
      <w:pPr>
        <w:pStyle w:val="0"/>
        <w:tabs>
          <w:tab w:val="left" w:leader="none" w:pos="178"/>
        </w:tabs>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「アルコール使用による精神及び行動の障害」で精神病床に入院している患者は減少傾向にあります。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「覚せい剤による精神及び行動の障害」及び「アルコール、覚せい剤を除く精神作用物質使用による精神及び行動の障害」で精神病床に入院している患者は少数で、増減がありながら推移しています。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43575" cy="2130425"/>
            <wp:effectExtent l="0" t="0" r="0" b="0"/>
            <wp:docPr id="1057" name="オブジェクト 0"/>
            <a:graphic xmlns:a="http://schemas.openxmlformats.org/drawingml/2006/main">
              <a:graphicData uri="http://schemas.openxmlformats.org/drawingml/2006/chart">
                <c:chart xmlns:c="http://schemas.openxmlformats.org/drawingml/2006/chart" r:id="rId24"/>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822950" cy="1963420"/>
            <wp:effectExtent l="0" t="0" r="0" b="0"/>
            <wp:docPr id="1058" name="オブジェクト 0"/>
            <a:graphic xmlns:a="http://schemas.openxmlformats.org/drawingml/2006/main">
              <a:graphicData uri="http://schemas.openxmlformats.org/drawingml/2006/chart">
                <c:chart xmlns:c="http://schemas.openxmlformats.org/drawingml/2006/chart" r:id="rId25"/>
              </a:graphicData>
            </a:graphic>
          </wp:inline>
        </w:drawing>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（７）外傷後ストレス障害（ＰＴＳＤ）</w:t>
      </w:r>
    </w:p>
    <w:p>
      <w:pPr>
        <w:pStyle w:val="0"/>
        <w:ind w:left="220" w:hanging="220" w:hanging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　　外傷後ストレス障害（ＰＴＳＤ）を含む「神経症性障害、ストレス関連障害及び身体表現性障害」で精神病床に入院している患者は、横ばいで推移していますが、自立支援医療制度の精神通院医療の承認者数は増加してきています。</w:t>
      </w:r>
    </w:p>
    <w:p>
      <w:pPr>
        <w:pStyle w:val="0"/>
        <w:ind w:left="220" w:hanging="220" w:hangingChars="100"/>
        <w:rPr>
          <w:rFonts w:hint="default" w:asciiTheme="minorEastAsia" w:hAnsiTheme="minorEastAsia" w:eastAsiaTheme="minorEastAsia"/>
          <w:b w:val="0"/>
          <w:color w:val="000000" w:themeColor="text1"/>
          <w:sz w:val="22"/>
          <w:u w:val="none" w:color="auto"/>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693410" cy="2146300"/>
            <wp:effectExtent l="0" t="0" r="0" b="0"/>
            <wp:docPr id="1059" name="オブジェクト 0"/>
            <a:graphic xmlns:a="http://schemas.openxmlformats.org/drawingml/2006/main">
              <a:graphicData uri="http://schemas.openxmlformats.org/drawingml/2006/chart">
                <c:chart xmlns:c="http://schemas.openxmlformats.org/drawingml/2006/chart" r:id="rId26"/>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684520" cy="1995170"/>
            <wp:effectExtent l="0" t="0" r="0" b="0"/>
            <wp:docPr id="1060" name="オブジェクト 0"/>
            <a:graphic xmlns:a="http://schemas.openxmlformats.org/drawingml/2006/main">
              <a:graphicData uri="http://schemas.openxmlformats.org/drawingml/2006/chart">
                <c:chart xmlns:c="http://schemas.openxmlformats.org/drawingml/2006/chart" r:id="rId27"/>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（８）高次脳機能障害</w:t>
      </w: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color w:val="000000" w:themeColor="text1"/>
          <w:sz w:val="22"/>
          <w:u w:val="none" w:color="auto"/>
        </w:rPr>
        <w:t>　　県が設置する高次脳機能障害相談支援センターの相談対応件数は、平成</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年に増加し、その後、減少しましたが、また増加してきています。</w:t>
      </w:r>
    </w:p>
    <w:p>
      <w:pPr>
        <w:pStyle w:val="0"/>
        <w:rPr>
          <w:rFonts w:hint="default" w:asciiTheme="minorEastAsia" w:hAnsiTheme="minorEastAsia" w:eastAsiaTheme="minorEastAsia"/>
        </w:rPr>
      </w:pPr>
      <w:r>
        <w:rPr>
          <w:rFonts w:hint="eastAsia"/>
        </w:rPr>
        <mc:AlternateContent>
          <mc:Choice Requires="wps">
            <w:drawing>
              <wp:anchor simplePos="0" relativeHeight="12" behindDoc="0" locked="0" layoutInCell="1" hidden="0" allowOverlap="1">
                <wp:simplePos x="0" y="0"/>
                <wp:positionH relativeFrom="column">
                  <wp:posOffset>3723005</wp:posOffset>
                </wp:positionH>
                <wp:positionV relativeFrom="paragraph">
                  <wp:posOffset>2030730</wp:posOffset>
                </wp:positionV>
                <wp:extent cx="1677035" cy="238760"/>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167703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9.9pt;margin-left:293.14pt;mso-position-horizontal-relative:text;mso-position-vertical-relative:text;position:absolute;height:18.8pt;width:132.05000000000001pt;z-index:12;" o:spid="_x0000_s1061"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647055" cy="2092325"/>
            <wp:effectExtent l="0" t="0" r="0" b="0"/>
            <wp:docPr id="1062" name="オブジェクト 0"/>
            <a:graphic xmlns:a="http://schemas.openxmlformats.org/drawingml/2006/main">
              <a:graphicData uri="http://schemas.openxmlformats.org/drawingml/2006/chart">
                <c:chart xmlns:c="http://schemas.openxmlformats.org/drawingml/2006/chart" r:id="rId28"/>
              </a:graphicData>
            </a:graphic>
          </wp:inline>
        </w:drawing>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（９）摂食障害</w:t>
      </w:r>
    </w:p>
    <w:p>
      <w:pPr>
        <w:pStyle w:val="0"/>
        <w:ind w:left="220" w:hanging="220" w:hangingChars="10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22"/>
          <w:u w:val="none" w:color="auto"/>
        </w:rPr>
        <w:t>　　摂食障害を含む「生理的障害及び身体的要因に関連した行動症候群」で自立支援医療制度の精神通院医療の承認者数は、増加傾向にあります。</w:t>
      </w: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9" behindDoc="0" locked="0" layoutInCell="1" hidden="0" allowOverlap="1">
                <wp:simplePos x="0" y="0"/>
                <wp:positionH relativeFrom="column">
                  <wp:posOffset>3141980</wp:posOffset>
                </wp:positionH>
                <wp:positionV relativeFrom="paragraph">
                  <wp:posOffset>1514475</wp:posOffset>
                </wp:positionV>
                <wp:extent cx="2265680" cy="229870"/>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a:spLocks noChangeArrowheads="1"/>
                      </wps:cNvSpPr>
                      <wps:spPr>
                        <a:xfrm>
                          <a:off x="0" y="0"/>
                          <a:ext cx="2265680" cy="22987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9.25pt;margin-left:247.4pt;mso-position-horizontal-relative:text;mso-position-vertical-relative:text;position:absolute;height:18.100000000000001pt;width:178.4pt;z-index:9;" o:spid="_x0000_s1063"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35955" cy="1765300"/>
            <wp:effectExtent l="0" t="0" r="0" b="0"/>
            <wp:docPr id="1064" name="オブジェクト 0"/>
            <a:graphic xmlns:a="http://schemas.openxmlformats.org/drawingml/2006/main">
              <a:graphicData uri="http://schemas.openxmlformats.org/drawingml/2006/chart">
                <c:chart xmlns:c="http://schemas.openxmlformats.org/drawingml/2006/chart" r:id="rId29"/>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10</w:t>
      </w:r>
      <w:r>
        <w:rPr>
          <w:rFonts w:hint="eastAsia" w:asciiTheme="minorEastAsia" w:hAnsiTheme="minorEastAsia" w:eastAsiaTheme="minorEastAsia"/>
          <w:b w:val="1"/>
          <w:color w:val="000000" w:themeColor="text1"/>
          <w:sz w:val="22"/>
          <w:u w:val="none" w:color="auto"/>
        </w:rPr>
        <w:t>）てんかん</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自立支援医療制度の精神通院医療の承認者数は、近年は</w:t>
      </w:r>
      <w:r>
        <w:rPr>
          <w:rFonts w:hint="eastAsia" w:asciiTheme="minorEastAsia" w:hAnsiTheme="minorEastAsia" w:eastAsiaTheme="minorEastAsia"/>
          <w:color w:val="000000" w:themeColor="text1"/>
          <w:sz w:val="22"/>
          <w:u w:val="none" w:color="auto"/>
        </w:rPr>
        <w:t>800</w:t>
      </w:r>
      <w:r>
        <w:rPr>
          <w:rFonts w:hint="eastAsia" w:asciiTheme="minorEastAsia" w:hAnsiTheme="minorEastAsia" w:eastAsiaTheme="minorEastAsia"/>
          <w:color w:val="000000" w:themeColor="text1"/>
          <w:sz w:val="22"/>
          <w:u w:val="none" w:color="auto"/>
        </w:rPr>
        <w:t>人から</w:t>
      </w:r>
      <w:r>
        <w:rPr>
          <w:rFonts w:hint="eastAsia" w:asciiTheme="minorEastAsia" w:hAnsiTheme="minorEastAsia" w:eastAsiaTheme="minorEastAsia"/>
          <w:color w:val="000000" w:themeColor="text1"/>
          <w:sz w:val="22"/>
          <w:u w:val="none" w:color="auto"/>
        </w:rPr>
        <w:t>900</w:t>
      </w:r>
      <w:r>
        <w:rPr>
          <w:rFonts w:hint="eastAsia" w:asciiTheme="minorEastAsia" w:hAnsiTheme="minorEastAsia" w:eastAsiaTheme="minorEastAsia"/>
          <w:color w:val="000000" w:themeColor="text1"/>
          <w:sz w:val="22"/>
          <w:u w:val="none" w:color="auto"/>
        </w:rPr>
        <w:t>人の間でほぼ横ばいで推移しています。</w:t>
      </w: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51830" cy="1830705"/>
            <wp:effectExtent l="0" t="0" r="0" b="0"/>
            <wp:docPr id="1065" name="オブジェクト 0"/>
            <a:graphic xmlns:a="http://schemas.openxmlformats.org/drawingml/2006/main">
              <a:graphicData uri="http://schemas.openxmlformats.org/drawingml/2006/chart">
                <c:chart xmlns:c="http://schemas.openxmlformats.org/drawingml/2006/chart" r:id="rId30"/>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11</w:t>
      </w:r>
      <w:r>
        <w:rPr>
          <w:rFonts w:hint="eastAsia" w:asciiTheme="minorEastAsia" w:hAnsiTheme="minorEastAsia" w:eastAsiaTheme="minorEastAsia"/>
          <w:b w:val="1"/>
          <w:color w:val="000000" w:themeColor="text1"/>
          <w:sz w:val="22"/>
          <w:u w:val="none" w:color="auto"/>
        </w:rPr>
        <w:t>）精神科救急</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高知県が中央保健医療圏を主な対象に実施している精神科救急医療事業では、診察依頼件数は年間</w:t>
      </w:r>
      <w:r>
        <w:rPr>
          <w:rFonts w:hint="eastAsia" w:asciiTheme="minorEastAsia" w:hAnsiTheme="minorEastAsia" w:eastAsiaTheme="minorEastAsia"/>
          <w:color w:val="000000" w:themeColor="text1"/>
          <w:sz w:val="22"/>
          <w:u w:val="none" w:color="auto"/>
        </w:rPr>
        <w:t>1,000</w:t>
      </w:r>
      <w:r>
        <w:rPr>
          <w:rFonts w:hint="eastAsia" w:asciiTheme="minorEastAsia" w:hAnsiTheme="minorEastAsia" w:eastAsiaTheme="minorEastAsia"/>
          <w:color w:val="000000" w:themeColor="text1"/>
          <w:sz w:val="22"/>
          <w:u w:val="none" w:color="auto"/>
        </w:rPr>
        <w:t>件を超えて推移しており、実際に診察に至った件数は</w:t>
      </w:r>
      <w:r>
        <w:rPr>
          <w:rFonts w:hint="eastAsia" w:asciiTheme="minorEastAsia" w:hAnsiTheme="minorEastAsia" w:eastAsiaTheme="minorEastAsia"/>
          <w:color w:val="000000" w:themeColor="text1"/>
          <w:sz w:val="22"/>
          <w:u w:val="none" w:color="auto"/>
        </w:rPr>
        <w:t>400</w:t>
      </w:r>
      <w:r>
        <w:rPr>
          <w:rFonts w:hint="eastAsia" w:asciiTheme="minorEastAsia" w:hAnsiTheme="minorEastAsia" w:eastAsiaTheme="minorEastAsia"/>
          <w:color w:val="000000" w:themeColor="text1"/>
          <w:sz w:val="22"/>
          <w:u w:val="none" w:color="auto"/>
        </w:rPr>
        <w:t>件台で推移していましたが、平成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300</w:t>
      </w:r>
      <w:r>
        <w:rPr>
          <w:rFonts w:hint="eastAsia" w:asciiTheme="minorEastAsia" w:hAnsiTheme="minorEastAsia" w:eastAsiaTheme="minorEastAsia"/>
          <w:color w:val="000000" w:themeColor="text1"/>
          <w:sz w:val="22"/>
          <w:u w:val="none" w:color="auto"/>
        </w:rPr>
        <w:t>件台で減少しています。</w:t>
      </w:r>
    </w:p>
    <w:p>
      <w:pPr>
        <w:pStyle w:val="0"/>
        <w:rPr>
          <w:rFonts w:hint="default" w:asciiTheme="minorEastAsia" w:hAnsiTheme="minorEastAsia" w:eastAsiaTheme="minorEastAsia"/>
        </w:rPr>
      </w:pPr>
      <w:r>
        <w:rPr>
          <w:rFonts w:hint="eastAsia"/>
        </w:rPr>
        <mc:AlternateContent>
          <mc:Choice Requires="wps">
            <w:drawing>
              <wp:anchor simplePos="0" relativeHeight="11" behindDoc="0" locked="0" layoutInCell="1" hidden="0" allowOverlap="1">
                <wp:simplePos x="0" y="0"/>
                <wp:positionH relativeFrom="column">
                  <wp:posOffset>3893820</wp:posOffset>
                </wp:positionH>
                <wp:positionV relativeFrom="paragraph">
                  <wp:posOffset>1998345</wp:posOffset>
                </wp:positionV>
                <wp:extent cx="1724660" cy="238760"/>
                <wp:effectExtent l="0" t="0" r="635" b="635"/>
                <wp:wrapNone/>
                <wp:docPr id="1066" name="オブジェクト 0"/>
                <a:graphic xmlns:a="http://schemas.openxmlformats.org/drawingml/2006/main">
                  <a:graphicData uri="http://schemas.microsoft.com/office/word/2010/wordprocessingShape">
                    <wps:wsp>
                      <wps:cNvPr id="1066" name="オブジェクト 0"/>
                      <wps:cNvSpPr txBox="1">
                        <a:spLocks noChangeArrowheads="1"/>
                      </wps:cNvSpPr>
                      <wps:spPr>
                        <a:xfrm>
                          <a:off x="0" y="0"/>
                          <a:ext cx="1724660" cy="23876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7.35pt;margin-left:306.60000000000002pt;mso-position-horizontal-relative:text;mso-position-vertical-relative:text;position:absolute;height:18.8pt;width:135.80000000000001pt;z-index:11;" o:spid="_x0000_s1066"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39130" cy="1943100"/>
            <wp:effectExtent l="0" t="0" r="0" b="0"/>
            <wp:docPr id="1067" name="オブジェクト 0"/>
            <a:graphic xmlns:a="http://schemas.openxmlformats.org/drawingml/2006/main">
              <a:graphicData uri="http://schemas.openxmlformats.org/drawingml/2006/chart">
                <c:chart xmlns:c="http://schemas.openxmlformats.org/drawingml/2006/chart" r:id="rId31"/>
              </a:graphicData>
            </a:graphic>
          </wp:inline>
        </w:drawing>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12</w:t>
      </w:r>
      <w:r>
        <w:rPr>
          <w:rFonts w:hint="eastAsia" w:asciiTheme="minorEastAsia" w:hAnsiTheme="minorEastAsia" w:eastAsiaTheme="minorEastAsia"/>
          <w:b w:val="1"/>
          <w:color w:val="000000" w:themeColor="text1"/>
          <w:sz w:val="22"/>
          <w:u w:val="none" w:color="auto"/>
        </w:rPr>
        <w:t>）身体合併症</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精神疾患と身体疾患の合併症による対応困難な患者に対する、救急対応も含め身体面、精神面を併せた、迅速かつ適切な医療の提供が必要となっています。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13</w:t>
      </w:r>
      <w:r>
        <w:rPr>
          <w:rFonts w:hint="eastAsia" w:asciiTheme="minorEastAsia" w:hAnsiTheme="minorEastAsia" w:eastAsiaTheme="minorEastAsia"/>
          <w:b w:val="1"/>
          <w:color w:val="000000" w:themeColor="text1"/>
          <w:sz w:val="22"/>
          <w:u w:val="none" w:color="auto"/>
        </w:rPr>
        <w:t>）自殺対策</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県内の自殺死亡者数は、平成</w:t>
      </w:r>
      <w:r>
        <w:rPr>
          <w:rFonts w:hint="eastAsia" w:asciiTheme="minorEastAsia" w:hAnsiTheme="minorEastAsia" w:eastAsiaTheme="minorEastAsia"/>
          <w:color w:val="000000" w:themeColor="text1"/>
          <w:sz w:val="22"/>
          <w:u w:val="none" w:color="auto"/>
        </w:rPr>
        <w:t>22</w:t>
      </w:r>
      <w:r>
        <w:rPr>
          <w:rFonts w:hint="eastAsia" w:asciiTheme="minorEastAsia" w:hAnsiTheme="minorEastAsia" w:eastAsiaTheme="minorEastAsia"/>
          <w:color w:val="000000" w:themeColor="text1"/>
          <w:sz w:val="22"/>
          <w:u w:val="none" w:color="auto"/>
        </w:rPr>
        <w:t>年に</w:t>
      </w:r>
      <w:r>
        <w:rPr>
          <w:rFonts w:hint="eastAsia" w:asciiTheme="minorEastAsia" w:hAnsiTheme="minorEastAsia" w:eastAsiaTheme="minorEastAsia"/>
          <w:color w:val="000000" w:themeColor="text1"/>
          <w:sz w:val="22"/>
          <w:u w:val="none" w:color="auto"/>
        </w:rPr>
        <w:t>200</w:t>
      </w:r>
      <w:r>
        <w:rPr>
          <w:rFonts w:hint="eastAsia" w:asciiTheme="minorEastAsia" w:hAnsiTheme="minorEastAsia" w:eastAsiaTheme="minorEastAsia"/>
          <w:color w:val="000000" w:themeColor="text1"/>
          <w:sz w:val="22"/>
          <w:u w:val="none" w:color="auto"/>
        </w:rPr>
        <w:t>人を下回って以降、減少傾向にあり、平成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年には</w:t>
      </w:r>
      <w:r>
        <w:rPr>
          <w:rFonts w:hint="eastAsia" w:asciiTheme="minorEastAsia" w:hAnsiTheme="minorEastAsia" w:eastAsiaTheme="minorEastAsia"/>
          <w:color w:val="000000" w:themeColor="text1"/>
          <w:sz w:val="22"/>
          <w:u w:val="none" w:color="auto"/>
        </w:rPr>
        <w:t>114</w:t>
      </w:r>
      <w:r>
        <w:rPr>
          <w:rFonts w:hint="eastAsia" w:asciiTheme="minorEastAsia" w:hAnsiTheme="minorEastAsia" w:eastAsiaTheme="minorEastAsia"/>
          <w:color w:val="000000" w:themeColor="text1"/>
          <w:sz w:val="22"/>
          <w:u w:val="none" w:color="auto"/>
        </w:rPr>
        <w:t>人、人口</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万人あたりの自殺死亡率では</w:t>
      </w:r>
      <w:r>
        <w:rPr>
          <w:rFonts w:hint="eastAsia" w:asciiTheme="minorEastAsia" w:hAnsiTheme="minorEastAsia" w:eastAsiaTheme="minorEastAsia"/>
          <w:color w:val="000000" w:themeColor="text1"/>
          <w:sz w:val="22"/>
          <w:u w:val="none" w:color="auto"/>
        </w:rPr>
        <w:t>15.7</w:t>
      </w:r>
      <w:r>
        <w:rPr>
          <w:rFonts w:hint="eastAsia" w:asciiTheme="minorEastAsia" w:hAnsiTheme="minorEastAsia" w:eastAsiaTheme="minorEastAsia"/>
          <w:color w:val="000000" w:themeColor="text1"/>
          <w:sz w:val="22"/>
          <w:u w:val="none" w:color="auto"/>
        </w:rPr>
        <w:t>と初めて全国平均を下回りましたが、平成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年には過去２番目の低さではありますが、</w:t>
      </w:r>
      <w:r>
        <w:rPr>
          <w:rFonts w:hint="eastAsia" w:asciiTheme="minorEastAsia" w:hAnsiTheme="minorEastAsia" w:eastAsiaTheme="minorEastAsia"/>
          <w:color w:val="000000" w:themeColor="text1"/>
          <w:sz w:val="22"/>
          <w:u w:val="none" w:color="auto"/>
        </w:rPr>
        <w:t>18</w:t>
      </w:r>
      <w:r>
        <w:rPr>
          <w:rFonts w:hint="eastAsia" w:asciiTheme="minorEastAsia" w:hAnsiTheme="minorEastAsia" w:eastAsiaTheme="minorEastAsia"/>
          <w:color w:val="000000" w:themeColor="text1"/>
          <w:sz w:val="22"/>
          <w:u w:val="none" w:color="auto"/>
        </w:rPr>
        <w:t>人増加し、</w:t>
      </w:r>
      <w:r>
        <w:rPr>
          <w:rFonts w:hint="eastAsia" w:asciiTheme="minorEastAsia" w:hAnsiTheme="minorEastAsia" w:eastAsiaTheme="minorEastAsia"/>
          <w:color w:val="000000" w:themeColor="text1"/>
          <w:sz w:val="22"/>
          <w:u w:val="none" w:color="auto"/>
        </w:rPr>
        <w:t>132</w:t>
      </w:r>
      <w:r>
        <w:rPr>
          <w:rFonts w:hint="eastAsia" w:asciiTheme="minorEastAsia" w:hAnsiTheme="minorEastAsia" w:eastAsiaTheme="minorEastAsia"/>
          <w:color w:val="000000" w:themeColor="text1"/>
          <w:sz w:val="22"/>
          <w:u w:val="none" w:color="auto"/>
        </w:rPr>
        <w:t>人になっており、自殺死亡者は依然</w:t>
      </w:r>
      <w:r>
        <w:rPr>
          <w:rFonts w:hint="eastAsia" w:asciiTheme="minorEastAsia" w:hAnsiTheme="minorEastAsia" w:eastAsiaTheme="minorEastAsia"/>
          <w:color w:val="000000" w:themeColor="text1"/>
          <w:sz w:val="22"/>
          <w:u w:val="none" w:color="auto"/>
        </w:rPr>
        <w:t>100</w:t>
      </w:r>
      <w:r>
        <w:rPr>
          <w:rFonts w:hint="eastAsia" w:asciiTheme="minorEastAsia" w:hAnsiTheme="minorEastAsia" w:eastAsiaTheme="minorEastAsia"/>
          <w:color w:val="000000" w:themeColor="text1"/>
          <w:sz w:val="22"/>
          <w:u w:val="none" w:color="auto"/>
        </w:rPr>
        <w:t>人を超えて推移しています。</w:t>
      </w:r>
    </w:p>
    <w:p>
      <w:pPr>
        <w:pStyle w:val="0"/>
        <w:rPr>
          <w:rFonts w:hint="default" w:asciiTheme="minorEastAsia" w:hAnsiTheme="minorEastAsia" w:eastAsiaTheme="minorEastAsia"/>
          <w:sz w:val="22"/>
        </w:rPr>
      </w:pPr>
      <w:r>
        <w:rPr>
          <w:rFonts w:hint="eastAsia"/>
        </w:rPr>
        <mc:AlternateContent>
          <mc:Choice Requires="wps">
            <w:drawing>
              <wp:anchor simplePos="0" relativeHeight="45" behindDoc="0" locked="0" layoutInCell="1" hidden="0" allowOverlap="1">
                <wp:simplePos x="0" y="0"/>
                <wp:positionH relativeFrom="page">
                  <wp:posOffset>5378450</wp:posOffset>
                </wp:positionH>
                <wp:positionV relativeFrom="page">
                  <wp:posOffset>4909820</wp:posOffset>
                </wp:positionV>
                <wp:extent cx="1097280" cy="247650"/>
                <wp:effectExtent l="0" t="0" r="635" b="635"/>
                <wp:wrapNone/>
                <wp:docPr id="1068" name="テキスト ボックス 1"/>
                <a:graphic xmlns:a="http://schemas.openxmlformats.org/drawingml/2006/main">
                  <a:graphicData uri="http://schemas.microsoft.com/office/word/2010/wordprocessingShape">
                    <wps:wsp>
                      <wps:cNvPr id="1068" name="テキスト ボックス 1"/>
                      <wps:cNvSpPr txBox="1"/>
                      <wps:spPr>
                        <a:xfrm>
                          <a:off x="0" y="0"/>
                          <a:ext cx="1097280" cy="247650"/>
                        </a:xfrm>
                        <a:prstGeom prst="rect">
                          <a:avLst/>
                        </a:prstGeom>
                      </wps:spPr>
                      <wps:txbx>
                        <w:txbxContent>
                          <w:p>
                            <w:pPr>
                              <w:pStyle w:val="0"/>
                              <w:snapToGrid w:val="0"/>
                              <w:rPr>
                                <w:rFonts w:hint="default"/>
                              </w:rPr>
                            </w:pPr>
                            <w:r>
                              <w:rPr>
                                <w:rFonts w:hint="default"/>
                                <w:sz w:val="16"/>
                              </w:rPr>
                              <w:t>出典：人口動態統計</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386.6pt;margin-left:423.5pt;mso-wrap-style:none;mso-position-horizontal-relative:page;mso-position-vertical-relative:page;position:absolute;height:19.5pt;width:86.4pt;z-index:45;" o:spid="_x0000_s1068" o:allowincell="t" o:allowoverlap="t" filled="f" stroked="f" o:spt="202" type="#_x0000_t202">
                <v:fill/>
                <v:textbox style="layout-flow:horizontal;">
                  <w:txbxContent>
                    <w:p>
                      <w:pPr>
                        <w:pStyle w:val="0"/>
                        <w:snapToGrid w:val="0"/>
                        <w:rPr>
                          <w:rFonts w:hint="default"/>
                        </w:rPr>
                      </w:pPr>
                      <w:r>
                        <w:rPr>
                          <w:rFonts w:hint="default"/>
                          <w:sz w:val="16"/>
                        </w:rPr>
                        <w:t>出典：人口動態統計</w:t>
                      </w:r>
                    </w:p>
                  </w:txbxContent>
                </v:textbox>
                <v:imagedata o:title=""/>
                <w10:wrap type="none" anchorx="page" anchory="page"/>
              </v:shape>
            </w:pict>
          </mc:Fallback>
        </mc:AlternateContent>
      </w:r>
      <w:r>
        <w:rPr>
          <w:rFonts w:hint="eastAsia" w:asciiTheme="minorEastAsia" w:hAnsiTheme="minorEastAsia" w:eastAsiaTheme="minorEastAsia"/>
        </w:rPr>
        <w:drawing>
          <wp:inline distT="0" distB="0" distL="0" distR="0">
            <wp:extent cx="5705475" cy="1856105"/>
            <wp:effectExtent l="0" t="0" r="0" b="0"/>
            <wp:docPr id="1069" name="オブジェクト 0"/>
            <a:graphic xmlns:a="http://schemas.openxmlformats.org/drawingml/2006/main">
              <a:graphicData uri="http://schemas.openxmlformats.org/drawingml/2006/chart">
                <c:chart xmlns:c="http://schemas.openxmlformats.org/drawingml/2006/chart" r:id="rId32"/>
              </a:graphicData>
            </a:graphic>
          </wp:inline>
        </w:drawing>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r>
        <w:rPr>
          <w:rFonts w:hint="eastAsia"/>
        </w:rPr>
        <mc:AlternateContent>
          <mc:Choice Requires="wps">
            <w:drawing>
              <wp:anchor simplePos="0" relativeHeight="10" behindDoc="0" locked="0" layoutInCell="1" hidden="0" allowOverlap="1">
                <wp:simplePos x="0" y="0"/>
                <wp:positionH relativeFrom="column">
                  <wp:posOffset>4514215</wp:posOffset>
                </wp:positionH>
                <wp:positionV relativeFrom="paragraph">
                  <wp:posOffset>2183130</wp:posOffset>
                </wp:positionV>
                <wp:extent cx="1104900" cy="213360"/>
                <wp:effectExtent l="0" t="0" r="635" b="635"/>
                <wp:wrapNone/>
                <wp:docPr id="1070" name="オブジェクト 0"/>
                <a:graphic xmlns:a="http://schemas.openxmlformats.org/drawingml/2006/main">
                  <a:graphicData uri="http://schemas.microsoft.com/office/word/2010/wordprocessingShape">
                    <wps:wsp>
                      <wps:cNvPr id="1070" name="オブジェクト 0"/>
                      <wps:cNvSpPr txBox="1">
                        <a:spLocks noChangeArrowheads="1"/>
                      </wps:cNvSpPr>
                      <wps:spPr>
                        <a:xfrm>
                          <a:off x="0" y="0"/>
                          <a:ext cx="1104900" cy="21336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出典：人口動態統計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1.9pt;margin-left:355.45pt;mso-position-horizontal-relative:text;mso-position-vertical-relative:text;position:absolute;height:16.8pt;width:87pt;z-index:10;" o:spid="_x0000_s1070"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出典：人口動態統計</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02935" cy="2127885"/>
            <wp:effectExtent l="0" t="0" r="0" b="0"/>
            <wp:docPr id="1071" name="オブジェクト 0"/>
            <a:graphic xmlns:a="http://schemas.openxmlformats.org/drawingml/2006/main">
              <a:graphicData uri="http://schemas.openxmlformats.org/drawingml/2006/chart">
                <c:chart xmlns:c="http://schemas.openxmlformats.org/drawingml/2006/chart" r:id="rId33"/>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14</w:t>
      </w:r>
      <w:r>
        <w:rPr>
          <w:rFonts w:hint="eastAsia" w:asciiTheme="minorEastAsia" w:hAnsiTheme="minorEastAsia" w:eastAsiaTheme="minorEastAsia"/>
          <w:b w:val="1"/>
          <w:color w:val="000000" w:themeColor="text1"/>
          <w:sz w:val="22"/>
          <w:u w:val="none" w:color="auto"/>
        </w:rPr>
        <w:t>）災害精神医療</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東日本大震災や熊本地震において、官民協働の心のケアチームや高知ＤＰＡＴを被災地に派遣し、精神疾患の治療を必要とする方や精神的不調、不安を抱えた方への心のケアなど、精神面の支援を行ってい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15</w:t>
      </w:r>
      <w:r>
        <w:rPr>
          <w:rFonts w:hint="eastAsia" w:asciiTheme="minorEastAsia" w:hAnsiTheme="minorEastAsia" w:eastAsiaTheme="minorEastAsia"/>
          <w:b w:val="1"/>
          <w:color w:val="000000" w:themeColor="text1"/>
          <w:sz w:val="22"/>
          <w:u w:val="none" w:color="auto"/>
        </w:rPr>
        <w:t>）医療観察法における対象者への医療</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県内に医療観察法による指定通院医療機関は、病院、診療所、薬局、訪問看護を合わせて</w:t>
      </w:r>
      <w:r>
        <w:rPr>
          <w:rFonts w:hint="eastAsia" w:asciiTheme="minorEastAsia" w:hAnsiTheme="minorEastAsia" w:eastAsiaTheme="minorEastAsia"/>
          <w:color w:val="000000" w:themeColor="text1"/>
          <w:sz w:val="22"/>
          <w:u w:val="none" w:color="auto"/>
        </w:rPr>
        <w:t>108</w:t>
      </w:r>
      <w:r>
        <w:rPr>
          <w:rFonts w:hint="eastAsia" w:asciiTheme="minorEastAsia" w:hAnsiTheme="minorEastAsia" w:eastAsiaTheme="minorEastAsia"/>
          <w:color w:val="000000" w:themeColor="text1"/>
          <w:sz w:val="22"/>
          <w:u w:val="none" w:color="auto"/>
        </w:rPr>
        <w:t>か所（平成</w:t>
      </w:r>
      <w:r>
        <w:rPr>
          <w:rFonts w:hint="eastAsia" w:asciiTheme="minorEastAsia" w:hAnsiTheme="minorEastAsia" w:eastAsiaTheme="minorEastAsia"/>
          <w:color w:val="000000" w:themeColor="text1"/>
          <w:sz w:val="22"/>
          <w:u w:val="none" w:color="auto"/>
        </w:rPr>
        <w:t>29</w:t>
      </w:r>
      <w:r>
        <w:rPr>
          <w:rFonts w:hint="eastAsia" w:asciiTheme="minorEastAsia" w:hAnsiTheme="minorEastAsia" w:eastAsiaTheme="minorEastAsia"/>
          <w:color w:val="000000" w:themeColor="text1"/>
          <w:sz w:val="22"/>
          <w:u w:val="none" w:color="auto"/>
        </w:rPr>
        <w:t>年</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月１日現在）となっています。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sz w:val="22"/>
          <w:bdr w:val="single" w:color="auto" w:sz="4" w:space="0"/>
        </w:rPr>
      </w:pPr>
      <w:r>
        <w:rPr>
          <w:rFonts w:hint="eastAsia" w:asciiTheme="minorEastAsia" w:hAnsiTheme="minorEastAsia" w:eastAsiaTheme="minorEastAsia"/>
          <w:b w:val="1"/>
          <w:color w:val="auto"/>
          <w:sz w:val="22"/>
          <w:bdr w:val="single" w:color="auto" w:sz="4" w:space="0"/>
          <w:shd w:val="clear" w:color="auto" w:themeFill="accent4" w:themeFillTint="33" w:themeFillShade="FF"/>
        </w:rPr>
        <w:t>課題</w:t>
      </w:r>
    </w:p>
    <w:p>
      <w:pPr>
        <w:pStyle w:val="0"/>
        <w:rPr>
          <w:rFonts w:hint="default" w:asciiTheme="minorEastAsia" w:hAnsiTheme="minorEastAsia" w:eastAsiaTheme="minorEastAsia"/>
          <w:b w:val="1"/>
          <w:color w:val="538DD5" w:themeColor="text2" w:themeTint="99"/>
          <w:sz w:val="22"/>
          <w:u w:val="none" w:color="auto"/>
        </w:rPr>
      </w:pPr>
      <w:r>
        <w:rPr>
          <w:rFonts w:hint="eastAsia" w:asciiTheme="minorEastAsia" w:hAnsiTheme="minorEastAsia" w:eastAsiaTheme="minorEastAsia"/>
          <w:b w:val="1"/>
          <w:color w:val="538DD5" w:themeColor="text2" w:themeTint="99"/>
          <w:sz w:val="22"/>
          <w:u w:val="none" w:color="auto"/>
        </w:rPr>
        <w:t>１　多様な精神疾患等ごとに対応できる医療連携体制の構築</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（１）早期発見・早期治療</w:t>
      </w:r>
    </w:p>
    <w:p>
      <w:pPr>
        <w:pStyle w:val="0"/>
        <w:ind w:left="179" w:leftChars="85" w:firstLineChars="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疾患は、症状が多様であるとともに自覚しにくいという特徴があるため、症状が比較的軽いうちには精神科医療機関を受診せず、症状が重くなり入院治療が必要になって初めて精神科医療機関を受診するという場合が少なくありません。</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また、重症化してから入院すると、治療が困難になるなど、長期の入院が必要になってしまう場合もあります。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発症してからできるだけ早期に必要な精神科医療が提供されれば、回復し、再び地域生活や社会生活を営むことができるようになります。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このほか、発達障害や児童・思春期精神疾患など、小児期の精神疾患に対応できる医師の育成や確保を図る取組や小児期から成人期へ成長する過程のなかでの医療機関の連携の強化が必要となっています。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また、多様な精神疾患等に対応できるよう、医師をはじめとした医療従事者の養成や確保も必要となっています。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そのため、多様な精神疾患等ごとに患者に応じた質の高い精神科医療の提供体制の構築が必要であり、医療機関の役割分担を整理し、相互の連携を推進するとともに、患者本位の医療を実現していける体制を構築していく必要があり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（２）精神科救急、身体合併症</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精神科救急は、中央保健医療圏で、平日夜間（１病院）、休日（６病院輪番）で、安芸、幡多の保健医療圏ではそれぞれ１病院が</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時間対応できる体制をとっていますが、身体疾患を合併した患者など、状態に応じた医療機関を紹介したり、</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w:t>
      </w:r>
      <w:r>
        <w:rPr>
          <w:rFonts w:hint="eastAsia" w:asciiTheme="minorEastAsia" w:hAnsiTheme="minorEastAsia" w:eastAsiaTheme="minorEastAsia"/>
          <w:color w:val="000000" w:themeColor="text1"/>
          <w:sz w:val="22"/>
          <w:u w:val="none" w:color="auto"/>
        </w:rPr>
        <w:t>365</w:t>
      </w:r>
      <w:r>
        <w:rPr>
          <w:rFonts w:hint="eastAsia" w:asciiTheme="minorEastAsia" w:hAnsiTheme="minorEastAsia" w:eastAsiaTheme="minorEastAsia"/>
          <w:color w:val="000000" w:themeColor="text1"/>
          <w:sz w:val="22"/>
          <w:u w:val="none" w:color="auto"/>
        </w:rPr>
        <w:t>日対応できる相談窓口が設置されていないなど、身体合併症や緊急的な精神医療相談に対応した体制は整備されていません。</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（３）災害精神医療</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大規模災害に備え、発災時に速やかに対応し、精神障害者や被災者への精神的ケアなどに適切に対応できる体制の構築を図っていく必要があります。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538DD5" w:themeColor="text2" w:themeTint="99"/>
          <w:sz w:val="22"/>
          <w:u w:val="none" w:color="auto"/>
        </w:rPr>
      </w:pPr>
      <w:r>
        <w:rPr>
          <w:rFonts w:hint="eastAsia" w:asciiTheme="minorEastAsia" w:hAnsiTheme="minorEastAsia" w:eastAsiaTheme="minorEastAsia"/>
          <w:b w:val="1"/>
          <w:color w:val="538DD5" w:themeColor="text2" w:themeTint="99"/>
          <w:sz w:val="22"/>
          <w:u w:val="none" w:color="auto"/>
        </w:rPr>
        <w:t>２　精神障害にも対応した地域包括ケアシステムの構築</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精神疾患は全ての人にとって身近な病気であり、精神障害の有無や程度にかかわらず、誰もが安心して自分らしく暮らすことができるような地域づくりを進める必要があります。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長期の入院が必要となっている精神障害者が地域へ移行していくためには、精神科病院や地域援助事業者による努力だけでは限界があり、自治体を中心とした地域精神保健医療福祉の一体的な取組の推進に加えて、地域住民の協力を得ながら、差別や偏見のない、あらゆる人が共生できる社会を構築していく必要があります。</w:t>
      </w:r>
    </w:p>
    <w:p>
      <w:pPr>
        <w:pStyle w:val="0"/>
        <w:ind w:left="181" w:leftChars="86" w:firstLine="40" w:firstLineChars="18"/>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このため、精神障害者が地域の一員として安心して自分らしい暮らしをすることができるよう、精神障害にも対応した地域包括ケアシステムの構築を進める必要があり、精神科医療機関、その他の医療機関、地域の援助事業者、市町村などとの重層的な連携支援体制や本人の意思を尊重した多職種協働による支援体制の構築と地域で暮らしていくための基盤整備が必要で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b w:val="1"/>
          <w:color w:val="auto"/>
          <w:sz w:val="22"/>
          <w:bdr w:val="single" w:color="auto" w:sz="4" w:space="0"/>
          <w:shd w:val="clear" w:color="auto" w:themeFill="accent4" w:themeFillTint="33" w:themeFillShade="FF"/>
        </w:rPr>
        <w:t>対策</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538DD5" w:themeColor="text2" w:themeTint="99"/>
          <w:sz w:val="22"/>
          <w:u w:val="none" w:color="auto"/>
        </w:rPr>
        <w:t>１　多様な精神疾患等ごとに対応できる医療連携体制の構築</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（１）早期発見・早期治療</w:t>
      </w:r>
    </w:p>
    <w:p>
      <w:pPr>
        <w:pStyle w:val="0"/>
        <w:ind w:left="181" w:leftChars="86" w:firstLine="218" w:firstLineChars="99"/>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県は、精神疾患や精神障害に対する正しい知識の普及啓発の取組を進め、重症化することなく、早期に精神科医療機関の受診につながる環境整備を推進します。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うつ病等精神疾患の患者を最初に診察することが多いかかりつけ医に、精神疾患についての診療の知識・技術などを習得してもらい、かかりつけ医と精神疾患等の専門医との連携を推進することで、自殺の原因の一つと言われているうつ病など、精神疾患を早期に発見し、適切な治療につなげる取組を推進し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認知症では、診察時に認知症について相談できるよう認知症についての研修を終了した医師を「こうちオレンジドクター」として登録し、名簿を県のホームページで公表するなど、早期発見・早期治療につなげる取組も行って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若年性の認知症の方については、若年性認知症支援コーディネーターを設置し、こうちオレンジドクターや地域包括支援センター等と連携して、早期に発見し、適切な医療や支援につなげる体制づくりを行って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このほか、各保健医療圏に地域型、県中央部に基幹型の認知症疾患医療センターを設置しており、地域型では、かかりつけ医等との医療連携を図っていくとともに、地域包括支援センターや介護事業所との連携支援体制を築き、基幹型では、人材育成や地域型の後方支援を行って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発達障害や児童・思春期精神疾患など、小児期の精神疾患では、対応できる医師の養成やその他専門職による支援の技術力向上を図るほか、地域の医療機関、保健、福祉、教育等の関係機関による連携体制の構築にも取り組んで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多様な精神疾患等に対応できるよう、医師をはじめとした医療従事者の養成や確保に取り組んでいくほか、多職種連携・多施設連携を推進し、医療機関相互の連携体制の構築を進めるため、不足している医療機能や調整・整理が必要な医療機能など、地域の実情を勘案し、医療機関の地域における連携拠点機能及び県における連携拠点機能の強化を図り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（２）精神科救急、身体合併症</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県は、精神科救急において、中央、安芸、幡多の保健医療圏での</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時間対応できる体制を継続していくとともに、身体疾患を合併した患者など、状態に応じた医療機関を紹介する精神科救急情報センターや、緊急的な精神医療相談に</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w:t>
      </w:r>
      <w:r>
        <w:rPr>
          <w:rFonts w:hint="eastAsia" w:asciiTheme="minorEastAsia" w:hAnsiTheme="minorEastAsia" w:eastAsiaTheme="minorEastAsia"/>
          <w:color w:val="000000" w:themeColor="text1"/>
          <w:sz w:val="22"/>
          <w:u w:val="none" w:color="auto"/>
        </w:rPr>
        <w:t>365</w:t>
      </w:r>
      <w:r>
        <w:rPr>
          <w:rFonts w:hint="eastAsia" w:asciiTheme="minorEastAsia" w:hAnsiTheme="minorEastAsia" w:eastAsiaTheme="minorEastAsia"/>
          <w:color w:val="000000" w:themeColor="text1"/>
          <w:sz w:val="22"/>
          <w:u w:val="none" w:color="auto"/>
        </w:rPr>
        <w:t>日対応できる精神科救急相談窓口を設置します。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（３）災害精神医療</w:t>
      </w:r>
    </w:p>
    <w:p>
      <w:pPr>
        <w:pStyle w:val="0"/>
        <w:ind w:left="220" w:hanging="220" w:hangingChars="100"/>
        <w:rPr>
          <w:rFonts w:hint="default" w:asciiTheme="minorEastAsia" w:hAnsiTheme="minorEastAsia" w:eastAsiaTheme="minorEastAsia"/>
          <w:i w:val="1"/>
          <w:color w:val="000000" w:themeColor="text1"/>
          <w:sz w:val="22"/>
          <w:u w:val="none" w:color="auto"/>
        </w:rPr>
      </w:pPr>
      <w:r>
        <w:rPr>
          <w:rFonts w:hint="eastAsia" w:asciiTheme="minorEastAsia" w:hAnsiTheme="minorEastAsia" w:eastAsiaTheme="minorEastAsia"/>
          <w:color w:val="000000" w:themeColor="text1"/>
          <w:sz w:val="22"/>
          <w:u w:val="none" w:color="auto"/>
        </w:rPr>
        <w:t>　　県は、大規模災害に備えて、ＤＰＡＴ隊員等の人材養成や訓練を行い、また被災地での精神障害者や被災者への適切なケアを行えるよう、発災時の速やかなＤＰＡＴの編成、派遣が行える体制の整備を行うとともに、ＤＰＡＴ等の受入体制を整備し、適切な精神科医療等が提供できるよう災害時の医療提供体制の構築を図ります。</w:t>
      </w:r>
    </w:p>
    <w:p>
      <w:pPr>
        <w:pStyle w:val="0"/>
        <w:rPr>
          <w:rFonts w:hint="default" w:asciiTheme="minorEastAsia" w:hAnsiTheme="minorEastAsia" w:eastAsiaTheme="minorEastAsia"/>
          <w:i w:val="1"/>
          <w:color w:val="000000" w:themeColor="text1"/>
          <w:sz w:val="22"/>
          <w:u w:val="none" w:color="auto"/>
        </w:rPr>
      </w:pPr>
    </w:p>
    <w:p>
      <w:pPr>
        <w:pStyle w:val="0"/>
        <w:rPr>
          <w:rFonts w:hint="default" w:asciiTheme="minorEastAsia" w:hAnsiTheme="minorEastAsia" w:eastAsiaTheme="minorEastAsia"/>
          <w:color w:val="538DD5" w:themeColor="text2" w:themeTint="99"/>
          <w:sz w:val="22"/>
          <w:u w:val="none" w:color="auto"/>
        </w:rPr>
      </w:pPr>
      <w:r>
        <w:rPr>
          <w:rFonts w:hint="eastAsia" w:asciiTheme="minorEastAsia" w:hAnsiTheme="minorEastAsia" w:eastAsiaTheme="minorEastAsia"/>
          <w:b w:val="1"/>
          <w:color w:val="538DD5" w:themeColor="text2" w:themeTint="99"/>
          <w:sz w:val="22"/>
          <w:u w:val="none" w:color="auto"/>
        </w:rPr>
        <w:t>２　精神障害にも対応した地域包括ケアシステムの構築</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及び市町村は、退院可能な精神障害者の退院を促進し、地域に定着するための取組を推進していくため、精神科病院や地域の援助事業者の取組だけではなく、自治体を中心とした地域精神保健医療福祉の一体的な取組を推進し、地域住民の協力も得ながら、差別や偏見のない、あらゆる人が共生できる社会の構築を進めていき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精神科医療機関、その他の医療機関、地域の援助事業者、市町村などとの多職種協働による重層的な連携支援体制の構築を図り、精神障害者が生活の場で必要な支援を受けられる基盤整備を促進します。</w:t>
      </w:r>
    </w:p>
    <w:p>
      <w:pPr>
        <w:pStyle w:val="0"/>
        <w:ind w:left="210" w:leftChars="100" w:firstLine="220" w:firstLineChars="100"/>
        <w:rPr>
          <w:rFonts w:hint="default"/>
          <w:color w:val="000000" w:themeColor="text1"/>
          <w:sz w:val="22"/>
          <w:u w:val="none" w:color="auto"/>
        </w:rPr>
      </w:pPr>
      <w:r>
        <w:rPr>
          <w:rFonts w:hint="eastAsia" w:asciiTheme="minorEastAsia" w:hAnsiTheme="minorEastAsia" w:eastAsiaTheme="minorEastAsia"/>
          <w:color w:val="000000" w:themeColor="text1"/>
          <w:sz w:val="22"/>
          <w:u w:val="none" w:color="auto"/>
        </w:rPr>
        <w:t>県及び市町村は、精神障害のある方々が、地域の一員として安心して自分らしい暮らしができるよう、統合失調症、うつ病や認知症などの多様な精神疾患を持つ方々にも</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対応した地域包括ケアシステムの構築を図ります。</w:t>
      </w:r>
    </w:p>
    <w:p>
      <w:pPr>
        <w:pStyle w:val="0"/>
        <w:widowControl w:val="1"/>
        <w:jc w:val="left"/>
        <w:rPr>
          <w:rFonts w:hint="default"/>
        </w:rPr>
      </w:pPr>
      <w:r>
        <w:rPr>
          <w:rFonts w:hint="default"/>
        </w:rPr>
        <w:br w:type="page"/>
      </w:r>
    </w:p>
    <w:p>
      <w:pPr>
        <w:pStyle w:val="0"/>
        <w:rPr>
          <w:rFonts w:hint="default" w:ascii="ＭＳ 明朝" w:hAnsi="ＭＳ 明朝" w:eastAsia="ＭＳ 明朝"/>
          <w:b w:val="0"/>
          <w:bdr w:val="single" w:color="auto" w:sz="4" w:space="0"/>
        </w:rPr>
      </w:pPr>
      <w:r>
        <w:rPr>
          <w:rFonts w:hint="eastAsia" w:ascii="ＭＳ 明朝" w:hAnsi="ＭＳ 明朝" w:eastAsia="ＭＳ 明朝"/>
          <w:b w:val="1"/>
          <w:color w:val="000000" w:themeColor="text1"/>
          <w:kern w:val="0"/>
          <w:sz w:val="22"/>
          <w:highlight w:val="none"/>
          <w:bdr w:val="single" w:color="auto" w:sz="4" w:space="0"/>
          <w:shd w:val="clear" w:color="auto" w:themeFill="accent4" w:themeFillTint="33" w:themeFillShade="FF"/>
        </w:rPr>
        <w:t>目標</w:t>
      </w:r>
      <w:bookmarkStart w:id="0" w:name="_GoBack"/>
      <w:bookmarkEnd w:id="0"/>
    </w:p>
    <w:p>
      <w:pPr>
        <w:pStyle w:val="0"/>
        <w:rPr>
          <w:rFonts w:hint="default" w:ascii="ＭＳ 明朝" w:hAnsi="ＭＳ 明朝" w:eastAsia="ＭＳ 明朝"/>
          <w:bdr w:val="single" w:color="auto" w:sz="4" w:space="0"/>
        </w:rPr>
      </w:pPr>
    </w:p>
    <w:tbl>
      <w:tblPr>
        <w:tblStyle w:val="24"/>
        <w:tblW w:w="9011" w:type="dxa"/>
        <w:jc w:val="left"/>
        <w:tblInd w:w="277" w:type="dxa"/>
        <w:tblLayout w:type="fixed"/>
        <w:tblLook w:firstRow="1" w:lastRow="0" w:firstColumn="1" w:lastColumn="0" w:noHBand="0" w:noVBand="1" w:val="04A0"/>
      </w:tblPr>
      <w:tblGrid>
        <w:gridCol w:w="317"/>
        <w:gridCol w:w="3143"/>
        <w:gridCol w:w="1811"/>
        <w:gridCol w:w="1896"/>
        <w:gridCol w:w="1844"/>
      </w:tblGrid>
      <w:tr>
        <w:trPr/>
        <w:tc>
          <w:tcPr>
            <w:tcW w:w="321" w:type="dxa"/>
            <w:shd w:val="clear" w:color="auto" w:fill="D4EBED"/>
            <w:vAlign w:val="center"/>
          </w:tcPr>
          <w:p>
            <w:pPr>
              <w:pStyle w:val="0"/>
              <w:snapToGrid w:val="0"/>
              <w:rPr>
                <w:rFonts w:hint="eastAsia" w:ascii="ＭＳ 明朝" w:hAnsi="ＭＳ 明朝" w:eastAsia="ＭＳ 明朝"/>
              </w:rPr>
            </w:pPr>
            <w:r>
              <w:rPr>
                <w:rFonts w:hint="eastAsia" w:ascii="ＭＳ 明朝" w:hAnsi="ＭＳ 明朝" w:eastAsia="ＭＳ 明朝"/>
                <w:sz w:val="18"/>
              </w:rPr>
              <w:t>区分</w:t>
            </w:r>
          </w:p>
        </w:tc>
        <w:tc>
          <w:tcPr>
            <w:tcW w:w="3300" w:type="dxa"/>
            <w:shd w:val="clear" w:color="auto" w:fill="D4EBED"/>
            <w:vAlign w:val="center"/>
          </w:tcPr>
          <w:p>
            <w:pPr>
              <w:pStyle w:val="0"/>
              <w:jc w:val="center"/>
              <w:rPr>
                <w:rFonts w:hint="default" w:ascii="ＭＳ 明朝" w:hAnsi="ＭＳ 明朝" w:eastAsia="ＭＳ 明朝"/>
              </w:rPr>
            </w:pPr>
            <w:r>
              <w:rPr>
                <w:rFonts w:hint="eastAsia" w:ascii="ＭＳ 明朝" w:hAnsi="ＭＳ 明朝" w:eastAsia="ＭＳ 明朝"/>
              </w:rPr>
              <w:t>項　　目</w:t>
            </w:r>
          </w:p>
        </w:tc>
        <w:tc>
          <w:tcPr>
            <w:tcW w:w="1896" w:type="dxa"/>
            <w:shd w:val="clear" w:color="auto" w:fill="D4EBED"/>
            <w:vAlign w:val="top"/>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直近値</w:t>
            </w:r>
          </w:p>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（平成</w:t>
            </w:r>
            <w:r>
              <w:rPr>
                <w:rFonts w:hint="eastAsia" w:ascii="ＭＳ 明朝" w:hAnsi="ＭＳ 明朝" w:eastAsia="ＭＳ 明朝"/>
                <w:color w:val="000000" w:themeColor="text1"/>
                <w:sz w:val="20"/>
                <w:u w:val="none" w:color="auto"/>
              </w:rPr>
              <w:t>28</w:t>
            </w:r>
            <w:r>
              <w:rPr>
                <w:rFonts w:hint="eastAsia" w:ascii="ＭＳ 明朝" w:hAnsi="ＭＳ 明朝" w:eastAsia="ＭＳ 明朝"/>
                <w:color w:val="000000" w:themeColor="text1"/>
                <w:sz w:val="20"/>
                <w:u w:val="none" w:color="auto"/>
              </w:rPr>
              <w:t>年）</w:t>
            </w:r>
          </w:p>
        </w:tc>
        <w:tc>
          <w:tcPr>
            <w:tcW w:w="1985" w:type="dxa"/>
            <w:shd w:val="clear" w:color="auto" w:fill="D4EBED"/>
            <w:vAlign w:val="top"/>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目標</w:t>
            </w:r>
          </w:p>
          <w:p>
            <w:pPr>
              <w:pStyle w:val="0"/>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（平成</w:t>
            </w:r>
            <w:r>
              <w:rPr>
                <w:rFonts w:hint="eastAsia" w:ascii="ＭＳ 明朝" w:hAnsi="ＭＳ 明朝" w:eastAsia="ＭＳ 明朝"/>
                <w:color w:val="000000" w:themeColor="text1"/>
                <w:sz w:val="20"/>
                <w:u w:val="none" w:color="auto"/>
              </w:rPr>
              <w:t>32</w:t>
            </w:r>
            <w:r>
              <w:rPr>
                <w:rFonts w:hint="eastAsia" w:ascii="ＭＳ 明朝" w:hAnsi="ＭＳ 明朝" w:eastAsia="ＭＳ 明朝"/>
                <w:color w:val="000000" w:themeColor="text1"/>
                <w:sz w:val="20"/>
                <w:u w:val="none" w:color="auto"/>
              </w:rPr>
              <w:t>年度末）</w:t>
            </w:r>
          </w:p>
        </w:tc>
        <w:tc>
          <w:tcPr>
            <w:tcW w:w="1931" w:type="dxa"/>
            <w:shd w:val="clear" w:color="auto" w:fill="D4EBED"/>
            <w:vAlign w:val="top"/>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目標</w:t>
            </w:r>
          </w:p>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（平成</w:t>
            </w:r>
            <w:r>
              <w:rPr>
                <w:rFonts w:hint="eastAsia" w:ascii="ＭＳ 明朝" w:hAnsi="ＭＳ 明朝" w:eastAsia="ＭＳ 明朝"/>
                <w:color w:val="000000" w:themeColor="text1"/>
                <w:sz w:val="20"/>
                <w:u w:val="none" w:color="auto"/>
              </w:rPr>
              <w:t>36</w:t>
            </w:r>
            <w:r>
              <w:rPr>
                <w:rFonts w:hint="eastAsia" w:ascii="ＭＳ 明朝" w:hAnsi="ＭＳ 明朝" w:eastAsia="ＭＳ 明朝"/>
                <w:color w:val="000000" w:themeColor="text1"/>
                <w:sz w:val="20"/>
                <w:u w:val="none" w:color="auto"/>
              </w:rPr>
              <w:t>年度末）</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精神病床における急性期（</w:t>
            </w:r>
            <w:r>
              <w:rPr>
                <w:rFonts w:hint="eastAsia" w:ascii="ＭＳ 明朝" w:hAnsi="ＭＳ 明朝" w:eastAsia="ＭＳ 明朝"/>
                <w:color w:val="000000" w:themeColor="text1"/>
                <w:sz w:val="18"/>
                <w:u w:val="none" w:color="auto"/>
              </w:rPr>
              <w:t>3</w:t>
            </w:r>
            <w:r>
              <w:rPr>
                <w:rFonts w:hint="eastAsia" w:ascii="ＭＳ 明朝" w:hAnsi="ＭＳ 明朝" w:eastAsia="ＭＳ 明朝"/>
                <w:color w:val="000000" w:themeColor="text1"/>
                <w:sz w:val="18"/>
                <w:u w:val="none" w:color="auto"/>
              </w:rPr>
              <w:t>か月未満）入院需要（患者数）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642</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557</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540</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精神病床における回復期（</w:t>
            </w:r>
            <w:r>
              <w:rPr>
                <w:rFonts w:hint="eastAsia" w:ascii="ＭＳ 明朝" w:hAnsi="ＭＳ 明朝" w:eastAsia="ＭＳ 明朝"/>
                <w:color w:val="000000" w:themeColor="text1"/>
                <w:sz w:val="16"/>
                <w:u w:val="none" w:color="auto"/>
              </w:rPr>
              <w:t>3</w:t>
            </w:r>
            <w:r>
              <w:rPr>
                <w:rFonts w:hint="eastAsia" w:ascii="ＭＳ 明朝" w:hAnsi="ＭＳ 明朝" w:eastAsia="ＭＳ 明朝"/>
                <w:color w:val="000000" w:themeColor="text1"/>
                <w:sz w:val="16"/>
                <w:u w:val="none" w:color="auto"/>
              </w:rPr>
              <w:t>か月以上</w:t>
            </w:r>
            <w:r>
              <w:rPr>
                <w:rFonts w:hint="eastAsia" w:ascii="ＭＳ 明朝" w:hAnsi="ＭＳ 明朝" w:eastAsia="ＭＳ 明朝"/>
                <w:color w:val="000000" w:themeColor="text1"/>
                <w:sz w:val="16"/>
                <w:u w:val="none" w:color="auto"/>
              </w:rPr>
              <w:t>1</w:t>
            </w:r>
            <w:r>
              <w:rPr>
                <w:rFonts w:hint="eastAsia" w:ascii="ＭＳ 明朝" w:hAnsi="ＭＳ 明朝" w:eastAsia="ＭＳ 明朝"/>
                <w:color w:val="000000" w:themeColor="text1"/>
                <w:sz w:val="16"/>
                <w:u w:val="none" w:color="auto"/>
              </w:rPr>
              <w:t>年未満）入院需要（患者数）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487</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524</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516</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精神病床における慢性期（</w:t>
            </w:r>
            <w:r>
              <w:rPr>
                <w:rFonts w:hint="eastAsia" w:ascii="ＭＳ 明朝" w:hAnsi="ＭＳ 明朝" w:eastAsia="ＭＳ 明朝"/>
                <w:color w:val="000000" w:themeColor="text1"/>
                <w:sz w:val="18"/>
                <w:u w:val="none" w:color="auto"/>
              </w:rPr>
              <w:t>1</w:t>
            </w:r>
            <w:r>
              <w:rPr>
                <w:rFonts w:hint="eastAsia" w:ascii="ＭＳ 明朝" w:hAnsi="ＭＳ 明朝" w:eastAsia="ＭＳ 明朝"/>
                <w:color w:val="000000" w:themeColor="text1"/>
                <w:sz w:val="18"/>
                <w:u w:val="none" w:color="auto"/>
              </w:rPr>
              <w:t>年以上）入院需要（患者数）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1,820</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1,757</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1,302</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精神病床における慢性期入院需要（</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歳以上患者数）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1,231</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1,315</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1,020</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精神病床における慢性期入院需要（</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歳未満患者数）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w:t>
            </w:r>
            <w:r>
              <w:rPr>
                <w:rFonts w:hint="eastAsia" w:ascii="ＭＳ 明朝" w:hAnsi="ＭＳ 明朝" w:eastAsia="ＭＳ 明朝"/>
                <w:color w:val="000000" w:themeColor="text1"/>
                <w:sz w:val="20"/>
                <w:u w:val="none" w:color="auto"/>
              </w:rPr>
              <w:t>589</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442</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282</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精神病床における入院需要</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（患者数）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2,949</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2,838</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2,358</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S</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地域移行に伴う基盤整備量</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（利用者数）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346</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754</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S</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地域移行に伴う基盤整備量</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歳以上利用者数）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230</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511</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S</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地域移行に伴う基盤整備量</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歳未満利用者数）</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116</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243</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精神病床における入院後</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3</w:t>
            </w:r>
            <w:r>
              <w:rPr>
                <w:rFonts w:hint="eastAsia" w:ascii="ＭＳ 明朝" w:hAnsi="ＭＳ 明朝" w:eastAsia="ＭＳ 明朝"/>
                <w:color w:val="000000" w:themeColor="text1"/>
                <w:sz w:val="18"/>
                <w:u w:val="none" w:color="auto"/>
              </w:rPr>
              <w:t>か月時点の退院率</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61.6</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70.8</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精神病床における入院後</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6</w:t>
            </w:r>
            <w:r>
              <w:rPr>
                <w:rFonts w:hint="eastAsia" w:ascii="ＭＳ 明朝" w:hAnsi="ＭＳ 明朝" w:eastAsia="ＭＳ 明朝"/>
                <w:color w:val="000000" w:themeColor="text1"/>
                <w:sz w:val="18"/>
                <w:u w:val="none" w:color="auto"/>
              </w:rPr>
              <w:t>か月時点の退院率</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80.3</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87.9</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r>
      <w:tr>
        <w:trPr/>
        <w:tc>
          <w:tcPr>
            <w:tcW w:w="321"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300"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精神病床における入院後</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1</w:t>
            </w:r>
            <w:r>
              <w:rPr>
                <w:rFonts w:hint="eastAsia" w:ascii="ＭＳ 明朝" w:hAnsi="ＭＳ 明朝" w:eastAsia="ＭＳ 明朝"/>
                <w:color w:val="000000" w:themeColor="text1"/>
                <w:sz w:val="18"/>
                <w:u w:val="none" w:color="auto"/>
              </w:rPr>
              <w:t>年時点の退院率</w:t>
            </w:r>
          </w:p>
        </w:tc>
        <w:tc>
          <w:tcPr>
            <w:tcW w:w="1896"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86.6</w:t>
            </w:r>
          </w:p>
        </w:tc>
        <w:tc>
          <w:tcPr>
            <w:tcW w:w="1985"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93.2</w:t>
            </w:r>
          </w:p>
        </w:tc>
        <w:tc>
          <w:tcPr>
            <w:tcW w:w="1931"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r>
    </w:tbl>
    <w:p>
      <w:pPr>
        <w:pStyle w:val="0"/>
        <w:rPr>
          <w:rFonts w:hint="default" w:ascii="ＭＳ 明朝" w:hAnsi="ＭＳ 明朝" w:eastAsia="ＭＳ 明朝"/>
        </w:rPr>
      </w:pPr>
      <w:r>
        <w:rPr>
          <w:rFonts w:hint="eastAsia"/>
        </w:rPr>
        <mc:AlternateContent>
          <mc:Choice Requires="wps">
            <w:drawing>
              <wp:anchor distT="0" distB="0" distL="71755" distR="71755" simplePos="0" relativeHeight="48" behindDoc="0" locked="0" layoutInCell="1" hidden="0" allowOverlap="1">
                <wp:simplePos x="0" y="0"/>
                <wp:positionH relativeFrom="column">
                  <wp:posOffset>105410</wp:posOffset>
                </wp:positionH>
                <wp:positionV relativeFrom="paragraph">
                  <wp:posOffset>141605</wp:posOffset>
                </wp:positionV>
                <wp:extent cx="5674995" cy="27559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txBox="1"/>
                      <wps:spPr>
                        <a:xfrm>
                          <a:off x="0" y="0"/>
                          <a:ext cx="5674995" cy="2755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1.15pt;margin-left:8.3000000000000007pt;mso-position-horizontal-relative:text;mso-position-vertical-relative:text;position:absolute;height:21.7pt;width:446.85pt;z-index:48;" o:spid="_x0000_s107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v:textbox>
                <v:imagedata o:title=""/>
                <w10:wrap type="none" anchorx="text" anchory="text"/>
              </v:shape>
            </w:pict>
          </mc:Fallback>
        </mc:AlternateContent>
      </w:r>
    </w:p>
    <w:sectPr>
      <w:footerReference r:id="rId5" w:type="default"/>
      <w:pgSz w:w="11906" w:h="16838"/>
      <w:pgMar w:top="1417" w:right="1417" w:bottom="1417" w:left="1417" w:header="737" w:footer="720" w:gutter="0"/>
      <w:pgNumType w:fmt="numberInDash" w:start="17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asciiTheme="minorEastAsia" w:hAnsiTheme="minorEastAsia" w:eastAsiaTheme="minorEastAsia"/>
        <w:sz w:val="22"/>
      </w:rPr>
      <w:id w:val="31643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sz w:val="22"/>
          </w:rPr>
          <w:t>- 189 -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charts/chart12.xml" Id="rId17" Type="http://schemas.openxmlformats.org/officeDocument/2006/relationships/chart"/><Relationship Target="charts/chart19.xml" Id="rId24" Type="http://schemas.openxmlformats.org/officeDocument/2006/relationships/chart"/><Relationship Target="charts/chart9.xml" Id="rId14" Type="http://schemas.openxmlformats.org/officeDocument/2006/relationships/chart"/><Relationship Target="styles.xml" Id="rId2" Type="http://schemas.openxmlformats.org/officeDocument/2006/relationships/styles"/><Relationship Target="charts/chart18.xml" Id="rId23" Type="http://schemas.openxmlformats.org/officeDocument/2006/relationships/chart"/><Relationship Target="charts/chart10.xml" Id="rId15" Type="http://schemas.openxmlformats.org/officeDocument/2006/relationships/chart"/><Relationship Target="charts/chart17.xml" Id="rId22" Type="http://schemas.openxmlformats.org/officeDocument/2006/relationships/chart"/><Relationship Target="footer1.xml" Id="rId5" Type="http://schemas.openxmlformats.org/officeDocument/2006/relationships/footer"/><Relationship Target="charts/chart7.xml" Id="rId12" Type="http://schemas.openxmlformats.org/officeDocument/2006/relationships/chart"/><Relationship Target="charts/chart16.xml" Id="rId21" Type="http://schemas.openxmlformats.org/officeDocument/2006/relationships/chart"/><Relationship Target="charts/chart24.xml" Id="rId29" Type="http://schemas.openxmlformats.org/officeDocument/2006/relationships/chart"/><Relationship Target="theme/theme1.xml" Id="rId4" Type="http://schemas.openxmlformats.org/officeDocument/2006/relationships/theme"/><Relationship Target="charts/chart8.xml" Id="rId13" Type="http://schemas.openxmlformats.org/officeDocument/2006/relationships/chart"/><Relationship Target="charts/chart15.xml" Id="rId20" Type="http://schemas.openxmlformats.org/officeDocument/2006/relationships/chart"/><Relationship Target="charts/chart23.xml" Id="rId28" Type="http://schemas.openxmlformats.org/officeDocument/2006/relationships/chart"/><Relationship Target="charts/chart25.xml" Id="rId30" Type="http://schemas.openxmlformats.org/officeDocument/2006/relationships/chart"/><Relationship Target="charts/chart2.xml" Id="rId7" Type="http://schemas.openxmlformats.org/officeDocument/2006/relationships/chart"/><Relationship Target="charts/chart5.xml" Id="rId10" Type="http://schemas.openxmlformats.org/officeDocument/2006/relationships/chart"/><Relationship Target="charts/chart13.xml" Id="rId18" Type="http://schemas.openxmlformats.org/officeDocument/2006/relationships/chart"/><Relationship Target="charts/chart22.xml" Id="rId27" Type="http://schemas.openxmlformats.org/officeDocument/2006/relationships/chart"/><Relationship Target="charts/chart26.xml" Id="rId31" Type="http://schemas.openxmlformats.org/officeDocument/2006/relationships/chart"/><Relationship Target="charts/chart1.xml" Id="rId6" Type="http://schemas.openxmlformats.org/officeDocument/2006/relationships/chart"/><Relationship Target="fontTable.xml" Id="rId1" Type="http://schemas.openxmlformats.org/officeDocument/2006/relationships/fontTable"/><Relationship Target="charts/chart6.xml" Id="rId11" Type="http://schemas.openxmlformats.org/officeDocument/2006/relationships/chart"/><Relationship Target="charts/chart14.xml" Id="rId19" Type="http://schemas.openxmlformats.org/officeDocument/2006/relationships/chart"/><Relationship Target="charts/chart21.xml" Id="rId26" Type="http://schemas.openxmlformats.org/officeDocument/2006/relationships/chart"/><Relationship Target="charts/chart27.xml" Id="rId32" Type="http://schemas.openxmlformats.org/officeDocument/2006/relationships/chart"/><Relationship Target="charts/chart4.xml" Id="rId9" Type="http://schemas.openxmlformats.org/officeDocument/2006/relationships/chart"/><Relationship Target="charts/chart11.xml" Id="rId16" Type="http://schemas.openxmlformats.org/officeDocument/2006/relationships/chart"/><Relationship Target="charts/chart20.xml" Id="rId25" Type="http://schemas.openxmlformats.org/officeDocument/2006/relationships/chart"/><Relationship Target="charts/chart28.xml" Id="rId33" Type="http://schemas.openxmlformats.org/officeDocument/2006/relationships/chart"/><Relationship Target="charts/chart3.xml" Id="rId8" Type="http://schemas.openxmlformats.org/officeDocument/2006/relationships/chart"/><Relationship Target="settings.xml" Id="rId3" Type="http://schemas.openxmlformats.org/officeDocument/2006/relationships/settings"/><Relationship Target="commentsExtended.xml" Id="rId34" Type="http://schemas.microsoft.com/office/2011/relationships/commentsExtended"/></Relationships>
</file>

<file path=word/charts/_rels/chart1.xml.rels><?xml version="1.0"?><Relationships xmlns="http://schemas.openxmlformats.org/package/2006/relationships"><Relationship Target="../embeddings/JUST_Calc____(xlsx)1.xlsx" Id="rId1" Type="http://schemas.openxmlformats.org/officeDocument/2006/relationships/package"/><Relationship Target="../drawings/drawing2.xml" Id="rId2" Type="http://schemas.openxmlformats.org/officeDocument/2006/relationships/chartUserShapes"/></Relationships>
</file>

<file path=word/charts/_rels/chart10.xml.rels><?xml version="1.0"?><Relationships xmlns="http://schemas.openxmlformats.org/package/2006/relationships"><Relationship Target="../embeddings/JUST_Calc____(xlsx)10.xlsx" Id="rId1" Type="http://schemas.openxmlformats.org/officeDocument/2006/relationships/package"/><Relationship Target="../drawings/drawing8.xml" Id="rId2" Type="http://schemas.openxmlformats.org/officeDocument/2006/relationships/chartUserShapes"/></Relationships>
</file>

<file path=word/charts/_rels/chart11.xml.rels><?xml version="1.0"?><Relationships xmlns="http://schemas.openxmlformats.org/package/2006/relationships"><Relationship Target="../embeddings/JUST_Calc____(xlsx)11.xlsx" Id="rId1" Type="http://schemas.openxmlformats.org/officeDocument/2006/relationships/package"/><Relationship Target="../drawings/drawing9.xml" Id="rId2" Type="http://schemas.openxmlformats.org/officeDocument/2006/relationships/chartUserShapes"/></Relationships>
</file>

<file path=word/charts/_rels/chart12.xml.rels><?xml version="1.0"?><Relationships xmlns="http://schemas.openxmlformats.org/package/2006/relationships"><Relationship Target="../embeddings/JUST_Calc____(xlsx)12.xlsx" Id="rId1" Type="http://schemas.openxmlformats.org/officeDocument/2006/relationships/package"/><Relationship Target="../drawings/drawing10.xml" Id="rId2" Type="http://schemas.openxmlformats.org/officeDocument/2006/relationships/chartUserShapes"/></Relationships>
</file>

<file path=word/charts/_rels/chart13.xml.rels><?xml version="1.0"?><Relationships xmlns="http://schemas.openxmlformats.org/package/2006/relationships"><Relationship Target="../embeddings/JUST_Calc____(xlsx)13.xlsx" Id="rId1" Type="http://schemas.openxmlformats.org/officeDocument/2006/relationships/package"/><Relationship Target="../drawings/drawing11.xml" Id="rId2" Type="http://schemas.openxmlformats.org/officeDocument/2006/relationships/chartUserShapes"/></Relationships>
</file>

<file path=word/charts/_rels/chart14.xml.rels><?xml version="1.0"?><Relationships xmlns="http://schemas.openxmlformats.org/package/2006/relationships"><Relationship Target="../embeddings/JUST_Calc____(xlsx)14.xlsx" Id="rId1" Type="http://schemas.openxmlformats.org/officeDocument/2006/relationships/package"/><Relationship Target="../drawings/drawing12.xml" Id="rId2" Type="http://schemas.openxmlformats.org/officeDocument/2006/relationships/chartUserShapes"/></Relationships>
</file>

<file path=word/charts/_rels/chart15.xml.rels><?xml version="1.0"?><Relationships xmlns="http://schemas.openxmlformats.org/package/2006/relationships"><Relationship Target="../embeddings/JUST_Calc____(xlsx)15.xlsx" Id="rId1" Type="http://schemas.openxmlformats.org/officeDocument/2006/relationships/package"/><Relationship Target="../drawings/drawing13.xml" Id="rId2" Type="http://schemas.openxmlformats.org/officeDocument/2006/relationships/chartUserShapes"/></Relationships>
</file>

<file path=word/charts/_rels/chart16.xml.rels><?xml version="1.0"?><Relationships xmlns="http://schemas.openxmlformats.org/package/2006/relationships"><Relationship Target="../embeddings/JUST_Calc____(xlsx)16.xlsx" Id="rId1" Type="http://schemas.openxmlformats.org/officeDocument/2006/relationships/package"/><Relationship Target="../drawings/drawing14.xml" Id="rId2" Type="http://schemas.openxmlformats.org/officeDocument/2006/relationships/chartUserShapes"/></Relationships>
</file>

<file path=word/charts/_rels/chart17.xml.rels><?xml version="1.0"?><Relationships xmlns="http://schemas.openxmlformats.org/package/2006/relationships"><Relationship Target="../embeddings/JUST_Calc____(xlsx)17.xlsx" Id="rId1" Type="http://schemas.openxmlformats.org/officeDocument/2006/relationships/package"/><Relationship Target="../drawings/drawing15.xml" Id="rId2" Type="http://schemas.openxmlformats.org/officeDocument/2006/relationships/chartUserShapes"/></Relationships>
</file>

<file path=word/charts/_rels/chart18.xml.rels><?xml version="1.0"?><Relationships xmlns="http://schemas.openxmlformats.org/package/2006/relationships"><Relationship Target="../embeddings/JUST_Calc____(xlsx)18.xlsx" Id="rId1" Type="http://schemas.openxmlformats.org/officeDocument/2006/relationships/package"/><Relationship Target="../drawings/drawing16.xml" Id="rId2" Type="http://schemas.openxmlformats.org/officeDocument/2006/relationships/chartUserShapes"/></Relationships>
</file>

<file path=word/charts/_rels/chart19.xml.rels><?xml version="1.0"?><Relationships xmlns="http://schemas.openxmlformats.org/package/2006/relationships"><Relationship Target="../embeddings/JUST_Calc____(xlsx)19.xlsx" Id="rId1" Type="http://schemas.openxmlformats.org/officeDocument/2006/relationships/package"/><Relationship Target="../drawings/drawing17.xml" Id="rId2" Type="http://schemas.openxmlformats.org/officeDocument/2006/relationships/chartUserShapes"/></Relationships>
</file>

<file path=word/charts/_rels/chart2.xml.rels><?xml version="1.0"?><Relationships xmlns="http://schemas.openxmlformats.org/package/2006/relationships"><Relationship Target="../embeddings/JUST_Calc____(xlsx)2.xlsx" Id="rId1" Type="http://schemas.openxmlformats.org/officeDocument/2006/relationships/package"/><Relationship Target="../drawings/drawing1.xml" Id="rId2" Type="http://schemas.openxmlformats.org/officeDocument/2006/relationships/chartUserShapes"/></Relationships>
</file>

<file path=word/charts/_rels/chart20.xml.rels><?xml version="1.0"?><Relationships xmlns="http://schemas.openxmlformats.org/package/2006/relationships"><Relationship Target="../embeddings/JUST_Calc____(xlsx)20.xlsx" Id="rId1" Type="http://schemas.openxmlformats.org/officeDocument/2006/relationships/package"/><Relationship Target="../drawings/drawing18.xml" Id="rId2" Type="http://schemas.openxmlformats.org/officeDocument/2006/relationships/chartUserShapes"/></Relationships>
</file>

<file path=word/charts/_rels/chart21.xml.rels><?xml version="1.0"?><Relationships xmlns="http://schemas.openxmlformats.org/package/2006/relationships"><Relationship Target="../embeddings/JUST_Calc____(xlsx)21.xlsx" Id="rId1" Type="http://schemas.openxmlformats.org/officeDocument/2006/relationships/package"/><Relationship Target="../drawings/drawing19.xml" Id="rId2" Type="http://schemas.openxmlformats.org/officeDocument/2006/relationships/chartUserShapes"/></Relationships>
</file>

<file path=word/charts/_rels/chart22.xml.rels><?xml version="1.0"?><Relationships xmlns="http://schemas.openxmlformats.org/package/2006/relationships"><Relationship Target="../embeddings/JUST_Calc____(xlsx)22.xlsx" Id="rId1" Type="http://schemas.openxmlformats.org/officeDocument/2006/relationships/package"/><Relationship Target="../drawings/drawing20.xml" Id="rId2" Type="http://schemas.openxmlformats.org/officeDocument/2006/relationships/chartUserShapes"/></Relationships>
</file>

<file path=word/charts/_rels/chart23.xml.rels><?xml version="1.0"?><Relationships xmlns="http://schemas.openxmlformats.org/package/2006/relationships"><Relationship Target="../embeddings/JUST_Calc____(xlsx)23.xlsx" Id="rId1" Type="http://schemas.openxmlformats.org/officeDocument/2006/relationships/package"/><Relationship Target="../drawings/drawing21.xml" Id="rId2" Type="http://schemas.openxmlformats.org/officeDocument/2006/relationships/chartUserShapes"/></Relationships>
</file>

<file path=word/charts/_rels/chart24.xml.rels><?xml version="1.0"?><Relationships xmlns="http://schemas.openxmlformats.org/package/2006/relationships"><Relationship Target="../embeddings/JUST_Calc____(xlsx)24.xlsx" Id="rId1" Type="http://schemas.openxmlformats.org/officeDocument/2006/relationships/package"/><Relationship Target="../drawings/drawing22.xml" Id="rId2" Type="http://schemas.openxmlformats.org/officeDocument/2006/relationships/chartUserShapes"/></Relationships>
</file>

<file path=word/charts/_rels/chart25.xml.rels><?xml version="1.0"?><Relationships xmlns="http://schemas.openxmlformats.org/package/2006/relationships"><Relationship Target="../embeddings/JUST_Calc____(xlsx)25.xlsx" Id="rId1" Type="http://schemas.openxmlformats.org/officeDocument/2006/relationships/package"/><Relationship Target="../drawings/drawing23.xml" Id="rId2" Type="http://schemas.openxmlformats.org/officeDocument/2006/relationships/chartUserShapes"/></Relationships>
</file>

<file path=word/charts/_rels/chart26.xml.rels><?xml version="1.0"?><Relationships xmlns="http://schemas.openxmlformats.org/package/2006/relationships"><Relationship Target="../embeddings/JUST_Calc____(xlsx)26.xlsx" Id="rId1" Type="http://schemas.openxmlformats.org/officeDocument/2006/relationships/package"/><Relationship Target="../drawings/drawing24.xml" Id="rId2" Type="http://schemas.openxmlformats.org/officeDocument/2006/relationships/chartUserShapes"/></Relationships>
</file>

<file path=word/charts/_rels/chart27.xml.rels><?xml version="1.0"?><Relationships xmlns="http://schemas.openxmlformats.org/package/2006/relationships"><Relationship Target="../embeddings/JUST_Calc____(xlsx)27.xlsx" Id="rId1" Type="http://schemas.openxmlformats.org/officeDocument/2006/relationships/package"/><Relationship Target="../drawings/drawing25.xml" Id="rId2" Type="http://schemas.openxmlformats.org/officeDocument/2006/relationships/chartUserShapes"/></Relationships>
</file>

<file path=word/charts/_rels/chart28.xml.rels><?xml version="1.0"?><Relationships xmlns="http://schemas.openxmlformats.org/package/2006/relationships"><Relationship Target="../embeddings/JUST_Calc____(xlsx)28.xlsx" Id="rId1" Type="http://schemas.openxmlformats.org/officeDocument/2006/relationships/package"/></Relationships>
</file>

<file path=word/charts/_rels/chart3.xml.rels><?xml version="1.0"?><Relationships xmlns="http://schemas.openxmlformats.org/package/2006/relationships"><Relationship Target="../embeddings/JUST_Calc____(xlsx)3.xlsx" Id="rId1" Type="http://schemas.openxmlformats.org/officeDocument/2006/relationships/package"/><Relationship Target="../drawings/drawing3.xml" Id="rId2" Type="http://schemas.openxmlformats.org/officeDocument/2006/relationships/chartUserShapes"/></Relationships>
</file>

<file path=word/charts/_rels/chart4.xml.rels><?xml version="1.0"?><Relationships xmlns="http://schemas.openxmlformats.org/package/2006/relationships"><Relationship Target="../embeddings/JUST_Calc____(xlsx)4.xlsx" Id="rId1" Type="http://schemas.openxmlformats.org/officeDocument/2006/relationships/package"/></Relationships>
</file>

<file path=word/charts/_rels/chart5.xml.rels><?xml version="1.0"?><Relationships xmlns="http://schemas.openxmlformats.org/package/2006/relationships"><Relationship Target="../embeddings/JUST_Calc____(xlsx)5.xlsx" Id="rId1" Type="http://schemas.openxmlformats.org/officeDocument/2006/relationships/package"/><Relationship Target="../drawings/drawing4.xml" Id="rId2" Type="http://schemas.openxmlformats.org/officeDocument/2006/relationships/chartUserShapes"/></Relationships>
</file>

<file path=word/charts/_rels/chart6.xml.rels><?xml version="1.0"?><Relationships xmlns="http://schemas.openxmlformats.org/package/2006/relationships"><Relationship Target="../embeddings/JUST_Calc____(xlsx)6.xlsx" Id="rId1" Type="http://schemas.openxmlformats.org/officeDocument/2006/relationships/package"/><Relationship Target="../drawings/drawing5.xml" Id="rId2" Type="http://schemas.openxmlformats.org/officeDocument/2006/relationships/chartUserShapes"/></Relationships>
</file>

<file path=word/charts/_rels/chart7.xml.rels><?xml version="1.0"?><Relationships xmlns="http://schemas.openxmlformats.org/package/2006/relationships"><Relationship Target="../embeddings/JUST_Calc____(xlsx)7.xlsx" Id="rId1" Type="http://schemas.openxmlformats.org/officeDocument/2006/relationships/package"/><Relationship Target="../drawings/drawing6.xml" Id="rId2" Type="http://schemas.openxmlformats.org/officeDocument/2006/relationships/chartUserShapes"/></Relationships>
</file>

<file path=word/charts/_rels/chart8.xml.rels><?xml version="1.0"?><Relationships xmlns="http://schemas.openxmlformats.org/package/2006/relationships"><Relationship Target="../embeddings/JUST_Calc____(xlsx)8.xlsx" Id="rId1" Type="http://schemas.openxmlformats.org/officeDocument/2006/relationships/package"/></Relationships>
</file>

<file path=word/charts/_rels/chart9.xml.rels><?xml version="1.0"?><Relationships xmlns="http://schemas.openxmlformats.org/package/2006/relationships"><Relationship Target="../embeddings/JUST_Calc____(xlsx)9.xlsx" Id="rId1" Type="http://schemas.openxmlformats.org/officeDocument/2006/relationships/package"/><Relationship Target="../drawings/drawing7.xml" Id="rId2" Type="http://schemas.openxmlformats.org/officeDocument/2006/relationships/chartUserShapes"/></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a:t>
            </a:r>
            <a:r>
              <a:rPr lang="ja-JP" altLang="en-US" sz="1050" b="0" i="0" u="none" strike="noStrike" baseline="0">
                <a:solidFill>
                  <a:schemeClr val="tx1"/>
                </a:solidFill>
                <a:latin typeface="+mj-ea"/>
                <a:ea typeface="+mj-ea"/>
              </a:rPr>
              <a:t>）精神科病院入院患者数の推移</a:t>
            </a:r>
            <a:endParaRPr lang="ja-JP" altLang="en-US" sz="1800" b="0" i="0" u="none" strike="noStrike" baseline="0">
              <a:solidFill>
                <a:schemeClr val="tx1"/>
              </a:solidFill>
            </a:endParaRPr>
          </a:p>
        </c:rich>
      </c:tx>
      <c:layout>
        <c:manualLayout>
          <c:xMode val="edge"/>
          <c:yMode val="edge"/>
          <c:x val="0.22953744353722719"/>
          <c:y val="3.2407382708205514e-002"/>
        </c:manualLayout>
      </c:layout>
      <c:overlay val="0"/>
    </c:title>
    <c:autoTitleDeleted val="0"/>
    <c:plotArea>
      <c:layout>
        <c:manualLayout>
          <c:layoutTarget val="inner"/>
          <c:xMode val="edge"/>
          <c:yMode val="edge"/>
          <c:x val="9.667601651641021e-002"/>
          <c:y val="0.33689285741792907"/>
          <c:w val="0.87726998064133499"/>
          <c:h val="0.46096855271636855"/>
        </c:manualLayout>
      </c:layout>
      <c:lineChart>
        <c:grouping val="standard"/>
        <c:varyColors val="0"/>
        <c:ser>
          <c:idx val="0"/>
          <c:order val="0"/>
          <c:tx>
            <c:strRef>
              <c:f>Sheet1!$B$1</c:f>
              <c:strCache>
                <c:ptCount val="1"/>
                <c:pt idx="0">
                  <c:v>精神病床数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6051719282934805e-002"/>
                  <c:y val="5.86734864114158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315673363282555e-002"/>
                  <c:y val="7.17120389472873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420057399564751e-002"/>
                  <c:y val="7.17120389472873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683381166304199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315673363282555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3931</c:v>
                </c:pt>
                <c:pt idx="1">
                  <c:v>3853</c:v>
                </c:pt>
                <c:pt idx="2">
                  <c:v>3772</c:v>
                </c:pt>
                <c:pt idx="3">
                  <c:v>3721</c:v>
                </c:pt>
                <c:pt idx="4">
                  <c:v>3620</c:v>
                </c:pt>
              </c:numCache>
            </c:numRef>
          </c:val>
          <c:smooth val="0"/>
        </c:ser>
        <c:ser>
          <c:idx val="1"/>
          <c:order val="1"/>
          <c:tx>
            <c:strRef>
              <c:f>Sheet1!$C$1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4.0261747982716832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525071749455996e-002"/>
                  <c:y val="7.823131521522080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420057399564751e-002"/>
                  <c:y val="7.823131521522080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788395516195492e-002"/>
                  <c:y val="9.12698677510924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1315043049674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#,##0;[Red]\-#,##0</c:formatCode>
                <c:ptCount val="5"/>
                <c:pt idx="0">
                  <c:v>3465</c:v>
                </c:pt>
                <c:pt idx="1">
                  <c:v>3374</c:v>
                </c:pt>
                <c:pt idx="2">
                  <c:v>3211</c:v>
                </c:pt>
                <c:pt idx="3">
                  <c:v>3103</c:v>
                </c:pt>
                <c:pt idx="4">
                  <c:v>2949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00"/>
          <c:min val="2500"/>
        </c:scaling>
        <c:delete val="0"/>
        <c:axPos val="l"/>
        <c:majorGridlines/>
        <c:numFmt formatCode="#,##0;[Red]\-#,##0" sourceLinked="1"/>
        <c:majorTickMark val="out"/>
        <c:minorTickMark val="none"/>
        <c:tickLblPos val="low"/>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2233797841825908"/>
          <c:y val="0.17904644051870458"/>
          <c:w val="0.59113719391093689"/>
          <c:h val="0.1166929918806787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6-5-13</a:t>
            </a:r>
            <a:r>
              <a:rPr lang="ja-JP" altLang="en-US" sz="1050" b="0" i="0" u="none" strike="noStrike" baseline="0">
                <a:solidFill>
                  <a:schemeClr val="tx1"/>
                </a:solidFill>
                <a:latin typeface="+mj-ea"/>
                <a:ea typeface="+mj-ea"/>
              </a:rPr>
              <a:t>）高知県の「気分（感情）障害」による入院患者数</a:t>
            </a:r>
            <a:endParaRPr lang="en-US" altLang="ja-JP" sz="1050" b="0" i="0" u="none" strike="noStrike" baseline="0">
              <a:solidFill>
                <a:schemeClr val="tx1"/>
              </a:solidFill>
              <a:latin typeface="+mj-ea"/>
              <a:ea typeface="+mj-ea"/>
            </a:endParaRPr>
          </a:p>
        </c:rich>
      </c:tx>
      <c:layout/>
      <c:overlay val="0"/>
    </c:title>
    <c:autoTitleDeleted val="0"/>
    <c:plotArea>
      <c:layout>
        <c:manualLayout>
          <c:layoutTarget val="inner"/>
          <c:xMode val="edge"/>
          <c:yMode val="edge"/>
          <c:x val="7.4158591526041692e-002"/>
          <c:y val="0.27816703239963858"/>
          <c:w val="0.8975695272158597"/>
          <c:h val="0.50724010467395009"/>
        </c:manualLayout>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4131206634161684e-002"/>
                  <c:y val="-3.803655646542621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7036688617123389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555032925682104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0"/>
                  <c:y val="2.015722636565207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227</c:v>
                </c:pt>
                <c:pt idx="1">
                  <c:v>208</c:v>
                </c:pt>
                <c:pt idx="2">
                  <c:v>212</c:v>
                </c:pt>
                <c:pt idx="3">
                  <c:v>226</c:v>
                </c:pt>
                <c:pt idx="4">
                  <c:v>265</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5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6044645084931592"/>
          <c:y val="0.16848610019127663"/>
          <c:w val="0.24882408278457199"/>
          <c:h val="7.2161600642491913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a:t>
            </a: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6-5-14</a:t>
            </a:r>
            <a:r>
              <a:rPr kumimoji="0" lang="ja-JP" altLang="en-US" sz="1050" b="0" i="0" u="none" strike="noStrike" kern="1200" baseline="0">
                <a:solidFill>
                  <a:schemeClr val="tx1"/>
                </a:solidFill>
                <a:latin typeface="+mj-ea"/>
                <a:ea typeface="+mj-ea"/>
              </a:rPr>
              <a:t>）高知県の「気分（感情）障害」による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自立支援医療制度（精神通院医療）の承認者数</a:t>
            </a:r>
            <a:endParaRPr kumimoji="0" lang="ja-JP" altLang="en-US" sz="1800" b="0" i="0" u="none" strike="noStrike" kern="1200" baseline="0">
              <a:solidFill>
                <a:schemeClr val="tx1"/>
              </a:solidFill>
            </a:endParaRPr>
          </a:p>
        </c:rich>
      </c:tx>
      <c:layout/>
      <c:overlay val="0"/>
    </c:title>
    <c:autoTitleDeleted val="0"/>
    <c:plotArea>
      <c:layout>
        <c:manualLayout>
          <c:layoutTarget val="inner"/>
          <c:xMode val="edge"/>
          <c:yMode val="edge"/>
          <c:x val="9.6005207981249868e-002"/>
          <c:y val="0.37373667874169786"/>
          <c:w val="0.87812157080270881"/>
          <c:h val="0.37195648881027182"/>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7629350893697081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6372686102166e-003"/>
                  <c:y val="3.81716262762632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3.97152053057642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554520715585814e-003"/>
                  <c:y val="3.56835226660236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587017873941751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1067</c:v>
                </c:pt>
                <c:pt idx="1">
                  <c:v>1420</c:v>
                </c:pt>
                <c:pt idx="2">
                  <c:v>2209</c:v>
                </c:pt>
                <c:pt idx="3">
                  <c:v>2653</c:v>
                </c:pt>
                <c:pt idx="4">
                  <c:v>3089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min val="1000"/>
        </c:scaling>
        <c:delete val="0"/>
        <c:axPos val="l"/>
        <c:majorGridlines/>
        <c:numFmt formatCode="#,##0;[Red]\-#,##0"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7676188394832416"/>
          <c:y val="0.25557817662749782"/>
          <c:w val="0.23000940733772807"/>
          <c:h val="7.2161600642491913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l" rtl="0">
              <a:lnSpc>
                <a:spcPct val="100000"/>
              </a:lnSpc>
              <a:spcBef>
                <a:spcPts val="0"/>
              </a:spcBef>
              <a:spcAft>
                <a:spcPts val="0"/>
              </a:spcAft>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6-5-15</a:t>
            </a:r>
            <a:r>
              <a:rPr kumimoji="0" lang="ja-JP" altLang="en-US" sz="1050" b="0" i="0" u="none" strike="noStrike" kern="1200" baseline="0">
                <a:solidFill>
                  <a:schemeClr val="tx1"/>
                </a:solidFill>
                <a:latin typeface="+mj-ea"/>
                <a:ea typeface="+mj-ea"/>
              </a:rPr>
              <a:t>）高知県の「症状性を含む器質性精神障害」による</a:t>
            </a:r>
            <a:endParaRPr kumimoji="0" lang="ja-JP" altLang="en-US" sz="1800" b="0" i="0" u="none" strike="noStrike" kern="1200" baseline="0">
              <a:solidFill>
                <a:schemeClr val="tx1"/>
              </a:solidFill>
            </a:endParaRPr>
          </a:p>
          <a:p>
            <a:pPr algn="l" rtl="0">
              <a:lnSpc>
                <a:spcPct val="100000"/>
              </a:lnSpc>
              <a:spcBef>
                <a:spcPts val="0"/>
              </a:spcBef>
              <a:spcAft>
                <a:spcPts val="0"/>
              </a:spcAft>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入院患者数</a:t>
            </a:r>
            <a:endParaRPr kumimoji="0" lang="ja-JP" altLang="en-US" sz="1800" b="0" i="0" u="none" strike="noStrike" kern="1200" baseline="0">
              <a:solidFill>
                <a:schemeClr val="tx1"/>
              </a:solidFill>
            </a:endParaRPr>
          </a:p>
        </c:rich>
      </c:tx>
      <c:layout>
        <c:manualLayout>
          <c:xMode val="edge"/>
          <c:yMode val="edge"/>
          <c:x val="0.12367498180374512"/>
          <c:y val="0"/>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549749087116622e-017"/>
                  <c:y val="4.060734086931683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09088761804091e-003"/>
                  <c:y val="4.060734086931678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6.76789014488613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18177523609024e-003"/>
                  <c:y val="7.44467915937495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596</c:v>
                </c:pt>
                <c:pt idx="1">
                  <c:v>709</c:v>
                </c:pt>
                <c:pt idx="2">
                  <c:v>809</c:v>
                </c:pt>
                <c:pt idx="3">
                  <c:v>797</c:v>
                </c:pt>
                <c:pt idx="4">
                  <c:v>751</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55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273127663535708"/>
          <c:y val="0.16106374277179863"/>
          <c:w val="0.24872615909988696"/>
          <c:h val="0.12114310197452176"/>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6-5-16</a:t>
            </a:r>
            <a:r>
              <a:rPr kumimoji="0" lang="ja-JP" altLang="en-US" sz="1050" b="0" i="0" u="none" strike="noStrike" kern="1200" baseline="0">
                <a:solidFill>
                  <a:schemeClr val="tx1"/>
                </a:solidFill>
                <a:latin typeface="+mj-ea"/>
                <a:ea typeface="+mj-ea"/>
              </a:rPr>
              <a:t>）高知県の「症状性を含む器質性精神障害」による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入院患者の入院患者全体に占める割合（％）</a:t>
            </a:r>
            <a:endParaRPr kumimoji="0" lang="ja-JP" altLang="en-US" sz="1800" b="0" i="0" u="none" strike="noStrike" kern="1200" baseline="0">
              <a:solidFill>
                <a:schemeClr val="tx1"/>
              </a:solidFill>
            </a:endParaRPr>
          </a:p>
        </c:rich>
      </c:tx>
      <c:layout>
        <c:manualLayout>
          <c:xMode val="edge"/>
          <c:yMode val="edge"/>
          <c:x val="0.13157889287507701"/>
          <c:y val="0"/>
        </c:manualLayout>
      </c:layout>
      <c:overlay val="0"/>
    </c:title>
    <c:autoTitleDeleted val="0"/>
    <c:plotArea>
      <c:layout/>
      <c:lineChart>
        <c:grouping val="standard"/>
        <c:varyColors val="0"/>
        <c:ser>
          <c:idx val="0"/>
          <c:order val="0"/>
          <c:tx>
            <c:strRef>
              <c:f>Sheet1!$B$1</c:f>
              <c:strCache>
                <c:ptCount val="1"/>
                <c:pt idx="0">
                  <c:v>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7.0527266285412013e-003"/>
                  <c:y val="4.43672772116415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4544380902301e-002"/>
                  <c:y val="5.70436421292500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6457924606974657e-002"/>
                  <c:y val="5.30822157088109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05453257082777e-002"/>
                  <c:y val="6.33818245880555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17.2</c:v>
                </c:pt>
                <c:pt idx="1">
                  <c:v>21</c:v>
                </c:pt>
                <c:pt idx="2">
                  <c:v>25.2</c:v>
                </c:pt>
                <c:pt idx="3">
                  <c:v>25.7</c:v>
                </c:pt>
                <c:pt idx="4">
                  <c:v>25.5</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804074872544561"/>
          <c:y val="0.10931548219934036"/>
          <c:w val="0.20880871495321912"/>
          <c:h val="9.9270036017844732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6-5-17</a:t>
            </a:r>
            <a:r>
              <a:rPr kumimoji="0" lang="ja-JP" altLang="en-US" sz="1050" b="0" i="0" u="none" strike="noStrike" kern="1200" baseline="0">
                <a:solidFill>
                  <a:schemeClr val="tx1"/>
                </a:solidFill>
                <a:latin typeface="+mj-ea"/>
                <a:ea typeface="+mj-ea"/>
              </a:rPr>
              <a:t>）高知県の「症状性を含む器質性精神障害」による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自立支援医療制度（精神通院医療）の承認者数</a:t>
            </a:r>
            <a:endParaRPr kumimoji="0" lang="ja-JP" altLang="en-US" sz="1800" b="0" i="0" u="none" strike="noStrike" kern="1200" baseline="0">
              <a:solidFill>
                <a:schemeClr val="tx1"/>
              </a:solidFill>
            </a:endParaRPr>
          </a:p>
        </c:rich>
      </c:tx>
      <c:layout>
        <c:manualLayout>
          <c:xMode val="edge"/>
          <c:yMode val="edge"/>
          <c:x val="0.11647252958935447"/>
          <c:y val="2.1367855856984079e-002"/>
        </c:manualLayout>
      </c:layout>
      <c:overlay val="0"/>
    </c:title>
    <c:autoTitleDeleted val="0"/>
    <c:plotArea>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8813009448432446e-002"/>
                  <c:y val="-4.975475714194212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862995480427e-002"/>
                  <c:y val="3.167296681998445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03451981921904e-003"/>
                  <c:y val="2.714825727427221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69039638433726e-003"/>
                  <c:y val="4.524709545712036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244</c:v>
                </c:pt>
                <c:pt idx="1">
                  <c:v>205</c:v>
                </c:pt>
                <c:pt idx="2">
                  <c:v>256</c:v>
                </c:pt>
                <c:pt idx="3">
                  <c:v>413</c:v>
                </c:pt>
                <c:pt idx="4">
                  <c:v>482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500"/>
          <c:min val="15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35311170328465"/>
          <c:y val="0.10247326679101822"/>
          <c:w val="0.21582226401786769"/>
          <c:h val="0.10789442458933148"/>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6-5-18</a:t>
            </a:r>
            <a:r>
              <a:rPr lang="ja-JP" altLang="en-US" sz="1050" b="0" i="0" u="none" strike="noStrike" baseline="0">
                <a:solidFill>
                  <a:schemeClr val="tx1"/>
                </a:solidFill>
                <a:latin typeface="+mj-ea"/>
                <a:ea typeface="+mj-ea"/>
              </a:rPr>
              <a:t>）高知県の</a:t>
            </a:r>
            <a:r>
              <a:rPr lang="en-US" altLang="ja-JP" sz="1050" b="0" i="0" u="none" strike="noStrike" baseline="0">
                <a:solidFill>
                  <a:schemeClr val="tx1"/>
                </a:solidFill>
                <a:latin typeface="+mj-ea"/>
                <a:ea typeface="+mj-ea"/>
              </a:rPr>
              <a:t>20</a:t>
            </a:r>
            <a:r>
              <a:rPr lang="ja-JP" altLang="en-US" sz="1050" b="0" i="0" u="none" strike="noStrike" baseline="0">
                <a:solidFill>
                  <a:schemeClr val="tx1"/>
                </a:solidFill>
                <a:latin typeface="+mj-ea"/>
                <a:ea typeface="+mj-ea"/>
              </a:rPr>
              <a:t>歳未満の入院患者数</a:t>
            </a:r>
            <a:endParaRPr lang="ja-JP" altLang="en-US" sz="1800" b="0" i="0" u="none" strike="noStrike" baseline="0">
              <a:solidFill>
                <a:schemeClr val="tx1"/>
              </a:solidFill>
            </a:endParaRPr>
          </a:p>
        </c:rich>
      </c:tx>
      <c:layout>
        <c:manualLayout>
          <c:xMode val="edge"/>
          <c:yMode val="edge"/>
          <c:x val="0.19316258170154421"/>
          <c:y val="0"/>
        </c:manualLayout>
      </c:layout>
      <c:overlay val="0"/>
    </c:title>
    <c:autoTitleDeleted val="0"/>
    <c:plotArea>
      <c:layout>
        <c:manualLayout>
          <c:layoutTarget val="inner"/>
          <c:xMode val="edge"/>
          <c:yMode val="edge"/>
          <c:x val="5.3845697012058824e-002"/>
          <c:y val="0.21293750081626908"/>
          <c:w val="0.91090976602992768"/>
          <c:h val="0.49220326226129352"/>
        </c:manualLayout>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3.5267778709406651e-002"/>
                  <c:y val="9.818985330281304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1852472937741e-002"/>
                  <c:y val="-7.855188264225029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0667225643991e-002"/>
                  <c:y val="5.89139119816891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8214222967525411e-002"/>
                  <c:y val="8.509787286243826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13</c:v>
                </c:pt>
                <c:pt idx="1">
                  <c:v>9</c:v>
                </c:pt>
                <c:pt idx="2">
                  <c:v>6</c:v>
                </c:pt>
                <c:pt idx="3">
                  <c:v>15</c:v>
                </c:pt>
                <c:pt idx="4">
                  <c:v>13</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5"/>
          <c:min val="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7074552873009183"/>
          <c:y val="5.1159888690617251e-002"/>
          <c:w val="0.2042888727579005"/>
          <c:h val="0.1171711632121536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6-5-19</a:t>
            </a:r>
            <a:r>
              <a:rPr lang="ja-JP" altLang="en-US" sz="1050" b="0" i="0" u="none" strike="noStrike" baseline="0">
                <a:solidFill>
                  <a:schemeClr val="tx1"/>
                </a:solidFill>
                <a:latin typeface="+mj-ea"/>
                <a:ea typeface="+mj-ea"/>
              </a:rPr>
              <a:t>）高知県の</a:t>
            </a:r>
            <a:r>
              <a:rPr lang="en-US" altLang="ja-JP" sz="1050" b="0" i="0" u="none" strike="noStrike" baseline="0">
                <a:solidFill>
                  <a:schemeClr val="tx1"/>
                </a:solidFill>
                <a:latin typeface="+mj-ea"/>
                <a:ea typeface="+mj-ea"/>
              </a:rPr>
              <a:t>20</a:t>
            </a:r>
            <a:r>
              <a:rPr lang="ja-JP" altLang="en-US" sz="1050" b="0" i="0" u="none" strike="noStrike" baseline="0">
                <a:solidFill>
                  <a:schemeClr val="tx1"/>
                </a:solidFill>
                <a:latin typeface="+mj-ea"/>
                <a:ea typeface="+mj-ea"/>
              </a:rPr>
              <a:t>歳未満の自立支援医療制度</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（精神通院医療）の承認者数</a:t>
            </a:r>
            <a:endParaRPr lang="ja-JP" altLang="en-US" sz="1800" b="0" i="0" u="none" strike="noStrike" baseline="0">
              <a:solidFill>
                <a:schemeClr val="tx1"/>
              </a:solidFill>
            </a:endParaRPr>
          </a:p>
        </c:rich>
      </c:tx>
      <c:layout>
        <c:manualLayout>
          <c:xMode val="edge"/>
          <c:yMode val="edge"/>
          <c:x val="0.18845524056328403"/>
          <c:y val="3.3653996125883628e-002"/>
        </c:manualLayout>
      </c:layout>
      <c:overlay val="0"/>
    </c:title>
    <c:autoTitleDeleted val="0"/>
    <c:plotArea>
      <c:layout>
        <c:manualLayout>
          <c:layoutTarget val="inner"/>
          <c:xMode val="edge"/>
          <c:yMode val="edge"/>
          <c:x val="7.6388602077451129e-002"/>
          <c:y val="0.32148574878619407"/>
          <c:w val="0.89773817670650757"/>
          <c:h val="0.44849538376393039"/>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Lbls>
            <c:dLbl>
              <c:idx val="0"/>
              <c:layout>
                <c:manualLayout>
                  <c:x val="0"/>
                  <c:y val="1.916666750510356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4107111483762667e-002"/>
                  <c:y val="7.661953320094699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Sheet1!$A$2:$A$4</c:f>
              <c:strCache>
                <c:ptCount val="3"/>
                <c:pt idx="0">
                  <c:v>H22</c:v>
                </c:pt>
                <c:pt idx="1">
                  <c:v>H25</c:v>
                </c:pt>
                <c:pt idx="2">
                  <c:v>H28</c:v>
                </c:pt>
              </c:strCache>
            </c:strRef>
          </c:cat>
          <c:val>
            <c:numRef>
              <c:f>Sheet1!$B$2:$B$4</c:f>
              <c:numCache>
                <c:formatCode>General</c:formatCode>
                <c:ptCount val="3"/>
                <c:pt idx="0">
                  <c:v>347</c:v>
                </c:pt>
                <c:pt idx="1">
                  <c:v>608</c:v>
                </c:pt>
                <c:pt idx="2">
                  <c:v>628</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0"/>
          <c:min val="30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138313388234371"/>
          <c:y val="0.19460290307162084"/>
          <c:w val="0.19935455851153969"/>
          <c:h val="0.1054973470892701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l"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6-5-20</a:t>
            </a:r>
            <a:r>
              <a:rPr lang="ja-JP" altLang="en-US" sz="1050" b="0" i="0" u="none" strike="noStrike" baseline="0">
                <a:solidFill>
                  <a:schemeClr val="tx1"/>
                </a:solidFill>
                <a:latin typeface="+mj-ea"/>
                <a:ea typeface="+mj-ea"/>
              </a:rPr>
              <a:t>）高知県の「心理的発達の障害」及び「小児期及び青年期に通常発症する行動及び情緒の障害及び特定不能の障害」による入院患者数</a:t>
            </a:r>
            <a:endParaRPr lang="ja-JP" altLang="en-US" sz="1800" b="0" i="0" u="none" strike="noStrike" baseline="0">
              <a:solidFill>
                <a:schemeClr val="tx1"/>
              </a:solidFill>
            </a:endParaRPr>
          </a:p>
        </c:rich>
      </c:tx>
      <c:layout>
        <c:manualLayout>
          <c:xMode val="edge"/>
          <c:yMode val="edge"/>
          <c:x val="0.11016952870861052"/>
          <c:y val="2.325566646176663e-002"/>
        </c:manualLayout>
      </c:layout>
      <c:overlay val="0"/>
    </c:title>
    <c:autoTitleDeleted val="0"/>
    <c:plotArea>
      <c:layout>
        <c:manualLayout>
          <c:layoutTarget val="inner"/>
          <c:xMode val="edge"/>
          <c:yMode val="edge"/>
          <c:x val="5.3908760699196312e-002"/>
          <c:y val="0.55592407712961656"/>
          <c:w val="0.91080542419847621"/>
          <c:h val="0.30767699130446985"/>
        </c:manualLayout>
      </c:layout>
      <c:lineChart>
        <c:grouping val="standard"/>
        <c:varyColors val="0"/>
        <c:ser>
          <c:idx val="0"/>
          <c:order val="0"/>
          <c:tx>
            <c:strRef>
              <c:f>Sheet1!$B$1</c:f>
              <c:strCache>
                <c:ptCount val="1"/>
                <c:pt idx="0">
                  <c:v>「心理的発達の障害」による入院患者数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3517259909608533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7259909608467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4110355945765323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6.5848327746903829e-002"/>
                  <c:y val="-9.4510186077161242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4</c:v>
                </c:pt>
                <c:pt idx="1">
                  <c:v>6</c:v>
                </c:pt>
                <c:pt idx="2">
                  <c:v>6</c:v>
                </c:pt>
                <c:pt idx="3">
                  <c:v>18</c:v>
                </c:pt>
                <c:pt idx="4">
                  <c:v>16</c:v>
                </c:pt>
              </c:numCache>
            </c:numRef>
          </c:val>
          <c:smooth val="0"/>
        </c:ser>
        <c:ser>
          <c:idx val="1"/>
          <c:order val="1"/>
          <c:tx>
            <c:strRef>
              <c:f>Sheet1!$C$1</c:f>
              <c:strCache>
                <c:ptCount val="1"/>
                <c:pt idx="0">
                  <c:v>「小児期及び青年期に通常発生する行動及び情緒の障害及び特定不能の精神障害」による入院患者数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9.4069039638434247e-003"/>
                  <c:y val="3.78040744308648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7259909608974e-003"/>
                  <c:y val="1.890203721543300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9979341846334601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3807927686745e-002"/>
                  <c:y val="6.615713025401288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3</c:v>
                </c:pt>
                <c:pt idx="1">
                  <c:v>0</c:v>
                </c:pt>
                <c:pt idx="2">
                  <c:v>6</c:v>
                </c:pt>
                <c:pt idx="3">
                  <c:v>9</c:v>
                </c:pt>
                <c:pt idx="4">
                  <c:v>10</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egendEntry>
        <c:idx val="0"/>
        <c:txPr>
          <a:bodyPr horzOverflow="overflow" anchor="ctr"/>
          <a:lstStyle/>
          <a:p>
            <a:pPr algn="l" rtl="0">
              <a:defRPr sz="800">
                <a:solidFill>
                  <a:schemeClr val="tx1"/>
                </a:solidFill>
              </a:defRPr>
            </a:pPr>
            <a:endParaRPr lang="ja-JP" altLang="en-US"/>
          </a:p>
        </c:txPr>
      </c:legendEntry>
      <c:legendEntry>
        <c:idx val="1"/>
        <c:txPr>
          <a:bodyPr horzOverflow="overflow" anchor="ctr"/>
          <a:lstStyle/>
          <a:p>
            <a:pPr algn="l" rtl="0">
              <a:defRPr sz="800">
                <a:solidFill>
                  <a:schemeClr val="tx1"/>
                </a:solidFill>
              </a:defRPr>
            </a:pPr>
            <a:endParaRPr lang="ja-JP" altLang="en-US"/>
          </a:p>
        </c:txPr>
      </c:legendEntry>
      <c:layout>
        <c:manualLayout>
          <c:xMode val="edge"/>
          <c:yMode val="edge"/>
          <c:x val="0"/>
          <c:y val="0.29201714507172016"/>
          <c:w val="0.9712628342668328"/>
          <c:h val="0.21284570418387089"/>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6-5-21</a:t>
            </a:r>
            <a:r>
              <a:rPr kumimoji="0" lang="ja-JP" altLang="en-US" sz="1050" b="0" i="0" u="none" strike="noStrike" kern="1200" baseline="0">
                <a:solidFill>
                  <a:schemeClr val="tx1"/>
                </a:solidFill>
                <a:latin typeface="+mj-ea"/>
                <a:ea typeface="+mj-ea"/>
              </a:rPr>
              <a:t>）高知県の「心理的発達の障害」及び「小児期及び青年期に　</a:t>
            </a:r>
            <a:endParaRPr kumimoji="0" lang="ja-JP" altLang="en-US" sz="1800" b="0" i="0" u="none" strike="noStrike" kern="1200" baseline="0">
              <a:solidFill>
                <a:schemeClr val="tx1"/>
              </a:solidFill>
            </a:endParaRPr>
          </a:p>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通常発症する行動及び情緒の障害及び特定不能の精神障害」による自立</a:t>
            </a:r>
            <a:endParaRPr kumimoji="0" lang="ja-JP" altLang="en-US" sz="1800" b="0" i="0" u="none" strike="noStrike" kern="1200" baseline="0">
              <a:solidFill>
                <a:schemeClr val="tx1"/>
              </a:solidFill>
            </a:endParaRPr>
          </a:p>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支援医療制度（精神通院医療）の承認者数</a:t>
            </a:r>
            <a:endParaRPr kumimoji="0" lang="ja-JP" altLang="en-US" sz="1800" b="0" i="0" u="none" strike="noStrike" kern="1200" baseline="0">
              <a:solidFill>
                <a:schemeClr val="tx1"/>
              </a:solidFill>
            </a:endParaRPr>
          </a:p>
        </c:rich>
      </c:tx>
      <c:layout>
        <c:manualLayout>
          <c:xMode val="edge"/>
          <c:yMode val="edge"/>
          <c:x val="0.10299010387704194"/>
          <c:y val="1.2931149137419946e-002"/>
        </c:manualLayout>
      </c:layout>
      <c:overlay val="0"/>
    </c:title>
    <c:autoTitleDeleted val="0"/>
    <c:plotArea>
      <c:layout>
        <c:manualLayout>
          <c:layoutTarget val="inner"/>
          <c:xMode val="edge"/>
          <c:yMode val="edge"/>
          <c:x val="7.6460539548507012e-002"/>
          <c:y val="0.51424288396816131"/>
          <c:w val="0.89764187363572012"/>
          <c:h val="0.36471458101805454"/>
        </c:manualLayout>
      </c:layout>
      <c:lineChart>
        <c:grouping val="standard"/>
        <c:varyColors val="0"/>
        <c:ser>
          <c:idx val="0"/>
          <c:order val="0"/>
          <c:tx>
            <c:strRef>
              <c:f>Sheet1!$B$1</c:f>
              <c:strCache>
                <c:ptCount val="1"/>
                <c:pt idx="0">
                  <c:v>「心理的発達の障害」による承認者数</c:v>
                </c:pt>
              </c:strCache>
            </c:strRef>
          </c:tx>
          <c:dPt>
            <c:idx val="2"/>
            <c:invertIfNegative val="0"/>
            <c:bubble3D val="0"/>
          </c:dPt>
          <c:dPt>
            <c:idx val="3"/>
            <c:invertIfNegative val="0"/>
            <c:bubble3D val="0"/>
          </c:dPt>
          <c:dPt>
            <c:idx val="4"/>
            <c:invertIfNegative val="0"/>
            <c:bubble3D val="0"/>
          </c:dPt>
          <c:dLbls>
            <c:dLbl>
              <c:idx val="2"/>
              <c:layout>
                <c:manualLayout>
                  <c:x val="-1.6479521830639481e-002"/>
                  <c:y val="-7.442253790320535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1187956639393681e-002"/>
                  <c:y val="-5.724810607938825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8833739235016661e-002"/>
                  <c:y val="-5.1523295471449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2">
                  <c:v>122</c:v>
                </c:pt>
                <c:pt idx="3">
                  <c:v>311</c:v>
                </c:pt>
                <c:pt idx="4">
                  <c:v>463</c:v>
                </c:pt>
              </c:numCache>
            </c:numRef>
          </c:val>
          <c:smooth val="0"/>
        </c:ser>
        <c:ser>
          <c:idx val="1"/>
          <c:order val="1"/>
          <c:tx>
            <c:strRef>
              <c:f>Sheet1!$C$1</c:f>
              <c:strCache>
                <c:ptCount val="1"/>
                <c:pt idx="0">
                  <c:v>「小児期及び青年期に通常発症する行動及び情緒の障害及び特定不能の精神障害」による承認者数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1.1771087021885345e-002"/>
                  <c:y val="-6.297291668732707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412530442626244e-002"/>
                  <c:y val="-6.297291668732707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2.289924243175561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86201802033663e-003"/>
                  <c:y val="5.1523295471449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42174043770648e-003"/>
                  <c:y val="3.434886364763287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17</c:v>
                </c:pt>
                <c:pt idx="1">
                  <c:v>19</c:v>
                </c:pt>
                <c:pt idx="2">
                  <c:v>61</c:v>
                </c:pt>
                <c:pt idx="3">
                  <c:v>253</c:v>
                </c:pt>
                <c:pt idx="4">
                  <c:v>334</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egendEntry>
        <c:idx val="0"/>
        <c:txPr>
          <a:bodyPr horzOverflow="overflow" anchor="ctr"/>
          <a:lstStyle/>
          <a:p>
            <a:pPr algn="l" rtl="0">
              <a:defRPr sz="800">
                <a:solidFill>
                  <a:schemeClr val="tx1"/>
                </a:solidFill>
              </a:defRPr>
            </a:pPr>
            <a:endParaRPr lang="ja-JP" altLang="en-US"/>
          </a:p>
        </c:txPr>
      </c:legendEntry>
      <c:legendEntry>
        <c:idx val="1"/>
        <c:txPr>
          <a:bodyPr horzOverflow="overflow" anchor="ctr"/>
          <a:lstStyle/>
          <a:p>
            <a:pPr algn="l" rtl="0">
              <a:defRPr sz="800">
                <a:solidFill>
                  <a:schemeClr val="tx1"/>
                </a:solidFill>
              </a:defRPr>
            </a:pPr>
            <a:endParaRPr lang="ja-JP" altLang="en-US"/>
          </a:p>
        </c:txPr>
      </c:legendEntry>
      <c:layout>
        <c:manualLayout>
          <c:xMode val="edge"/>
          <c:yMode val="edge"/>
          <c:x val="2.7288678379593409e-002"/>
          <c:y val="0.28019728996801246"/>
          <c:w val="0.95014111006586532"/>
          <c:h val="0.15739492450563244"/>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6-5-22</a:t>
            </a:r>
            <a:r>
              <a:rPr lang="ja-JP" altLang="en-US" sz="1050" b="0" i="0" u="none" strike="noStrike" baseline="0">
                <a:solidFill>
                  <a:schemeClr val="tx1"/>
                </a:solidFill>
                <a:latin typeface="+mj-ea"/>
                <a:ea typeface="+mj-ea"/>
              </a:rPr>
              <a:t>）高知県の「アルコール使用による精神及び行動の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障害」による入院患者数</a:t>
            </a:r>
            <a:endParaRPr lang="ja-JP" altLang="en-US" sz="1800" b="0" i="0" u="none" strike="noStrike" baseline="0">
              <a:solidFill>
                <a:schemeClr val="tx1"/>
              </a:solidFill>
            </a:endParaRPr>
          </a:p>
        </c:rich>
      </c:tx>
      <c:layout>
        <c:manualLayout>
          <c:xMode val="edge"/>
          <c:yMode val="edge"/>
          <c:x val="9.5953652559599201e-002"/>
          <c:y val="4.2244153161927783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5908590339007467e-002"/>
                  <c:y val="8.3437003888877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908590339007533e-002"/>
                  <c:y val="7.151743190475275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106527889104934e-003"/>
                  <c:y val="-4.76782879365019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1776631972276139e-002"/>
                  <c:y val="-3.575871595237619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253</c:v>
                </c:pt>
                <c:pt idx="1">
                  <c:v>237</c:v>
                </c:pt>
                <c:pt idx="2">
                  <c:v>197</c:v>
                </c:pt>
                <c:pt idx="3">
                  <c:v>178</c:v>
                </c:pt>
                <c:pt idx="4">
                  <c:v>166</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60"/>
          <c:min val="15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585387770469334"/>
          <c:y val="0.21407418707534889"/>
          <c:w val="0.23933391260964587"/>
          <c:h val="7.2161600642491913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a:t>
            </a:r>
            <a:r>
              <a:rPr lang="ja-JP" altLang="en-US" sz="1050" b="0" i="0" u="none" strike="noStrike" baseline="0">
                <a:solidFill>
                  <a:schemeClr val="tx1"/>
                </a:solidFill>
                <a:latin typeface="+mj-ea"/>
                <a:ea typeface="+mj-ea"/>
              </a:rPr>
              <a:t>）精神病床入院患者の年齢分布</a:t>
            </a:r>
            <a:endParaRPr lang="en-US" altLang="ja-JP" sz="1050" b="0" i="0" u="none" strike="noStrike" baseline="0">
              <a:solidFill>
                <a:schemeClr val="tx1"/>
              </a:solidFill>
              <a:latin typeface="+mj-ea"/>
              <a:ea typeface="+mj-ea"/>
            </a:endParaRPr>
          </a:p>
        </c:rich>
      </c:tx>
      <c:layout>
        <c:manualLayout>
          <c:xMode val="edge"/>
          <c:yMode val="edge"/>
          <c:x val="0.24691365795097878"/>
          <c:y val="7.0671744447180409e-003"/>
        </c:manualLayout>
      </c:layout>
      <c:overlay val="0"/>
    </c:title>
    <c:autoTitleDeleted val="0"/>
    <c:plotArea>
      <c:layout>
        <c:manualLayout>
          <c:layoutTarget val="inner"/>
          <c:xMode val="edge"/>
          <c:yMode val="edge"/>
          <c:x val="9.5960066235402361e-002"/>
          <c:y val="0.18737834503222608"/>
          <c:w val="0.86393660061329813"/>
          <c:h val="0.67291518284678653"/>
        </c:manualLayout>
      </c:layout>
      <c:barChart>
        <c:barDir val="col"/>
        <c:grouping val="stacked"/>
        <c:varyColors val="0"/>
        <c:ser>
          <c:idx val="0"/>
          <c:order val="0"/>
          <c:tx>
            <c:strRef>
              <c:f>Sheet1!$B$1</c:f>
              <c:strCache>
                <c:ptCount val="1"/>
                <c:pt idx="0">
                  <c:v>19歳以下</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8.6070993180993525e-017"/>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13</c:v>
                </c:pt>
                <c:pt idx="1">
                  <c:v>9</c:v>
                </c:pt>
                <c:pt idx="2">
                  <c:v>6</c:v>
                </c:pt>
                <c:pt idx="3">
                  <c:v>15</c:v>
                </c:pt>
                <c:pt idx="4">
                  <c:v>13</c:v>
                </c:pt>
              </c:numCache>
            </c:numRef>
          </c:val>
        </c:ser>
        <c:ser>
          <c:idx val="1"/>
          <c:order val="1"/>
          <c:tx>
            <c:strRef>
              <c:f>Sheet1!$C$1</c:f>
              <c:strCache>
                <c:ptCount val="1"/>
                <c:pt idx="0">
                  <c:v>20歳～39歳</c:v>
                </c:pt>
              </c:strCache>
            </c:strRef>
          </c:tx>
          <c:invertIfNegative val="0"/>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#,##0;[Red]\-#,##0</c:formatCode>
                <c:ptCount val="5"/>
                <c:pt idx="0">
                  <c:v>251</c:v>
                </c:pt>
                <c:pt idx="1">
                  <c:v>233</c:v>
                </c:pt>
                <c:pt idx="2">
                  <c:v>173</c:v>
                </c:pt>
                <c:pt idx="3">
                  <c:v>152</c:v>
                </c:pt>
                <c:pt idx="4">
                  <c:v>152</c:v>
                </c:pt>
              </c:numCache>
            </c:numRef>
          </c:val>
        </c:ser>
        <c:ser>
          <c:idx val="2"/>
          <c:order val="2"/>
          <c:tx>
            <c:strRef>
              <c:f>Sheet1!$D$1</c:f>
              <c:strCache>
                <c:ptCount val="1"/>
                <c:pt idx="0">
                  <c:v>40歳～64歳</c:v>
                </c:pt>
              </c:strCache>
            </c:strRef>
          </c:tx>
          <c:invertIfNegative val="0"/>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Sheet1!$D$2:$D$6</c:f>
              <c:numCache>
                <c:formatCode>#,##0;[Red]\-#,##0</c:formatCode>
                <c:ptCount val="5"/>
                <c:pt idx="0">
                  <c:v>1606</c:v>
                </c:pt>
                <c:pt idx="1">
                  <c:v>1386</c:v>
                </c:pt>
                <c:pt idx="2">
                  <c:v>1202</c:v>
                </c:pt>
                <c:pt idx="3">
                  <c:v>1057</c:v>
                </c:pt>
                <c:pt idx="4">
                  <c:v>885</c:v>
                </c:pt>
              </c:numCache>
            </c:numRef>
          </c:val>
        </c:ser>
        <c:ser>
          <c:idx val="3"/>
          <c:order val="3"/>
          <c:tx>
            <c:strRef>
              <c:f>Sheet1!$E$1</c:f>
              <c:strCache>
                <c:ptCount val="1"/>
                <c:pt idx="0">
                  <c:v>65歳以上</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
                <c:rich>
                  <a:bodyPr/>
                  <a:lstStyle/>
                  <a:p>
                    <a:pPr>
                      <a:defRPr sz="1000">
                        <a:solidFill>
                          <a:schemeClr val="tx1"/>
                        </a:solidFill>
                      </a:defRPr>
                    </a:pPr>
                    <a:r>
                      <a:rPr lang="en-US" altLang="en-US" sz="1000">
                        <a:solidFill>
                          <a:schemeClr val="tx1"/>
                        </a:solidFill>
                      </a:rPr>
                      <a:t>1,595</a:t>
                    </a:r>
                    <a:endParaRPr lang="ja-JP" altLang="en-US" sz="1000">
                      <a:solidFill>
                        <a:schemeClr val="tx1"/>
                      </a:solidFill>
                    </a:endParaRPr>
                  </a:p>
                  <a:p>
                    <a:pPr>
                      <a:defRPr sz="1000">
                        <a:solidFill>
                          <a:schemeClr val="tx1"/>
                        </a:solidFill>
                      </a:defRPr>
                    </a:pPr>
                    <a:r>
                      <a:rPr lang="en-US" altLang="en-US" sz="1000">
                        <a:solidFill>
                          <a:schemeClr val="tx1"/>
                        </a:solidFill>
                      </a:rPr>
                      <a:t>46.0%</a:t>
                    </a:r>
                    <a:endParaRPr lang="ja-JP" altLang="en-US" sz="1000">
                      <a:solidFill>
                        <a:schemeClr val="tx1"/>
                      </a:solidFill>
                    </a:endParaRPr>
                  </a:p>
                </c:rich>
              </c:tx>
              <c:showLegendKey val="0"/>
              <c:showVal val="1"/>
              <c:showCatName val="0"/>
              <c:showSerName val="0"/>
              <c:showPercent val="0"/>
              <c:showBubbleSize val="0"/>
            </c:dLbl>
            <c:dLbl>
              <c:idx val="1"/>
              <c:layout/>
              <c:tx>
                <c:rich>
                  <a:bodyPr/>
                  <a:lstStyle/>
                  <a:p>
                    <a:pPr>
                      <a:defRPr sz="1000">
                        <a:solidFill>
                          <a:schemeClr val="tx1"/>
                        </a:solidFill>
                      </a:defRPr>
                    </a:pPr>
                    <a:r>
                      <a:rPr lang="en-US" altLang="en-US" sz="1000">
                        <a:solidFill>
                          <a:schemeClr val="tx1"/>
                        </a:solidFill>
                      </a:rPr>
                      <a:t>1,746</a:t>
                    </a:r>
                    <a:endParaRPr lang="ja-JP" altLang="en-US" sz="1000">
                      <a:solidFill>
                        <a:schemeClr val="tx1"/>
                      </a:solidFill>
                    </a:endParaRPr>
                  </a:p>
                  <a:p>
                    <a:pPr>
                      <a:defRPr sz="1000">
                        <a:solidFill>
                          <a:schemeClr val="tx1"/>
                        </a:solidFill>
                      </a:defRPr>
                    </a:pPr>
                    <a:r>
                      <a:rPr lang="en-US" altLang="en-US" sz="1000">
                        <a:solidFill>
                          <a:schemeClr val="tx1"/>
                        </a:solidFill>
                      </a:rPr>
                      <a:t>51.7%</a:t>
                    </a:r>
                    <a:endParaRPr lang="ja-JP" altLang="en-US" sz="1000">
                      <a:solidFill>
                        <a:schemeClr val="tx1"/>
                      </a:solidFill>
                    </a:endParaRPr>
                  </a:p>
                </c:rich>
              </c:tx>
              <c:showLegendKey val="0"/>
              <c:showVal val="1"/>
              <c:showCatName val="0"/>
              <c:showSerName val="0"/>
              <c:showPercent val="0"/>
              <c:showBubbleSize val="0"/>
            </c:dLbl>
            <c:dLbl>
              <c:idx val="2"/>
              <c:layout/>
              <c:tx>
                <c:rich>
                  <a:bodyPr/>
                  <a:lstStyle/>
                  <a:p>
                    <a:pPr>
                      <a:defRPr sz="1000">
                        <a:solidFill>
                          <a:schemeClr val="tx1"/>
                        </a:solidFill>
                      </a:defRPr>
                    </a:pPr>
                    <a:r>
                      <a:rPr lang="en-US" altLang="en-US" sz="1000">
                        <a:solidFill>
                          <a:schemeClr val="tx1"/>
                        </a:solidFill>
                      </a:rPr>
                      <a:t>1,830</a:t>
                    </a:r>
                    <a:endParaRPr lang="ja-JP" altLang="en-US" sz="1000">
                      <a:solidFill>
                        <a:schemeClr val="tx1"/>
                      </a:solidFill>
                    </a:endParaRPr>
                  </a:p>
                  <a:p>
                    <a:pPr>
                      <a:defRPr sz="1000">
                        <a:solidFill>
                          <a:schemeClr val="tx1"/>
                        </a:solidFill>
                      </a:defRPr>
                    </a:pPr>
                    <a:r>
                      <a:rPr lang="en-US" altLang="en-US" sz="1000">
                        <a:solidFill>
                          <a:schemeClr val="tx1"/>
                        </a:solidFill>
                      </a:rPr>
                      <a:t>57.0%</a:t>
                    </a:r>
                    <a:endParaRPr lang="ja-JP" altLang="en-US" sz="1000">
                      <a:solidFill>
                        <a:schemeClr val="tx1"/>
                      </a:solidFill>
                    </a:endParaRPr>
                  </a:p>
                </c:rich>
              </c:tx>
              <c:showLegendKey val="0"/>
              <c:showVal val="1"/>
              <c:showCatName val="0"/>
              <c:showSerName val="0"/>
              <c:showPercent val="0"/>
              <c:showBubbleSize val="0"/>
            </c:dLbl>
            <c:dLbl>
              <c:idx val="3"/>
              <c:layout/>
              <c:tx>
                <c:rich>
                  <a:bodyPr/>
                  <a:lstStyle/>
                  <a:p>
                    <a:pPr>
                      <a:defRPr sz="1000">
                        <a:solidFill>
                          <a:schemeClr val="tx1"/>
                        </a:solidFill>
                      </a:defRPr>
                    </a:pPr>
                    <a:r>
                      <a:rPr lang="en-US" altLang="en-US" sz="1000">
                        <a:solidFill>
                          <a:schemeClr val="tx1"/>
                        </a:solidFill>
                      </a:rPr>
                      <a:t>1,879</a:t>
                    </a:r>
                    <a:endParaRPr lang="ja-JP" altLang="en-US" sz="1000">
                      <a:solidFill>
                        <a:schemeClr val="tx1"/>
                      </a:solidFill>
                    </a:endParaRPr>
                  </a:p>
                  <a:p>
                    <a:pPr>
                      <a:defRPr sz="1000">
                        <a:solidFill>
                          <a:schemeClr val="tx1"/>
                        </a:solidFill>
                      </a:defRPr>
                    </a:pPr>
                    <a:r>
                      <a:rPr lang="en-US" altLang="en-US" sz="1000">
                        <a:solidFill>
                          <a:schemeClr val="tx1"/>
                        </a:solidFill>
                      </a:rPr>
                      <a:t>60.6%</a:t>
                    </a:r>
                    <a:endParaRPr lang="ja-JP" altLang="en-US" sz="1000">
                      <a:solidFill>
                        <a:schemeClr val="tx1"/>
                      </a:solidFill>
                    </a:endParaRPr>
                  </a:p>
                </c:rich>
              </c:tx>
              <c:showLegendKey val="0"/>
              <c:showVal val="1"/>
              <c:showCatName val="0"/>
              <c:showSerName val="0"/>
              <c:showPercent val="0"/>
              <c:showBubbleSize val="0"/>
            </c:dLbl>
            <c:dLbl>
              <c:idx val="4"/>
              <c:layout/>
              <c:tx>
                <c:rich>
                  <a:bodyPr/>
                  <a:lstStyle/>
                  <a:p>
                    <a:pPr>
                      <a:defRPr sz="1000">
                        <a:solidFill>
                          <a:schemeClr val="tx1"/>
                        </a:solidFill>
                      </a:defRPr>
                    </a:pPr>
                    <a:r>
                      <a:rPr lang="en-US" altLang="en-US" sz="1000">
                        <a:solidFill>
                          <a:schemeClr val="tx1"/>
                        </a:solidFill>
                      </a:rPr>
                      <a:t>1,899</a:t>
                    </a:r>
                    <a:endParaRPr lang="ja-JP" altLang="en-US" sz="1000">
                      <a:solidFill>
                        <a:schemeClr val="tx1"/>
                      </a:solidFill>
                    </a:endParaRPr>
                  </a:p>
                  <a:p>
                    <a:pPr>
                      <a:defRPr sz="1000">
                        <a:solidFill>
                          <a:schemeClr val="tx1"/>
                        </a:solidFill>
                      </a:defRPr>
                    </a:pPr>
                    <a:r>
                      <a:rPr lang="en-US" altLang="en-US" sz="1000">
                        <a:solidFill>
                          <a:schemeClr val="tx1"/>
                        </a:solidFill>
                      </a:rPr>
                      <a:t>64.4%</a:t>
                    </a:r>
                    <a:endParaRPr lang="ja-JP" altLang="en-US" sz="1000">
                      <a:solidFill>
                        <a:schemeClr val="tx1"/>
                      </a:solidFill>
                    </a:endParaRPr>
                  </a:p>
                </c:rich>
              </c:tx>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Sheet1!$E$2:$E$6</c:f>
              <c:numCache>
                <c:formatCode>#,##0;[Red]\-#,##0</c:formatCode>
                <c:ptCount val="5"/>
                <c:pt idx="0">
                  <c:v>1595</c:v>
                </c:pt>
                <c:pt idx="1">
                  <c:v>1746</c:v>
                </c:pt>
                <c:pt idx="2">
                  <c:v>1830</c:v>
                </c:pt>
                <c:pt idx="3">
                  <c:v>1879</c:v>
                </c:pt>
                <c:pt idx="4">
                  <c:v>1899</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300"/>
        <c:overlap val="100"/>
        <c:serLines/>
        <c:axId val="1"/>
        <c:axId val="2"/>
      </c:bar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out"/>
        <c:minorTickMark val="none"/>
        <c:tickLblPos val="low"/>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15820394320934417"/>
          <c:y val="6.318190882972359e-002"/>
          <c:w val="0.59023851594194188"/>
          <c:h val="0.14249229144158279"/>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6-5-23</a:t>
            </a:r>
            <a:r>
              <a:rPr lang="ja-JP" altLang="en-US" sz="1050" b="0" i="0" u="none" strike="noStrike" baseline="0">
                <a:solidFill>
                  <a:schemeClr val="tx1"/>
                </a:solidFill>
                <a:latin typeface="+mj-ea"/>
                <a:ea typeface="+mj-ea"/>
              </a:rPr>
              <a:t>）高知県の「アルコールを除く精神作用物質使用による</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精神及び行動の障害」による入院患者数</a:t>
            </a:r>
            <a:endParaRPr lang="ja-JP" altLang="en-US" sz="1800" b="0" i="0" u="none" strike="noStrike" baseline="0">
              <a:solidFill>
                <a:schemeClr val="tx1"/>
              </a:solidFill>
            </a:endParaRPr>
          </a:p>
        </c:rich>
      </c:tx>
      <c:layout>
        <c:manualLayout>
          <c:xMode val="edge"/>
          <c:yMode val="edge"/>
          <c:x val="6.5857168617281622e-002"/>
          <c:y val="3.2341526520051747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64299679127872e-002"/>
                  <c:y val="5.949725378098383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7528039835866535e-002"/>
                  <c:y val="0.1034637441553422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33237691006091e-002"/>
                  <c:y val="5.21646682515494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1852472937848e-002"/>
                  <c:y val="7.351230975992996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14</c:v>
                </c:pt>
                <c:pt idx="1">
                  <c:v>17</c:v>
                </c:pt>
                <c:pt idx="2">
                  <c:v>8</c:v>
                </c:pt>
                <c:pt idx="3">
                  <c:v>14</c:v>
                </c:pt>
                <c:pt idx="4">
                  <c:v>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8"/>
          <c:min val="5"/>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3075908614871521"/>
          <c:y val="0.2387273227327828"/>
          <c:w val="0.2300922975761038"/>
          <c:h val="0.1196224719290353"/>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6-5-24</a:t>
            </a:r>
            <a:r>
              <a:rPr lang="ja-JP" altLang="en-US" sz="1050" b="0" i="0" u="none" strike="noStrike" baseline="0">
                <a:solidFill>
                  <a:schemeClr val="tx1"/>
                </a:solidFill>
                <a:latin typeface="+mj-ea"/>
                <a:ea typeface="+mj-ea"/>
              </a:rPr>
              <a:t>）高知県の「神経症性障害、ストレス関連障害及び</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身体表現性障害」による入院患者数</a:t>
            </a:r>
            <a:endParaRPr lang="ja-JP" altLang="en-US" sz="1800" b="0" i="0" u="none" strike="noStrike" baseline="0">
              <a:solidFill>
                <a:schemeClr val="tx1"/>
              </a:solidFill>
            </a:endParaRPr>
          </a:p>
        </c:rich>
      </c:tx>
      <c:layout>
        <c:manualLayout>
          <c:xMode val="edge"/>
          <c:yMode val="edge"/>
          <c:x val="9.1730439227106428e-002"/>
          <c:y val="2.9585798816568046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6460146449015639e-002"/>
                  <c:y val="8.5565484545437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2920292898030043e-002"/>
                  <c:y val="8.5565484545437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7624222359876641e-002"/>
                  <c:y val="7.02484381783187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71000506818522e-002"/>
                  <c:y val="-8.086444710674074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63</c:v>
                </c:pt>
                <c:pt idx="1">
                  <c:v>69</c:v>
                </c:pt>
                <c:pt idx="2">
                  <c:v>65</c:v>
                </c:pt>
                <c:pt idx="3">
                  <c:v>58</c:v>
                </c:pt>
                <c:pt idx="4">
                  <c:v>61</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
          <c:min val="55"/>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5321106270962102"/>
          <c:y val="0.15980664399198621"/>
          <c:w val="0.23000795645162644"/>
          <c:h val="0.1196224719290353"/>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6-5-25</a:t>
            </a:r>
            <a:r>
              <a:rPr lang="ja-JP" altLang="en-US" sz="1050" b="0" i="0" u="none" strike="noStrike" baseline="0">
                <a:solidFill>
                  <a:schemeClr val="tx1"/>
                </a:solidFill>
                <a:latin typeface="+mj-ea"/>
                <a:ea typeface="+mj-ea"/>
              </a:rPr>
              <a:t>）高知県の「神経症性障害、ストレス関連障害及び身体表現性障害」による自立支援医療制度（精神通院医療）の承認者数</a:t>
            </a:r>
            <a:endParaRPr lang="ja-JP" altLang="en-US" sz="1800" b="0" i="0" u="none" strike="noStrike" baseline="0">
              <a:solidFill>
                <a:schemeClr val="tx1"/>
              </a:solidFill>
            </a:endParaRPr>
          </a:p>
        </c:rich>
      </c:tx>
      <c:layout>
        <c:manualLayout>
          <c:xMode val="edge"/>
          <c:yMode val="edge"/>
          <c:x val="9.5212788414852964e-002"/>
          <c:y val="3.8192234245703373e-002"/>
        </c:manualLayout>
      </c:layout>
      <c:overlay val="0"/>
    </c:title>
    <c:autoTitleDeleted val="0"/>
    <c:plotArea>
      <c:layout>
        <c:manualLayout>
          <c:layoutTarget val="inner"/>
          <c:xMode val="edge"/>
          <c:yMode val="edge"/>
          <c:x val="8.9476862322343934e-002"/>
          <c:y val="0.34571941238089987"/>
          <c:w val="0.88464687326928193"/>
          <c:h val="0.38694797937017938"/>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7.056837547710056e-003"/>
                  <c:y val="-3.18171660375052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7636466921120416e-002"/>
                  <c:y val="-8.272463169751349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61395912850173e-002"/>
                  <c:y val="5.727089886750931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45583651400373e-003"/>
                  <c:y val="3.81805992450061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176193836744297e-002"/>
                  <c:y val="7.001909611712291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655</c:v>
                </c:pt>
                <c:pt idx="1">
                  <c:v>414</c:v>
                </c:pt>
                <c:pt idx="2">
                  <c:v>635</c:v>
                </c:pt>
                <c:pt idx="3">
                  <c:v>777</c:v>
                </c:pt>
                <c:pt idx="4">
                  <c:v>979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000"/>
          <c:min val="40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3204322466043237"/>
          <c:y val="0.25308369712856577"/>
          <c:w val="0.26521369589473798"/>
          <c:h val="7.7901285378405141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6-5-26</a:t>
            </a:r>
            <a:r>
              <a:rPr lang="ja-JP" altLang="en-US" sz="1050" b="0" i="0" u="none" strike="noStrike" baseline="0">
                <a:solidFill>
                  <a:schemeClr val="tx1"/>
                </a:solidFill>
                <a:latin typeface="+mj-ea"/>
                <a:ea typeface="+mj-ea"/>
              </a:rPr>
              <a:t>）高知県の高次脳機能障害支援センターの相談対応件数</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7.6379619410226599e-002"/>
          <c:y val="0.27246502143550311"/>
          <c:w val="0.89775020185035659"/>
          <c:h val="0.48417801908926805"/>
        </c:manualLayout>
      </c:layout>
      <c:lineChart>
        <c:grouping val="standard"/>
        <c:varyColors val="0"/>
        <c:ser>
          <c:idx val="0"/>
          <c:order val="0"/>
          <c:tx>
            <c:strRef>
              <c:f>Sheet1!$B$1</c:f>
              <c:strCache>
                <c:ptCount val="1"/>
                <c:pt idx="0">
                  <c:v>相談対応件数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3.0573847601130136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6462841015992873e-002"/>
                  <c:y val="-5.6440233823825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5862995480427e-002"/>
                  <c:y val="1.87174471170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69039638434247e-003"/>
                  <c:y val="-3.74348942341420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0573847601130136e-002"/>
                  <c:y val="5.24087885506955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1.175917215428026e-002"/>
                  <c:y val="4.03144527313041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General</c:formatCode>
                <c:ptCount val="8"/>
                <c:pt idx="0">
                  <c:v>77</c:v>
                </c:pt>
                <c:pt idx="1">
                  <c:v>46</c:v>
                </c:pt>
                <c:pt idx="2">
                  <c:v>40</c:v>
                </c:pt>
                <c:pt idx="3">
                  <c:v>183</c:v>
                </c:pt>
                <c:pt idx="4">
                  <c:v>115</c:v>
                </c:pt>
                <c:pt idx="5">
                  <c:v>109</c:v>
                </c:pt>
                <c:pt idx="6">
                  <c:v>128</c:v>
                </c:pt>
                <c:pt idx="7">
                  <c:v>274</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132643461900283"/>
          <c:y val="0.15195204343606847"/>
          <c:w val="0.32173095014111003"/>
          <c:h val="0.11169850258577271"/>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6-5-27</a:t>
            </a:r>
            <a:r>
              <a:rPr kumimoji="0" lang="ja-JP" altLang="en-US" sz="1050" b="0" i="0" u="none" strike="noStrike" kern="1200" baseline="0">
                <a:solidFill>
                  <a:schemeClr val="tx1"/>
                </a:solidFill>
                <a:latin typeface="+mj-ea"/>
                <a:ea typeface="+mj-ea"/>
              </a:rPr>
              <a:t>）高知県の「生理的障害及び身体的要因に関連した</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行動症候群」による自立支援医療制度（精神通院医療）の承認者数</a:t>
            </a:r>
            <a:endParaRPr kumimoji="0" lang="ja-JP" altLang="en-US" sz="1800" b="0" i="0" u="none" strike="noStrike" kern="1200" baseline="0">
              <a:solidFill>
                <a:schemeClr val="tx1"/>
              </a:solidFill>
            </a:endParaRPr>
          </a:p>
        </c:rich>
      </c:tx>
      <c:layout>
        <c:manualLayout>
          <c:xMode val="edge"/>
          <c:yMode val="edge"/>
          <c:x val="0.11627898057080296"/>
          <c:y val="3.7837761287033367e-002"/>
        </c:manualLayout>
      </c:layout>
      <c:overlay val="0"/>
    </c:title>
    <c:autoTitleDeleted val="0"/>
    <c:plotArea>
      <c:layout>
        <c:manualLayout>
          <c:layoutTarget val="inner"/>
          <c:xMode val="edge"/>
          <c:yMode val="edge"/>
          <c:x val="6.330341997466693e-002"/>
          <c:y val="0.43800167890744712"/>
          <c:w val="0.91082640128591652"/>
          <c:h val="0.26396276315670747"/>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Lbls>
            <c:dLbl>
              <c:idx val="0"/>
              <c:layout>
                <c:manualLayout>
                  <c:x val="-3.2924904574551481e-002"/>
                  <c:y val="-7.11285564879992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5032925682104e-003"/>
                  <c:y val="3.628300745817555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Sheet1!$A$2:$A$4</c:f>
              <c:strCache>
                <c:ptCount val="3"/>
                <c:pt idx="0">
                  <c:v>H22</c:v>
                </c:pt>
                <c:pt idx="1">
                  <c:v>H25</c:v>
                </c:pt>
                <c:pt idx="2">
                  <c:v>H28</c:v>
                </c:pt>
              </c:strCache>
            </c:strRef>
          </c:cat>
          <c:val>
            <c:numRef>
              <c:f>Sheet1!$B$2:$B$4</c:f>
              <c:numCache>
                <c:formatCode>General</c:formatCode>
                <c:ptCount val="3"/>
                <c:pt idx="0">
                  <c:v>33</c:v>
                </c:pt>
                <c:pt idx="1">
                  <c:v>40</c:v>
                </c:pt>
                <c:pt idx="2">
                  <c:v>51</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60"/>
          <c:min val="3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725350182591186"/>
          <c:y val="0.33863503019325486"/>
          <c:w val="0.26521369589473798"/>
          <c:h val="9.4668124769395207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6-5-28</a:t>
            </a:r>
            <a:r>
              <a:rPr kumimoji="0" lang="ja-JP" altLang="en-US" sz="1050" b="0" i="0" u="none" strike="noStrike" kern="1200" baseline="0">
                <a:solidFill>
                  <a:schemeClr val="tx1"/>
                </a:solidFill>
                <a:latin typeface="+mj-ea"/>
                <a:ea typeface="+mj-ea"/>
              </a:rPr>
              <a:t>）高知県の「てんかん」による自立支援医療制度</a:t>
            </a:r>
            <a:endParaRPr kumimoji="0" lang="ja-JP" altLang="en-US" sz="1800" b="0" i="0" u="none" strike="noStrike" kern="1200" baseline="0">
              <a:solidFill>
                <a:schemeClr val="tx1"/>
              </a:solidFill>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（精神通院医療）の承認者数</a:t>
            </a:r>
            <a:endParaRPr kumimoji="0" lang="ja-JP" altLang="en-US" sz="1800" b="0" i="0" u="none" strike="noStrike" kern="1200" baseline="0">
              <a:solidFill>
                <a:schemeClr val="tx1"/>
              </a:solidFill>
            </a:endParaRPr>
          </a:p>
        </c:rich>
      </c:tx>
      <c:layout>
        <c:manualLayout>
          <c:xMode val="edge"/>
          <c:yMode val="edge"/>
          <c:x val="0.14530836272977471"/>
          <c:y val="2.9444394372659714e-002"/>
        </c:manualLayout>
      </c:layout>
      <c:overlay val="0"/>
    </c:title>
    <c:autoTitleDeleted val="0"/>
    <c:plotArea>
      <c:layout>
        <c:manualLayout>
          <c:layoutTarget val="inner"/>
          <c:xMode val="edge"/>
          <c:yMode val="edge"/>
          <c:x val="7.6084371964925304e-002"/>
          <c:y val="0.40715877574559728"/>
          <c:w val="0.89814545115795152"/>
          <c:h val="0.29105283444280566"/>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552282459722931e-017"/>
                  <c:y val="1.90145473764166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5926236468981e-002"/>
                  <c:y val="8.2396371964472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535557418813424e-003"/>
                  <c:y val="7.605818950566668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47409891751064e-003"/>
                  <c:y val="6.97200070468625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738</c:v>
                </c:pt>
                <c:pt idx="1">
                  <c:v>842</c:v>
                </c:pt>
                <c:pt idx="2">
                  <c:v>842</c:v>
                </c:pt>
                <c:pt idx="3">
                  <c:v>881</c:v>
                </c:pt>
                <c:pt idx="4">
                  <c:v>869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70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31522995317281"/>
          <c:y val="0.26801851277607602"/>
          <c:w val="0.26521369589473798"/>
          <c:h val="0.1134514697346797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6-5-29</a:t>
            </a:r>
            <a:r>
              <a:rPr lang="ja-JP" altLang="en-US" sz="1050" b="0" i="0" u="none" strike="noStrike" baseline="0">
                <a:solidFill>
                  <a:schemeClr val="tx1"/>
                </a:solidFill>
                <a:latin typeface="+mj-ea"/>
                <a:ea typeface="+mj-ea"/>
              </a:rPr>
              <a:t>）高知県精神科救急医療事業（平日夜間・土日祝日）の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診察依頼及び診察件数</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9.5960066235402361e-002"/>
          <c:y val="0.47439249781277393"/>
          <c:w val="0.87817887816332885"/>
          <c:h val="0.33117727471566111"/>
        </c:manualLayout>
      </c:layout>
      <c:lineChart>
        <c:grouping val="standard"/>
        <c:varyColors val="0"/>
        <c:ser>
          <c:idx val="0"/>
          <c:order val="0"/>
          <c:tx>
            <c:strRef>
              <c:f>Sheet1!$B$1</c:f>
              <c:strCache>
                <c:ptCount val="1"/>
                <c:pt idx="0">
                  <c:v>診察依頼件数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5870178739417399e-002"/>
                  <c:y val="4.434589800443462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399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834430856067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881467544684874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1.4111006585136398e-002"/>
                  <c:y val="4.434589800443455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3.0573847601129245e-002"/>
                  <c:y val="6.1147747156605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1.17591721542803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#,##0;[Red]\-#,##0</c:formatCode>
                <c:ptCount val="8"/>
                <c:pt idx="0">
                  <c:v>1316</c:v>
                </c:pt>
                <c:pt idx="1">
                  <c:v>1411</c:v>
                </c:pt>
                <c:pt idx="2">
                  <c:v>1307</c:v>
                </c:pt>
                <c:pt idx="3">
                  <c:v>1257</c:v>
                </c:pt>
                <c:pt idx="4">
                  <c:v>1232</c:v>
                </c:pt>
                <c:pt idx="5">
                  <c:v>1334</c:v>
                </c:pt>
                <c:pt idx="6">
                  <c:v>1506</c:v>
                </c:pt>
                <c:pt idx="7">
                  <c:v>1412</c:v>
                </c:pt>
              </c:numCache>
            </c:numRef>
          </c:val>
          <c:smooth val="0"/>
        </c:ser>
        <c:ser>
          <c:idx val="1"/>
          <c:order val="1"/>
          <c:tx>
            <c:strRef>
              <c:f>Sheet1!$C$1</c:f>
              <c:strCache>
                <c:ptCount val="1"/>
                <c:pt idx="0">
                  <c:v>診察件数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277516462841822e-002"/>
                  <c:y val="5.643991638719016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7629350893697081e-002"/>
                  <c:y val="5.2408788550695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5277516462841746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3.057384760113015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Sheet1!$C$2:$C$9</c:f>
              <c:numCache>
                <c:formatCode>General</c:formatCode>
                <c:ptCount val="8"/>
                <c:pt idx="0">
                  <c:v>417</c:v>
                </c:pt>
                <c:pt idx="1">
                  <c:v>488</c:v>
                </c:pt>
                <c:pt idx="2">
                  <c:v>465</c:v>
                </c:pt>
                <c:pt idx="3">
                  <c:v>447</c:v>
                </c:pt>
                <c:pt idx="4">
                  <c:v>429</c:v>
                </c:pt>
                <c:pt idx="5">
                  <c:v>496</c:v>
                </c:pt>
                <c:pt idx="6">
                  <c:v>349</c:v>
                </c:pt>
                <c:pt idx="7">
                  <c:v>322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600"/>
          <c:min val="0"/>
        </c:scaling>
        <c:delete val="0"/>
        <c:axPos val="l"/>
        <c:majorGridlines/>
        <c:numFmt formatCode="#,##0;[Red]\-#,##0"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7.2437242511724939e-002"/>
          <c:y val="0.26476104549431323"/>
          <c:w val="0.58701787394167448"/>
          <c:h val="7.2161600642491913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6-5-30</a:t>
            </a:r>
            <a:r>
              <a:rPr lang="ja-JP" altLang="en-US" sz="1050" b="0" i="0" u="none" strike="noStrike" baseline="0">
                <a:solidFill>
                  <a:schemeClr val="tx1"/>
                </a:solidFill>
                <a:latin typeface="+mj-ea"/>
                <a:ea typeface="+mj-ea"/>
              </a:rPr>
              <a:t>）高知県の自殺死亡者数</a:t>
            </a:r>
            <a:endParaRPr lang="ja-JP" altLang="en-US" sz="1800" b="0" i="0" u="none" strike="noStrike" baseline="0">
              <a:solidFill>
                <a:schemeClr val="tx1"/>
              </a:solidFill>
            </a:endParaRPr>
          </a:p>
        </c:rich>
      </c:tx>
      <c:layout>
        <c:manualLayout>
          <c:xMode val="edge"/>
          <c:yMode val="edge"/>
          <c:x val="0.24040066777963276"/>
          <c:y val="4.1236891231907678e-002"/>
        </c:manualLayout>
      </c:layout>
      <c:overlay val="0"/>
    </c:title>
    <c:autoTitleDeleted val="0"/>
    <c:plotArea>
      <c:layout>
        <c:manualLayout>
          <c:layoutTarget val="inner"/>
          <c:xMode val="edge"/>
          <c:yMode val="edge"/>
          <c:x val="7.512520868113523e-002"/>
          <c:y val="0.26288659793814434"/>
          <c:w val="0.89816360601001666"/>
          <c:h val="0.53608247422680411"/>
        </c:manualLayout>
      </c:layout>
      <c:lineChart>
        <c:grouping val="standard"/>
        <c:varyColors val="0"/>
        <c:ser>
          <c:idx val="0"/>
          <c:order val="0"/>
          <c:tx>
            <c:strRef>
              <c:f>Sheet1!$B$1</c:f>
              <c:strCache>
                <c:ptCount val="1"/>
                <c:pt idx="0">
                  <c:v>自殺死亡者数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0"/>
              <c:layout>
                <c:manualLayout>
                  <c:x val="-4.4672519698581763e-002"/>
                  <c:y val="0.1011814556813273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1160667225643991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0667225644032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65408214819095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291659346211287e-002"/>
                  <c:y val="8.67269620125672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3.99701492039942e-002"/>
                  <c:y val="0.10840870251570787"/>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2.5863037720231612e-002"/>
                  <c:y val="-7.949971517818578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General</c:formatCode>
                <c:ptCount val="8"/>
                <c:pt idx="0">
                  <c:v>233</c:v>
                </c:pt>
                <c:pt idx="1">
                  <c:v>197</c:v>
                </c:pt>
                <c:pt idx="2">
                  <c:v>197</c:v>
                </c:pt>
                <c:pt idx="3">
                  <c:v>194</c:v>
                </c:pt>
                <c:pt idx="4">
                  <c:v>160</c:v>
                </c:pt>
                <c:pt idx="5">
                  <c:v>159</c:v>
                </c:pt>
                <c:pt idx="6">
                  <c:v>114</c:v>
                </c:pt>
                <c:pt idx="7">
                  <c:v>132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40"/>
          <c:min val="10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67946577629382299"/>
          <c:y val="7.7319587628865982e-002"/>
          <c:w val="0.32053422370617696"/>
          <c:h val="0.12886597938144329"/>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6-5-31</a:t>
            </a:r>
            <a:r>
              <a:rPr lang="ja-JP" altLang="en-US" sz="1050" b="0" i="0" u="none" strike="noStrike" baseline="0">
                <a:solidFill>
                  <a:schemeClr val="tx1"/>
                </a:solidFill>
                <a:latin typeface="+mj-ea"/>
                <a:ea typeface="+mj-ea"/>
              </a:rPr>
              <a:t>）人口</a:t>
            </a:r>
            <a:r>
              <a:rPr lang="en-US" altLang="ja-JP" sz="1050" b="0" i="0" u="none" strike="noStrike" baseline="0">
                <a:solidFill>
                  <a:schemeClr val="tx1"/>
                </a:solidFill>
                <a:latin typeface="+mj-ea"/>
                <a:ea typeface="+mj-ea"/>
              </a:rPr>
              <a:t>10</a:t>
            </a:r>
            <a:r>
              <a:rPr lang="ja-JP" altLang="en-US" sz="1050" b="0" i="0" u="none" strike="noStrike" baseline="0">
                <a:solidFill>
                  <a:schemeClr val="tx1"/>
                </a:solidFill>
                <a:latin typeface="+mj-ea"/>
                <a:ea typeface="+mj-ea"/>
              </a:rPr>
              <a:t>万人あたりの自殺死亡率</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6.5217391304347824e-002"/>
          <c:y val="0.35377358490566035"/>
          <c:w val="0.91137123745819393"/>
          <c:h val="0.51886792452830188"/>
        </c:manualLayout>
      </c:layout>
      <c:lineChart>
        <c:grouping val="standard"/>
        <c:varyColors val="0"/>
        <c:ser>
          <c:idx val="0"/>
          <c:order val="0"/>
          <c:tx>
            <c:strRef>
              <c:f>Sheet1!$B$1</c:f>
              <c:strCache>
                <c:ptCount val="1"/>
                <c:pt idx="0">
                  <c:v>高知県</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7.0555032925682104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5032925682104e-003"/>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591721542803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11006585136398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4.7036688617123389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7.0555032925682104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1.64628410159929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0"/>
                  <c:y val="-2.41886716387823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General</c:formatCode>
                <c:ptCount val="8"/>
                <c:pt idx="0">
                  <c:v>30.4</c:v>
                </c:pt>
                <c:pt idx="1">
                  <c:v>25.9</c:v>
                </c:pt>
                <c:pt idx="2">
                  <c:v>26</c:v>
                </c:pt>
                <c:pt idx="3">
                  <c:v>25.9</c:v>
                </c:pt>
                <c:pt idx="4">
                  <c:v>21.6</c:v>
                </c:pt>
                <c:pt idx="5">
                  <c:v>21.6</c:v>
                </c:pt>
                <c:pt idx="6">
                  <c:v>15.7</c:v>
                </c:pt>
                <c:pt idx="7">
                  <c:v>18.399999999999999</c:v>
                </c:pt>
              </c:numCache>
            </c:numRef>
          </c:val>
          <c:smooth val="0"/>
        </c:ser>
        <c:ser>
          <c:idx val="1"/>
          <c:order val="1"/>
          <c:tx>
            <c:strRef>
              <c:f>Sheet1!$C$1</c:f>
              <c:strCache>
                <c:ptCount val="1"/>
                <c:pt idx="0">
                  <c:v>全　国</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3.762935089369708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517e-002"/>
                  <c:y val="6.45031243700867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6509877704607e-002"/>
                  <c:y val="5.6440233823825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6.04716790969563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8344308560677e-002"/>
                  <c:y val="6.45031243700867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2.5870178739417517e-002"/>
                  <c:y val="6.047167909695619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1.175917215428034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2.3518344308560675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Sheet1!$C$2:$C$9</c:f>
              <c:numCache>
                <c:formatCode>General</c:formatCode>
                <c:ptCount val="8"/>
                <c:pt idx="0">
                  <c:v>25.9</c:v>
                </c:pt>
                <c:pt idx="1">
                  <c:v>23.4</c:v>
                </c:pt>
                <c:pt idx="2">
                  <c:v>22.9</c:v>
                </c:pt>
                <c:pt idx="3">
                  <c:v>21</c:v>
                </c:pt>
                <c:pt idx="4">
                  <c:v>20.7</c:v>
                </c:pt>
                <c:pt idx="5">
                  <c:v>19.5</c:v>
                </c:pt>
                <c:pt idx="6">
                  <c:v>18.399999999999999</c:v>
                </c:pt>
                <c:pt idx="7">
                  <c:v>16.8</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
          <c:min val="1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4763696214436901"/>
          <c:y val="0.17202727849274074"/>
          <c:w val="0.30472607571126298"/>
          <c:h val="0.11865883353907908"/>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a:t>
            </a:r>
            <a:r>
              <a:rPr lang="ja-JP" altLang="en-US" sz="1050" b="0" i="0" u="none" strike="noStrike" baseline="0">
                <a:solidFill>
                  <a:schemeClr val="tx1"/>
                </a:solidFill>
                <a:latin typeface="+mj-ea"/>
                <a:ea typeface="+mj-ea"/>
              </a:rPr>
              <a:t>）入院期間別の入院患者数の推移</a:t>
            </a:r>
            <a:endParaRPr lang="ja-JP" altLang="en-US" sz="1800" b="0" i="0" u="none" strike="noStrike" baseline="0">
              <a:solidFill>
                <a:schemeClr val="tx1"/>
              </a:solidFill>
            </a:endParaRPr>
          </a:p>
        </c:rich>
      </c:tx>
      <c:layout>
        <c:manualLayout>
          <c:xMode val="edge"/>
          <c:yMode val="edge"/>
          <c:x val="0.21516761674482671"/>
          <c:y val="1.9169247854213634e-002"/>
        </c:manualLayout>
      </c:layout>
      <c:overlay val="0"/>
    </c:title>
    <c:autoTitleDeleted val="0"/>
    <c:plotArea>
      <c:layout>
        <c:manualLayout>
          <c:layoutTarget val="inner"/>
          <c:xMode val="edge"/>
          <c:yMode val="edge"/>
          <c:x val="8.943478526505616e-002"/>
          <c:y val="0.22796312525505247"/>
          <c:w val="0.88470111880266011"/>
          <c:h val="0.64885100917185756"/>
        </c:manualLayout>
      </c:layout>
      <c:lineChart>
        <c:grouping val="standard"/>
        <c:varyColors val="0"/>
        <c:ser>
          <c:idx val="0"/>
          <c:order val="0"/>
          <c:tx>
            <c:strRef>
              <c:f>Sheet1!$B$1</c:f>
              <c:strCache>
                <c:ptCount val="1"/>
                <c:pt idx="0">
                  <c:v>3か月未満</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3518344308560677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375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8814675446848741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7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8344308560675e-003"/>
                  <c:y val="-2.822011691191294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635</c:v>
                </c:pt>
                <c:pt idx="1">
                  <c:v>674</c:v>
                </c:pt>
                <c:pt idx="2">
                  <c:v>629</c:v>
                </c:pt>
                <c:pt idx="3">
                  <c:v>656</c:v>
                </c:pt>
                <c:pt idx="4">
                  <c:v>642</c:v>
                </c:pt>
              </c:numCache>
            </c:numRef>
          </c:val>
          <c:smooth val="0"/>
        </c:ser>
        <c:ser>
          <c:idx val="1"/>
          <c:order val="1"/>
          <c:tx>
            <c:strRef>
              <c:f>Sheet1!$C$1</c:f>
              <c:strCache>
                <c:ptCount val="1"/>
                <c:pt idx="0">
                  <c:v>3か月以上1年未満</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5870178739417375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7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7.0555032925682104e-003"/>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526</c:v>
                </c:pt>
                <c:pt idx="1">
                  <c:v>567</c:v>
                </c:pt>
                <c:pt idx="2">
                  <c:v>518</c:v>
                </c:pt>
                <c:pt idx="3">
                  <c:v>543</c:v>
                </c:pt>
                <c:pt idx="4">
                  <c:v>487</c:v>
                </c:pt>
              </c:numCache>
            </c:numRef>
          </c:val>
          <c:smooth val="0"/>
        </c:ser>
        <c:ser>
          <c:idx val="2"/>
          <c:order val="2"/>
          <c:tx>
            <c:strRef>
              <c:f>Sheet1!$D$1</c:f>
              <c:strCache>
                <c:ptCount val="1"/>
                <c:pt idx="0">
                  <c:v>1年以上</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3.527751646284179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277516462841794e-002"/>
                  <c:y val="5.240847111405979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5277590742328432e-002"/>
                  <c:y val="6.14193908333671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7629350893697081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Sheet1!$D$2:$D$6</c:f>
              <c:numCache>
                <c:formatCode>#,##0;[Red]\-#,##0</c:formatCode>
                <c:ptCount val="5"/>
                <c:pt idx="0">
                  <c:v>2304</c:v>
                </c:pt>
                <c:pt idx="1">
                  <c:v>2133</c:v>
                </c:pt>
                <c:pt idx="2">
                  <c:v>2064</c:v>
                </c:pt>
                <c:pt idx="3">
                  <c:v>1904</c:v>
                </c:pt>
                <c:pt idx="4">
                  <c:v>1820</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9.467425494926246e-002"/>
          <c:y val="9.1335237725700499e-002"/>
          <c:w val="0.9"/>
          <c:h val="7.6039443667672388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l" rtl="0">
              <a:defRPr sz="720" u="none" strike="noStrike">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6-5-4)</a:t>
            </a:r>
            <a:r>
              <a:rPr lang="ja-JP" altLang="en-US" sz="1050" b="0" i="0" u="none" strike="noStrike" baseline="0">
                <a:solidFill>
                  <a:schemeClr val="tx1"/>
                </a:solidFill>
                <a:latin typeface="+mj-ea"/>
                <a:ea typeface="+mj-ea"/>
              </a:rPr>
              <a:t>　精神病床入院患者の疾病別内訳</a:t>
            </a:r>
            <a:endParaRPr lang="ja-JP" altLang="en-US" sz="720" b="1" i="0" u="none" strike="noStrike" baseline="0">
              <a:solidFill>
                <a:schemeClr val="tx1"/>
              </a:solidFill>
            </a:endParaRPr>
          </a:p>
        </c:rich>
      </c:tx>
      <c:layout>
        <c:manualLayout>
          <c:xMode val="edge"/>
          <c:yMode val="edge"/>
          <c:x val="0.22751314033077161"/>
          <c:y val="0"/>
        </c:manualLayout>
      </c:layout>
      <c:overlay val="0"/>
    </c:title>
    <c:autoTitleDeleted val="0"/>
    <c:plotArea>
      <c:layout/>
      <c:barChart>
        <c:barDir val="col"/>
        <c:grouping val="stacked"/>
        <c:varyColors val="0"/>
        <c:ser>
          <c:idx val="0"/>
          <c:order val="0"/>
          <c:tx>
            <c:strRef>
              <c:f>Sheet1!$B$1</c:f>
              <c:strCache>
                <c:ptCount val="1"/>
                <c:pt idx="0">
                  <c:v>その他</c:v>
                </c:pt>
              </c:strCache>
            </c:strRef>
          </c:tx>
          <c:invertIfNegative val="0"/>
          <c:cat>
            <c:strRef>
              <c:f>Sheet1!$A$2:$A$6</c:f>
              <c:strCache>
                <c:ptCount val="5"/>
                <c:pt idx="0">
                  <c:v>H16</c:v>
                </c:pt>
                <c:pt idx="1">
                  <c:v>H19</c:v>
                </c:pt>
                <c:pt idx="2">
                  <c:v>H22</c:v>
                </c:pt>
                <c:pt idx="3">
                  <c:v>H25</c:v>
                </c:pt>
                <c:pt idx="4">
                  <c:v>H28</c:v>
                </c:pt>
              </c:strCache>
            </c:strRef>
          </c:cat>
          <c:val>
            <c:numRef>
              <c:f>Sheet1!$B$2:$B$6</c:f>
              <c:numCache>
                <c:formatCode>#,##0;[Red]\-#,##0</c:formatCode>
                <c:ptCount val="5"/>
                <c:pt idx="0">
                  <c:v>60</c:v>
                </c:pt>
                <c:pt idx="1">
                  <c:v>17</c:v>
                </c:pt>
                <c:pt idx="2">
                  <c:v>19</c:v>
                </c:pt>
                <c:pt idx="3">
                  <c:v>77</c:v>
                </c:pt>
                <c:pt idx="4">
                  <c:v>70</c:v>
                </c:pt>
              </c:numCache>
            </c:numRef>
          </c:val>
        </c:ser>
        <c:ser>
          <c:idx val="1"/>
          <c:order val="1"/>
          <c:tx>
            <c:strRef>
              <c:f>Sheet1!$C$1</c:f>
              <c:strCache>
                <c:ptCount val="1"/>
                <c:pt idx="0">
                  <c:v>てんかん</c:v>
                </c:pt>
              </c:strCache>
            </c:strRef>
          </c:tx>
          <c:invertIfNegative val="0"/>
          <c:cat>
            <c:strRef>
              <c:f>Sheet1!$A$2:$A$6</c:f>
              <c:strCache>
                <c:ptCount val="5"/>
                <c:pt idx="0">
                  <c:v>H16</c:v>
                </c:pt>
                <c:pt idx="1">
                  <c:v>H19</c:v>
                </c:pt>
                <c:pt idx="2">
                  <c:v>H22</c:v>
                </c:pt>
                <c:pt idx="3">
                  <c:v>H25</c:v>
                </c:pt>
                <c:pt idx="4">
                  <c:v>H28</c:v>
                </c:pt>
              </c:strCache>
            </c:strRef>
          </c:cat>
          <c:val>
            <c:numRef>
              <c:f>Sheet1!$C$2:$C$6</c:f>
              <c:numCache>
                <c:formatCode>#,##0;[Red]\-#,##0</c:formatCode>
                <c:ptCount val="5"/>
                <c:pt idx="0">
                  <c:v>74</c:v>
                </c:pt>
                <c:pt idx="1">
                  <c:v>54</c:v>
                </c:pt>
                <c:pt idx="2">
                  <c:v>40</c:v>
                </c:pt>
                <c:pt idx="3">
                  <c:v>36</c:v>
                </c:pt>
                <c:pt idx="4">
                  <c:v>30</c:v>
                </c:pt>
              </c:numCache>
            </c:numRef>
          </c:val>
        </c:ser>
        <c:ser>
          <c:idx val="2"/>
          <c:order val="2"/>
          <c:tx>
            <c:strRef>
              <c:f>Sheet1!$D$1</c:f>
              <c:strCache>
                <c:ptCount val="1"/>
                <c:pt idx="0">
                  <c:v>小児期及び青年期に通常発症する行動及び情緒の障害及び特定不能の精神障害</c:v>
                </c:pt>
              </c:strCache>
            </c:strRef>
          </c:tx>
          <c:invertIfNegative val="0"/>
          <c:cat>
            <c:strRef>
              <c:f>Sheet1!$A$2:$A$6</c:f>
              <c:strCache>
                <c:ptCount val="5"/>
                <c:pt idx="0">
                  <c:v>H16</c:v>
                </c:pt>
                <c:pt idx="1">
                  <c:v>H19</c:v>
                </c:pt>
                <c:pt idx="2">
                  <c:v>H22</c:v>
                </c:pt>
                <c:pt idx="3">
                  <c:v>H25</c:v>
                </c:pt>
                <c:pt idx="4">
                  <c:v>H28</c:v>
                </c:pt>
              </c:strCache>
            </c:strRef>
          </c:cat>
          <c:val>
            <c:numRef>
              <c:f>Sheet1!$D$2:$D$6</c:f>
              <c:numCache>
                <c:formatCode>#,##0;[Red]\-#,##0</c:formatCode>
                <c:ptCount val="5"/>
                <c:pt idx="0">
                  <c:v>3</c:v>
                </c:pt>
                <c:pt idx="1">
                  <c:v>0</c:v>
                </c:pt>
                <c:pt idx="2">
                  <c:v>6</c:v>
                </c:pt>
                <c:pt idx="3">
                  <c:v>9</c:v>
                </c:pt>
                <c:pt idx="4">
                  <c:v>10</c:v>
                </c:pt>
              </c:numCache>
            </c:numRef>
          </c:val>
        </c:ser>
        <c:ser>
          <c:idx val="3"/>
          <c:order val="3"/>
          <c:tx>
            <c:strRef>
              <c:f>Sheet1!$E$1</c:f>
              <c:strCache>
                <c:ptCount val="1"/>
                <c:pt idx="0">
                  <c:v>心理的発達の障害</c:v>
                </c:pt>
              </c:strCache>
            </c:strRef>
          </c:tx>
          <c:invertIfNegative val="0"/>
          <c:cat>
            <c:strRef>
              <c:f>Sheet1!$A$2:$A$6</c:f>
              <c:strCache>
                <c:ptCount val="5"/>
                <c:pt idx="0">
                  <c:v>H16</c:v>
                </c:pt>
                <c:pt idx="1">
                  <c:v>H19</c:v>
                </c:pt>
                <c:pt idx="2">
                  <c:v>H22</c:v>
                </c:pt>
                <c:pt idx="3">
                  <c:v>H25</c:v>
                </c:pt>
                <c:pt idx="4">
                  <c:v>H28</c:v>
                </c:pt>
              </c:strCache>
            </c:strRef>
          </c:cat>
          <c:val>
            <c:numRef>
              <c:f>Sheet1!$E$2:$E$6</c:f>
              <c:numCache>
                <c:formatCode>#,##0;[Red]\-#,##0</c:formatCode>
                <c:ptCount val="5"/>
                <c:pt idx="0">
                  <c:v>4</c:v>
                </c:pt>
                <c:pt idx="1">
                  <c:v>6</c:v>
                </c:pt>
                <c:pt idx="2">
                  <c:v>6</c:v>
                </c:pt>
                <c:pt idx="3">
                  <c:v>18</c:v>
                </c:pt>
                <c:pt idx="4">
                  <c:v>16</c:v>
                </c:pt>
              </c:numCache>
            </c:numRef>
          </c:val>
        </c:ser>
        <c:ser>
          <c:idx val="4"/>
          <c:order val="4"/>
          <c:tx>
            <c:strRef>
              <c:f>Sheet1!$F$1</c:f>
              <c:strCache>
                <c:ptCount val="1"/>
                <c:pt idx="0">
                  <c:v>精神遅滞（知的障害）</c:v>
                </c:pt>
              </c:strCache>
            </c:strRef>
          </c:tx>
          <c:invertIfNegative val="0"/>
          <c:cat>
            <c:strRef>
              <c:f>Sheet1!$A$2:$A$6</c:f>
              <c:strCache>
                <c:ptCount val="5"/>
                <c:pt idx="0">
                  <c:v>H16</c:v>
                </c:pt>
                <c:pt idx="1">
                  <c:v>H19</c:v>
                </c:pt>
                <c:pt idx="2">
                  <c:v>H22</c:v>
                </c:pt>
                <c:pt idx="3">
                  <c:v>H25</c:v>
                </c:pt>
                <c:pt idx="4">
                  <c:v>H28</c:v>
                </c:pt>
              </c:strCache>
            </c:strRef>
          </c:cat>
          <c:val>
            <c:numRef>
              <c:f>Sheet1!$F$2:$F$6</c:f>
              <c:numCache>
                <c:formatCode>#,##0;[Red]\-#,##0</c:formatCode>
                <c:ptCount val="5"/>
                <c:pt idx="0">
                  <c:v>80</c:v>
                </c:pt>
                <c:pt idx="1">
                  <c:v>88</c:v>
                </c:pt>
                <c:pt idx="2">
                  <c:v>84</c:v>
                </c:pt>
                <c:pt idx="3">
                  <c:v>74</c:v>
                </c:pt>
                <c:pt idx="4">
                  <c:v>65</c:v>
                </c:pt>
              </c:numCache>
            </c:numRef>
          </c:val>
        </c:ser>
        <c:ser>
          <c:idx val="5"/>
          <c:order val="5"/>
          <c:tx>
            <c:strRef>
              <c:f>Sheet1!$G$1</c:f>
              <c:strCache>
                <c:ptCount val="1"/>
                <c:pt idx="0">
                  <c:v>成人のパーソナリティ及び行動の障害</c:v>
                </c:pt>
              </c:strCache>
            </c:strRef>
          </c:tx>
          <c:invertIfNegative val="0"/>
          <c:cat>
            <c:strRef>
              <c:f>Sheet1!$A$2:$A$6</c:f>
              <c:strCache>
                <c:ptCount val="5"/>
                <c:pt idx="0">
                  <c:v>H16</c:v>
                </c:pt>
                <c:pt idx="1">
                  <c:v>H19</c:v>
                </c:pt>
                <c:pt idx="2">
                  <c:v>H22</c:v>
                </c:pt>
                <c:pt idx="3">
                  <c:v>H25</c:v>
                </c:pt>
                <c:pt idx="4">
                  <c:v>H28</c:v>
                </c:pt>
              </c:strCache>
            </c:strRef>
          </c:cat>
          <c:val>
            <c:numRef>
              <c:f>Sheet1!$G$2:$G$6</c:f>
              <c:numCache>
                <c:formatCode>#,##0;[Red]\-#,##0</c:formatCode>
                <c:ptCount val="5"/>
                <c:pt idx="0">
                  <c:v>15</c:v>
                </c:pt>
                <c:pt idx="1">
                  <c:v>21</c:v>
                </c:pt>
                <c:pt idx="2">
                  <c:v>17</c:v>
                </c:pt>
                <c:pt idx="3">
                  <c:v>16</c:v>
                </c:pt>
                <c:pt idx="4">
                  <c:v>7</c:v>
                </c:pt>
              </c:numCache>
            </c:numRef>
          </c:val>
        </c:ser>
        <c:ser>
          <c:idx val="6"/>
          <c:order val="6"/>
          <c:tx>
            <c:strRef>
              <c:f>Sheet1!$H$1</c:f>
              <c:strCache>
                <c:ptCount val="1"/>
                <c:pt idx="0">
                  <c:v>生理的障害及び身体的要因に関連した行動症候群</c:v>
                </c:pt>
              </c:strCache>
            </c:strRef>
          </c:tx>
          <c:invertIfNegative val="0"/>
          <c:cat>
            <c:strRef>
              <c:f>Sheet1!$A$2:$A$6</c:f>
              <c:strCache>
                <c:ptCount val="5"/>
                <c:pt idx="0">
                  <c:v>H16</c:v>
                </c:pt>
                <c:pt idx="1">
                  <c:v>H19</c:v>
                </c:pt>
                <c:pt idx="2">
                  <c:v>H22</c:v>
                </c:pt>
                <c:pt idx="3">
                  <c:v>H25</c:v>
                </c:pt>
                <c:pt idx="4">
                  <c:v>H28</c:v>
                </c:pt>
              </c:strCache>
            </c:strRef>
          </c:cat>
          <c:val>
            <c:numRef>
              <c:f>Sheet1!$H$2:$H$6</c:f>
              <c:numCache>
                <c:formatCode>#,##0;[Red]\-#,##0</c:formatCode>
                <c:ptCount val="5"/>
                <c:pt idx="0">
                  <c:v>4</c:v>
                </c:pt>
                <c:pt idx="1">
                  <c:v>5</c:v>
                </c:pt>
                <c:pt idx="2">
                  <c:v>9</c:v>
                </c:pt>
                <c:pt idx="3">
                  <c:v>9</c:v>
                </c:pt>
                <c:pt idx="4">
                  <c:v>9</c:v>
                </c:pt>
              </c:numCache>
            </c:numRef>
          </c:val>
        </c:ser>
        <c:ser>
          <c:idx val="7"/>
          <c:order val="7"/>
          <c:tx>
            <c:strRef>
              <c:f>Sheet1!$I$1</c:f>
              <c:strCache>
                <c:ptCount val="1"/>
                <c:pt idx="0">
                  <c:v>神経症性障害、ストレス関連障害及び身体表現性障害</c:v>
                </c:pt>
              </c:strCache>
            </c:strRef>
          </c:tx>
          <c:invertIfNegative val="0"/>
          <c:cat>
            <c:strRef>
              <c:f>Sheet1!$A$2:$A$6</c:f>
              <c:strCache>
                <c:ptCount val="5"/>
                <c:pt idx="0">
                  <c:v>H16</c:v>
                </c:pt>
                <c:pt idx="1">
                  <c:v>H19</c:v>
                </c:pt>
                <c:pt idx="2">
                  <c:v>H22</c:v>
                </c:pt>
                <c:pt idx="3">
                  <c:v>H25</c:v>
                </c:pt>
                <c:pt idx="4">
                  <c:v>H28</c:v>
                </c:pt>
              </c:strCache>
            </c:strRef>
          </c:cat>
          <c:val>
            <c:numRef>
              <c:f>Sheet1!$I$2:$I$6</c:f>
              <c:numCache>
                <c:formatCode>#,##0;[Red]\-#,##0</c:formatCode>
                <c:ptCount val="5"/>
                <c:pt idx="0">
                  <c:v>63</c:v>
                </c:pt>
                <c:pt idx="1">
                  <c:v>69</c:v>
                </c:pt>
                <c:pt idx="2">
                  <c:v>65</c:v>
                </c:pt>
                <c:pt idx="3">
                  <c:v>58</c:v>
                </c:pt>
                <c:pt idx="4">
                  <c:v>61</c:v>
                </c:pt>
              </c:numCache>
            </c:numRef>
          </c:val>
        </c:ser>
        <c:ser>
          <c:idx val="8"/>
          <c:order val="8"/>
          <c:tx>
            <c:strRef>
              <c:f>Sheet1!$J$1</c:f>
              <c:strCache>
                <c:ptCount val="1"/>
                <c:pt idx="0">
                  <c:v>気分（感情）障害</c:v>
                </c:pt>
              </c:strCache>
            </c:strRef>
          </c:tx>
          <c:invertIfNegative val="0"/>
          <c:cat>
            <c:strRef>
              <c:f>Sheet1!$A$2:$A$6</c:f>
              <c:strCache>
                <c:ptCount val="5"/>
                <c:pt idx="0">
                  <c:v>H16</c:v>
                </c:pt>
                <c:pt idx="1">
                  <c:v>H19</c:v>
                </c:pt>
                <c:pt idx="2">
                  <c:v>H22</c:v>
                </c:pt>
                <c:pt idx="3">
                  <c:v>H25</c:v>
                </c:pt>
                <c:pt idx="4">
                  <c:v>H28</c:v>
                </c:pt>
              </c:strCache>
            </c:strRef>
          </c:cat>
          <c:val>
            <c:numRef>
              <c:f>Sheet1!$J$2:$J$6</c:f>
              <c:numCache>
                <c:formatCode>#,##0;[Red]\-#,##0</c:formatCode>
                <c:ptCount val="5"/>
                <c:pt idx="0">
                  <c:v>227</c:v>
                </c:pt>
                <c:pt idx="1">
                  <c:v>208</c:v>
                </c:pt>
                <c:pt idx="2">
                  <c:v>212</c:v>
                </c:pt>
                <c:pt idx="3">
                  <c:v>226</c:v>
                </c:pt>
                <c:pt idx="4">
                  <c:v>265</c:v>
                </c:pt>
              </c:numCache>
            </c:numRef>
          </c:val>
        </c:ser>
        <c:ser>
          <c:idx val="9"/>
          <c:order val="9"/>
          <c:tx>
            <c:strRef>
              <c:f>Sheet1!$K$1</c:f>
              <c:strCache>
                <c:ptCount val="1"/>
                <c:pt idx="0">
                  <c:v>統合失調症、統合失調症型障害及び妄想性障害</c:v>
                </c:pt>
              </c:strCache>
            </c:strRef>
          </c:tx>
          <c:invertIfNegative val="0"/>
          <c:cat>
            <c:strRef>
              <c:f>Sheet1!$A$2:$A$6</c:f>
              <c:strCache>
                <c:ptCount val="5"/>
                <c:pt idx="0">
                  <c:v>H16</c:v>
                </c:pt>
                <c:pt idx="1">
                  <c:v>H19</c:v>
                </c:pt>
                <c:pt idx="2">
                  <c:v>H22</c:v>
                </c:pt>
                <c:pt idx="3">
                  <c:v>H25</c:v>
                </c:pt>
                <c:pt idx="4">
                  <c:v>H28</c:v>
                </c:pt>
              </c:strCache>
            </c:strRef>
          </c:cat>
          <c:val>
            <c:numRef>
              <c:f>Sheet1!$K$2:$K$6</c:f>
              <c:numCache>
                <c:formatCode>#,##0;[Red]\-#,##0</c:formatCode>
                <c:ptCount val="5"/>
                <c:pt idx="0">
                  <c:v>2072</c:v>
                </c:pt>
                <c:pt idx="1">
                  <c:v>1943</c:v>
                </c:pt>
                <c:pt idx="2">
                  <c:v>1739</c:v>
                </c:pt>
                <c:pt idx="3">
                  <c:v>1591</c:v>
                </c:pt>
                <c:pt idx="4">
                  <c:v>1490</c:v>
                </c:pt>
              </c:numCache>
            </c:numRef>
          </c:val>
        </c:ser>
        <c:ser>
          <c:idx val="10"/>
          <c:order val="10"/>
          <c:tx>
            <c:strRef>
              <c:f>Sheet1!$L$1</c:f>
              <c:strCache>
                <c:ptCount val="1"/>
                <c:pt idx="0">
                  <c:v>精神作用物質による精神及び行動の障害</c:v>
                </c:pt>
              </c:strCache>
            </c:strRef>
          </c:tx>
          <c:invertIfNegative val="0"/>
          <c:cat>
            <c:strRef>
              <c:f>Sheet1!$A$2:$A$6</c:f>
              <c:strCache>
                <c:ptCount val="5"/>
                <c:pt idx="0">
                  <c:v>H16</c:v>
                </c:pt>
                <c:pt idx="1">
                  <c:v>H19</c:v>
                </c:pt>
                <c:pt idx="2">
                  <c:v>H22</c:v>
                </c:pt>
                <c:pt idx="3">
                  <c:v>H25</c:v>
                </c:pt>
                <c:pt idx="4">
                  <c:v>H28</c:v>
                </c:pt>
              </c:strCache>
            </c:strRef>
          </c:cat>
          <c:val>
            <c:numRef>
              <c:f>Sheet1!$L$2:$L$6</c:f>
              <c:numCache>
                <c:formatCode>#,##0;[Red]\-#,##0</c:formatCode>
                <c:ptCount val="5"/>
                <c:pt idx="0">
                  <c:v>267</c:v>
                </c:pt>
                <c:pt idx="1">
                  <c:v>254</c:v>
                </c:pt>
                <c:pt idx="2">
                  <c:v>205</c:v>
                </c:pt>
                <c:pt idx="3">
                  <c:v>192</c:v>
                </c:pt>
                <c:pt idx="4">
                  <c:v>175</c:v>
                </c:pt>
              </c:numCache>
            </c:numRef>
          </c:val>
        </c:ser>
        <c:ser>
          <c:idx val="11"/>
          <c:order val="11"/>
          <c:tx>
            <c:strRef>
              <c:f>Sheet1!$M$1</c:f>
              <c:strCache>
                <c:ptCount val="1"/>
                <c:pt idx="0">
                  <c:v>症状性を含む器質性精神障害</c:v>
                </c:pt>
              </c:strCache>
            </c:strRef>
          </c:tx>
          <c:invertIfNegative val="0"/>
          <c:cat>
            <c:strRef>
              <c:f>Sheet1!$A$2:$A$6</c:f>
              <c:strCache>
                <c:ptCount val="5"/>
                <c:pt idx="0">
                  <c:v>H16</c:v>
                </c:pt>
                <c:pt idx="1">
                  <c:v>H19</c:v>
                </c:pt>
                <c:pt idx="2">
                  <c:v>H22</c:v>
                </c:pt>
                <c:pt idx="3">
                  <c:v>H25</c:v>
                </c:pt>
                <c:pt idx="4">
                  <c:v>H28</c:v>
                </c:pt>
              </c:strCache>
            </c:strRef>
          </c:cat>
          <c:val>
            <c:numRef>
              <c:f>Sheet1!$M$2:$M$6</c:f>
              <c:numCache>
                <c:formatCode>#,##0;[Red]\-#,##0</c:formatCode>
                <c:ptCount val="5"/>
                <c:pt idx="0">
                  <c:v>596</c:v>
                </c:pt>
                <c:pt idx="1">
                  <c:v>709</c:v>
                </c:pt>
                <c:pt idx="2">
                  <c:v>809</c:v>
                </c:pt>
                <c:pt idx="3">
                  <c:v>797</c:v>
                </c:pt>
                <c:pt idx="4">
                  <c:v>751</c:v>
                </c:pt>
              </c:numCache>
            </c:numRef>
          </c:val>
        </c:ser>
        <c:dLbls>
          <c:txPr>
            <a:bodyPr rot="0" horzOverflow="overflow" anchor="ctr"/>
            <a:lstStyle/>
            <a:p>
              <a:pPr algn="ctr" rtl="0">
                <a:defRPr sz="600">
                  <a:solidFill>
                    <a:schemeClr val="tx1"/>
                  </a:solidFill>
                </a:defRPr>
              </a:pPr>
              <a:endParaRPr lang="ja-JP" altLang="en-US"/>
            </a:p>
          </c:txPr>
          <c:showLegendKey val="0"/>
          <c:showVal val="0"/>
          <c:showCatName val="0"/>
          <c:showSerName val="0"/>
          <c:showPercent val="0"/>
          <c:showBubbleSize val="0"/>
        </c:dLbls>
        <c:gapWidth val="95"/>
        <c:overlap val="100"/>
        <c:axId val="1"/>
        <c:axId val="2"/>
      </c:bar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6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none"/>
        <c:minorTickMark val="none"/>
        <c:tickLblPos val="nextTo"/>
        <c:txPr>
          <a:bodyPr horzOverflow="overflow" anchor="ctr"/>
          <a:lstStyle/>
          <a:p>
            <a:pPr algn="ctr" rtl="0">
              <a:defRPr sz="6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lstStyle/>
          <a:p>
            <a:pPr algn="ctr" rtl="0">
              <a:defRPr sz="600">
                <a:solidFill>
                  <a:schemeClr val="tx1"/>
                </a:solidFill>
              </a:defRPr>
            </a:pPr>
            <a:endParaRPr lang="ja-JP" altLang="en-US"/>
          </a:p>
        </c:txPr>
      </c:dTable>
    </c:plotArea>
    <c:plotVisOnly val="1"/>
    <c:dispBlanksAs val="gap"/>
    <c:showDLblsOverMax val="0"/>
  </c:chart>
  <c:spPr>
    <a:ln>
      <a:noFill/>
    </a:ln>
  </c:spPr>
  <c:txPr>
    <a:bodyPr horzOverflow="overflow" anchor="ctr"/>
    <a:lstStyle/>
    <a:p>
      <a:pPr algn="ctr" rtl="0">
        <a:defRPr lang="ja-JP" altLang="en-US" sz="600" baseline="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6-5-5</a:t>
            </a:r>
            <a:r>
              <a:rPr lang="ja-JP" altLang="en-US" sz="1050" b="0" i="0" u="none" strike="noStrike" baseline="0">
                <a:solidFill>
                  <a:schemeClr val="tx1"/>
                </a:solidFill>
                <a:latin typeface="+mj-ea"/>
                <a:ea typeface="+mj-ea"/>
              </a:rPr>
              <a:t>）精神科病院外来患者数等の推移</a:t>
            </a:r>
            <a:endParaRPr lang="ja-JP" altLang="en-US" sz="1800" b="0" i="0" u="none" strike="noStrike" baseline="0">
              <a:solidFill>
                <a:schemeClr val="tx1"/>
              </a:solidFill>
            </a:endParaRPr>
          </a:p>
        </c:rich>
      </c:tx>
      <c:layout>
        <c:manualLayout>
          <c:xMode val="edge"/>
          <c:yMode val="edge"/>
          <c:x val="0.21693121693121692"/>
          <c:y val="0"/>
        </c:manualLayout>
      </c:layout>
      <c:overlay val="0"/>
    </c:title>
    <c:autoTitleDeleted val="0"/>
    <c:plotArea>
      <c:layout>
        <c:manualLayout>
          <c:layoutTarget val="inner"/>
          <c:xMode val="edge"/>
          <c:yMode val="edge"/>
          <c:x val="0.10902719390703659"/>
          <c:y val="0.2457905834673996"/>
          <c:w val="0.86511280845497884"/>
          <c:h val="0.44245602338271672"/>
        </c:manualLayout>
      </c:layout>
      <c:lineChart>
        <c:grouping val="standard"/>
        <c:varyColors val="0"/>
        <c:ser>
          <c:idx val="0"/>
          <c:order val="0"/>
          <c:tx>
            <c:strRef>
              <c:f>Sheet1!$B$1</c:f>
              <c:strCache>
                <c:ptCount val="1"/>
                <c:pt idx="0">
                  <c:v>外来患者数
（各年6月1ヶ月間）（人）</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9970149203994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5.1726075440463093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5.6428445935050635e-002"/>
                  <c:y val="5.4394550109957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9374890193169312e-002"/>
                  <c:y val="-4.94495910090519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0565408214819095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27706</c:v>
                </c:pt>
                <c:pt idx="1">
                  <c:v>25915</c:v>
                </c:pt>
                <c:pt idx="2">
                  <c:v>31934</c:v>
                </c:pt>
                <c:pt idx="3">
                  <c:v>28273</c:v>
                </c:pt>
                <c:pt idx="4">
                  <c:v>29985</c:v>
                </c:pt>
              </c:numCache>
            </c:numRef>
          </c:val>
          <c:smooth val="0"/>
        </c:ser>
        <c:ser>
          <c:idx val="1"/>
          <c:order val="1"/>
          <c:tx>
            <c:strRef>
              <c:f>Sheet1!$C$1</c:f>
              <c:strCache>
                <c:ptCount val="1"/>
                <c:pt idx="0">
                  <c:v>精神通院医療承認者数
（各年度3月末）（人）</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056540821481905e-002"/>
                  <c:y val="-5.4394550109957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8214222967525411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#,##0;[Red]\-#,##0</c:formatCode>
                <c:ptCount val="5"/>
                <c:pt idx="0">
                  <c:v>7493</c:v>
                </c:pt>
                <c:pt idx="1">
                  <c:v>7758</c:v>
                </c:pt>
                <c:pt idx="2">
                  <c:v>9120</c:v>
                </c:pt>
                <c:pt idx="3">
                  <c:v>10075</c:v>
                </c:pt>
                <c:pt idx="4">
                  <c:v>11078</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0"/>
          <c:min val="5000"/>
        </c:scaling>
        <c:delete val="0"/>
        <c:axPos val="l"/>
        <c:majorGridlines/>
        <c:numFmt formatCode="#,##0;[Red]\-#,##0" sourceLinked="1"/>
        <c:majorTickMark val="out"/>
        <c:minorTickMark val="none"/>
        <c:tickLblPos val="low"/>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22296768459498137"/>
          <c:y val="8.059432485102469e-002"/>
          <c:w val="0.77511107407870405"/>
          <c:h val="0.14210476909270461"/>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6-5-6</a:t>
            </a:r>
            <a:r>
              <a:rPr lang="ja-JP" altLang="en-US" sz="1050" b="0" i="0" u="none" strike="noStrike" baseline="0">
                <a:solidFill>
                  <a:schemeClr val="tx1"/>
                </a:solidFill>
                <a:latin typeface="+mj-ea"/>
                <a:ea typeface="+mj-ea"/>
              </a:rPr>
              <a:t>）精神病床の平均在院日数の推移</a:t>
            </a:r>
            <a:endParaRPr lang="ja-JP" altLang="en-US" sz="1800" b="0" i="0" u="none" strike="noStrike" baseline="0">
              <a:solidFill>
                <a:schemeClr val="tx1"/>
              </a:solidFill>
            </a:endParaRPr>
          </a:p>
        </c:rich>
      </c:tx>
      <c:layout>
        <c:manualLayout>
          <c:xMode val="edge"/>
          <c:yMode val="edge"/>
          <c:x val="0.20987681288869101"/>
          <c:y val="3.5714419590701124e-002"/>
        </c:manualLayout>
      </c:layout>
      <c:overlay val="0"/>
    </c:title>
    <c:autoTitleDeleted val="0"/>
    <c:plotArea>
      <c:layout>
        <c:manualLayout>
          <c:layoutTarget val="inner"/>
          <c:xMode val="edge"/>
          <c:yMode val="edge"/>
          <c:x val="7.6352684079530733e-002"/>
          <c:y val="0.27314584898879329"/>
          <c:w val="0.89778626031919984"/>
          <c:h val="0.5712631097461357"/>
        </c:manualLayout>
      </c:layout>
      <c:lineChart>
        <c:grouping val="standard"/>
        <c:varyColors val="0"/>
        <c:ser>
          <c:idx val="0"/>
          <c:order val="0"/>
          <c:tx>
            <c:strRef>
              <c:f>Sheet1!$B$1</c:f>
              <c:strCache>
                <c:ptCount val="1"/>
                <c:pt idx="0">
                  <c:v>高知県</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2925867215798404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0573847601130532e-002"/>
                  <c:y val="-4.43462154410703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8344308560677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4.83776607142007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253.9</c:v>
                </c:pt>
                <c:pt idx="1">
                  <c:v>227</c:v>
                </c:pt>
                <c:pt idx="2">
                  <c:v>236.4</c:v>
                </c:pt>
                <c:pt idx="3">
                  <c:v>232.3</c:v>
                </c:pt>
                <c:pt idx="4">
                  <c:v>231.2</c:v>
                </c:pt>
              </c:numCache>
            </c:numRef>
          </c:val>
          <c:smooth val="0"/>
        </c:ser>
        <c:ser>
          <c:idx val="1"/>
          <c:order val="1"/>
          <c:tx>
            <c:strRef>
              <c:f>Sheet1!$C$1</c:f>
              <c:strCache>
                <c:ptCount val="1"/>
                <c:pt idx="0">
                  <c:v>全国</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0574032784942411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0573847601130532e-002"/>
                  <c:y val="-4.83776607142007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73847601130532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338</c:v>
                </c:pt>
                <c:pt idx="1">
                  <c:v>317.89999999999992</c:v>
                </c:pt>
                <c:pt idx="2">
                  <c:v>301</c:v>
                </c:pt>
                <c:pt idx="3">
                  <c:v>284.7</c:v>
                </c:pt>
                <c:pt idx="4">
                  <c:v>269.89999999999992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
          <c:min val="200"/>
        </c:scaling>
        <c:delete val="0"/>
        <c:axPos val="l"/>
        <c:majorGridlines/>
        <c:numFmt formatCode="General"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majorUnit val="50"/>
      </c:valAx>
    </c:plotArea>
    <c:legend>
      <c:legendPos val="b"/>
      <c:layout>
        <c:manualLayout>
          <c:xMode val="edge"/>
          <c:yMode val="edge"/>
          <c:x val="0.28654031094355831"/>
          <c:y val="0.14992036135524567"/>
          <c:w val="0.44573232292380494"/>
          <c:h val="9.2823971897112334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6-5-10</a:t>
            </a:r>
            <a:r>
              <a:rPr kumimoji="0" lang="ja-JP" altLang="en-US" sz="1050" b="0" i="0" u="none" strike="noStrike" kern="1200" baseline="0">
                <a:solidFill>
                  <a:schemeClr val="tx1"/>
                </a:solidFill>
                <a:latin typeface="+mj-ea"/>
                <a:ea typeface="+mj-ea"/>
              </a:rPr>
              <a:t>）高知県の「統合失調症、統合失調症型障害及び</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妄想性障害（</a:t>
            </a:r>
            <a:r>
              <a:rPr kumimoji="0" lang="en-US" altLang="ja-JP" sz="1050" b="0" i="0" u="none" strike="noStrike" kern="1200" baseline="0">
                <a:solidFill>
                  <a:schemeClr val="tx1"/>
                </a:solidFill>
                <a:latin typeface="+mj-ea"/>
                <a:ea typeface="+mj-ea"/>
              </a:rPr>
              <a:t>F2</a:t>
            </a:r>
            <a:r>
              <a:rPr kumimoji="0" lang="ja-JP" altLang="en-US" sz="1050" b="0" i="0" u="none" strike="noStrike" kern="1200" baseline="0">
                <a:solidFill>
                  <a:schemeClr val="tx1"/>
                </a:solidFill>
                <a:latin typeface="+mj-ea"/>
                <a:ea typeface="+mj-ea"/>
              </a:rPr>
              <a:t>）」による入院患者数</a:t>
            </a:r>
            <a:endParaRPr kumimoji="0" lang="ja-JP" altLang="en-US" sz="1800" b="0" i="0" u="none" strike="noStrike" kern="1200" baseline="0">
              <a:solidFill>
                <a:schemeClr val="tx1"/>
              </a:solidFill>
            </a:endParaRPr>
          </a:p>
        </c:rich>
      </c:tx>
      <c:layout>
        <c:manualLayout>
          <c:xMode val="edge"/>
          <c:yMode val="edge"/>
          <c:x val="0.10854086245271796"/>
          <c:y val="0"/>
        </c:manualLayout>
      </c:layout>
      <c:overlay val="0"/>
    </c:title>
    <c:autoTitleDeleted val="0"/>
    <c:plotArea>
      <c:layout>
        <c:manualLayout>
          <c:layoutTarget val="inner"/>
          <c:xMode val="edge"/>
          <c:yMode val="edge"/>
          <c:x val="9.6698920097674529e-002"/>
          <c:y val="0.2407149309846828"/>
          <c:w val="0.85563465014634421"/>
          <c:h val="0.6315910078780228"/>
        </c:manualLayout>
      </c:layout>
      <c:lineChart>
        <c:grouping val="standard"/>
        <c:varyColors val="0"/>
        <c:ser>
          <c:idx val="0"/>
          <c:order val="0"/>
          <c:tx>
            <c:strRef>
              <c:f>Sheet1!$B$1</c:f>
              <c:strCache>
                <c:ptCount val="1"/>
                <c:pt idx="0">
                  <c:v>入院者数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3632888569814887e-003"/>
                  <c:y val="-2.42615973300780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3326461867013617e-017"/>
                  <c:y val="-2.42615973300780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898665709443441e-003"/>
                  <c:y val="-3.23487964401041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898665709443441e-003"/>
                  <c:y val="-3.23487964401041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2072</c:v>
                </c:pt>
                <c:pt idx="1">
                  <c:v>1943</c:v>
                </c:pt>
                <c:pt idx="2">
                  <c:v>1739</c:v>
                </c:pt>
                <c:pt idx="3">
                  <c:v>1591</c:v>
                </c:pt>
                <c:pt idx="4">
                  <c:v>1490</c:v>
                </c:pt>
              </c:numCache>
            </c:numRef>
          </c:val>
          <c:smooth val="0"/>
        </c:ser>
        <c:ser>
          <c:idx val="1"/>
          <c:order val="1"/>
          <c:tx>
            <c:strRef>
              <c:f>Sheet1!$C$1</c:f>
              <c:strCache>
                <c:ptCount val="1"/>
                <c:pt idx="0">
                  <c:v>65歳以上</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0"/>
                  <c:y val="4.852319466015609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898665709443077e-003"/>
                  <c:y val="6.065399332519519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898665709443441e-003"/>
                  <c:y val="5.2566794215169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79733141888326e-002"/>
                  <c:y val="5.66103937701820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704</c:v>
                </c:pt>
                <c:pt idx="1">
                  <c:v>774</c:v>
                </c:pt>
                <c:pt idx="2">
                  <c:v>779</c:v>
                </c:pt>
                <c:pt idx="3">
                  <c:v>769</c:v>
                </c:pt>
                <c:pt idx="4">
                  <c:v>806</c:v>
                </c:pt>
              </c:numCache>
            </c:numRef>
          </c:val>
          <c:smooth val="0"/>
        </c:ser>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27950722577588272"/>
          <c:y val="0.13495434032333353"/>
          <c:w val="0.47410566216536382"/>
          <c:h val="0.1312611044453838"/>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6-5-11</a:t>
            </a:r>
            <a:r>
              <a:rPr lang="ja-JP" altLang="en-US" sz="1050" b="0" i="0" u="none" strike="noStrike" baseline="0">
                <a:solidFill>
                  <a:schemeClr val="tx1"/>
                </a:solidFill>
                <a:latin typeface="+mj-ea"/>
                <a:ea typeface="+mj-ea"/>
              </a:rPr>
              <a:t>）高知県の「統合失調症、統合失調症型障害及び</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妄想性障害（</a:t>
            </a:r>
            <a:r>
              <a:rPr lang="en-US" altLang="ja-JP" sz="1050" b="0" i="0" u="none" strike="noStrike" baseline="0">
                <a:solidFill>
                  <a:schemeClr val="tx1"/>
                </a:solidFill>
                <a:latin typeface="+mj-ea"/>
                <a:ea typeface="+mj-ea"/>
              </a:rPr>
              <a:t>F2</a:t>
            </a:r>
            <a:r>
              <a:rPr lang="ja-JP" altLang="en-US" sz="1050" b="0" i="0" u="none" strike="noStrike" baseline="0">
                <a:solidFill>
                  <a:schemeClr val="tx1"/>
                </a:solidFill>
                <a:latin typeface="+mj-ea"/>
                <a:ea typeface="+mj-ea"/>
              </a:rPr>
              <a:t>）」による入院患者の割合</a:t>
            </a:r>
            <a:endParaRPr lang="ja-JP" altLang="en-US" sz="1800" b="0" i="0" u="none" strike="noStrike" baseline="0">
              <a:solidFill>
                <a:schemeClr val="tx1"/>
              </a:solidFill>
            </a:endParaRPr>
          </a:p>
        </c:rich>
      </c:tx>
      <c:layout>
        <c:manualLayout>
          <c:xMode val="edge"/>
          <c:yMode val="edge"/>
          <c:x val="0.12046197455022616"/>
          <c:y val="0"/>
        </c:manualLayout>
      </c:layout>
      <c:overlay val="0"/>
    </c:title>
    <c:autoTitleDeleted val="0"/>
    <c:plotArea>
      <c:layout>
        <c:manualLayout>
          <c:layoutTarget val="inner"/>
          <c:xMode val="edge"/>
          <c:yMode val="edge"/>
          <c:x val="6.3285946151193054e-002"/>
          <c:y val="0.27216803017413227"/>
          <c:w val="0.91744627417280245"/>
          <c:h val="0.59552974237278011"/>
        </c:manualLayout>
      </c:layout>
      <c:lineChart>
        <c:grouping val="standard"/>
        <c:varyColors val="0"/>
        <c:ser>
          <c:idx val="0"/>
          <c:order val="0"/>
          <c:tx>
            <c:strRef>
              <c:f>Sheet1!$B$1</c:f>
              <c:strCache>
                <c:ptCount val="1"/>
                <c:pt idx="0">
                  <c:v>F2による入院患者の入院患者全体に占める割合</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9.4047409891751064e-003"/>
                  <c:y val="6.85276638417174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9.4047409891751064e-003"/>
                  <c:y val="6.325630508466134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1852472937792e-003"/>
                  <c:y val="-3.68995112993857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1755926236468981e-002"/>
                  <c:y val="-6.325630508466138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0"/>
                  <c:y val="3.79001848113623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59.8</c:v>
                </c:pt>
                <c:pt idx="1">
                  <c:v>57.6</c:v>
                </c:pt>
                <c:pt idx="2">
                  <c:v>54.2</c:v>
                </c:pt>
                <c:pt idx="3">
                  <c:v>51.3</c:v>
                </c:pt>
                <c:pt idx="4">
                  <c:v>50.5</c:v>
                </c:pt>
              </c:numCache>
            </c:numRef>
          </c:val>
          <c:smooth val="0"/>
        </c:ser>
        <c:ser>
          <c:idx val="1"/>
          <c:order val="1"/>
          <c:tx>
            <c:strRef>
              <c:f>Sheet1!$C$1</c:f>
              <c:strCache>
                <c:ptCount val="1"/>
                <c:pt idx="0">
                  <c:v>F2による入院患者に占める65歳以上の割合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0"/>
                  <c:y val="2.63567937852756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7023704945877631e-003"/>
                  <c:y val="3.16281525423306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023704945877631e-003"/>
                  <c:y val="5.271358757055113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1852472937792e-003"/>
                  <c:y val="7.90703813558288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34</c:v>
                </c:pt>
                <c:pt idx="1">
                  <c:v>39.800000000000004</c:v>
                </c:pt>
                <c:pt idx="2">
                  <c:v>44.8</c:v>
                </c:pt>
                <c:pt idx="3">
                  <c:v>48.4</c:v>
                </c:pt>
                <c:pt idx="4">
                  <c:v>54.1</c:v>
                </c:pt>
              </c:numCache>
            </c:numRef>
          </c:val>
          <c:smooth val="0"/>
        </c:ser>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60"/>
          <c:min val="30"/>
        </c:scaling>
        <c:delete val="0"/>
        <c:axPos val="l"/>
        <c:majorGridlines/>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majorUnit val="10"/>
      </c:valAx>
    </c:plotArea>
    <c:legend>
      <c:legendPos val="r"/>
      <c:legendEntry>
        <c:idx val="0"/>
        <c:txPr>
          <a:bodyPr horzOverflow="overflow" anchor="ctr"/>
          <a:lstStyle/>
          <a:p>
            <a:pPr algn="l" rtl="0">
              <a:defRPr sz="900">
                <a:solidFill>
                  <a:schemeClr val="tx1"/>
                </a:solidFill>
              </a:defRPr>
            </a:pPr>
            <a:endParaRPr lang="ja-JP" altLang="en-US"/>
          </a:p>
        </c:txPr>
      </c:legendEntry>
      <c:legendEntry>
        <c:idx val="1"/>
        <c:txPr>
          <a:bodyPr horzOverflow="overflow" anchor="ctr"/>
          <a:lstStyle/>
          <a:p>
            <a:pPr algn="l" rtl="0">
              <a:defRPr sz="900">
                <a:solidFill>
                  <a:schemeClr val="tx1"/>
                </a:solidFill>
              </a:defRPr>
            </a:pPr>
            <a:endParaRPr lang="ja-JP" altLang="en-US"/>
          </a:p>
        </c:txPr>
      </c:legendEntry>
      <c:layout>
        <c:manualLayout>
          <c:xMode val="edge"/>
          <c:yMode val="edge"/>
          <c:x val="0"/>
          <c:y val="0.15189366560699016"/>
          <c:w val="1"/>
          <c:h val="0.11892386319297406"/>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6-5-12</a:t>
            </a:r>
            <a:r>
              <a:rPr lang="ja-JP" altLang="en-US" sz="1050" b="0" i="0" u="none" strike="noStrike" baseline="0">
                <a:solidFill>
                  <a:schemeClr val="tx1"/>
                </a:solidFill>
                <a:latin typeface="+mj-ea"/>
                <a:ea typeface="+mj-ea"/>
              </a:rPr>
              <a:t>）高知県の自立支援医療制度（精神通院医療）の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「統合失調症、統合失調症型障害及び妄想性障害」による承認者数</a:t>
            </a:r>
            <a:endParaRPr lang="ja-JP" altLang="en-US" sz="1800" b="0" i="0" u="none" strike="noStrike" baseline="0">
              <a:solidFill>
                <a:schemeClr val="tx1"/>
              </a:solidFill>
            </a:endParaRPr>
          </a:p>
        </c:rich>
      </c:tx>
      <c:layout>
        <c:manualLayout>
          <c:xMode val="edge"/>
          <c:yMode val="edge"/>
          <c:x val="0.13026747215027465"/>
          <c:y val="1.8944434811130168e-003"/>
        </c:manualLayout>
      </c:layout>
      <c:overlay val="0"/>
    </c:title>
    <c:autoTitleDeleted val="0"/>
    <c:plotArea>
      <c:layout>
        <c:manualLayout>
          <c:layoutTarget val="inner"/>
          <c:xMode val="edge"/>
          <c:yMode val="edge"/>
          <c:x val="9.5971347691578543e-002"/>
          <c:y val="0.2829000779253884"/>
          <c:w val="0.87816455637613877"/>
          <c:h val="0.48893355032663882"/>
        </c:manualLayout>
      </c:layout>
      <c:lineChart>
        <c:grouping val="standard"/>
        <c:varyColors val="0"/>
        <c:ser>
          <c:idx val="0"/>
          <c:order val="0"/>
          <c:tx>
            <c:strRef>
              <c:f>Sheet1!$B$1</c:f>
              <c:strCache>
                <c:ptCount val="1"/>
                <c:pt idx="0">
                  <c:v>承認者数</c:v>
                </c:pt>
              </c:strCache>
            </c:strRef>
          </c:tx>
          <c:dPt>
            <c:idx val="0"/>
            <c:invertIfNegative val="0"/>
            <c:bubble3D val="0"/>
          </c:dPt>
          <c:dPt>
            <c:idx val="2"/>
            <c:invertIfNegative val="0"/>
            <c:bubble3D val="0"/>
          </c:dPt>
          <c:dPt>
            <c:idx val="3"/>
            <c:invertIfNegative val="0"/>
            <c:bubble3D val="0"/>
          </c:dPt>
          <c:dLbls>
            <c:dLbl>
              <c:idx val="0"/>
              <c:layout>
                <c:manualLayout>
                  <c:x val="-7.0535557418813424e-003"/>
                  <c:y val="2.65319262638076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5863037720231612e-002"/>
                  <c:y val="7.13261743093238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5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3146</c:v>
                </c:pt>
                <c:pt idx="1">
                  <c:v>3485</c:v>
                </c:pt>
                <c:pt idx="2">
                  <c:v>4008</c:v>
                </c:pt>
                <c:pt idx="3">
                  <c:v>3924</c:v>
                </c:pt>
                <c:pt idx="4">
                  <c:v>3969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100"/>
          <c:min val="3000"/>
        </c:scaling>
        <c:delete val="0"/>
        <c:axPos val="l"/>
        <c:majorGridlines/>
        <c:numFmt formatCode="#,##0;[Red]\-#,##0" sourceLinked="1"/>
        <c:majorTickMark val="none"/>
        <c:minorTickMark val="none"/>
        <c:tickLblPos val="nextTo"/>
        <c:spPr>
          <a:ln w="9525">
            <a:noFill/>
          </a:ln>
        </c:spPr>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697390077592288"/>
          <c:y val="0.18864587402828287"/>
          <c:w val="0.26522454737832118"/>
          <c:h val="9.498373594783803e-002"/>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7.1249999999999994e-002</cdr:x>
      <cdr:y>7.9000000000000001e-002</cdr:y>
    </cdr:from>
    <cdr:to>
      <cdr:x>0.16450000000000001</cdr:x>
      <cdr:y>0.17399999999999999</cdr:y>
    </cdr:to>
    <cdr:sp macro="" textlink="">
      <cdr:nvSpPr>
        <cdr:cNvPr id="2" name="テキスト ボックス 1"/>
        <cdr:cNvSpPr txBox="1"/>
      </cdr:nvSpPr>
      <cdr:spPr>
        <a:xfrm xmlns:a="http://schemas.openxmlformats.org/drawingml/2006/main">
          <a:off x="384798" y="212950"/>
          <a:ext cx="503612" cy="25607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dr:relSizeAnchor xmlns:cdr="http://schemas.openxmlformats.org/drawingml/2006/chartDrawing">
    <cdr:from>
      <cdr:x>0.57174999999999998</cdr:x>
      <cdr:y>0.93049999999999999</cdr:y>
    </cdr:from>
    <cdr:to>
      <cdr:x>1</cdr:x>
      <cdr:y>0.99924999999999997</cdr:y>
    </cdr:to>
    <cdr:sp macro="" textlink="">
      <cdr:nvSpPr>
        <cdr:cNvPr id="3" name="テキスト ボックス 2"/>
        <cdr:cNvSpPr txBox="1"/>
      </cdr:nvSpPr>
      <cdr:spPr>
        <a:xfrm xmlns:a="http://schemas.openxmlformats.org/drawingml/2006/main">
          <a:off x="3087835" y="2508232"/>
          <a:ext cx="2312839" cy="18532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a:t>
          </a:r>
          <a:r>
            <a:rPr lang="ja-JP" altLang="en-US" sz="800"/>
            <a:t>（厚生労働省</a:t>
          </a:r>
          <a:r>
            <a:rPr lang="en-US" altLang="ja-JP" sz="800"/>
            <a:t>630</a:t>
          </a:r>
          <a:r>
            <a:rPr lang="ja-JP" altLang="en-US" sz="800"/>
            <a:t>調査）</a:t>
          </a:r>
        </a:p>
      </cdr:txBody>
    </cdr:sp>
  </cdr:relSizeAnchor>
</c:userShapes>
</file>

<file path=word/drawings/drawing10.xml><?xml version="1.0" encoding="utf-8"?>
<c:userShapes xmlns:c="http://schemas.openxmlformats.org/drawingml/2006/chart">
  <cdr:relSizeAnchor xmlns:cdr="http://schemas.openxmlformats.org/drawingml/2006/chartDrawing">
    <cdr:from>
      <cdr:x>0.57325000000000004</cdr:x>
      <cdr:y>0.88124999999999998</cdr:y>
    </cdr:from>
    <cdr:to>
      <cdr:x>0.99975000000000003</cdr:x>
      <cdr:y>0.99950000000000006</cdr:y>
    </cdr:to>
    <cdr:sp macro="" textlink="">
      <cdr:nvSpPr>
        <cdr:cNvPr id="3" name="テキスト ボックス 2"/>
        <cdr:cNvSpPr txBox="1"/>
      </cdr:nvSpPr>
      <cdr:spPr>
        <a:xfrm xmlns:a="http://schemas.openxmlformats.org/drawingml/2006/main">
          <a:off x="3287044" y="1804689"/>
          <a:ext cx="2445572" cy="24216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5.8749999999999997e-002</cdr:x>
      <cdr:y>0.16075</cdr:y>
    </cdr:from>
    <cdr:to>
      <cdr:x>0.22825000000000001</cdr:x>
      <cdr:y>0.27600000000000002</cdr:y>
    </cdr:to>
    <cdr:sp macro="" textlink="">
      <cdr:nvSpPr>
        <cdr:cNvPr id="4" name="テキスト ボックス 3"/>
        <cdr:cNvSpPr txBox="1"/>
      </cdr:nvSpPr>
      <cdr:spPr>
        <a:xfrm xmlns:a="http://schemas.openxmlformats.org/drawingml/2006/main">
          <a:off x="336875" y="329195"/>
          <a:ext cx="971921" cy="23601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1.xml><?xml version="1.0" encoding="utf-8"?>
<c:userShapes xmlns:c="http://schemas.openxmlformats.org/drawingml/2006/chart">
  <cdr:relSizeAnchor xmlns:cdr="http://schemas.openxmlformats.org/drawingml/2006/chartDrawing">
    <cdr:from>
      <cdr:x>0.57199999999999995</cdr:x>
      <cdr:y>0.90949999999999998</cdr:y>
    </cdr:from>
    <cdr:to>
      <cdr:x>0.99924999999999997</cdr:x>
      <cdr:y>1</cdr:y>
    </cdr:to>
    <cdr:sp macro="" textlink="">
      <cdr:nvSpPr>
        <cdr:cNvPr id="2" name="テキスト ボックス 1"/>
        <cdr:cNvSpPr txBox="1"/>
      </cdr:nvSpPr>
      <cdr:spPr>
        <a:xfrm xmlns:a="http://schemas.openxmlformats.org/drawingml/2006/main">
          <a:off x="3312566" y="2313595"/>
          <a:ext cx="2474290" cy="23021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3.7499999999999999e-002</cdr:x>
      <cdr:y>0.13750000000000001</cdr:y>
    </cdr:from>
    <cdr:to>
      <cdr:x>0.13475000000000001</cdr:x>
      <cdr:y>0.26400000000000001</cdr:y>
    </cdr:to>
    <cdr:sp macro="" textlink="">
      <cdr:nvSpPr>
        <cdr:cNvPr id="3" name="テキスト ボックス 2"/>
        <cdr:cNvSpPr txBox="1"/>
      </cdr:nvSpPr>
      <cdr:spPr>
        <a:xfrm xmlns:a="http://schemas.openxmlformats.org/drawingml/2006/main">
          <a:off x="217170" y="349773"/>
          <a:ext cx="563194" cy="32179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p>
      </cdr:txBody>
    </cdr:sp>
  </cdr:relSizeAnchor>
</c:userShapes>
</file>

<file path=word/drawings/drawing12.xml><?xml version="1.0" encoding="utf-8"?>
<c:userShapes xmlns:c="http://schemas.openxmlformats.org/drawingml/2006/chart">
  <cdr:relSizeAnchor xmlns:cdr="http://schemas.openxmlformats.org/drawingml/2006/chartDrawing">
    <cdr:from>
      <cdr:x>0.69</cdr:x>
      <cdr:y>0.90075000000000005</cdr:y>
    </cdr:from>
    <cdr:to>
      <cdr:x>0.99924999999999997</cdr:x>
      <cdr:y>0.97724999999999995</cdr:y>
    </cdr:to>
    <cdr:sp macro="" textlink="">
      <cdr:nvSpPr>
        <cdr:cNvPr id="2" name="テキスト ボックス 1"/>
        <cdr:cNvSpPr txBox="1"/>
      </cdr:nvSpPr>
      <cdr:spPr>
        <a:xfrm xmlns:a="http://schemas.openxmlformats.org/drawingml/2006/main">
          <a:off x="4041933" y="2007636"/>
          <a:ext cx="1811547" cy="17050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userShapes>
</file>

<file path=word/drawings/drawing13.xml><?xml version="1.0" encoding="utf-8"?>
<c:userShapes xmlns:c="http://schemas.openxmlformats.org/drawingml/2006/chart">
  <cdr:relSizeAnchor xmlns:cdr="http://schemas.openxmlformats.org/drawingml/2006/chartDrawing">
    <cdr:from>
      <cdr:x>0.80300000000000005</cdr:x>
      <cdr:y>0.84824999999999995</cdr:y>
    </cdr:from>
    <cdr:to>
      <cdr:x>0.97224999999999995</cdr:x>
      <cdr:y>0.99850000000000005</cdr:y>
    </cdr:to>
    <cdr:sp macro="" textlink="">
      <cdr:nvSpPr>
        <cdr:cNvPr id="2" name="テキスト ボックス 1"/>
        <cdr:cNvSpPr txBox="1"/>
      </cdr:nvSpPr>
      <cdr:spPr>
        <a:xfrm xmlns:a="http://schemas.openxmlformats.org/drawingml/2006/main">
          <a:off x="4474416" y="1696712"/>
          <a:ext cx="943082" cy="30053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0.57774999999999999</cdr:x>
      <cdr:y>0.89324999999999999</cdr:y>
    </cdr:from>
    <cdr:to>
      <cdr:x>0.95550000000000002</cdr:x>
      <cdr:y>0.99850000000000005</cdr:y>
    </cdr:to>
    <cdr:sp macro="" textlink="">
      <cdr:nvSpPr>
        <cdr:cNvPr id="3" name="テキスト ボックス 2"/>
        <cdr:cNvSpPr txBox="1"/>
      </cdr:nvSpPr>
      <cdr:spPr>
        <a:xfrm xmlns:a="http://schemas.openxmlformats.org/drawingml/2006/main">
          <a:off x="3219295" y="1786723"/>
          <a:ext cx="2104870" cy="210526"/>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3.15e-002</cdr:x>
      <cdr:y>0.10299999999999999</cdr:y>
    </cdr:from>
    <cdr:to>
      <cdr:x>0.11375</cdr:x>
      <cdr:y>0.20624999999999999</cdr:y>
    </cdr:to>
    <cdr:sp macro="" textlink="">
      <cdr:nvSpPr>
        <cdr:cNvPr id="4" name="テキスト ボックス 3"/>
        <cdr:cNvSpPr txBox="1"/>
      </cdr:nvSpPr>
      <cdr:spPr>
        <a:xfrm xmlns:a="http://schemas.openxmlformats.org/drawingml/2006/main">
          <a:off x="175521" y="206025"/>
          <a:ext cx="458307" cy="20652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4.xml><?xml version="1.0" encoding="utf-8"?>
<c:userShapes xmlns:c="http://schemas.openxmlformats.org/drawingml/2006/chart">
  <cdr:relSizeAnchor xmlns:cdr="http://schemas.openxmlformats.org/drawingml/2006/chartDrawing">
    <cdr:from>
      <cdr:x>0.68974999999999997</cdr:x>
      <cdr:y>0.90774999999999995</cdr:y>
    </cdr:from>
    <cdr:to>
      <cdr:x>0.86924999999999997</cdr:x>
      <cdr:y>1</cdr:y>
    </cdr:to>
    <cdr:sp macro="" textlink="">
      <cdr:nvSpPr>
        <cdr:cNvPr id="2" name="テキスト ボックス 1"/>
        <cdr:cNvSpPr txBox="1"/>
      </cdr:nvSpPr>
      <cdr:spPr>
        <a:xfrm xmlns:a="http://schemas.openxmlformats.org/drawingml/2006/main">
          <a:off x="3869652" y="1798434"/>
          <a:ext cx="1007035" cy="18276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dr:relSizeAnchor xmlns:cdr="http://schemas.openxmlformats.org/drawingml/2006/chartDrawing">
    <cdr:from>
      <cdr:x>4.65e-002</cdr:x>
      <cdr:y>0.2</cdr:y>
    </cdr:from>
    <cdr:to>
      <cdr:x>0.14224999999999999</cdr:x>
      <cdr:y>0.32400000000000001</cdr:y>
    </cdr:to>
    <cdr:sp macro="" textlink="">
      <cdr:nvSpPr>
        <cdr:cNvPr id="3" name="テキスト ボックス 2"/>
        <cdr:cNvSpPr txBox="1"/>
      </cdr:nvSpPr>
      <cdr:spPr>
        <a:xfrm xmlns:a="http://schemas.openxmlformats.org/drawingml/2006/main">
          <a:off x="260875" y="396240"/>
          <a:ext cx="537179" cy="24566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1000"/>
            <a:t>（人）</a:t>
          </a:r>
        </a:p>
      </cdr:txBody>
    </cdr:sp>
  </cdr:relSizeAnchor>
</c:userShapes>
</file>

<file path=word/drawings/drawing15.xml><?xml version="1.0" encoding="utf-8"?>
<c:userShapes xmlns:c="http://schemas.openxmlformats.org/drawingml/2006/chart">
  <cdr:relSizeAnchor xmlns:cdr="http://schemas.openxmlformats.org/drawingml/2006/chartDrawing">
    <cdr:from>
      <cdr:x>0.83050000000000002</cdr:x>
      <cdr:y>0.65974999999999995</cdr:y>
    </cdr:from>
    <cdr:to>
      <cdr:x>1</cdr:x>
      <cdr:y>1</cdr:y>
    </cdr:to>
    <cdr:sp macro="" textlink="">
      <cdr:nvSpPr>
        <cdr:cNvPr id="2" name="テキスト ボックス 1"/>
        <cdr:cNvSpPr txBox="1"/>
      </cdr:nvSpPr>
      <cdr:spPr>
        <a:xfrm xmlns:a="http://schemas.openxmlformats.org/drawingml/2006/main">
          <a:off x="4730486" y="1351085"/>
          <a:ext cx="965463" cy="69678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1.8499999999999999e-002</cdr:x>
      <cdr:y>0.45374999999999999</cdr:y>
    </cdr:from>
    <cdr:to>
      <cdr:x>0.129</cdr:x>
      <cdr:y>0.56825000000000003</cdr:y>
    </cdr:to>
    <cdr:sp macro="" textlink="">
      <cdr:nvSpPr>
        <cdr:cNvPr id="4" name="テキスト ボックス 3"/>
        <cdr:cNvSpPr txBox="1"/>
      </cdr:nvSpPr>
      <cdr:spPr>
        <a:xfrm xmlns:a="http://schemas.openxmlformats.org/drawingml/2006/main">
          <a:off x="105375" y="929223"/>
          <a:ext cx="629402" cy="23448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6.xml><?xml version="1.0" encoding="utf-8"?>
<c:userShapes xmlns:c="http://schemas.openxmlformats.org/drawingml/2006/chart">
  <cdr:relSizeAnchor xmlns:cdr="http://schemas.openxmlformats.org/drawingml/2006/chartDrawing">
    <cdr:from>
      <cdr:x>4.8000000000000001e-002</cdr:x>
      <cdr:y>0.42649999999999999</cdr:y>
    </cdr:from>
    <cdr:to>
      <cdr:x>0.13925000000000001</cdr:x>
      <cdr:y>0.53749999999999998</cdr:y>
    </cdr:to>
    <cdr:sp macro="" textlink="">
      <cdr:nvSpPr>
        <cdr:cNvPr id="3" name="テキスト ボックス 2"/>
        <cdr:cNvSpPr txBox="1"/>
      </cdr:nvSpPr>
      <cdr:spPr>
        <a:xfrm xmlns:a="http://schemas.openxmlformats.org/drawingml/2006/main">
          <a:off x="275234" y="942479"/>
          <a:ext cx="523232" cy="24528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7.xml><?xml version="1.0" encoding="utf-8"?>
<c:userShapes xmlns:c="http://schemas.openxmlformats.org/drawingml/2006/chart">
  <cdr:relSizeAnchor xmlns:cdr="http://schemas.openxmlformats.org/drawingml/2006/chartDrawing">
    <cdr:from>
      <cdr:x>0.57499999999999996</cdr:x>
      <cdr:y>0.88300000000000001</cdr:y>
    </cdr:from>
    <cdr:to>
      <cdr:x>0.99950000000000006</cdr:x>
      <cdr:y>0.97699999999999998</cdr:y>
    </cdr:to>
    <cdr:sp macro="" textlink="">
      <cdr:nvSpPr>
        <cdr:cNvPr id="2" name="テキスト ボックス 1"/>
        <cdr:cNvSpPr txBox="1"/>
      </cdr:nvSpPr>
      <cdr:spPr>
        <a:xfrm xmlns:a="http://schemas.openxmlformats.org/drawingml/2006/main">
          <a:off x="3297078" y="1875558"/>
          <a:ext cx="2434104" cy="19966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4.0500000000000001e-002</cdr:x>
      <cdr:y>0.22750000000000001</cdr:y>
    </cdr:from>
    <cdr:to>
      <cdr:x>0.21024999999999999</cdr:x>
      <cdr:y>0.32450000000000001</cdr:y>
    </cdr:to>
    <cdr:sp macro="" textlink="">
      <cdr:nvSpPr>
        <cdr:cNvPr id="3" name="テキスト ボックス 2"/>
        <cdr:cNvSpPr txBox="1"/>
      </cdr:nvSpPr>
      <cdr:spPr>
        <a:xfrm xmlns:a="http://schemas.openxmlformats.org/drawingml/2006/main">
          <a:off x="232229" y="483227"/>
          <a:ext cx="973354" cy="20603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8.xml><?xml version="1.0" encoding="utf-8"?>
<c:userShapes xmlns:c="http://schemas.openxmlformats.org/drawingml/2006/chart">
  <cdr:relSizeAnchor xmlns:cdr="http://schemas.openxmlformats.org/drawingml/2006/chartDrawing">
    <cdr:from>
      <cdr:x>0.57999999999999996</cdr:x>
      <cdr:y>0.85050000000000003</cdr:y>
    </cdr:from>
    <cdr:to>
      <cdr:x>0.999</cdr:x>
      <cdr:y>0.96350000000000002</cdr:y>
    </cdr:to>
    <cdr:sp macro="" textlink="">
      <cdr:nvSpPr>
        <cdr:cNvPr id="2" name="テキスト ボックス 1"/>
        <cdr:cNvSpPr txBox="1"/>
      </cdr:nvSpPr>
      <cdr:spPr>
        <a:xfrm xmlns:a="http://schemas.openxmlformats.org/drawingml/2006/main">
          <a:off x="3375469" y="1668808"/>
          <a:ext cx="2438485" cy="22172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3.5999999999999997e-002</cdr:x>
      <cdr:y>0.29549999999999998</cdr:y>
    </cdr:from>
    <cdr:to>
      <cdr:x>0.13875000000000001</cdr:x>
      <cdr:y>0.40075</cdr:y>
    </cdr:to>
    <cdr:sp macro="" textlink="">
      <cdr:nvSpPr>
        <cdr:cNvPr id="3" name="テキスト ボックス 2"/>
        <cdr:cNvSpPr txBox="1"/>
      </cdr:nvSpPr>
      <cdr:spPr>
        <a:xfrm xmlns:a="http://schemas.openxmlformats.org/drawingml/2006/main">
          <a:off x="209511" y="579815"/>
          <a:ext cx="597981" cy="206516"/>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9.xml><?xml version="1.0" encoding="utf-8"?>
<c:userShapes xmlns:c="http://schemas.openxmlformats.org/drawingml/2006/chart">
  <cdr:relSizeAnchor xmlns:cdr="http://schemas.openxmlformats.org/drawingml/2006/chartDrawing">
    <cdr:from>
      <cdr:x>0.57499999999999996</cdr:x>
      <cdr:y>0.88700000000000001</cdr:y>
    </cdr:from>
    <cdr:to>
      <cdr:x>0.99950000000000006</cdr:x>
      <cdr:y>1</cdr:y>
    </cdr:to>
    <cdr:sp macro="" textlink="">
      <cdr:nvSpPr>
        <cdr:cNvPr id="2" name="テキスト ボックス 1"/>
        <cdr:cNvSpPr txBox="1"/>
      </cdr:nvSpPr>
      <cdr:spPr>
        <a:xfrm xmlns:a="http://schemas.openxmlformats.org/drawingml/2006/main">
          <a:off x="3269694" y="1901515"/>
          <a:ext cx="2413887" cy="24224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3.5999999999999997e-002</cdr:x>
      <cdr:y>0.17774999999999999</cdr:y>
    </cdr:from>
    <cdr:to>
      <cdr:x>0.14949999999999999</cdr:x>
      <cdr:y>0.28525</cdr:y>
    </cdr:to>
    <cdr:sp macro="" textlink="">
      <cdr:nvSpPr>
        <cdr:cNvPr id="3" name="テキスト ボックス 2"/>
        <cdr:cNvSpPr txBox="1"/>
      </cdr:nvSpPr>
      <cdr:spPr>
        <a:xfrm xmlns:a="http://schemas.openxmlformats.org/drawingml/2006/main">
          <a:off x="204711" y="381053"/>
          <a:ext cx="645409" cy="23045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0.56474999999999997</cdr:x>
      <cdr:y>0.89349999999999996</cdr:y>
    </cdr:from>
    <cdr:to>
      <cdr:x>0.99624999999999997</cdr:x>
      <cdr:y>1</cdr:y>
    </cdr:to>
    <cdr:sp macro="" textlink="">
      <cdr:nvSpPr>
        <cdr:cNvPr id="3" name="テキスト ボックス 2"/>
        <cdr:cNvSpPr txBox="1"/>
      </cdr:nvSpPr>
      <cdr:spPr>
        <a:xfrm xmlns:a="http://schemas.openxmlformats.org/drawingml/2006/main">
          <a:off x="3023134" y="1838286"/>
          <a:ext cx="2309841" cy="21911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5.5750000000000001e-002</cdr:x>
      <cdr:y>0.19175</cdr:y>
    </cdr:from>
    <cdr:to>
      <cdr:x>0.22625000000000001</cdr:x>
      <cdr:y>0.31424999999999997</cdr:y>
    </cdr:to>
    <cdr:sp macro="" textlink="">
      <cdr:nvSpPr>
        <cdr:cNvPr id="4" name="テキスト ボックス 3"/>
        <cdr:cNvSpPr txBox="1"/>
      </cdr:nvSpPr>
      <cdr:spPr>
        <a:xfrm xmlns:a="http://schemas.openxmlformats.org/drawingml/2006/main">
          <a:off x="298432" y="394506"/>
          <a:ext cx="912695" cy="25203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（床、人）</a:t>
          </a:r>
        </a:p>
      </cdr:txBody>
    </cdr:sp>
  </cdr:relSizeAnchor>
</c:userShapes>
</file>

<file path=word/drawings/drawing20.xml><?xml version="1.0" encoding="utf-8"?>
<c:userShapes xmlns:c="http://schemas.openxmlformats.org/drawingml/2006/chart">
  <cdr:relSizeAnchor xmlns:cdr="http://schemas.openxmlformats.org/drawingml/2006/chartDrawing">
    <cdr:from>
      <cdr:x>0.5675</cdr:x>
      <cdr:y>0.875</cdr:y>
    </cdr:from>
    <cdr:to>
      <cdr:x>0.99975000000000003</cdr:x>
      <cdr:y>1</cdr:y>
    </cdr:to>
    <cdr:sp macro="" textlink="">
      <cdr:nvSpPr>
        <cdr:cNvPr id="2" name="テキスト ボックス 1"/>
        <cdr:cNvSpPr txBox="1"/>
      </cdr:nvSpPr>
      <cdr:spPr>
        <a:xfrm xmlns:a="http://schemas.openxmlformats.org/drawingml/2006/main">
          <a:off x="3221640" y="1741884"/>
          <a:ext cx="2453840" cy="24884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6.4000000000000001e-002</cdr:x>
      <cdr:y>0.251</cdr:y>
    </cdr:from>
    <cdr:to>
      <cdr:x>0.23350000000000001</cdr:x>
      <cdr:y>0.36649999999999999</cdr:y>
    </cdr:to>
    <cdr:sp macro="" textlink="">
      <cdr:nvSpPr>
        <cdr:cNvPr id="3" name="テキスト ボックス 2"/>
        <cdr:cNvSpPr txBox="1"/>
      </cdr:nvSpPr>
      <cdr:spPr>
        <a:xfrm xmlns:a="http://schemas.openxmlformats.org/drawingml/2006/main">
          <a:off x="363321" y="499671"/>
          <a:ext cx="962234" cy="22992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21.xml><?xml version="1.0" encoding="utf-8"?>
<c:userShapes xmlns:c="http://schemas.openxmlformats.org/drawingml/2006/chart">
  <cdr:relSizeAnchor xmlns:cdr="http://schemas.openxmlformats.org/drawingml/2006/chartDrawing">
    <cdr:from>
      <cdr:x>4.9250000000000002e-002</cdr:x>
      <cdr:y>0.17574999999999999</cdr:y>
    </cdr:from>
    <cdr:to>
      <cdr:x>0.16425000000000001</cdr:x>
      <cdr:y>0.28499999999999998</cdr:y>
    </cdr:to>
    <cdr:sp macro="" textlink="">
      <cdr:nvSpPr>
        <cdr:cNvPr id="2" name="テキスト ボックス 1"/>
        <cdr:cNvSpPr txBox="1"/>
      </cdr:nvSpPr>
      <cdr:spPr>
        <a:xfrm xmlns:a="http://schemas.openxmlformats.org/drawingml/2006/main">
          <a:off x="277710" y="366721"/>
          <a:ext cx="648462" cy="22796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drawings/drawing22.xml><?xml version="1.0" encoding="utf-8"?>
<c:userShapes xmlns:c="http://schemas.openxmlformats.org/drawingml/2006/chart">
  <cdr:relSizeAnchor xmlns:cdr="http://schemas.openxmlformats.org/drawingml/2006/chartDrawing">
    <cdr:from>
      <cdr:x>2.2749999999999999e-002</cdr:x>
      <cdr:y>0.30599999999999999</cdr:y>
    </cdr:from>
    <cdr:to>
      <cdr:x>0.10975</cdr:x>
      <cdr:y>0.43049999999999999</cdr:y>
    </cdr:to>
    <cdr:sp macro="" textlink="">
      <cdr:nvSpPr>
        <cdr:cNvPr id="2" name="テキスト ボックス 1"/>
        <cdr:cNvSpPr txBox="1"/>
      </cdr:nvSpPr>
      <cdr:spPr>
        <a:xfrm xmlns:a="http://schemas.openxmlformats.org/drawingml/2006/main">
          <a:off x="130449" y="539210"/>
          <a:ext cx="498862" cy="21938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23.xml><?xml version="1.0" encoding="utf-8"?>
<c:userShapes xmlns:c="http://schemas.openxmlformats.org/drawingml/2006/chart">
  <cdr:relSizeAnchor xmlns:cdr="http://schemas.openxmlformats.org/drawingml/2006/chartDrawing">
    <cdr:from>
      <cdr:x>0.57799999999999996</cdr:x>
      <cdr:y>0.86624999999999996</cdr:y>
    </cdr:from>
    <cdr:to>
      <cdr:x>1</cdr:x>
      <cdr:y>0.96950000000000003</cdr:y>
    </cdr:to>
    <cdr:sp macro="" textlink="">
      <cdr:nvSpPr>
        <cdr:cNvPr id="2" name="テキスト ボックス 1"/>
        <cdr:cNvSpPr txBox="1"/>
      </cdr:nvSpPr>
      <cdr:spPr>
        <a:xfrm xmlns:a="http://schemas.openxmlformats.org/drawingml/2006/main">
          <a:off x="3319786" y="1584198"/>
          <a:ext cx="2423788" cy="18882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6.8250000000000005e-002</cdr:x>
      <cdr:y>0.29025000000000001</cdr:y>
    </cdr:from>
    <cdr:to>
      <cdr:x>0.14899999999999999</cdr:x>
      <cdr:y>0.41</cdr:y>
    </cdr:to>
    <cdr:sp macro="" textlink="">
      <cdr:nvSpPr>
        <cdr:cNvPr id="3" name="テキスト ボックス 2"/>
        <cdr:cNvSpPr txBox="1"/>
      </cdr:nvSpPr>
      <cdr:spPr>
        <a:xfrm xmlns:a="http://schemas.openxmlformats.org/drawingml/2006/main">
          <a:off x="391998" y="530809"/>
          <a:ext cx="463793" cy="21899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en-US" altLang="ja-JP" sz="900"/>
            <a:t>(</a:t>
          </a:r>
          <a:r>
            <a:rPr lang="ja-JP" altLang="en-US" sz="900"/>
            <a:t>人）</a:t>
          </a:r>
        </a:p>
      </cdr:txBody>
    </cdr:sp>
  </cdr:relSizeAnchor>
</c:userShapes>
</file>

<file path=word/drawings/drawing24.xml><?xml version="1.0" encoding="utf-8"?>
<c:userShapes xmlns:c="http://schemas.openxmlformats.org/drawingml/2006/chart">
  <cdr:relSizeAnchor xmlns:cdr="http://schemas.openxmlformats.org/drawingml/2006/chartDrawing">
    <cdr:from>
      <cdr:x>7.0000000000000007e-002</cdr:x>
      <cdr:y>0.3695</cdr:y>
    </cdr:from>
    <cdr:to>
      <cdr:x>0.15975</cdr:x>
      <cdr:y>0.48675000000000002</cdr:y>
    </cdr:to>
    <cdr:sp macro="" textlink="">
      <cdr:nvSpPr>
        <cdr:cNvPr id="2" name="テキスト ボックス 1"/>
        <cdr:cNvSpPr txBox="1"/>
      </cdr:nvSpPr>
      <cdr:spPr>
        <a:xfrm xmlns:a="http://schemas.openxmlformats.org/drawingml/2006/main">
          <a:off x="401383" y="714455"/>
          <a:ext cx="514630" cy="22671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drawings/drawing25.xml><?xml version="1.0" encoding="utf-8"?>
<c:userShapes xmlns:c="http://schemas.openxmlformats.org/drawingml/2006/chart">
  <cdr:relSizeAnchor xmlns:cdr="http://schemas.openxmlformats.org/drawingml/2006/chartDrawing">
    <cdr:from>
      <cdr:x>4.9250000000000002e-002</cdr:x>
      <cdr:y>0.16175</cdr:y>
    </cdr:from>
    <cdr:to>
      <cdr:x>0.151</cdr:x>
      <cdr:y>0.29425000000000001</cdr:y>
    </cdr:to>
    <cdr:sp macro="" textlink="">
      <cdr:nvSpPr>
        <cdr:cNvPr id="3" name="テキスト ボックス 2"/>
        <cdr:cNvSpPr txBox="1"/>
      </cdr:nvSpPr>
      <cdr:spPr>
        <a:xfrm xmlns:a="http://schemas.openxmlformats.org/drawingml/2006/main">
          <a:off x="280525" y="298889"/>
          <a:ext cx="579562" cy="24484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xml><?xml version="1.0" encoding="utf-8"?>
<c:userShapes xmlns:c="http://schemas.openxmlformats.org/drawingml/2006/chart">
  <cdr:relSizeAnchor xmlns:cdr="http://schemas.openxmlformats.org/drawingml/2006/chartDrawing">
    <cdr:from>
      <cdr:x>4.9250000000000002e-002</cdr:x>
      <cdr:y>0.1515</cdr:y>
    </cdr:from>
    <cdr:to>
      <cdr:x>0.15975</cdr:x>
      <cdr:y>0.22850000000000001</cdr:y>
    </cdr:to>
    <cdr:sp macro="" textlink="">
      <cdr:nvSpPr>
        <cdr:cNvPr id="2" name="テキスト ボックス 1"/>
        <cdr:cNvSpPr txBox="1"/>
      </cdr:nvSpPr>
      <cdr:spPr>
        <a:xfrm xmlns:a="http://schemas.openxmlformats.org/drawingml/2006/main">
          <a:off x="265514" y="451670"/>
          <a:ext cx="595722" cy="22956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4.xml><?xml version="1.0" encoding="utf-8"?>
<c:userShapes xmlns:c="http://schemas.openxmlformats.org/drawingml/2006/chart">
  <cdr:relSizeAnchor xmlns:cdr="http://schemas.openxmlformats.org/drawingml/2006/chartDrawing">
    <cdr:from>
      <cdr:x>8.6249999999999993e-002</cdr:x>
      <cdr:y>0.161</cdr:y>
    </cdr:from>
    <cdr:to>
      <cdr:x>0.19075</cdr:x>
      <cdr:y>0.26850000000000002</cdr:y>
    </cdr:to>
    <cdr:sp macro="" textlink="">
      <cdr:nvSpPr>
        <cdr:cNvPr id="2" name="テキスト ボックス 1"/>
        <cdr:cNvSpPr txBox="1"/>
      </cdr:nvSpPr>
      <cdr:spPr>
        <a:xfrm xmlns:a="http://schemas.openxmlformats.org/drawingml/2006/main">
          <a:off x="464986" y="455559"/>
          <a:ext cx="563375" cy="30417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5.xml><?xml version="1.0" encoding="utf-8"?>
<c:userShapes xmlns:c="http://schemas.openxmlformats.org/drawingml/2006/chart">
  <cdr:relSizeAnchor xmlns:cdr="http://schemas.openxmlformats.org/drawingml/2006/chartDrawing">
    <cdr:from>
      <cdr:x>4.4999999999999998e-002</cdr:x>
      <cdr:y>0.16225000000000001</cdr:y>
    </cdr:from>
    <cdr:to>
      <cdr:x>0.16575000000000001</cdr:x>
      <cdr:y>0.28575</cdr:y>
    </cdr:to>
    <cdr:sp macro="" textlink="">
      <cdr:nvSpPr>
        <cdr:cNvPr id="2" name="テキスト ボックス 1"/>
        <cdr:cNvSpPr txBox="1"/>
      </cdr:nvSpPr>
      <cdr:spPr>
        <a:xfrm xmlns:a="http://schemas.openxmlformats.org/drawingml/2006/main">
          <a:off x="243030" y="389448"/>
          <a:ext cx="652131" cy="29643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（日）</a:t>
          </a:r>
        </a:p>
      </cdr:txBody>
    </cdr:sp>
  </cdr:relSizeAnchor>
</c:userShapes>
</file>

<file path=word/drawings/drawing6.xml><?xml version="1.0" encoding="utf-8"?>
<c:userShapes xmlns:c="http://schemas.openxmlformats.org/drawingml/2006/chart">
  <cdr:relSizeAnchor xmlns:cdr="http://schemas.openxmlformats.org/drawingml/2006/chartDrawing">
    <cdr:from>
      <cdr:x>7.0499999999999993e-002</cdr:x>
      <cdr:y>0.156</cdr:y>
    </cdr:from>
    <cdr:to>
      <cdr:x>0.16550000000000001</cdr:x>
      <cdr:y>0.27074999999999999</cdr:y>
    </cdr:to>
    <cdr:sp macro="" textlink="">
      <cdr:nvSpPr>
        <cdr:cNvPr id="3" name="テキスト ボックス 2"/>
        <cdr:cNvSpPr txBox="1"/>
      </cdr:nvSpPr>
      <cdr:spPr>
        <a:xfrm xmlns:a="http://schemas.openxmlformats.org/drawingml/2006/main">
          <a:off x="398878" y="387918"/>
          <a:ext cx="537495" cy="28534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7.xml><?xml version="1.0" encoding="utf-8"?>
<c:userShapes xmlns:c="http://schemas.openxmlformats.org/drawingml/2006/chart">
  <cdr:relSizeAnchor xmlns:cdr="http://schemas.openxmlformats.org/drawingml/2006/chartDrawing">
    <cdr:from>
      <cdr:x>6.8500000000000005e-002</cdr:x>
      <cdr:y>0.23574999999999999</cdr:y>
    </cdr:from>
    <cdr:to>
      <cdr:x>0.18475</cdr:x>
      <cdr:y>0.34549999999999997</cdr:y>
    </cdr:to>
    <cdr:sp macro="" textlink="">
      <cdr:nvSpPr>
        <cdr:cNvPr id="2" name="テキスト ボックス 1"/>
        <cdr:cNvSpPr txBox="1"/>
      </cdr:nvSpPr>
      <cdr:spPr>
        <a:xfrm xmlns:a="http://schemas.openxmlformats.org/drawingml/2006/main">
          <a:off x="369293" y="563625"/>
          <a:ext cx="626721" cy="26238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8.xml><?xml version="1.0" encoding="utf-8"?>
<c:userShapes xmlns:c="http://schemas.openxmlformats.org/drawingml/2006/chart">
  <cdr:relSizeAnchor xmlns:cdr="http://schemas.openxmlformats.org/drawingml/2006/chartDrawing">
    <cdr:from>
      <cdr:x>0.57199999999999995</cdr:x>
      <cdr:y>0.91649999999999998</cdr:y>
    </cdr:from>
    <cdr:to>
      <cdr:x>1</cdr:x>
      <cdr:y>0.99950000000000006</cdr:y>
    </cdr:to>
    <cdr:sp macro="" textlink="">
      <cdr:nvSpPr>
        <cdr:cNvPr id="2" name="テキスト ボックス 1"/>
        <cdr:cNvSpPr txBox="1"/>
      </cdr:nvSpPr>
      <cdr:spPr>
        <a:xfrm xmlns:a="http://schemas.openxmlformats.org/drawingml/2006/main">
          <a:off x="3209048" y="2051470"/>
          <a:ext cx="2401176" cy="18578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6.1249999999999999e-002</cdr:x>
      <cdr:y>0.16775000000000001</cdr:y>
    </cdr:from>
    <cdr:to>
      <cdr:x>0.14974999999999999</cdr:x>
      <cdr:y>0.27600000000000002</cdr:y>
    </cdr:to>
    <cdr:sp macro="" textlink="">
      <cdr:nvSpPr>
        <cdr:cNvPr id="3" name="テキスト ボックス 2"/>
        <cdr:cNvSpPr txBox="1"/>
      </cdr:nvSpPr>
      <cdr:spPr>
        <a:xfrm xmlns:a="http://schemas.openxmlformats.org/drawingml/2006/main">
          <a:off x="343626" y="375487"/>
          <a:ext cx="496504" cy="24230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9.xml><?xml version="1.0" encoding="utf-8"?>
<c:userShapes xmlns:c="http://schemas.openxmlformats.org/drawingml/2006/chart">
  <cdr:relSizeAnchor xmlns:cdr="http://schemas.openxmlformats.org/drawingml/2006/chartDrawing">
    <cdr:from>
      <cdr:x>0.68174999999999997</cdr:x>
      <cdr:y>0.90249999999999997</cdr:y>
    </cdr:from>
    <cdr:to>
      <cdr:x>1</cdr:x>
      <cdr:y>0.98324999999999996</cdr:y>
    </cdr:to>
    <cdr:sp macro="" textlink="">
      <cdr:nvSpPr>
        <cdr:cNvPr id="2" name="テキスト ボックス 1"/>
        <cdr:cNvSpPr txBox="1"/>
      </cdr:nvSpPr>
      <cdr:spPr>
        <a:xfrm xmlns:a="http://schemas.openxmlformats.org/drawingml/2006/main">
          <a:off x="3824770" y="1856803"/>
          <a:ext cx="1785454" cy="16613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dr:relSizeAnchor xmlns:cdr="http://schemas.openxmlformats.org/drawingml/2006/chartDrawing">
    <cdr:from>
      <cdr:x>6.8500000000000005e-002</cdr:x>
      <cdr:y>0.34275</cdr:y>
    </cdr:from>
    <cdr:to>
      <cdr:x>0.14949999999999999</cdr:x>
      <cdr:y>0.45724999999999999</cdr:y>
    </cdr:to>
    <cdr:sp macro="" textlink="">
      <cdr:nvSpPr>
        <cdr:cNvPr id="3" name="テキスト ボックス 2"/>
        <cdr:cNvSpPr txBox="1"/>
      </cdr:nvSpPr>
      <cdr:spPr>
        <a:xfrm xmlns:a="http://schemas.openxmlformats.org/drawingml/2006/main">
          <a:off x="384300" y="705173"/>
          <a:ext cx="454428" cy="23557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16</Pages>
  <Words>274</Words>
  <Characters>6283</Characters>
  <Application>Microsoft Office Word</Application>
  <Lines>3230</Lines>
  <Paragraphs>311</Paragraphs>
  <CharactersWithSpaces>6453</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442594</cp:lastModifiedBy>
  <cp:lastPrinted>2018-03-29T08:26:50Z</cp:lastPrinted>
  <dcterms:created xsi:type="dcterms:W3CDTF">2018-01-04T08:06:00Z</dcterms:created>
  <dcterms:modified xsi:type="dcterms:W3CDTF">2018-03-29T07:41:50Z</dcterms:modified>
  <cp:revision>6</cp:revision>
</cp:coreProperties>
</file>