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thumbnail.emf" Id="rId2" Type="http://schemas.openxmlformats.org/package/2006/relationships/metadata/thumbnail"/><Relationship Target="docProps/core.xml" Id="rId3" Type="http://schemas.openxmlformats.org/package/2006/relationships/metadata/core-properties"/><Relationship Target="docProps/app.xml" Id="rId4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40" w:lineRule="exact"/>
        <w:ind w:firstLine="536" w:firstLineChars="650"/>
        <w:rPr>
          <w:rFonts w:hint="default" w:ascii="Meiryo UI" w:hAnsi="Meiryo UI" w:eastAsia="Meiryo UI"/>
          <w:sz w:val="10"/>
        </w:rPr>
      </w:pPr>
    </w:p>
    <w:p>
      <w:pPr>
        <w:pStyle w:val="0"/>
        <w:spacing w:line="240" w:lineRule="exact"/>
        <w:jc w:val="left"/>
        <w:rPr>
          <w:rFonts w:hint="default" w:ascii="Meiryo UI" w:hAnsi="Meiryo UI" w:eastAsia="Meiryo UI"/>
          <w:b w:val="1"/>
        </w:rPr>
      </w:pPr>
    </w:p>
    <w:p>
      <w:pPr>
        <w:pStyle w:val="0"/>
        <w:tabs>
          <w:tab w:val="left" w:leader="none" w:pos="811"/>
        </w:tabs>
        <w:spacing w:line="240" w:lineRule="exact"/>
        <w:jc w:val="left"/>
        <w:rPr>
          <w:rFonts w:hint="default" w:ascii="Meiryo UI" w:hAnsi="Meiryo UI" w:eastAsia="Meiryo UI"/>
          <w:b w:val="1"/>
          <w:sz w:val="40"/>
        </w:rPr>
      </w:pPr>
      <w:r>
        <w:rPr>
          <w:rFonts w:hint="default" w:ascii="Meiryo UI" w:hAnsi="Meiryo UI" w:eastAsia="Meiryo UI"/>
          <w:b w:val="1"/>
        </w:rPr>
        <mc:AlternateContent>
          <mc:Choice Requires="wps">
            <w:drawing>
              <wp:anchor simplePos="0" relativeHeight="2" behindDoc="0" locked="0" layoutInCell="1" hidden="0" allowOverlap="1">
                <wp:simplePos x="0" y="0"/>
                <wp:positionH relativeFrom="column">
                  <wp:posOffset>4811395</wp:posOffset>
                </wp:positionH>
                <wp:positionV relativeFrom="paragraph">
                  <wp:posOffset>-162560</wp:posOffset>
                </wp:positionV>
                <wp:extent cx="2032635" cy="36195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032635" cy="36195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　　　　　　【平成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30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年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11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月】</w:t>
                            </w: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ect id="オブジェクト 0" style="margin-top:-12.8pt;mso-position-vertical-relative:text;mso-position-horizontal-relative:text;position:absolute;height:28.5pt;width:160.05000000000001pt;margin-left:378.85pt;z-index:2;" o:spid="_x0000_s1026" o:allowincell="t" o:allowoverlap="t" filled="f" stroked="f" o:spt="1">
                <v:fill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　　　　　　【平成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30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年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11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月】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 w:ascii="Meiryo UI" w:hAnsi="Meiryo UI" w:eastAsia="Meiryo UI"/>
          <w:b w:val="1"/>
        </w:rPr>
        <w:tab/>
      </w:r>
    </w:p>
    <w:p>
      <w:pPr>
        <w:pStyle w:val="0"/>
        <w:spacing w:line="520" w:lineRule="exact"/>
        <w:ind w:leftChars="0" w:firstLine="0" w:firstLineChars="0"/>
        <w:jc w:val="center"/>
        <w:rPr>
          <w:rFonts w:hint="default" w:ascii="Meiryo UI" w:hAnsi="Meiryo UI" w:eastAsia="Meiryo UI"/>
          <w:b w:val="1"/>
          <w:sz w:val="40"/>
        </w:rPr>
      </w:pPr>
      <w:r>
        <w:rPr>
          <w:rFonts w:hint="eastAsia" w:ascii="Meiryo UI" w:hAnsi="Meiryo UI" w:eastAsia="Meiryo UI"/>
          <w:b w:val="1"/>
          <w:sz w:val="36"/>
        </w:rPr>
        <w:t>（高知県果樹経営支援対策事業）</w:t>
      </w:r>
    </w:p>
    <w:p>
      <w:pPr>
        <w:pStyle w:val="0"/>
        <w:spacing w:line="520" w:lineRule="exact"/>
        <w:jc w:val="center"/>
        <w:rPr>
          <w:rFonts w:hint="default" w:ascii="Meiryo UI" w:hAnsi="Meiryo UI" w:eastAsia="Meiryo UI"/>
          <w:b w:val="1"/>
          <w:sz w:val="40"/>
        </w:rPr>
      </w:pPr>
      <w:r>
        <w:rPr>
          <w:rFonts w:hint="eastAsia" w:ascii="Meiryo UI" w:hAnsi="Meiryo UI" w:eastAsia="Meiryo UI"/>
          <w:b w:val="1"/>
          <w:sz w:val="40"/>
        </w:rPr>
        <w:t>平成</w:t>
      </w:r>
      <w:r>
        <w:rPr>
          <w:rFonts w:hint="eastAsia" w:ascii="Meiryo UI" w:hAnsi="Meiryo UI" w:eastAsia="Meiryo UI"/>
          <w:b w:val="1"/>
          <w:sz w:val="40"/>
        </w:rPr>
        <w:t>30</w:t>
      </w:r>
      <w:r>
        <w:rPr>
          <w:rFonts w:hint="eastAsia" w:ascii="Meiryo UI" w:hAnsi="Meiryo UI" w:eastAsia="Meiryo UI"/>
          <w:b w:val="1"/>
          <w:sz w:val="40"/>
        </w:rPr>
        <w:t>年</w:t>
      </w:r>
      <w:r>
        <w:rPr>
          <w:rFonts w:hint="eastAsia" w:ascii="Meiryo UI" w:hAnsi="Meiryo UI" w:eastAsia="Meiryo UI"/>
          <w:b w:val="1"/>
          <w:sz w:val="40"/>
        </w:rPr>
        <w:t>7</w:t>
      </w:r>
      <w:r>
        <w:rPr>
          <w:rFonts w:hint="eastAsia" w:ascii="Meiryo UI" w:hAnsi="Meiryo UI" w:eastAsia="Meiryo UI"/>
          <w:b w:val="1"/>
          <w:sz w:val="40"/>
        </w:rPr>
        <w:t>月の豪雨災害により、果樹園が被害を受けた方へ</w:t>
      </w:r>
    </w:p>
    <w:p>
      <w:pPr>
        <w:pStyle w:val="0"/>
        <w:spacing w:line="520" w:lineRule="exact"/>
        <w:ind w:firstLine="383" w:firstLineChars="100"/>
        <w:rPr>
          <w:rFonts w:hint="default" w:ascii="HG丸ｺﾞｼｯｸM-PRO" w:hAnsi="HG丸ｺﾞｼｯｸM-PRO" w:eastAsia="HG丸ｺﾞｼｯｸM-PRO"/>
          <w:b w:val="1"/>
          <w:sz w:val="32"/>
        </w:rPr>
      </w:pPr>
      <w:r>
        <w:rPr>
          <w:rFonts w:hint="eastAsia" w:ascii="Meiryo UI" w:hAnsi="Meiryo UI" w:eastAsia="Meiryo UI"/>
          <w:b w:val="1"/>
          <w:sz w:val="40"/>
        </w:rPr>
        <w:t>植え替え（改植）について支援があります。</w: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121920</wp:posOffset>
                </wp:positionV>
                <wp:extent cx="2175510" cy="885190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75510" cy="885190"/>
                        </a:xfrm>
                        <a:prstGeom prst="roundRect">
                          <a:avLst>
                            <a:gd name="adj" fmla="val 48637"/>
                          </a:avLst>
                        </a:prstGeom>
                        <a:solidFill>
                          <a:srgbClr val="17375E"/>
                        </a:solidFill>
                        <a:ln w="9525">
                          <a:solidFill>
                            <a:srgbClr val="17375E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9.6pt;mso-position-vertical-relative:text;mso-position-horizontal-relative:text;position:absolute;height:69.7pt;width:171.3pt;margin-left:5.2pt;z-index:4;" o:spid="_x0000_s1027" o:allowincell="t" o:allowoverlap="t" filled="t" fillcolor="#17375e" stroked="t" strokecolor="#17375e" strokeweight="0.75pt" o:spt="2" arcsize="31876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6" behindDoc="0" locked="0" layoutInCell="1" hidden="0" allowOverlap="1">
                <wp:simplePos x="0" y="0"/>
                <wp:positionH relativeFrom="column">
                  <wp:posOffset>-156845</wp:posOffset>
                </wp:positionH>
                <wp:positionV relativeFrom="paragraph">
                  <wp:posOffset>121920</wp:posOffset>
                </wp:positionV>
                <wp:extent cx="2482850" cy="546100"/>
                <wp:effectExtent l="0" t="0" r="635" b="635"/>
                <wp:wrapNone/>
                <wp:docPr id="1028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2482850" cy="546100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FFFFFF" w:themeColor="background1"/>
                                <w:sz w:val="24"/>
                              </w:rPr>
                              <w:t>支援の内容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9.6pt;mso-position-vertical-relative:text;mso-position-horizontal-relative:text;position:absolute;height:43pt;width:195.5pt;margin-left:-12.35pt;z-index:6;" o:spid="_x0000_s1028" o:allowincell="t" o:allowoverlap="t" filled="f" stroked="f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FFFF" w:themeColor="background1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FFFFFF" w:themeColor="background1"/>
                          <w:sz w:val="24"/>
                        </w:rPr>
                        <w:t>支援の内容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3121660</wp:posOffset>
                </wp:positionH>
                <wp:positionV relativeFrom="paragraph">
                  <wp:posOffset>21590</wp:posOffset>
                </wp:positionV>
                <wp:extent cx="3228975" cy="485775"/>
                <wp:effectExtent l="0" t="0" r="635" b="635"/>
                <wp:wrapNone/>
                <wp:docPr id="1029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9" name="オブジェクト 0"/>
                      <wps:cNvSpPr/>
                      <wps:spPr>
                        <a:xfrm>
                          <a:off x="0" y="0"/>
                          <a:ext cx="3228975" cy="4857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【要件】・被災前と同一品目の改植であること</w:t>
                            </w:r>
                          </w:p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　　　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・被災園地の合計が概ね２ａ以上であること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.7pt;mso-position-vertical-relative:text;mso-position-horizontal-relative:text;v-text-anchor:top;position:absolute;height:38.25pt;mso-wrap-distance-top:0pt;width:254.25pt;mso-wrap-distance-left:16pt;margin-left:245.8pt;z-index:11;" o:spid="_x0000_s1029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【要件】・被災前と同一品目の改植であること</w:t>
                      </w:r>
                    </w:p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　　　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・被災園地の合計が概ね２ａ以上であること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5" behindDoc="0" locked="0" layoutInCell="1" hidden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230505</wp:posOffset>
                </wp:positionV>
                <wp:extent cx="6703695" cy="3467735"/>
                <wp:effectExtent l="635" t="635" r="29845" b="10795"/>
                <wp:wrapNone/>
                <wp:docPr id="1030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0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703695" cy="346773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chemeClr val="bg1"/>
                        </a:solidFill>
                        <a:ln w="2540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rPr>
                                <w:rFonts w:hint="default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rPr>
                                <w:rFonts w:hint="default"/>
                                <w:b w:val="1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b w:val="1"/>
                                <w:sz w:val="16"/>
                              </w:rPr>
                              <w:t>　　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ind w:left="0" w:leftChars="0" w:firstLine="223" w:firstLineChars="100"/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2"/>
                              </w:rPr>
                            </w:pPr>
                            <w:r>
                              <w:rPr>
                                <w:rFonts w:hint="eastAsia" w:asciiTheme="majorEastAsia" w:hAnsiTheme="majorEastAsia" w:eastAsiaTheme="majorEastAsia"/>
                                <w:b w:val="1"/>
                                <w:sz w:val="24"/>
                                <w:u w:val="single" w:color="auto"/>
                              </w:rPr>
                              <w:t>事業実施主体　産地協議会または農業者</w:t>
                            </w:r>
                          </w:p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ind w:left="0" w:leftChars="0" w:firstLine="203" w:firstLineChars="100"/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ind w:left="0" w:leftChars="0" w:firstLine="203" w:firstLineChars="100"/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ind w:left="0" w:leftChars="0" w:firstLine="203" w:firstLineChars="100"/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2"/>
                              </w:rPr>
                            </w:pPr>
                          </w:p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ind w:left="0" w:leftChars="0" w:firstLine="203" w:firstLineChars="100"/>
                              <w:rPr>
                                <w:rFonts w:hint="eastAsia" w:ascii="Meiryo UI" w:hAnsi="Meiryo UI" w:eastAsia="Meiryo UI"/>
                                <w:b w:val="1"/>
                                <w:color w:val="auto"/>
                                <w:sz w:val="22"/>
                              </w:rPr>
                            </w:pPr>
                          </w:p>
                          <w:tbl>
                            <w:tblPr>
                              <w:tblStyle w:val="32"/>
                              <w:tblW w:w="0" w:type="auto"/>
                              <w:jc w:val="left"/>
                              <w:tblInd w:w="165" w:type="dxa"/>
                              <w:tblBorders>
                                <w:top w:val="single" w:color="auto" w:sz="4" w:space="0"/>
                                <w:left w:val="single" w:color="auto" w:sz="4" w:space="0"/>
                                <w:bottom w:val="single" w:color="auto" w:sz="4" w:space="0"/>
                                <w:right w:val="single" w:color="auto" w:sz="4" w:space="0"/>
                                <w:insideH w:val="single" w:color="auto" w:sz="4" w:space="0"/>
                                <w:insideV w:val="single" w:color="auto" w:sz="4" w:space="0"/>
                              </w:tblBorders>
                              <w:tblLayout w:type="fixed"/>
                              <w:tblLook w:firstRow="1" w:lastRow="0" w:firstColumn="1" w:lastColumn="0" w:noHBand="0" w:noVBand="1" w:val="04A0"/>
                            </w:tblPr>
                            <w:tblGrid>
                              <w:gridCol w:w="3080"/>
                              <w:gridCol w:w="3474"/>
                              <w:gridCol w:w="3474"/>
                            </w:tblGrid>
                            <w:tr>
                              <w:trPr>
                                <w:trHeight w:val="589" w:hRule="atLeast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ind w:firstLine="810" w:firstLineChars="400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sz w:val="22"/>
                                    </w:rPr>
                                    <w:t>事業区分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0" w:lineRule="atLeast"/>
                                    <w:jc w:val="center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sz w:val="22"/>
                                    </w:rPr>
                                    <w:t>補助対象経費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jc w:val="center"/>
                                    <w:rPr>
                                      <w:rFonts w:hint="eastAsia"/>
                                      <w:color w:val="000000" w:themeColor="text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color w:val="000000" w:themeColor="text1"/>
                                      <w:sz w:val="22"/>
                                    </w:rPr>
                                    <w:t>補助率等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10a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color w:val="000000" w:themeColor="text1"/>
                                      <w:sz w:val="20"/>
                                    </w:rPr>
                                    <w:t>あたり）</w:t>
                                  </w:r>
                                </w:p>
                              </w:tc>
                            </w:tr>
                            <w:tr>
                              <w:trPr>
                                <w:cantSplit/>
                                <w:trHeight w:val="910" w:hRule="atLeast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sz w:val="22"/>
                                    </w:rPr>
                                    <w:t>①改植区分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napToGrid w:val="0"/>
                                    <w:spacing w:line="320" w:lineRule="exact"/>
                                    <w:ind w:left="0" w:leftChars="0" w:firstLine="0" w:firstLineChars="0"/>
                                    <w:jc w:val="both"/>
                                    <w:rPr>
                                      <w:rFonts w:hint="default" w:ascii="Meiryo UI" w:hAnsi="Meiryo UI" w:eastAsia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  <w:t>伐採・抜根費、深耕・整地費、土壌改良用資材費、苗木代、植栽費等の経費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ind w:leftChars="0" w:firstLine="0" w:firstLineChars="0"/>
                                    <w:jc w:val="left"/>
                                    <w:rPr>
                                      <w:rFonts w:hint="default" w:ascii="Meiryo UI" w:hAnsi="Meiryo UI" w:eastAsia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【定額】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23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万円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  <w:t>（かんきつ類）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vertAlign w:val="superscript"/>
                                    </w:rPr>
                                    <w:t>※１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ind w:left="0" w:leftChars="0" w:firstLine="608" w:firstLineChars="300"/>
                                    <w:jc w:val="left"/>
                                    <w:rPr>
                                      <w:rFonts w:hint="default" w:ascii="Meiryo UI" w:hAnsi="Meiryo UI" w:eastAsia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  <w:t>（定率となる場合あり）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vertAlign w:val="superscript"/>
                                    </w:rPr>
                                    <w:t>※２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835" w:hRule="atLeast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jc w:val="both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sz w:val="22"/>
                                    </w:rPr>
                                    <w:t>②未収益期間支援区分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ind w:firstLine="203" w:firstLineChars="100"/>
                                    <w:jc w:val="both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（改植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年目～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年目）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320" w:lineRule="exact"/>
                                    <w:jc w:val="left"/>
                                    <w:rPr>
                                      <w:rFonts w:hint="default" w:ascii="Meiryo UI" w:hAnsi="Meiryo UI" w:eastAsia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  <w:t>農薬代・肥料代等の育成に要する経費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uto"/>
                                    <w:ind w:leftChars="0" w:firstLine="0" w:firstLineChars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【定額】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22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45" w:hRule="atLeast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jc w:val="both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sz w:val="22"/>
                                    </w:rPr>
                                    <w:t>③未収益期間上乗せ支援区分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ind w:firstLine="203" w:firstLineChars="100"/>
                                    <w:jc w:val="both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（改植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年目～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年目）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auto"/>
                                    <w:jc w:val="both"/>
                                    <w:rPr>
                                      <w:rFonts w:hint="default" w:ascii="Meiryo UI" w:hAnsi="Meiryo UI" w:eastAsia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  <w:t>育成に要する経営費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spacing w:line="240" w:lineRule="auto"/>
                                    <w:ind w:leftChars="0" w:firstLine="0" w:firstLineChars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【定額】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11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81" w:hRule="atLeast"/>
                              </w:trPr>
                              <w:tc>
                                <w:tcPr>
                                  <w:tcW w:w="3080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accent6" w:themeFillTint="66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80" w:lineRule="exact"/>
                                    <w:jc w:val="both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1"/>
                                      <w:sz w:val="22"/>
                                    </w:rPr>
                                    <w:t>④未収益期間支援延長区分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280" w:lineRule="exact"/>
                                    <w:ind w:firstLine="203" w:firstLineChars="100"/>
                                    <w:jc w:val="both"/>
                                    <w:rPr>
                                      <w:rFonts w:hint="default" w:ascii="Meiryo UI" w:hAnsi="Meiryo UI" w:eastAsia="Meiryo UI"/>
                                      <w:b w:val="1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（改植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6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年目～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10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b w:val="0"/>
                                      <w:sz w:val="22"/>
                                    </w:rPr>
                                    <w:t>年目）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center"/>
                                </w:tcPr>
                                <w:p>
                                  <w:pPr>
                                    <w:pStyle w:val="0"/>
                                    <w:spacing w:line="240" w:lineRule="auto"/>
                                    <w:jc w:val="both"/>
                                    <w:rPr>
                                      <w:rFonts w:hint="default" w:ascii="Meiryo UI" w:hAnsi="Meiryo UI" w:eastAsia="Meiryo UI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</w:rPr>
                                    <w:t>育成に要する経営費</w:t>
                                  </w:r>
                                </w:p>
                              </w:tc>
                              <w:tc>
                                <w:tcPr>
                                  <w:tcW w:w="3474" w:type="dxa"/>
                                  <w:tcBorders>
                                    <w:top w:val="none" w:color="auto" w:sz="0" w:space="0"/>
                                    <w:left w:val="none" w:color="auto" w:sz="0" w:space="0"/>
                                    <w:bottom w:val="none" w:color="auto" w:sz="0" w:space="0"/>
                                    <w:right w:val="none" w:color="auto" w:sz="0" w:space="0"/>
                                    <w:tl2br w:val="nil"/>
                                    <w:tr2bl w:val="nil"/>
                                  </w:tcBorders>
                                  <w:shd w:val="clear" w:color="auto" w:themeFill="background1" w:themeFillTint="FF" w:themeFillShade="FF"/>
                                  <w:vAlign w:val="top"/>
                                </w:tcPr>
                                <w:p>
                                  <w:pPr>
                                    <w:pStyle w:val="0"/>
                                    <w:widowControl w:val="1"/>
                                    <w:ind w:leftChars="0" w:firstLine="0" w:firstLineChars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【定額】　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20.5</w:t>
                                  </w:r>
                                  <w:r>
                                    <w:rPr>
                                      <w:rFonts w:hint="eastAsia" w:ascii="Meiryo UI" w:hAnsi="Meiryo UI" w:eastAsia="Meiryo UI"/>
                                      <w:sz w:val="22"/>
                                      <w:u w:val="single" w:color="auto"/>
                                    </w:rPr>
                                    <w:t>万円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0"/>
                              <w:tabs>
                                <w:tab w:val="left" w:leader="none" w:pos="276"/>
                              </w:tabs>
                              <w:spacing w:line="100" w:lineRule="exact"/>
                              <w:ind w:leftChars="0" w:firstLine="0" w:firstLineChars="0"/>
                              <w:rPr>
                                <w:rFonts w:hint="default"/>
                                <w:sz w:val="16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240" w:lineRule="exact"/>
                              <w:ind w:right="179" w:rightChars="93" w:firstLine="325" w:firstLineChars="200"/>
                              <w:rPr>
                                <w:rFonts w:hint="default" w:ascii="Meiryo UI" w:hAnsi="Meiryo UI" w:eastAsia="Meiryo UI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※１　りんご、ぶどう、なし、もも、おうとう、びわ、かき、くり、うめ、すもも、キウイフルーツ、イチジクは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17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万円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/10a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です。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right="179" w:rightChars="93" w:firstLine="325" w:firstLineChars="200"/>
                              <w:rPr>
                                <w:rFonts w:hint="default" w:ascii="Meiryo UI" w:hAnsi="Meiryo UI" w:eastAsia="Meiryo UI"/>
                                <w:sz w:val="20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  <w:u w:val="single"/>
                              </w:rPr>
                              <w:t>※２　補助対象経費のうち他の事業で実施した場合は、当該事業では補助対象になりません。</w:t>
                            </w:r>
                          </w:p>
                          <w:p>
                            <w:pPr>
                              <w:pStyle w:val="0"/>
                              <w:spacing w:line="240" w:lineRule="exact"/>
                              <w:ind w:right="179" w:rightChars="93" w:firstLine="325" w:firstLineChars="200"/>
                              <w:rPr>
                                <w:rFonts w:hint="default" w:ascii="Meiryo UI" w:hAnsi="Meiryo UI" w:eastAsia="Meiryo UI"/>
                                <w:sz w:val="1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</w:rPr>
                              <w:t>　　　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0"/>
                                <w:u w:val="single"/>
                              </w:rPr>
                              <w:t>その他の補助対象経費については、品目に関わらず２分の１以内となります。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18.14pt;mso-position-vertical-relative:text;mso-position-horizontal-relative:text;position:absolute;height:273.05pt;width:527.85pt;margin-left:5.2pt;z-index:5;" o:spid="_x0000_s1030" o:allowincell="t" o:allowoverlap="t" filled="t" fillcolor="#ffffff [3212]" stroked="t" strokecolor="#000000 [3213]" strokeweight="2pt" o:spt="2" arcsize="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rPr>
                          <w:rFonts w:hint="default"/>
                          <w:sz w:val="22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rPr>
                          <w:rFonts w:hint="default"/>
                          <w:b w:val="1"/>
                          <w:sz w:val="16"/>
                        </w:rPr>
                      </w:pPr>
                      <w:r>
                        <w:rPr>
                          <w:rFonts w:hint="eastAsia"/>
                          <w:b w:val="1"/>
                          <w:sz w:val="16"/>
                        </w:rPr>
                        <w:t>　　</w:t>
                      </w:r>
                    </w:p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ind w:left="0" w:leftChars="0" w:firstLine="223" w:firstLineChars="100"/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2"/>
                        </w:rPr>
                      </w:pPr>
                      <w:r>
                        <w:rPr>
                          <w:rFonts w:hint="eastAsia" w:asciiTheme="majorEastAsia" w:hAnsiTheme="majorEastAsia" w:eastAsiaTheme="majorEastAsia"/>
                          <w:b w:val="1"/>
                          <w:sz w:val="24"/>
                          <w:u w:val="single" w:color="auto"/>
                        </w:rPr>
                        <w:t>事業実施主体　産地協議会または農業者</w:t>
                      </w:r>
                    </w:p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ind w:left="0" w:leftChars="0" w:firstLine="203" w:firstLineChars="100"/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2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ind w:left="0" w:leftChars="0" w:firstLine="203" w:firstLineChars="100"/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2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ind w:left="0" w:leftChars="0" w:firstLine="203" w:firstLineChars="100"/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2"/>
                        </w:rPr>
                      </w:pPr>
                    </w:p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ind w:left="0" w:leftChars="0" w:firstLine="203" w:firstLineChars="100"/>
                        <w:rPr>
                          <w:rFonts w:hint="eastAsia" w:ascii="Meiryo UI" w:hAnsi="Meiryo UI" w:eastAsia="Meiryo UI"/>
                          <w:b w:val="1"/>
                          <w:color w:val="auto"/>
                          <w:sz w:val="22"/>
                        </w:rPr>
                      </w:pPr>
                    </w:p>
                    <w:tbl>
                      <w:tblPr>
                        <w:tblStyle w:val="32"/>
                        <w:tblW w:w="0" w:type="auto"/>
                        <w:jc w:val="left"/>
                        <w:tblInd w:w="165" w:type="dxa"/>
                        <w:tblBorders>
                          <w:top w:val="single" w:color="auto" w:sz="4" w:space="0"/>
                          <w:left w:val="single" w:color="auto" w:sz="4" w:space="0"/>
                          <w:bottom w:val="single" w:color="auto" w:sz="4" w:space="0"/>
                          <w:right w:val="single" w:color="auto" w:sz="4" w:space="0"/>
                          <w:insideH w:val="single" w:color="auto" w:sz="4" w:space="0"/>
                          <w:insideV w:val="single" w:color="auto" w:sz="4" w:space="0"/>
                        </w:tblBorders>
                        <w:tblLayout w:type="fixed"/>
                        <w:tblLook w:firstRow="1" w:lastRow="0" w:firstColumn="1" w:lastColumn="0" w:noHBand="0" w:noVBand="1" w:val="04A0"/>
                      </w:tblPr>
                      <w:tblGrid>
                        <w:gridCol w:w="3080"/>
                        <w:gridCol w:w="3474"/>
                        <w:gridCol w:w="3474"/>
                      </w:tblGrid>
                      <w:tr>
                        <w:trPr>
                          <w:trHeight w:val="589" w:hRule="atLeast"/>
                        </w:trPr>
                        <w:tc>
                          <w:tcPr>
                            <w:tcW w:w="3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ind w:firstLine="810" w:firstLineChars="400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2"/>
                              </w:rPr>
                              <w:t>事業区分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0" w:lineRule="atLeast"/>
                              <w:jc w:val="center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2"/>
                              </w:rPr>
                              <w:t>補助対象経費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widowControl w:val="1"/>
                              <w:jc w:val="center"/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2"/>
                              </w:rPr>
                              <w:t>補助率等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color w:val="000000" w:themeColor="text1"/>
                                <w:sz w:val="20"/>
                              </w:rPr>
                              <w:t>10a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color w:val="000000" w:themeColor="text1"/>
                                <w:sz w:val="20"/>
                              </w:rPr>
                              <w:t>あたり）</w:t>
                            </w:r>
                          </w:p>
                        </w:tc>
                      </w:tr>
                      <w:tr>
                        <w:trPr>
                          <w:cantSplit/>
                          <w:trHeight w:val="910" w:hRule="atLeast"/>
                        </w:trPr>
                        <w:tc>
                          <w:tcPr>
                            <w:tcW w:w="3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80" w:lineRule="exact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2"/>
                              </w:rPr>
                              <w:t>①改植区分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snapToGrid w:val="0"/>
                              <w:spacing w:line="320" w:lineRule="exact"/>
                              <w:ind w:left="0" w:leftChars="0" w:firstLine="0" w:firstLineChars="0"/>
                              <w:jc w:val="both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伐採・抜根費、深耕・整地費、土壌改良用資材費、苗木代、植栽費等の経費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80" w:lineRule="exact"/>
                              <w:ind w:leftChars="0" w:firstLine="0" w:firstLineChars="0"/>
                              <w:jc w:val="left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【定額】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23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万円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（かんきつ類）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vertAlign w:val="superscript"/>
                              </w:rPr>
                              <w:t>※１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left="0" w:leftChars="0" w:firstLine="608" w:firstLineChars="300"/>
                              <w:jc w:val="left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（定率となる場合あり）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vertAlign w:val="superscript"/>
                              </w:rPr>
                              <w:t>※２</w:t>
                            </w:r>
                          </w:p>
                        </w:tc>
                      </w:tr>
                      <w:tr>
                        <w:trPr>
                          <w:trHeight w:val="835" w:hRule="atLeast"/>
                        </w:trPr>
                        <w:tc>
                          <w:tcPr>
                            <w:tcW w:w="3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80" w:lineRule="exact"/>
                              <w:jc w:val="both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2"/>
                              </w:rPr>
                              <w:t>②未収益期間支援区分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03" w:firstLineChars="100"/>
                              <w:jc w:val="both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（改植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年目～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年目）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320" w:lineRule="exact"/>
                              <w:jc w:val="left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農薬代・肥料代等の育成に要する経費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spacing w:line="240" w:lineRule="auto"/>
                              <w:ind w:leftChars="0" w:firstLine="0" w:firstLineChars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【定額】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22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万円</w:t>
                            </w:r>
                          </w:p>
                        </w:tc>
                      </w:tr>
                      <w:tr>
                        <w:trPr>
                          <w:trHeight w:val="545" w:hRule="atLeast"/>
                        </w:trPr>
                        <w:tc>
                          <w:tcPr>
                            <w:tcW w:w="3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80" w:lineRule="exact"/>
                              <w:jc w:val="both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2"/>
                              </w:rPr>
                              <w:t>③未収益期間上乗せ支援区分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03" w:firstLineChars="100"/>
                              <w:jc w:val="both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（改植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年目～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5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年目）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auto"/>
                              <w:jc w:val="both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育成に要する経営費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spacing w:line="240" w:lineRule="auto"/>
                              <w:ind w:leftChars="0" w:firstLine="0" w:firstLineChars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【定額】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11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万円</w:t>
                            </w:r>
                          </w:p>
                        </w:tc>
                      </w:tr>
                      <w:tr>
                        <w:trPr>
                          <w:trHeight w:val="681" w:hRule="atLeast"/>
                        </w:trPr>
                        <w:tc>
                          <w:tcPr>
                            <w:tcW w:w="3080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accent6" w:themeFillTint="66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80" w:lineRule="exact"/>
                              <w:jc w:val="both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sz w:val="22"/>
                              </w:rPr>
                              <w:t>④未収益期間支援延長区分</w:t>
                            </w:r>
                          </w:p>
                          <w:p>
                            <w:pPr>
                              <w:pStyle w:val="0"/>
                              <w:spacing w:line="280" w:lineRule="exact"/>
                              <w:ind w:firstLine="203" w:firstLineChars="100"/>
                              <w:jc w:val="both"/>
                              <w:rPr>
                                <w:rFonts w:hint="default" w:ascii="Meiryo UI" w:hAnsi="Meiryo UI" w:eastAsia="Meiryo UI"/>
                                <w:b w:val="1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（改植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6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年目～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10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0"/>
                                <w:sz w:val="22"/>
                              </w:rPr>
                              <w:t>年目）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center"/>
                          </w:tcPr>
                          <w:p>
                            <w:pPr>
                              <w:pStyle w:val="0"/>
                              <w:spacing w:line="240" w:lineRule="auto"/>
                              <w:jc w:val="both"/>
                              <w:rPr>
                                <w:rFonts w:hint="default" w:ascii="Meiryo UI" w:hAnsi="Meiryo UI" w:eastAsia="Meiryo UI"/>
                                <w:sz w:val="22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育成に要する経営費</w:t>
                            </w:r>
                          </w:p>
                        </w:tc>
                        <w:tc>
                          <w:tcPr>
                            <w:tcW w:w="3474" w:type="dxa"/>
                            <w:tcBorders>
                              <w:top w:val="none" w:color="auto" w:sz="0" w:space="0"/>
                              <w:left w:val="none" w:color="auto" w:sz="0" w:space="0"/>
                              <w:bottom w:val="none" w:color="auto" w:sz="0" w:space="0"/>
                              <w:right w:val="none" w:color="auto" w:sz="0" w:space="0"/>
                              <w:tl2br w:val="nil"/>
                              <w:tr2bl w:val="nil"/>
                            </w:tcBorders>
                            <w:shd w:val="clear" w:color="auto" w:themeFill="background1" w:themeFillTint="FF" w:themeFillShade="FF"/>
                            <w:vAlign w:val="top"/>
                          </w:tcPr>
                          <w:p>
                            <w:pPr>
                              <w:pStyle w:val="0"/>
                              <w:widowControl w:val="1"/>
                              <w:ind w:leftChars="0" w:firstLine="0" w:firstLineChars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【定額】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20.5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  <w:u w:val="single" w:color="auto"/>
                              </w:rPr>
                              <w:t>万円</w:t>
                            </w:r>
                          </w:p>
                        </w:tc>
                      </w:tr>
                    </w:tbl>
                    <w:p>
                      <w:pPr>
                        <w:pStyle w:val="0"/>
                        <w:tabs>
                          <w:tab w:val="left" w:leader="none" w:pos="276"/>
                        </w:tabs>
                        <w:spacing w:line="100" w:lineRule="exact"/>
                        <w:ind w:leftChars="0" w:firstLine="0" w:firstLineChars="0"/>
                        <w:rPr>
                          <w:rFonts w:hint="default"/>
                          <w:sz w:val="16"/>
                        </w:rPr>
                      </w:pPr>
                    </w:p>
                    <w:p>
                      <w:pPr>
                        <w:pStyle w:val="0"/>
                        <w:spacing w:line="240" w:lineRule="exact"/>
                        <w:ind w:right="179" w:rightChars="93" w:firstLine="325" w:firstLineChars="200"/>
                        <w:rPr>
                          <w:rFonts w:hint="default" w:ascii="Meiryo UI" w:hAnsi="Meiryo UI" w:eastAsia="Meiryo UI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※１　りんご、ぶどう、なし、もも、おうとう、びわ、かき、くり、うめ、すもも、キウイフルーツ、イチジクは</w:t>
                      </w: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17</w:t>
                      </w: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万円</w:t>
                      </w: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/10a</w:t>
                      </w: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です。</w:t>
                      </w:r>
                    </w:p>
                    <w:p>
                      <w:pPr>
                        <w:pStyle w:val="0"/>
                        <w:spacing w:line="240" w:lineRule="exact"/>
                        <w:ind w:right="179" w:rightChars="93" w:firstLine="325" w:firstLineChars="200"/>
                        <w:rPr>
                          <w:rFonts w:hint="default" w:ascii="Meiryo UI" w:hAnsi="Meiryo UI" w:eastAsia="Meiryo UI"/>
                          <w:sz w:val="20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0"/>
                          <w:u w:val="single"/>
                        </w:rPr>
                        <w:t>※２　補助対象経費のうち他の事業で実施した場合は、当該事業では補助対象になりません。</w:t>
                      </w:r>
                    </w:p>
                    <w:p>
                      <w:pPr>
                        <w:pStyle w:val="0"/>
                        <w:spacing w:line="240" w:lineRule="exact"/>
                        <w:ind w:right="179" w:rightChars="93" w:firstLine="325" w:firstLineChars="200"/>
                        <w:rPr>
                          <w:rFonts w:hint="default" w:ascii="Meiryo UI" w:hAnsi="Meiryo UI" w:eastAsia="Meiryo UI"/>
                          <w:sz w:val="18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0"/>
                        </w:rPr>
                        <w:t>　　　　</w:t>
                      </w:r>
                      <w:r>
                        <w:rPr>
                          <w:rFonts w:hint="eastAsia" w:ascii="Meiryo UI" w:hAnsi="Meiryo UI" w:eastAsia="Meiryo UI"/>
                          <w:sz w:val="20"/>
                          <w:u w:val="single"/>
                        </w:rPr>
                        <w:t>その他の補助対象経費については、品目に関わらず２分の１以内となります。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2952750</wp:posOffset>
                </wp:positionH>
                <wp:positionV relativeFrom="paragraph">
                  <wp:posOffset>10160</wp:posOffset>
                </wp:positionV>
                <wp:extent cx="3743325" cy="504825"/>
                <wp:effectExtent l="0" t="0" r="635" b="635"/>
                <wp:wrapNone/>
                <wp:docPr id="1031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1" name="オブジェクト 0"/>
                      <wps:cNvSpPr/>
                      <wps:spPr>
                        <a:xfrm>
                          <a:off x="0" y="0"/>
                          <a:ext cx="3743325" cy="5048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①と②の区分は、国の果樹農業好循環形成総合対策（果樹経営支援対策事業）と同様の支援です</w:t>
                            </w:r>
                          </w:p>
                        </w:txbxContent>
                      </wps:txbx>
                      <wps:bodyPr vertOverflow="overflow" horzOverflow="overflow" wrap="square" anchor="t"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0.8pt;mso-position-vertical-relative:text;mso-position-horizontal-relative:text;v-text-anchor:top;position:absolute;height:39.75pt;mso-wrap-distance-top:0pt;width:294.75pt;mso-wrap-distance-left:16pt;margin-left:232.5pt;z-index:12;" o:spid="_x0000_s1031" o:allowincell="t" o:allowoverlap="t" filled="f" stroked="f" strokecolor="#385d8a" strokeweight="2pt" o:spt="1">
                <v:fill/>
                <v:stroke linestyle="single" endcap="flat" dashstyle="solid"/>
                <v:textbox style="layout-flow:horizontal;">
                  <w:txbxContent>
                    <w:p>
                      <w:pPr>
                        <w:pStyle w:val="0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①と②の区分は、国の果樹農業好循環形成総合対策（果樹経営支援対策事業）と同様の支援です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spacing w:line="360" w:lineRule="auto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260" w:lineRule="exact"/>
        <w:ind w:firstLine="407" w:firstLineChars="200"/>
        <w:rPr>
          <w:rFonts w:hint="default" w:ascii="HG丸ｺﾞｼｯｸM-PRO" w:hAnsi="HG丸ｺﾞｼｯｸM-PRO" w:eastAsia="HG丸ｺﾞｼｯｸM-PRO"/>
          <w:b w:val="1"/>
          <w:sz w:val="22"/>
        </w:rPr>
      </w:pPr>
    </w:p>
    <w:p>
      <w:pPr>
        <w:pStyle w:val="0"/>
        <w:spacing w:line="0" w:lineRule="atLeast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spacing w:line="0" w:lineRule="atLeast"/>
        <w:rPr>
          <w:rFonts w:hint="default" w:ascii="HGP創英角ﾎﾟｯﾌﾟ体" w:hAnsi="HGP創英角ﾎﾟｯﾌﾟ体" w:eastAsia="HGP創英角ﾎﾟｯﾌﾟ体"/>
          <w:sz w:val="24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</w:t>
      </w:r>
      <w:bookmarkStart w:id="0" w:name="_GoBack"/>
      <w:bookmarkEnd w:id="0"/>
      <w:r>
        <w:rPr>
          <w:rFonts w:hint="eastAsia" w:ascii="Meiryo UI" w:hAnsi="Meiryo UI" w:eastAsia="Meiryo UI"/>
        </w:rPr>
        <w:t>　　　　　　　　　　　　　　　　　　　　　　　　</w:t>
      </w:r>
      <w:r>
        <w:rPr>
          <w:rFonts w:hint="eastAsia"/>
        </w:rPr>
        <mc:AlternateContent>
          <mc:Choice Requires="wps">
            <w:drawing>
              <wp:anchor simplePos="0" relativeHeight="10" behindDoc="0" locked="0" layoutInCell="1" hidden="0" allowOverlap="1">
                <wp:simplePos x="0" y="0"/>
                <wp:positionH relativeFrom="page">
                  <wp:posOffset>2836545</wp:posOffset>
                </wp:positionH>
                <wp:positionV relativeFrom="page">
                  <wp:posOffset>6233795</wp:posOffset>
                </wp:positionV>
                <wp:extent cx="1522730" cy="336550"/>
                <wp:effectExtent l="635" t="635" r="29845" b="10795"/>
                <wp:wrapNone/>
                <wp:docPr id="1032" name="四角形 229"/>
                <a:graphic xmlns:a="http://schemas.openxmlformats.org/drawingml/2006/main">
                  <a:graphicData uri="http://schemas.microsoft.com/office/word/2010/wordprocessingShape">
                    <wps:wsp>
                      <wps:cNvPr id="1032" name="四角形 229"/>
                      <wps:cNvSpPr/>
                      <wps:spPr>
                        <a:xfrm>
                          <a:off x="0" y="0"/>
                          <a:ext cx="1522730" cy="3365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/>
                        <a:effectLst/>
                      </wps:spPr>
                      <wps:style>
                        <a:lnRef idx="1">
                          <a:schemeClr val="accent5"/>
                        </a:lnRef>
                        <a:fillRef idx="3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wordWrap w:val="0"/>
                              <w:overflowPunct w:val="1"/>
                              <w:snapToGrid w:val="0"/>
                              <w:ind w:left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Meiryo UI" w:hAnsi="Meiryo UI" w:eastAsia="Meiryo UI"/>
                                <w:color w:val="000000" w:themeColor="text1"/>
                                <w:kern w:val="1200"/>
                                <w:sz w:val="28"/>
                              </w:rPr>
                              <w:t>補助金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kern w:val="1200"/>
                                <w:sz w:val="28"/>
                              </w:rPr>
                              <w:t>の</w:t>
                            </w:r>
                            <w:r>
                              <w:rPr>
                                <w:rFonts w:hint="default" w:ascii="Meiryo UI" w:hAnsi="Meiryo UI" w:eastAsia="Meiryo UI"/>
                                <w:color w:val="000000" w:themeColor="text1"/>
                                <w:kern w:val="1200"/>
                                <w:sz w:val="28"/>
                              </w:rPr>
                              <w:t>イメージ</w:t>
                            </w:r>
                          </w:p>
                        </w:txbxContent>
                      </wps:txbx>
                      <wps:bodyPr vertOverflow="overflow" horzOverflow="overflow" wrap="square" rtlCol="0" anchor="ctr"/>
                    </wps:wsp>
                  </a:graphicData>
                </a:graphic>
              </wp:anchor>
            </w:drawing>
          </mc:Choice>
          <mc:Fallback>
            <w:pict>
              <v:rect id="四角形 229" style="margin-top:490.85pt;mso-position-vertical-relative:page;mso-position-horizontal-relative:page;v-text-anchor:middle;position:absolute;height:26.5pt;width:119.9pt;margin-left:223.35pt;z-index:10;" o:spid="_x0000_s1032" o:allowincell="t" o:allowoverlap="t" filled="t" fillcolor="#ffffff [3212]" stroked="t" strokecolor="#46a7c4" strokeweight="0.75pt" o:spt="1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wordWrap w:val="0"/>
                        <w:overflowPunct w:val="1"/>
                        <w:snapToGrid w:val="0"/>
                        <w:ind w:left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kern w:val="1200"/>
                          <w:sz w:val="28"/>
                        </w:rPr>
                        <w:t>補助金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kern w:val="1200"/>
                          <w:sz w:val="28"/>
                        </w:rPr>
                        <w:t>の</w:t>
                      </w:r>
                      <w:r>
                        <w:rPr>
                          <w:rFonts w:hint="default" w:ascii="Meiryo UI" w:hAnsi="Meiryo UI" w:eastAsia="Meiryo UI"/>
                          <w:color w:val="000000" w:themeColor="text1"/>
                          <w:kern w:val="1200"/>
                          <w:sz w:val="28"/>
                        </w:rPr>
                        <w:t>イメージ</w:t>
                      </w:r>
                    </w:p>
                  </w:txbxContent>
                </v:textbox>
                <v:imagedata o:title=""/>
                <w10:wrap type="none" anchorx="page" anchory="page"/>
              </v:rect>
            </w:pict>
          </mc:Fallback>
        </mc:AlternateContent>
      </w:r>
      <w:r>
        <w:rPr>
          <w:rFonts w:hint="eastAsia" w:ascii="Meiryo UI" w:hAnsi="Meiryo UI" w:eastAsia="Meiryo UI"/>
        </w:rPr>
        <w:t>　　　　</w:t>
      </w: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</w:t>
      </w:r>
    </w:p>
    <w:tbl>
      <w:tblPr>
        <w:tblStyle w:val="11"/>
        <w:tblpPr w:leftFromText="0" w:rightFromText="0" w:topFromText="0" w:bottomFromText="0" w:vertAnchor="text" w:horzAnchor="margin" w:tblpX="316" w:tblpY="141"/>
        <w:tblOverlap w:val="never"/>
        <w:tblW w:w="100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196"/>
        <w:gridCol w:w="971"/>
        <w:gridCol w:w="972"/>
        <w:gridCol w:w="971"/>
        <w:gridCol w:w="971"/>
        <w:gridCol w:w="983"/>
        <w:gridCol w:w="983"/>
        <w:gridCol w:w="982"/>
        <w:gridCol w:w="982"/>
        <w:gridCol w:w="1025"/>
      </w:tblGrid>
      <w:tr>
        <w:trPr>
          <w:trHeight w:val="209" w:hRule="atLeast"/>
        </w:trPr>
        <w:tc>
          <w:tcPr>
            <w:tcW w:w="11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１年目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２年目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３年目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４年目</w:t>
            </w:r>
          </w:p>
        </w:tc>
        <w:tc>
          <w:tcPr>
            <w:tcW w:w="9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５年目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６年目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７年目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８年目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９年目</w:t>
            </w:r>
          </w:p>
        </w:tc>
        <w:tc>
          <w:tcPr>
            <w:tcW w:w="1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  <w:r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  <w:t>１０年目</w:t>
            </w:r>
          </w:p>
        </w:tc>
      </w:tr>
      <w:tr>
        <w:trPr>
          <w:trHeight w:val="209" w:hRule="atLeast"/>
        </w:trPr>
        <w:tc>
          <w:tcPr>
            <w:tcW w:w="11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B7DEE8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B7DEE8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Style w:val="28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①</w:t>
            </w:r>
            <w:r>
              <w:rPr>
                <w:rStyle w:val="28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改植区分</w:t>
            </w:r>
          </w:p>
          <w:p>
            <w:pPr>
              <w:pStyle w:val="0"/>
              <w:shd w:val="clear" w:color="auto" w:fill="B7DEE8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</w:p>
          <w:p>
            <w:pPr>
              <w:pStyle w:val="0"/>
              <w:shd w:val="clear" w:color="auto" w:fill="B7DEE8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Style w:val="28"/>
                <w:rFonts w:hint="default"/>
                <w:b w:val="1"/>
                <w:i w:val="0"/>
                <w:smallCaps w:val="0"/>
                <w:sz w:val="22"/>
              </w:rPr>
              <w:t>23</w:t>
            </w:r>
            <w:r>
              <w:rPr>
                <w:rStyle w:val="28"/>
                <w:rFonts w:hint="default"/>
                <w:b w:val="1"/>
                <w:i w:val="0"/>
                <w:smallCaps w:val="0"/>
                <w:sz w:val="22"/>
              </w:rPr>
              <w:t>万円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/10a</w:t>
            </w:r>
            <w:r>
              <w:rPr>
                <w:rStyle w:val="29"/>
                <w:rFonts w:hint="default"/>
                <w:b w:val="0"/>
                <w:i w:val="0"/>
                <w:smallCaps w:val="0"/>
                <w:sz w:val="22"/>
              </w:rPr>
              <w:br w:type="textWrapping" w:clear="none"/>
            </w:r>
            <w:r>
              <w:rPr>
                <w:rStyle w:val="30"/>
                <w:rFonts w:hint="default"/>
                <w:b w:val="0"/>
                <w:i w:val="0"/>
                <w:smallCaps w:val="0"/>
                <w:sz w:val="22"/>
              </w:rPr>
              <w:t>（国費または県費）</w:t>
            </w:r>
          </w:p>
        </w:tc>
        <w:tc>
          <w:tcPr>
            <w:tcW w:w="38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FFFFF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FF000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color w:val="FF0000"/>
                <w:sz w:val="24"/>
              </w:rPr>
              <w:t>　</w:t>
            </w:r>
          </w:p>
        </w:tc>
        <w:tc>
          <w:tcPr>
            <w:tcW w:w="4955" w:type="dxa"/>
            <w:gridSpan w:val="5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shd w:val="clear" w:color="auto" w:fill="FFFFFF"/>
              <w:spacing w:line="320" w:lineRule="exact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  <w:t>　</w:t>
            </w:r>
            <w:r>
              <w:rPr>
                <w:rFonts w:hint="eastAsia" w:ascii="ＭＳ Ｐゴシック" w:hAnsi="ＭＳ Ｐゴシック" w:eastAsia="ＭＳ Ｐゴシック"/>
                <w:b w:val="1"/>
                <w:i w:val="0"/>
                <w:smallCaps w:val="0"/>
                <w:sz w:val="24"/>
              </w:rPr>
              <w:t>果樹園地の復旧と未収益期間の負担を軽減</w:t>
            </w:r>
          </w:p>
          <w:p>
            <w:pPr>
              <w:pStyle w:val="0"/>
              <w:shd w:val="clear" w:color="auto" w:fill="FFFFFF"/>
              <w:spacing w:line="320" w:lineRule="exact"/>
              <w:ind w:left="193" w:leftChars="100" w:firstLine="0" w:firstLineChars="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i w:val="0"/>
                <w:smallCaps w:val="0"/>
                <w:sz w:val="20"/>
              </w:rPr>
              <w:t>国事業の支援を受けられない方を含め、改植や未収益期間の園地維持経費を国費に上乗せして支援します</w:t>
            </w:r>
          </w:p>
        </w:tc>
      </w:tr>
      <w:tr>
        <w:trPr>
          <w:trHeight w:val="192" w:hRule="atLeast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2"/>
              </w:rPr>
            </w:pPr>
          </w:p>
        </w:tc>
        <w:tc>
          <w:tcPr>
            <w:tcW w:w="3885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CD6B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CD6B6"/>
              <w:spacing w:line="320" w:lineRule="exact"/>
              <w:ind w:firstLine="445" w:firstLineChars="20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Style w:val="28"/>
                <w:rFonts w:hint="eastAsia"/>
                <w:b w:val="1"/>
                <w:i w:val="0"/>
                <w:smallCaps w:val="0"/>
                <w:sz w:val="24"/>
                <w:u w:val="single" w:color="auto"/>
              </w:rPr>
              <w:t>③</w:t>
            </w:r>
            <w:r>
              <w:rPr>
                <w:rStyle w:val="28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未収益期間支援上乗せ区分</w:t>
            </w:r>
            <w:r>
              <w:rPr>
                <w:rStyle w:val="28"/>
                <w:rFonts w:hint="default"/>
                <w:b w:val="0"/>
                <w:i w:val="0"/>
                <w:smallCaps w:val="0"/>
                <w:sz w:val="24"/>
              </w:rPr>
              <w:t>　</w:t>
            </w:r>
          </w:p>
          <w:p>
            <w:pPr>
              <w:pStyle w:val="0"/>
              <w:shd w:val="clear" w:color="auto" w:fill="FCD6B6"/>
              <w:spacing w:line="320" w:lineRule="exact"/>
              <w:ind w:firstLine="608" w:firstLineChars="300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Style w:val="28"/>
                <w:rFonts w:hint="default"/>
                <w:b w:val="1"/>
                <w:i w:val="0"/>
                <w:smallCaps w:val="0"/>
                <w:sz w:val="22"/>
              </w:rPr>
              <w:t>11</w:t>
            </w:r>
            <w:r>
              <w:rPr>
                <w:rStyle w:val="28"/>
                <w:rFonts w:hint="default"/>
                <w:b w:val="1"/>
                <w:i w:val="0"/>
                <w:smallCaps w:val="0"/>
                <w:sz w:val="22"/>
              </w:rPr>
              <w:t>万</w:t>
            </w:r>
            <w:r>
              <w:rPr>
                <w:rStyle w:val="28"/>
                <w:rFonts w:hint="eastAsia"/>
                <w:b w:val="1"/>
                <w:i w:val="0"/>
                <w:smallCaps w:val="0"/>
                <w:sz w:val="22"/>
              </w:rPr>
              <w:t>円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/10a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　（県費）</w:t>
            </w:r>
          </w:p>
        </w:tc>
        <w:tc>
          <w:tcPr>
            <w:tcW w:w="49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Style w:val="30"/>
                <w:rFonts w:hint="default"/>
                <w:b w:val="1"/>
                <w:i w:val="0"/>
                <w:smallCaps w:val="0"/>
              </w:rPr>
            </w:pPr>
          </w:p>
        </w:tc>
      </w:tr>
      <w:tr>
        <w:trPr>
          <w:trHeight w:val="429" w:hRule="atLeast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Style w:val="30"/>
                <w:rFonts w:hint="default"/>
                <w:b w:val="1"/>
                <w:i w:val="0"/>
                <w:smallCaps w:val="0"/>
              </w:rPr>
            </w:pPr>
          </w:p>
        </w:tc>
        <w:tc>
          <w:tcPr>
            <w:tcW w:w="38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Style w:val="30"/>
                <w:rFonts w:hint="default"/>
                <w:b w:val="1"/>
                <w:i w:val="0"/>
                <w:smallCaps w:val="0"/>
              </w:rPr>
            </w:pPr>
          </w:p>
        </w:tc>
        <w:tc>
          <w:tcPr>
            <w:tcW w:w="49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Style w:val="30"/>
                <w:rFonts w:hint="default"/>
                <w:b w:val="1"/>
                <w:i w:val="0"/>
                <w:smallCaps w:val="0"/>
              </w:rPr>
            </w:pPr>
          </w:p>
        </w:tc>
      </w:tr>
      <w:tr>
        <w:trPr>
          <w:trHeight w:val="136" w:hRule="atLeast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Style w:val="30"/>
                <w:rFonts w:hint="default"/>
                <w:b w:val="1"/>
                <w:i w:val="0"/>
                <w:smallCaps w:val="0"/>
              </w:rPr>
            </w:pPr>
          </w:p>
        </w:tc>
        <w:tc>
          <w:tcPr>
            <w:tcW w:w="3885" w:type="dxa"/>
            <w:gridSpan w:val="4"/>
            <w:vMerge w:val="restart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B7DEE8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B7DEE8"/>
              <w:spacing w:line="320" w:lineRule="exact"/>
              <w:ind w:left="608" w:leftChars="200" w:hanging="223" w:hangingChars="100"/>
              <w:jc w:val="left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4"/>
              </w:rPr>
            </w:pPr>
            <w:r>
              <w:rPr>
                <w:rStyle w:val="31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②</w:t>
            </w:r>
            <w:r>
              <w:rPr>
                <w:rStyle w:val="31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未収益期間支援区分</w:t>
            </w:r>
            <w:r>
              <w:rPr>
                <w:rStyle w:val="31"/>
                <w:rFonts w:hint="default"/>
                <w:b w:val="0"/>
                <w:i w:val="0"/>
                <w:smallCaps w:val="0"/>
                <w:sz w:val="24"/>
              </w:rPr>
              <w:br w:type="textWrapping" w:clear="none"/>
            </w:r>
            <w:r>
              <w:rPr>
                <w:rStyle w:val="28"/>
                <w:rFonts w:hint="default"/>
                <w:b w:val="1"/>
                <w:i w:val="0"/>
                <w:smallCaps w:val="0"/>
                <w:sz w:val="22"/>
              </w:rPr>
              <w:t>22</w:t>
            </w:r>
            <w:r>
              <w:rPr>
                <w:rStyle w:val="28"/>
                <w:rFonts w:hint="default"/>
                <w:b w:val="1"/>
                <w:i w:val="0"/>
                <w:smallCaps w:val="0"/>
                <w:sz w:val="22"/>
              </w:rPr>
              <w:t>万円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/10a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　</w:t>
            </w:r>
            <w:r>
              <w:rPr>
                <w:rStyle w:val="30"/>
                <w:rFonts w:hint="default"/>
                <w:b w:val="0"/>
                <w:i w:val="0"/>
                <w:smallCaps w:val="0"/>
                <w:sz w:val="22"/>
              </w:rPr>
              <w:t>（国費または県費）</w:t>
            </w:r>
          </w:p>
        </w:tc>
        <w:tc>
          <w:tcPr>
            <w:tcW w:w="4955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Style w:val="29"/>
                <w:rFonts w:hint="default"/>
                <w:b w:val="1"/>
                <w:i w:val="0"/>
                <w:smallCaps w:val="0"/>
              </w:rPr>
            </w:pPr>
          </w:p>
        </w:tc>
      </w:tr>
      <w:tr>
        <w:trPr>
          <w:trHeight w:val="786" w:hRule="atLeast"/>
        </w:trPr>
        <w:tc>
          <w:tcPr>
            <w:tcW w:w="11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Style w:val="29"/>
                <w:rFonts w:hint="default"/>
                <w:b w:val="1"/>
                <w:i w:val="0"/>
                <w:smallCaps w:val="0"/>
              </w:rPr>
            </w:pPr>
          </w:p>
        </w:tc>
        <w:tc>
          <w:tcPr>
            <w:tcW w:w="3885" w:type="dxa"/>
            <w:gridSpan w:val="4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Style w:val="29"/>
                <w:rFonts w:hint="default"/>
                <w:b w:val="1"/>
                <w:i w:val="0"/>
                <w:smallCaps w:val="0"/>
              </w:rPr>
            </w:pPr>
          </w:p>
        </w:tc>
        <w:tc>
          <w:tcPr>
            <w:tcW w:w="4955" w:type="dxa"/>
            <w:gridSpan w:val="5"/>
            <w:tcBorders>
              <w:top w:val="none" w:color="auto" w:sz="0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FCD6B6"/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shd w:val="clear" w:color="auto" w:fill="FCD6B6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1"/>
                <w:i w:val="0"/>
                <w:smallCaps w:val="0"/>
                <w:sz w:val="24"/>
              </w:rPr>
            </w:pPr>
            <w:r>
              <w:rPr>
                <w:rStyle w:val="31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④</w:t>
            </w:r>
            <w:r>
              <w:rPr>
                <w:rStyle w:val="31"/>
                <w:rFonts w:hint="default"/>
                <w:b w:val="1"/>
                <w:i w:val="0"/>
                <w:smallCaps w:val="0"/>
                <w:sz w:val="24"/>
                <w:u w:val="single" w:color="auto"/>
              </w:rPr>
              <w:t>　未収益期間支援延長区分</w:t>
            </w:r>
            <w:r>
              <w:rPr>
                <w:rStyle w:val="31"/>
                <w:rFonts w:hint="eastAsia"/>
                <w:b w:val="1"/>
                <w:i w:val="0"/>
                <w:smallCaps w:val="0"/>
                <w:sz w:val="24"/>
              </w:rPr>
              <w:t>　</w:t>
            </w:r>
          </w:p>
          <w:p>
            <w:pPr>
              <w:pStyle w:val="0"/>
              <w:shd w:val="clear" w:color="auto" w:fill="FCD6B6"/>
              <w:spacing w:line="320" w:lineRule="exact"/>
              <w:jc w:val="center"/>
              <w:rPr>
                <w:rFonts w:hint="default" w:ascii="ＭＳ Ｐゴシック" w:hAnsi="ＭＳ Ｐゴシック" w:eastAsia="ＭＳ Ｐゴシック"/>
                <w:b w:val="0"/>
                <w:i w:val="0"/>
                <w:smallCaps w:val="0"/>
                <w:sz w:val="22"/>
              </w:rPr>
            </w:pPr>
            <w:r>
              <w:rPr>
                <w:rStyle w:val="31"/>
                <w:rFonts w:hint="default"/>
                <w:b w:val="0"/>
                <w:i w:val="0"/>
                <w:smallCaps w:val="0"/>
                <w:sz w:val="24"/>
              </w:rPr>
              <w:t>　</w:t>
            </w:r>
            <w:r>
              <w:rPr>
                <w:rStyle w:val="31"/>
                <w:rFonts w:hint="default"/>
                <w:b w:val="0"/>
                <w:i w:val="0"/>
                <w:smallCaps w:val="0"/>
                <w:sz w:val="22"/>
              </w:rPr>
              <w:t>　</w:t>
            </w:r>
            <w:r>
              <w:rPr>
                <w:rStyle w:val="31"/>
                <w:rFonts w:hint="eastAsia"/>
                <w:b w:val="1"/>
                <w:i w:val="0"/>
                <w:smallCaps w:val="0"/>
                <w:sz w:val="22"/>
              </w:rPr>
              <w:t>20. 5</w:t>
            </w:r>
            <w:r>
              <w:rPr>
                <w:rStyle w:val="31"/>
                <w:rFonts w:hint="default"/>
                <w:b w:val="1"/>
                <w:i w:val="0"/>
                <w:smallCaps w:val="0"/>
                <w:sz w:val="22"/>
              </w:rPr>
              <w:t>万円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/10a</w:t>
            </w:r>
            <w:r>
              <w:rPr>
                <w:rStyle w:val="28"/>
                <w:rFonts w:hint="eastAsia"/>
                <w:b w:val="0"/>
                <w:i w:val="0"/>
                <w:smallCaps w:val="0"/>
                <w:sz w:val="22"/>
              </w:rPr>
              <w:t>　（県費）</w:t>
            </w:r>
          </w:p>
        </w:tc>
      </w:tr>
    </w:tbl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</w:t>
      </w: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3658" w:leftChars="1900" w:firstLine="6738" w:firstLineChars="35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left="0" w:leftChars="0" w:firstLine="963" w:firstLineChars="5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①</w:t>
      </w:r>
      <w:r>
        <w:rPr>
          <w:rFonts w:hint="eastAsia" w:ascii="Meiryo UI" w:hAnsi="Meiryo UI" w:eastAsia="Meiryo UI"/>
        </w:rPr>
        <w:t>23</w:t>
      </w:r>
      <w:r>
        <w:rPr>
          <w:rFonts w:hint="eastAsia" w:ascii="Meiryo UI" w:hAnsi="Meiryo UI" w:eastAsia="Meiryo UI"/>
        </w:rPr>
        <w:t>万円</w:t>
      </w:r>
      <w:r>
        <w:rPr>
          <w:rFonts w:hint="eastAsia" w:ascii="Meiryo UI" w:hAnsi="Meiryo UI" w:eastAsia="Meiryo UI"/>
        </w:rPr>
        <w:t>/10a</w:t>
      </w:r>
      <w:r>
        <w:rPr>
          <w:rFonts w:hint="eastAsia" w:ascii="Meiryo UI" w:hAnsi="Meiryo UI" w:eastAsia="Meiryo UI"/>
        </w:rPr>
        <w:t>　＋　未収益期間（</w:t>
      </w:r>
      <w:r>
        <w:rPr>
          <w:rFonts w:hint="eastAsia" w:ascii="Meiryo UI" w:hAnsi="Meiryo UI" w:eastAsia="Meiryo UI"/>
        </w:rPr>
        <w:t>10</w:t>
      </w:r>
      <w:r>
        <w:rPr>
          <w:rFonts w:hint="eastAsia" w:ascii="Meiryo UI" w:hAnsi="Meiryo UI" w:eastAsia="Meiryo UI"/>
        </w:rPr>
        <w:t>年目まで②＋③＋④）</w:t>
      </w:r>
      <w:r>
        <w:rPr>
          <w:rFonts w:hint="eastAsia" w:ascii="Meiryo UI" w:hAnsi="Meiryo UI" w:eastAsia="Meiryo UI"/>
        </w:rPr>
        <w:t>53.5</w:t>
      </w:r>
      <w:r>
        <w:rPr>
          <w:rFonts w:hint="eastAsia" w:ascii="Meiryo UI" w:hAnsi="Meiryo UI" w:eastAsia="Meiryo UI"/>
        </w:rPr>
        <w:t>万円</w:t>
      </w:r>
      <w:r>
        <w:rPr>
          <w:rFonts w:hint="eastAsia" w:ascii="Meiryo UI" w:hAnsi="Meiryo UI" w:eastAsia="Meiryo UI"/>
        </w:rPr>
        <w:t>/10a</w:t>
      </w:r>
      <w:r>
        <w:rPr>
          <w:rFonts w:hint="eastAsia" w:ascii="Meiryo UI" w:hAnsi="Meiryo UI" w:eastAsia="Meiryo UI"/>
        </w:rPr>
        <w:t>の</w:t>
      </w: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  <w:r>
        <w:rPr>
          <w:rFonts w:hint="eastAsia" w:ascii="Meiryo UI" w:hAnsi="Meiryo UI" w:eastAsia="Meiryo UI"/>
        </w:rPr>
        <w:t>　　　　　　　　　　　　　　　　　　　　　　　　　　　　　　　　　　　　　</w:t>
      </w:r>
      <w:r>
        <w:rPr>
          <w:rFonts w:hint="eastAsia" w:ascii="Meiryo UI" w:hAnsi="Meiryo UI" w:eastAsia="Meiryo UI"/>
          <w:b w:val="1"/>
          <w:sz w:val="24"/>
          <w:u w:val="single" w:color="auto"/>
        </w:rPr>
        <w:t>合計</w:t>
      </w:r>
      <w:r>
        <w:rPr>
          <w:rFonts w:hint="eastAsia" w:ascii="Meiryo UI" w:hAnsi="Meiryo UI" w:eastAsia="Meiryo UI"/>
          <w:b w:val="1"/>
          <w:sz w:val="24"/>
          <w:u w:val="single" w:color="auto"/>
        </w:rPr>
        <w:t>76.5</w:t>
      </w:r>
      <w:r>
        <w:rPr>
          <w:rFonts w:hint="eastAsia" w:ascii="Meiryo UI" w:hAnsi="Meiryo UI" w:eastAsia="Meiryo UI"/>
          <w:b w:val="1"/>
          <w:sz w:val="24"/>
          <w:u w:val="single" w:color="auto"/>
        </w:rPr>
        <w:t>万円</w:t>
      </w:r>
      <w:r>
        <w:rPr>
          <w:rFonts w:hint="eastAsia" w:ascii="Meiryo UI" w:hAnsi="Meiryo UI" w:eastAsia="Meiryo UI"/>
          <w:b w:val="1"/>
          <w:sz w:val="24"/>
          <w:u w:val="single" w:color="auto"/>
        </w:rPr>
        <w:t>/10a</w:t>
      </w:r>
      <w:r>
        <w:rPr>
          <w:rFonts w:hint="eastAsia" w:ascii="Meiryo UI" w:hAnsi="Meiryo UI" w:eastAsia="Meiryo UI"/>
          <w:b w:val="1"/>
          <w:sz w:val="24"/>
          <w:u w:val="single" w:color="auto"/>
        </w:rPr>
        <w:t>を初年度に一括支援します。</w:t>
      </w:r>
      <w:r>
        <w:rPr>
          <w:rFonts w:hint="eastAsia" w:ascii="Meiryo UI" w:hAnsi="Meiryo UI" w:eastAsia="Meiryo UI"/>
          <w:b w:val="1"/>
          <w:sz w:val="16"/>
          <w:u w:val="single" w:color="auto"/>
        </w:rPr>
        <w:t>※２</w:t>
      </w: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simplePos="0" relativeHeight="9" behindDoc="0" locked="0" layoutInCell="1" hidden="0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100330</wp:posOffset>
                </wp:positionV>
                <wp:extent cx="1250950" cy="460375"/>
                <wp:effectExtent l="0" t="0" r="635" b="635"/>
                <wp:wrapNone/>
                <wp:docPr id="1033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3" name="オブジェクト 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250950" cy="460375"/>
                        </a:xfrm>
                        <a:prstGeom prst="rect">
                          <a:avLst/>
                        </a:prstGeom>
                        <a:noFill/>
                        <a:ln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FFFFFF" w:themeColor="background1"/>
                                <w:sz w:val="24"/>
                              </w:rPr>
                              <w:t>申請の方法</w:t>
                            </w:r>
                          </w:p>
                        </w:txbxContent>
                      </wps:txbx>
                      <wps:bodyPr vertOverflow="overflow" horzOverflow="overflow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argin-top:7.9pt;mso-position-vertical-relative:text;mso-position-horizontal-relative:text;position:absolute;height:36.25pt;width:98.5pt;margin-left:14.25pt;z-index:9;" o:spid="_x0000_s1033" o:allowincell="t" o:allowoverlap="t" filled="f" stroked="f" o:spt="202" type="#_x0000_t202">
                <v:fill/>
                <v:textbox style="layout-flow:horizontal;mso-fit-shape-to-text:t;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FFFFFF" w:themeColor="background1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FFFFFF" w:themeColor="background1"/>
                          <w:sz w:val="24"/>
                        </w:rPr>
                        <w:t>申請の方法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simplePos="0" relativeHeight="7" behindDoc="0" locked="0" layoutInCell="1" hidden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51435</wp:posOffset>
                </wp:positionV>
                <wp:extent cx="1565910" cy="315595"/>
                <wp:effectExtent l="635" t="635" r="29845" b="10795"/>
                <wp:wrapNone/>
                <wp:docPr id="1034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4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565910" cy="315595"/>
                        </a:xfrm>
                        <a:prstGeom prst="roundRect">
                          <a:avLst>
                            <a:gd name="adj" fmla="val 48630"/>
                          </a:avLst>
                        </a:prstGeom>
                        <a:solidFill>
                          <a:srgbClr val="948A54"/>
                        </a:solidFill>
                        <a:ln w="9525">
                          <a:solidFill>
                            <a:srgbClr val="948A54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overflow" horzOverflow="overflow" lIns="74295" tIns="8890" rIns="74295" bIns="8890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4.05pt;mso-position-vertical-relative:text;mso-position-horizontal-relative:text;position:absolute;height:24.85pt;width:123.3pt;margin-left:1.9pt;z-index:7;" o:spid="_x0000_s1034" o:allowincell="t" o:allowoverlap="t" filled="t" fillcolor="#948a54" stroked="t" strokecolor="#948a54" strokeweight="0.75pt" o:spt="2" arcsize="3187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  <w:r>
        <w:rPr>
          <w:rFonts w:hint="eastAsia"/>
        </w:rPr>
        <mc:AlternateContent>
          <mc:Choice Requires="wps">
            <w:drawing>
              <wp:anchor simplePos="0" relativeHeight="8" behindDoc="0" locked="0" layoutInCell="1" hidden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123190</wp:posOffset>
                </wp:positionV>
                <wp:extent cx="6627495" cy="396875"/>
                <wp:effectExtent l="635" t="635" r="29845" b="10795"/>
                <wp:wrapNone/>
                <wp:docPr id="1035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5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27495" cy="39687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EDEBDF"/>
                        </a:solidFill>
                        <a:ln w="9525">
                          <a:solidFill>
                            <a:srgbClr val="948A54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ind w:leftChars="0" w:firstLineChars="0"/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sz w:val="22"/>
                              </w:rPr>
                              <w:t>　</w:t>
                            </w:r>
                            <w:r>
                              <w:rPr>
                                <w:rFonts w:hint="eastAsia" w:ascii="Meiryo UI" w:hAnsi="Meiryo UI" w:eastAsia="Meiryo UI"/>
                                <w:sz w:val="24"/>
                              </w:rPr>
                              <w:t>ＪＡ部会員の方は産地協議会へ、その他の方は各市町村へ申請してください。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9.69pt;mso-position-vertical-relative:text;mso-position-horizontal-relative:text;v-text-anchor:middle;position:absolute;height:31.25pt;width:521.85pt;margin-left:1.9pt;z-index:8;" o:spid="_x0000_s1035" o:allowincell="t" o:allowoverlap="t" filled="t" fillcolor="#edebdf" stroked="t" strokecolor="#948a54" strokeweight="0.75pt" o:spt="2" arcsize="0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0" w:lineRule="atLeast"/>
                        <w:ind w:leftChars="0" w:firstLineChars="0"/>
                        <w:rPr>
                          <w:rFonts w:hint="eastAsia" w:ascii="Meiryo UI" w:hAnsi="Meiryo UI" w:eastAsia="Meiryo UI"/>
                          <w:sz w:val="24"/>
                        </w:rPr>
                      </w:pPr>
                      <w:r>
                        <w:rPr>
                          <w:rFonts w:hint="eastAsia" w:ascii="Meiryo UI" w:hAnsi="Meiryo UI" w:eastAsia="Meiryo UI"/>
                          <w:sz w:val="22"/>
                        </w:rPr>
                        <w:t>　</w:t>
                      </w:r>
                      <w:r>
                        <w:rPr>
                          <w:rFonts w:hint="eastAsia" w:ascii="Meiryo UI" w:hAnsi="Meiryo UI" w:eastAsia="Meiryo UI"/>
                          <w:sz w:val="24"/>
                        </w:rPr>
                        <w:t>ＪＡ部会員の方は産地協議会へ、その他の方は各市町村へ申請してください。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</w:rPr>
      </w:pPr>
    </w:p>
    <w:p>
      <w:pPr>
        <w:pStyle w:val="0"/>
        <w:spacing w:line="240" w:lineRule="exact"/>
        <w:ind w:firstLine="385" w:firstLineChars="200"/>
        <w:rPr>
          <w:rFonts w:hint="default" w:ascii="Meiryo UI" w:hAnsi="Meiryo UI" w:eastAsia="Meiryo UI"/>
          <w:sz w:val="24"/>
        </w:rPr>
      </w:pP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column">
                  <wp:posOffset>24130</wp:posOffset>
                </wp:positionH>
                <wp:positionV relativeFrom="paragraph">
                  <wp:posOffset>291465</wp:posOffset>
                </wp:positionV>
                <wp:extent cx="6667500" cy="941070"/>
                <wp:effectExtent l="635" t="635" r="29845" b="10795"/>
                <wp:wrapNone/>
                <wp:docPr id="103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36" name="オブジェクト 0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667500" cy="941070"/>
                        </a:xfrm>
                        <a:prstGeom prst="roundRect">
                          <a:avLst>
                            <a:gd name="adj" fmla="val 16655"/>
                          </a:avLst>
                        </a:prstGeom>
                        <a:solidFill>
                          <a:schemeClr val="tx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244062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Meiryo UI" w:hAnsi="Meiryo UI" w:eastAsia="Meiryo UI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</w:rPr>
                              <w:t>～　お問い合わせ先　～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Meiryo UI" w:hAnsi="Meiryo UI" w:eastAsia="Meiryo UI"/>
                                <w:b w:val="1"/>
                                <w:color w:val="000000" w:themeColor="text1"/>
                                <w:sz w:val="28"/>
                              </w:rPr>
                            </w:pP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8"/>
                              </w:rPr>
                              <w:t>被災された農業者の方は、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</w:rPr>
                              <w:t>農業振興センター、市町村、ＪＡ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8"/>
                              </w:rPr>
                              <w:t>にご相談ください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jc w:val="center"/>
                              <w:rPr>
                                <w:rFonts w:hint="default" w:ascii="Meiryo UI" w:hAnsi="Meiryo UI" w:eastAsia="Meiryo UI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8"/>
                              </w:rPr>
                              <w:t>県窓口：高知県農業振興部　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</w:rPr>
                              <w:t>産地・流通支援課</w:t>
                            </w:r>
                            <w:r>
                              <w:rPr>
                                <w:rFonts w:hint="eastAsia" w:ascii="Meiryo UI" w:hAnsi="Meiryo UI" w:eastAsia="Meiryo UI"/>
                                <w:b w:val="1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Meiryo UI" w:hAnsi="Meiryo UI" w:eastAsia="Meiryo UI"/>
                                <w:color w:val="000000" w:themeColor="text1"/>
                                <w:sz w:val="28"/>
                              </w:rPr>
                              <w:t>TEL 088-821-4516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argin-top:22.95pt;mso-position-vertical-relative:text;mso-position-horizontal-relative:text;v-text-anchor:middle;position:absolute;height:74.09pt;width:525pt;margin-left:1.9pt;z-index:3;" o:spid="_x0000_s1036" o:allowincell="t" o:allowoverlap="t" filled="t" fillcolor="#8db4e2 [1311]" stroked="t" strokecolor="#244062" strokeweight="0.75pt" o:spt="2" arcsize="10914f">
                <v:fill/>
                <v:stroke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～　お問い合わせ先　～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</w:pP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8"/>
                        </w:rPr>
                        <w:t>被災された農業者の方は、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農業振興センター、市町村、ＪＡ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8"/>
                        </w:rPr>
                        <w:t>にご相談ください</w:t>
                      </w:r>
                    </w:p>
                    <w:p>
                      <w:pPr>
                        <w:pStyle w:val="0"/>
                        <w:spacing w:line="320" w:lineRule="exact"/>
                        <w:jc w:val="center"/>
                        <w:rPr>
                          <w:rFonts w:hint="default" w:ascii="Meiryo UI" w:hAnsi="Meiryo UI" w:eastAsia="Meiryo UI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8"/>
                        </w:rPr>
                        <w:t>県窓口：高知県農業振興部　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>産地・流通支援課</w:t>
                      </w:r>
                      <w:r>
                        <w:rPr>
                          <w:rFonts w:hint="eastAsia" w:ascii="Meiryo UI" w:hAnsi="Meiryo UI" w:eastAsia="Meiryo UI"/>
                          <w:b w:val="1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8"/>
                        </w:rPr>
                        <w:t>　</w:t>
                      </w:r>
                      <w:r>
                        <w:rPr>
                          <w:rFonts w:hint="eastAsia" w:ascii="Meiryo UI" w:hAnsi="Meiryo UI" w:eastAsia="Meiryo UI"/>
                          <w:color w:val="000000" w:themeColor="text1"/>
                          <w:sz w:val="28"/>
                        </w:rPr>
                        <w:t>TEL 088-821-4516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567" w:right="567" w:bottom="567" w:left="567" w:header="851" w:footer="992" w:gutter="0"/>
      <w:pgBorders w:zOrder="front" w:display="allPages" w:offsetFrom="page">
        <w:top w:val="single" w:color="FFFFFF" w:themeColor="background1" w:sz="4" w:space="24"/>
        <w:bottom w:val="single" w:color="FFFFFF" w:themeColor="background1" w:sz="4" w:space="24" w:frame="1"/>
      </w:pgBorders>
      <w:cols w:space="720"/>
      <w:textDirection w:val="lrTb"/>
      <w:docGrid w:type="linesAndChars" w:linePitch="291" w:charSpace="-357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character" w:styleId="16">
    <w:name w:val="Hyperlink"/>
    <w:basedOn w:val="10"/>
    <w:next w:val="16"/>
    <w:link w:val="0"/>
    <w:uiPriority w:val="0"/>
    <w:rPr>
      <w:color w:val="0000FF"/>
      <w:u w:val="single" w:color="auto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  <w:rPr>
      <w:kern w:val="2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rPr>
      <w:kern w:val="2"/>
      <w:sz w:val="21"/>
    </w:rPr>
  </w:style>
  <w:style w:type="paragraph" w:styleId="21">
    <w:name w:val="No Spacing"/>
    <w:next w:val="21"/>
    <w:link w:val="0"/>
    <w:uiPriority w:val="0"/>
    <w:qFormat/>
    <w:pPr>
      <w:widowControl w:val="0"/>
      <w:spacing w:line="100" w:lineRule="atLeast"/>
      <w:ind w:firstLine="193" w:firstLineChars="100"/>
    </w:pPr>
    <w:rPr>
      <w:rFonts w:ascii="Meiryo UI" w:hAnsi="Meiryo UI" w:eastAsia="Meiryo UI"/>
      <w:kern w:val="2"/>
      <w:sz w:val="21"/>
    </w:rPr>
  </w:style>
  <w:style w:type="paragraph" w:styleId="22">
    <w:name w:val="List Paragraph"/>
    <w:basedOn w:val="0"/>
    <w:next w:val="22"/>
    <w:link w:val="0"/>
    <w:uiPriority w:val="0"/>
    <w:qFormat/>
    <w:pPr>
      <w:ind w:left="840" w:leftChars="400"/>
    </w:pPr>
  </w:style>
  <w:style w:type="paragraph" w:styleId="23">
    <w:name w:val="Normal (Web)"/>
    <w:basedOn w:val="0"/>
    <w:next w:val="23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24">
    <w:name w:val="Document Map"/>
    <w:basedOn w:val="0"/>
    <w:next w:val="24"/>
    <w:link w:val="25"/>
    <w:uiPriority w:val="0"/>
    <w:semiHidden/>
    <w:rPr>
      <w:rFonts w:ascii="MS UI Gothic" w:hAnsi="MS UI Gothic" w:eastAsia="MS UI Gothic"/>
      <w:sz w:val="18"/>
    </w:rPr>
  </w:style>
  <w:style w:type="character" w:styleId="25" w:customStyle="1">
    <w:name w:val="見出しマップ (文字)"/>
    <w:basedOn w:val="10"/>
    <w:next w:val="25"/>
    <w:link w:val="24"/>
    <w:uiPriority w:val="0"/>
    <w:rPr>
      <w:rFonts w:ascii="MS UI Gothic" w:hAnsi="MS UI Gothic" w:eastAsia="MS UI Gothic"/>
      <w:kern w:val="2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 w:customStyle="1">
    <w:name w:val="font12"/>
    <w:basedOn w:val="10"/>
    <w:next w:val="28"/>
    <w:link w:val="0"/>
    <w:uiPriority w:val="0"/>
    <w:qFormat/>
    <w:rPr>
      <w:rFonts w:ascii="ＭＳ Ｐゴシック" w:hAnsi="ＭＳ Ｐゴシック" w:eastAsia="ＭＳ Ｐゴシック"/>
      <w:b w:val="1"/>
      <w:sz w:val="22"/>
    </w:rPr>
  </w:style>
  <w:style w:type="character" w:styleId="29" w:customStyle="1">
    <w:name w:val="font13"/>
    <w:basedOn w:val="10"/>
    <w:next w:val="29"/>
    <w:link w:val="0"/>
    <w:uiPriority w:val="0"/>
    <w:qFormat/>
    <w:rPr>
      <w:rFonts w:ascii="ＭＳ Ｐゴシック" w:hAnsi="ＭＳ Ｐゴシック" w:eastAsia="ＭＳ Ｐゴシック"/>
      <w:sz w:val="22"/>
    </w:rPr>
  </w:style>
  <w:style w:type="character" w:styleId="30" w:customStyle="1">
    <w:name w:val="font14"/>
    <w:basedOn w:val="10"/>
    <w:next w:val="30"/>
    <w:link w:val="0"/>
    <w:uiPriority w:val="0"/>
    <w:qFormat/>
    <w:rPr>
      <w:rFonts w:ascii="ＭＳ Ｐゴシック" w:hAnsi="ＭＳ Ｐゴシック" w:eastAsia="ＭＳ Ｐゴシック"/>
      <w:sz w:val="18"/>
    </w:rPr>
  </w:style>
  <w:style w:type="character" w:styleId="31" w:customStyle="1">
    <w:name w:val="font19"/>
    <w:basedOn w:val="10"/>
    <w:next w:val="31"/>
    <w:link w:val="0"/>
    <w:uiPriority w:val="0"/>
    <w:qFormat/>
    <w:rPr>
      <w:rFonts w:ascii="ＭＳ Ｐゴシック" w:hAnsi="ＭＳ Ｐゴシック" w:eastAsia="ＭＳ Ｐゴシック"/>
      <w:b w:val="1"/>
      <w:sz w:val="24"/>
    </w:rPr>
  </w:style>
  <w:style w:type="table" w:styleId="32">
    <w:name w:val="Table Grid"/>
    <w:basedOn w:val="11"/>
    <w:next w:val="32"/>
    <w:link w:val="0"/>
    <w:uiPriority w:val="0"/>
    <w:pPr>
      <w:widowControl w:val="0"/>
      <w:jc w:val="both"/>
    </w:p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1041</TotalTime>
  <Pages>1</Pages>
  <Words>2</Words>
  <Characters>29</Characters>
  <Application>JUST Note</Application>
  <Lines>56</Lines>
  <Paragraphs>1</Paragraphs>
  <CharactersWithSpaces>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レンタルハウス整備事業が一部改正されます</dc:title>
  <dc:creator>ioas_user</dc:creator>
  <cp:lastModifiedBy>401001</cp:lastModifiedBy>
  <cp:lastPrinted>2018-11-06T07:27:18Z</cp:lastPrinted>
  <dcterms:created xsi:type="dcterms:W3CDTF">2017-12-06T06:46:00Z</dcterms:created>
  <dcterms:modified xsi:type="dcterms:W3CDTF">2018-11-07T00:20:29Z</dcterms:modified>
  <cp:revision>33</cp:revision>
</cp:coreProperties>
</file>