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right="420" w:rightChars="20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高知県知事　殿</w:t>
      </w: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</w:p>
    <w:p>
      <w:pPr>
        <w:pStyle w:val="0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法人・会社名</w:t>
      </w:r>
    </w:p>
    <w:p>
      <w:pPr>
        <w:pStyle w:val="0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　　　　　　　　　　　　　　　　　　　　　住所</w:t>
      </w: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代表者職・氏名　　　　　　　　　　　印</w:t>
      </w: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ind w:left="0" w:leftChars="0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法令遵守の誓約書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300" w:lineRule="auto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「高知県介護事業所認証評価制度」に係る認証を受けるにあたり、下記の各事項について十分に認識して、これを行うことを誓約します。</w:t>
      </w:r>
    </w:p>
    <w:p>
      <w:pPr>
        <w:pStyle w:val="0"/>
        <w:spacing w:line="300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300" w:lineRule="auto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記</w:t>
      </w:r>
    </w:p>
    <w:p>
      <w:pPr>
        <w:pStyle w:val="15"/>
        <w:spacing w:line="300" w:lineRule="auto"/>
        <w:ind w:left="0" w:leftChars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１．事業の実施に係るその他関係法令等の規定について、その内容を遵守し、適正な事業の運営を行うこと。</w:t>
      </w: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default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２．管理者及びサービス提供責任者の役割の重要性を理解するとともに、これらの者に対し、上記１について周知徹底をすること。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206</Characters>
  <Application>JUST Note</Application>
  <Lines>22</Lines>
  <Paragraphs>11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櫻井園子</dc:creator>
  <cp:lastModifiedBy>442473</cp:lastModifiedBy>
  <dcterms:created xsi:type="dcterms:W3CDTF">2017-12-17T23:01:00Z</dcterms:created>
  <dcterms:modified xsi:type="dcterms:W3CDTF">2019-09-27T12:31:28Z</dcterms:modified>
  <cp:revision>2</cp:revision>
</cp:coreProperties>
</file>