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-561975</wp:posOffset>
                </wp:positionV>
                <wp:extent cx="92392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41" w:firstLineChars="5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4.25pt;mso-position-vertical-relative:text;mso-position-horizontal-relative:text;v-text-anchor:middle;position:absolute;height:36.75pt;width:72.75pt;margin-left:373.85pt;z-index:2;" o:spid="_x0000_s1026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41" w:firstLineChars="50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資料２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実施機関（教育委員会、警察本部長、公営企業管理者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及び公立大学法人）の公文書管理規程の制定に係る諮問書</w:t>
      </w:r>
    </w:p>
    <w:p>
      <w:pPr>
        <w:pStyle w:val="0"/>
        <w:rPr>
          <w:rFonts w:hint="eastAsia"/>
          <w:sz w:val="32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4</Words>
  <Characters>317</Characters>
  <Application>JUST Note</Application>
  <Lines>17</Lines>
  <Paragraphs>9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414588</dc:creator>
  <cp:lastModifiedBy>429300</cp:lastModifiedBy>
  <cp:lastPrinted>2019-10-04T02:16:28Z</cp:lastPrinted>
  <dcterms:created xsi:type="dcterms:W3CDTF">2019-10-03T12:39:00Z</dcterms:created>
  <dcterms:modified xsi:type="dcterms:W3CDTF">2019-11-26T09:14:51Z</dcterms:modified>
  <cp:revision>6</cp:revision>
</cp:coreProperties>
</file>