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24"/>
        </w:rPr>
        <w:t>「高知県木材産業等高度化推進資金制度要綱」の一部改正新旧対照表</w:t>
      </w:r>
    </w:p>
    <w:tbl>
      <w:tblPr>
        <w:tblStyle w:val="11"/>
        <w:tblW w:w="14364"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82"/>
        <w:gridCol w:w="7182"/>
      </w:tblGrid>
      <w:tr>
        <w:trPr/>
        <w:tc>
          <w:tcPr>
            <w:tcW w:w="718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新</w:t>
            </w:r>
          </w:p>
        </w:tc>
        <w:tc>
          <w:tcPr>
            <w:tcW w:w="718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旧</w:t>
            </w:r>
          </w:p>
        </w:tc>
      </w:tr>
      <w:tr>
        <w:trPr/>
        <w:tc>
          <w:tcPr>
            <w:tcW w:w="718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color w:val="auto"/>
                <w:spacing w:val="24"/>
              </w:rPr>
            </w:pPr>
            <w:r>
              <w:rPr>
                <w:rFonts w:hint="eastAsia"/>
                <w:color w:val="auto"/>
              </w:rPr>
              <w:t>　（目的）</w:t>
            </w:r>
          </w:p>
          <w:p>
            <w:pPr>
              <w:pStyle w:val="0"/>
              <w:ind w:left="240" w:hanging="238"/>
              <w:rPr>
                <w:rFonts w:hint="default" w:ascii="ＭＳ 明朝" w:hAnsi="ＭＳ 明朝"/>
                <w:color w:val="auto"/>
                <w:spacing w:val="24"/>
              </w:rPr>
            </w:pPr>
            <w:r>
              <w:rPr>
                <w:rFonts w:hint="eastAsia"/>
                <w:color w:val="auto"/>
              </w:rPr>
              <w:t>第１条　この制度は、林業経営基盤の強化等の促進のための資金の融通等に関する暫定措置法（昭和５４年法律第５１号）及び林業経営基盤の強化等の促進のための資金の融通等に関する暫定措置法施行令（昭和５４年政令第２０５号）</w:t>
            </w:r>
            <w:r>
              <w:rPr>
                <w:rFonts w:hint="eastAsia"/>
                <w:color w:val="FF0000"/>
                <w:u w:val="single" w:color="auto"/>
              </w:rPr>
              <w:t>並びに木材の安定供給の確保に関する特別措置法（平成８年法律第４７号。以下「木安法」という。）及び木材の安定供給の確保に関する特別措置法施行令（平成８年政令第３１０号）</w:t>
            </w:r>
            <w:r>
              <w:rPr>
                <w:rFonts w:hint="eastAsia"/>
                <w:color w:val="auto"/>
              </w:rPr>
              <w:t>に基づき、木材の生産及び流通の合理化の促進による木材供給の円滑化並びに効率的かつ安定的な林業経営の育成を図るため、県内の木材の生産又は流通を担う事業者がその行う事業の合理化を推進するのに必要な資金及び県内の林業者が行う林業経営の改善を推進するのに必要な資金（林業経営の規模の拡大、生産方式の合理化等の林業経営の改善に伴い必要なものに限る。）を低利で融通する措置を講じ、もって木材関連産業及び林業の健全な発展に資することを目的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r>
              <w:rPr>
                <w:rFonts w:hint="eastAsia"/>
                <w:color w:val="auto"/>
              </w:rPr>
              <w:t>第２条　（略）</w:t>
            </w:r>
          </w:p>
          <w:p>
            <w:pPr>
              <w:pStyle w:val="0"/>
              <w:rPr>
                <w:rFonts w:hint="default" w:ascii="ＭＳ 明朝" w:hAnsi="ＭＳ 明朝"/>
                <w:color w:val="auto"/>
                <w:spacing w:val="24"/>
              </w:rPr>
            </w:pPr>
            <w:r>
              <w:rPr>
                <w:rFonts w:hint="eastAsia"/>
                <w:color w:val="auto"/>
              </w:rPr>
              <w:t>　</w:t>
            </w:r>
          </w:p>
          <w:p>
            <w:pPr>
              <w:pStyle w:val="0"/>
              <w:rPr>
                <w:rFonts w:hint="default" w:ascii="ＭＳ 明朝" w:hAnsi="ＭＳ 明朝"/>
                <w:color w:val="auto"/>
                <w:spacing w:val="24"/>
              </w:rPr>
            </w:pPr>
            <w:r>
              <w:rPr>
                <w:rFonts w:hint="default"/>
                <w:color w:val="auto"/>
              </w:rPr>
              <w:t xml:space="preserve">  </w:t>
            </w:r>
            <w:r>
              <w:rPr>
                <w:rFonts w:hint="eastAsia"/>
                <w:color w:val="auto"/>
              </w:rPr>
              <w:t>（借受資格者）</w:t>
            </w:r>
          </w:p>
          <w:p>
            <w:pPr>
              <w:pStyle w:val="0"/>
              <w:ind w:left="240" w:hanging="238"/>
              <w:rPr>
                <w:rFonts w:hint="default" w:ascii="ＭＳ 明朝" w:hAnsi="ＭＳ 明朝"/>
                <w:color w:val="auto"/>
                <w:spacing w:val="24"/>
              </w:rPr>
            </w:pPr>
            <w:r>
              <w:rPr>
                <w:rFonts w:hint="eastAsia"/>
                <w:color w:val="auto"/>
              </w:rPr>
              <w:t>第３条　指定金融機関から貸付けを受けることができる者は、</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の事業経営改善計画及び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の構造改善計画が適当である旨の知事の認定を受けた者（以下「合理化計画認定者」という。）</w:t>
            </w:r>
            <w:r>
              <w:rPr>
                <w:rFonts w:hint="eastAsia"/>
                <w:color w:val="FF0000"/>
                <w:u w:val="single"/>
              </w:rPr>
              <w:t>、</w:t>
            </w:r>
            <w:r>
              <w:rPr>
                <w:rFonts w:hint="eastAsia"/>
                <w:color w:val="FF0000"/>
                <w:u w:val="single" w:color="auto"/>
              </w:rPr>
              <w:t>(3)</w:t>
            </w:r>
            <w:r>
              <w:rPr>
                <w:rFonts w:hint="eastAsia"/>
                <w:color w:val="FF0000"/>
                <w:u w:val="single" w:color="auto"/>
              </w:rPr>
              <w:t>の木材安定供給確保事業に関する計画が適当である旨の知事の認定を受けた者（以下「木材安定供給確保事業計画認定者」という。）又は</w:t>
            </w:r>
            <w:r>
              <w:rPr>
                <w:rFonts w:hint="default" w:ascii="ＭＳ 明朝" w:hAnsi="ＭＳ 明朝"/>
                <w:color w:val="FF0000"/>
                <w:u w:val="single" w:color="auto"/>
              </w:rPr>
              <w:t>(</w:t>
            </w:r>
            <w:r>
              <w:rPr>
                <w:rFonts w:hint="eastAsia"/>
                <w:color w:val="FF0000"/>
                <w:u w:val="single" w:color="auto"/>
              </w:rPr>
              <w:t>4</w:t>
            </w:r>
            <w:r>
              <w:rPr>
                <w:rFonts w:hint="default" w:ascii="ＭＳ 明朝" w:hAnsi="ＭＳ 明朝"/>
                <w:color w:val="FF0000"/>
                <w:u w:val="single" w:color="auto"/>
              </w:rPr>
              <w:t>)</w:t>
            </w:r>
            <w:r>
              <w:rPr>
                <w:rFonts w:hint="eastAsia"/>
                <w:color w:val="auto"/>
              </w:rPr>
              <w:t>の林業経営改善計画が適当である旨の知事の認定を受けた者（以下「林業経営改善計画認定者」という。）とする。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（略）</w:t>
            </w:r>
          </w:p>
          <w:p>
            <w:pPr>
              <w:pStyle w:val="0"/>
              <w:ind w:left="240"/>
              <w:rPr>
                <w:rFonts w:hint="default" w:ascii="ＭＳ 明朝" w:hAnsi="ＭＳ 明朝"/>
                <w:color w:val="FF0000"/>
                <w:spacing w:val="24"/>
                <w:u w:val="single" w:color="auto"/>
              </w:rPr>
            </w:pPr>
            <w:r>
              <w:rPr>
                <w:rFonts w:hint="default" w:ascii="ＭＳ 明朝" w:hAnsi="ＭＳ 明朝"/>
                <w:color w:val="FF0000"/>
                <w:u w:val="single" w:color="auto"/>
              </w:rPr>
              <w:t>(</w:t>
            </w:r>
            <w:r>
              <w:rPr>
                <w:rFonts w:hint="eastAsia"/>
                <w:color w:val="FF0000"/>
                <w:u w:val="single" w:color="auto"/>
              </w:rPr>
              <w:t>3</w:t>
            </w:r>
            <w:r>
              <w:rPr>
                <w:rFonts w:hint="default" w:ascii="ＭＳ 明朝" w:hAnsi="ＭＳ 明朝"/>
                <w:color w:val="FF0000"/>
                <w:u w:val="single" w:color="auto"/>
              </w:rPr>
              <w:t>)</w:t>
            </w:r>
            <w:r>
              <w:rPr>
                <w:rFonts w:hint="eastAsia"/>
                <w:color w:val="FF0000"/>
                <w:u w:val="single" w:color="auto"/>
              </w:rPr>
              <w:t>　木材安定供給確保事業に関する計画</w:t>
            </w:r>
          </w:p>
          <w:p>
            <w:pPr>
              <w:pStyle w:val="0"/>
              <w:ind w:left="240"/>
              <w:rPr>
                <w:rFonts w:hint="default" w:ascii="ＭＳ 明朝" w:hAnsi="ＭＳ 明朝"/>
                <w:color w:val="auto"/>
                <w:spacing w:val="24"/>
                <w:u w:val="single" w:color="auto"/>
              </w:rPr>
            </w:pPr>
            <w:r>
              <w:rPr>
                <w:rFonts w:hint="eastAsia"/>
                <w:color w:val="FF0000"/>
                <w:u w:val="single" w:color="auto"/>
              </w:rPr>
              <w:t>　　木安法第４条第１項に掲げる事業計画（以下「木材安定供給確保事業計画」という。）</w:t>
            </w:r>
          </w:p>
          <w:p>
            <w:pPr>
              <w:pStyle w:val="0"/>
              <w:ind w:left="240"/>
              <w:rPr>
                <w:rFonts w:hint="default" w:ascii="ＭＳ 明朝" w:hAnsi="ＭＳ 明朝"/>
                <w:color w:val="auto"/>
                <w:spacing w:val="24"/>
              </w:rPr>
            </w:pPr>
            <w:r>
              <w:rPr>
                <w:rFonts w:hint="default" w:ascii="ＭＳ 明朝" w:hAnsi="ＭＳ 明朝"/>
                <w:color w:val="FF0000"/>
                <w:u w:val="single" w:color="auto"/>
              </w:rPr>
              <w:t>(</w:t>
            </w:r>
            <w:r>
              <w:rPr>
                <w:rFonts w:hint="eastAsia"/>
                <w:color w:val="FF0000"/>
                <w:u w:val="single" w:color="auto"/>
              </w:rPr>
              <w:t>4</w:t>
            </w:r>
            <w:r>
              <w:rPr>
                <w:rFonts w:hint="default" w:ascii="ＭＳ 明朝" w:hAnsi="ＭＳ 明朝"/>
                <w:color w:val="FF0000"/>
                <w:u w:val="single" w:color="auto"/>
              </w:rPr>
              <w:t>)</w:t>
            </w:r>
            <w:r>
              <w:rPr>
                <w:rFonts w:hint="eastAsia"/>
                <w:color w:val="auto"/>
              </w:rPr>
              <w:t>　林業経営改善計画</w:t>
            </w:r>
          </w:p>
          <w:p>
            <w:pPr>
              <w:pStyle w:val="0"/>
              <w:ind w:left="480" w:firstLine="240"/>
              <w:rPr>
                <w:rFonts w:hint="default" w:ascii="ＭＳ 明朝" w:hAnsi="ＭＳ 明朝"/>
                <w:color w:val="auto"/>
                <w:spacing w:val="24"/>
              </w:rPr>
            </w:pPr>
            <w:r>
              <w:rPr>
                <w:rFonts w:hint="eastAsia"/>
                <w:color w:val="auto"/>
              </w:rPr>
              <w:t>県内に住所を有する林業を営む者の申請に基づき、その者の作成する林業経営改善計画</w:t>
            </w:r>
          </w:p>
          <w:p>
            <w:pPr>
              <w:pStyle w:val="0"/>
              <w:ind w:left="524" w:leftChars="100" w:hanging="286" w:hangingChars="100"/>
              <w:rPr>
                <w:rFonts w:hint="default" w:ascii="ＭＳ 明朝" w:hAnsi="ＭＳ 明朝"/>
                <w:color w:val="auto"/>
                <w:spacing w:val="24"/>
              </w:rPr>
            </w:pPr>
            <w:r>
              <w:rPr>
                <w:rFonts w:hint="eastAsia" w:ascii="ＭＳ 明朝" w:hAnsi="ＭＳ 明朝"/>
                <w:color w:val="auto"/>
                <w:spacing w:val="24"/>
              </w:rPr>
              <w:t>　</w:t>
            </w:r>
            <w:r>
              <w:rPr>
                <w:rFonts w:hint="eastAsia" w:ascii="ＭＳ 明朝" w:hAnsi="ＭＳ 明朝"/>
                <w:color w:val="auto"/>
                <w:spacing w:val="24"/>
              </w:rPr>
              <w:t xml:space="preserve"> </w:t>
            </w:r>
          </w:p>
          <w:p>
            <w:pPr>
              <w:pStyle w:val="0"/>
              <w:ind w:left="524" w:leftChars="100" w:hanging="286" w:hangingChars="10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（資金の種類）</w:t>
            </w:r>
          </w:p>
          <w:p>
            <w:pPr>
              <w:pStyle w:val="0"/>
              <w:ind w:left="240" w:hanging="238"/>
              <w:rPr>
                <w:rFonts w:hint="default" w:ascii="ＭＳ 明朝" w:hAnsi="ＭＳ 明朝"/>
                <w:color w:val="auto"/>
                <w:spacing w:val="24"/>
              </w:rPr>
            </w:pPr>
            <w:r>
              <w:rPr>
                <w:rFonts w:hint="eastAsia"/>
                <w:color w:val="auto"/>
              </w:rPr>
              <w:t>第４条</w:t>
            </w:r>
            <w:r>
              <w:rPr>
                <w:rFonts w:hint="default"/>
                <w:color w:val="auto"/>
              </w:rPr>
              <w:t xml:space="preserve">  </w:t>
            </w:r>
            <w:r>
              <w:rPr>
                <w:rFonts w:hint="eastAsia"/>
                <w:color w:val="auto"/>
              </w:rPr>
              <w:t>この要綱に基づき、貸付けを行う資金の種類は、合理化計画認定者が該当認定に係る合理化を図るためにとるべき措置（以下「合理化措置」という。）を実施するのに必要な資金で次の</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に掲げるもの、</w:t>
            </w:r>
            <w:r>
              <w:rPr>
                <w:rFonts w:hint="eastAsia"/>
                <w:color w:val="FF0000"/>
                <w:u w:val="single"/>
              </w:rPr>
              <w:t>木材安定供給確保事業計画認定者が当該認定に係る事業を実施するのに必要な資金で次の</w:t>
            </w:r>
            <w:r>
              <w:rPr>
                <w:rFonts w:hint="eastAsia"/>
                <w:color w:val="FF0000"/>
                <w:u w:val="single"/>
              </w:rPr>
              <w:t>(3)</w:t>
            </w:r>
            <w:r>
              <w:rPr>
                <w:rFonts w:hint="eastAsia"/>
                <w:color w:val="FF0000"/>
                <w:u w:val="single"/>
              </w:rPr>
              <w:t>に掲げるもの並びに</w:t>
            </w:r>
            <w:r>
              <w:rPr>
                <w:rFonts w:hint="eastAsia"/>
                <w:color w:val="auto"/>
              </w:rPr>
              <w:t>林業経営改善計画認定者が該当認定に係る林業経営の改善を図るためにとるべき措置（以下「経営改善措置」という。）を実施するのに必要な資金で</w:t>
            </w:r>
            <w:r>
              <w:rPr>
                <w:rFonts w:hint="eastAsia"/>
                <w:color w:val="FF0000"/>
                <w:u w:val="single" w:color="auto"/>
              </w:rPr>
              <w:t>次の</w:t>
            </w:r>
            <w:r>
              <w:rPr>
                <w:rFonts w:hint="default" w:ascii="ＭＳ 明朝" w:hAnsi="ＭＳ 明朝"/>
                <w:color w:val="FF0000"/>
                <w:u w:val="single" w:color="auto"/>
              </w:rPr>
              <w:t>(</w:t>
            </w:r>
            <w:r>
              <w:rPr>
                <w:rFonts w:hint="eastAsia"/>
                <w:color w:val="FF0000"/>
                <w:u w:val="single" w:color="auto"/>
              </w:rPr>
              <w:t>4</w:t>
            </w:r>
            <w:r>
              <w:rPr>
                <w:rFonts w:hint="default" w:ascii="ＭＳ 明朝" w:hAnsi="ＭＳ 明朝"/>
                <w:color w:val="FF0000"/>
                <w:u w:val="single" w:color="auto"/>
              </w:rPr>
              <w:t>)</w:t>
            </w:r>
            <w:r>
              <w:rPr>
                <w:rFonts w:hint="eastAsia"/>
                <w:color w:val="auto"/>
              </w:rPr>
              <w:t>に掲げるものとする。</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　事業経営改善計画に係る資金</w:t>
            </w:r>
          </w:p>
          <w:p>
            <w:pPr>
              <w:pStyle w:val="0"/>
              <w:ind w:left="722"/>
              <w:rPr>
                <w:rFonts w:hint="default" w:ascii="ＭＳ 明朝" w:hAnsi="ＭＳ 明朝"/>
                <w:color w:val="auto"/>
                <w:spacing w:val="24"/>
              </w:rPr>
            </w:pPr>
            <w:r>
              <w:rPr>
                <w:rFonts w:hint="eastAsia"/>
                <w:color w:val="auto"/>
              </w:rPr>
              <w:t>　事業経営改善合理化資金</w:t>
            </w:r>
          </w:p>
          <w:p>
            <w:pPr>
              <w:pStyle w:val="0"/>
              <w:ind w:left="962"/>
              <w:rPr>
                <w:rFonts w:hint="default" w:ascii="ＭＳ 明朝" w:hAnsi="ＭＳ 明朝"/>
                <w:color w:val="auto"/>
                <w:spacing w:val="24"/>
              </w:rPr>
            </w:pPr>
            <w:r>
              <w:rPr>
                <w:rFonts w:hint="eastAsia" w:ascii="ＭＳ 明朝" w:hAnsi="ＭＳ 明朝"/>
                <w:color w:val="FF0000"/>
                <w:u w:val="single"/>
              </w:rPr>
              <w:t>ア</w:t>
            </w:r>
            <w:r>
              <w:rPr>
                <w:rFonts w:hint="eastAsia"/>
                <w:color w:val="auto"/>
              </w:rPr>
              <w:t>　素材生産等促進資金</w:t>
            </w:r>
          </w:p>
          <w:p>
            <w:pPr>
              <w:pStyle w:val="0"/>
              <w:ind w:left="962"/>
              <w:rPr>
                <w:rFonts w:hint="default" w:ascii="ＭＳ 明朝" w:hAnsi="ＭＳ 明朝"/>
                <w:color w:val="auto"/>
                <w:spacing w:val="24"/>
              </w:rPr>
            </w:pPr>
            <w:r>
              <w:rPr>
                <w:rFonts w:hint="eastAsia" w:ascii="ＭＳ 明朝" w:hAnsi="ＭＳ 明朝"/>
                <w:color w:val="FF0000"/>
                <w:u w:val="single"/>
              </w:rPr>
              <w:t>イ</w:t>
            </w:r>
            <w:r>
              <w:rPr>
                <w:rFonts w:hint="default"/>
                <w:color w:val="auto"/>
              </w:rPr>
              <w:t xml:space="preserve">  </w:t>
            </w:r>
            <w:r>
              <w:rPr>
                <w:rFonts w:hint="eastAsia"/>
                <w:color w:val="auto"/>
              </w:rPr>
              <w:t>新規需要創出資金</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構造改善計画に係る資金</w:t>
            </w:r>
          </w:p>
          <w:p>
            <w:pPr>
              <w:pStyle w:val="0"/>
              <w:ind w:left="722" w:leftChars="0" w:firstLine="179" w:firstLineChars="100"/>
              <w:rPr>
                <w:rFonts w:hint="default" w:ascii="ＭＳ 明朝" w:hAnsi="ＭＳ 明朝"/>
                <w:color w:val="auto"/>
                <w:spacing w:val="24"/>
                <w:u w:val="single" w:color="auto"/>
              </w:rPr>
            </w:pPr>
            <w:r>
              <w:rPr>
                <w:rFonts w:hint="eastAsia"/>
                <w:color w:val="FF0000"/>
                <w:u w:val="single" w:color="auto"/>
              </w:rPr>
              <w:t>木材高度加工資金</w:t>
            </w:r>
          </w:p>
          <w:p>
            <w:pPr>
              <w:pStyle w:val="0"/>
              <w:ind w:left="722"/>
              <w:rPr>
                <w:rFonts w:hint="default" w:ascii="ＭＳ 明朝" w:hAnsi="ＭＳ 明朝"/>
                <w:color w:val="auto"/>
                <w:spacing w:val="24"/>
              </w:rPr>
            </w:pPr>
          </w:p>
          <w:p>
            <w:pPr>
              <w:pStyle w:val="0"/>
              <w:ind w:left="0" w:leftChars="0" w:firstLineChars="0"/>
              <w:rPr>
                <w:rFonts w:hint="default" w:ascii="ＭＳ 明朝" w:hAnsi="ＭＳ 明朝"/>
                <w:color w:val="auto"/>
                <w:spacing w:val="24"/>
              </w:rPr>
            </w:pPr>
            <w:bookmarkStart w:id="0" w:name="_GoBack"/>
            <w:bookmarkEnd w:id="0"/>
          </w:p>
          <w:p>
            <w:pPr>
              <w:pStyle w:val="0"/>
              <w:ind w:left="240"/>
              <w:rPr>
                <w:rFonts w:hint="default" w:ascii="ＭＳ 明朝" w:hAnsi="ＭＳ 明朝"/>
                <w:color w:val="FF0000"/>
                <w:spacing w:val="24"/>
                <w:u w:val="single" w:color="auto"/>
              </w:rPr>
            </w:pPr>
            <w:r>
              <w:rPr>
                <w:rFonts w:hint="default" w:ascii="ＭＳ 明朝" w:hAnsi="ＭＳ 明朝"/>
                <w:color w:val="FF0000"/>
                <w:u w:val="single" w:color="auto"/>
              </w:rPr>
              <w:t>(</w:t>
            </w:r>
            <w:r>
              <w:rPr>
                <w:rFonts w:hint="eastAsia"/>
                <w:color w:val="FF0000"/>
                <w:u w:val="single" w:color="auto"/>
              </w:rPr>
              <w:t>3</w:t>
            </w:r>
            <w:r>
              <w:rPr>
                <w:rFonts w:hint="default" w:ascii="ＭＳ 明朝" w:hAnsi="ＭＳ 明朝"/>
                <w:color w:val="FF0000"/>
                <w:u w:val="single" w:color="auto"/>
              </w:rPr>
              <w:t>)</w:t>
            </w:r>
            <w:r>
              <w:rPr>
                <w:rFonts w:hint="default"/>
                <w:color w:val="FF0000"/>
                <w:u w:val="single" w:color="auto"/>
              </w:rPr>
              <w:t xml:space="preserve">  </w:t>
            </w:r>
            <w:r>
              <w:rPr>
                <w:rFonts w:hint="eastAsia"/>
                <w:color w:val="FF0000"/>
                <w:u w:val="single" w:color="auto"/>
              </w:rPr>
              <w:t>木材安定供給確保事業計画に係る資金</w:t>
            </w:r>
          </w:p>
          <w:p>
            <w:pPr>
              <w:pStyle w:val="0"/>
              <w:ind w:left="0" w:leftChars="0" w:firstLine="896" w:firstLineChars="500"/>
              <w:rPr>
                <w:rFonts w:hint="default" w:ascii="ＭＳ 明朝" w:hAnsi="ＭＳ 明朝"/>
                <w:color w:val="auto"/>
                <w:spacing w:val="24"/>
              </w:rPr>
            </w:pPr>
            <w:r>
              <w:rPr>
                <w:rFonts w:hint="eastAsia"/>
                <w:color w:val="FF0000"/>
                <w:u w:val="single" w:color="auto"/>
              </w:rPr>
              <w:t>木材安定供給資金</w:t>
            </w:r>
          </w:p>
          <w:p>
            <w:pPr>
              <w:pStyle w:val="0"/>
              <w:ind w:left="240"/>
              <w:rPr>
                <w:rFonts w:hint="default" w:ascii="ＭＳ 明朝" w:hAnsi="ＭＳ 明朝"/>
                <w:color w:val="auto"/>
                <w:spacing w:val="24"/>
              </w:rPr>
            </w:pPr>
            <w:r>
              <w:rPr>
                <w:rFonts w:hint="default" w:ascii="ＭＳ 明朝" w:hAnsi="ＭＳ 明朝"/>
                <w:color w:val="FF0000"/>
                <w:u w:val="single" w:color="auto"/>
              </w:rPr>
              <w:t>(</w:t>
            </w:r>
            <w:r>
              <w:rPr>
                <w:rFonts w:hint="eastAsia"/>
                <w:color w:val="FF0000"/>
                <w:u w:val="single" w:color="auto"/>
              </w:rPr>
              <w:t>4</w:t>
            </w:r>
            <w:r>
              <w:rPr>
                <w:rFonts w:hint="default" w:ascii="ＭＳ 明朝" w:hAnsi="ＭＳ 明朝"/>
                <w:color w:val="FF0000"/>
                <w:u w:val="single" w:color="auto"/>
              </w:rPr>
              <w:t>)</w:t>
            </w:r>
            <w:r>
              <w:rPr>
                <w:rFonts w:hint="default"/>
                <w:color w:val="auto"/>
                <w:u w:val="single" w:color="auto"/>
              </w:rPr>
              <w:t xml:space="preserve"> </w:t>
            </w:r>
            <w:r>
              <w:rPr>
                <w:rFonts w:hint="default"/>
                <w:color w:val="auto"/>
              </w:rPr>
              <w:t xml:space="preserve"> </w:t>
            </w:r>
            <w:r>
              <w:rPr>
                <w:rFonts w:hint="eastAsia"/>
                <w:color w:val="auto"/>
              </w:rPr>
              <w:t>林業経営改善計画に係る資金</w:t>
            </w:r>
          </w:p>
          <w:p>
            <w:pPr>
              <w:pStyle w:val="0"/>
              <w:ind w:left="240" w:leftChars="0" w:firstLine="538" w:firstLineChars="300"/>
              <w:rPr>
                <w:rFonts w:hint="default" w:ascii="ＭＳ 明朝" w:hAnsi="ＭＳ 明朝"/>
                <w:color w:val="auto"/>
                <w:spacing w:val="24"/>
              </w:rPr>
            </w:pPr>
            <w:r>
              <w:rPr>
                <w:rFonts w:hint="eastAsia"/>
                <w:color w:val="auto"/>
              </w:rPr>
              <w:t xml:space="preserve"> </w:t>
            </w:r>
            <w:r>
              <w:rPr>
                <w:rFonts w:hint="eastAsia"/>
                <w:color w:val="auto"/>
              </w:rPr>
              <w:t>林業経営改善資金</w:t>
            </w:r>
          </w:p>
          <w:p>
            <w:pPr>
              <w:pStyle w:val="0"/>
              <w:ind w:left="962"/>
              <w:rPr>
                <w:rFonts w:hint="default" w:ascii="ＭＳ 明朝" w:hAnsi="ＭＳ 明朝"/>
                <w:color w:val="auto"/>
                <w:spacing w:val="24"/>
              </w:rPr>
            </w:pPr>
            <w:r>
              <w:rPr>
                <w:rFonts w:hint="eastAsia" w:ascii="ＭＳ 明朝" w:hAnsi="ＭＳ 明朝"/>
                <w:color w:val="FF0000"/>
                <w:u w:val="single"/>
              </w:rPr>
              <w:t>ア</w:t>
            </w:r>
            <w:r>
              <w:rPr>
                <w:rFonts w:hint="eastAsia" w:ascii="ＭＳ 明朝" w:hAnsi="ＭＳ 明朝"/>
                <w:color w:val="auto"/>
              </w:rPr>
              <w:t>　林業経営高度化推進資金</w:t>
            </w:r>
          </w:p>
          <w:p>
            <w:pPr>
              <w:pStyle w:val="0"/>
              <w:ind w:left="962"/>
              <w:rPr>
                <w:rFonts w:hint="default" w:ascii="ＭＳ 明朝" w:hAnsi="ＭＳ 明朝"/>
                <w:color w:val="auto"/>
                <w:spacing w:val="24"/>
              </w:rPr>
            </w:pPr>
            <w:r>
              <w:rPr>
                <w:rFonts w:hint="eastAsia" w:ascii="ＭＳ 明朝" w:hAnsi="ＭＳ 明朝"/>
                <w:color w:val="FF0000"/>
                <w:u w:val="single"/>
              </w:rPr>
              <w:t>イ</w:t>
            </w:r>
            <w:r>
              <w:rPr>
                <w:rFonts w:hint="eastAsia"/>
                <w:color w:val="auto"/>
              </w:rPr>
              <w:t>　伐採・造林一貫作業推進資金</w:t>
            </w:r>
          </w:p>
          <w:p>
            <w:pPr>
              <w:pStyle w:val="0"/>
              <w:rPr>
                <w:rFonts w:hint="default" w:ascii="ＭＳ 明朝" w:hAnsi="ＭＳ 明朝"/>
                <w:color w:val="FF0000"/>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ind w:left="240" w:hanging="238"/>
              <w:rPr>
                <w:rFonts w:hint="default" w:ascii="ＭＳ 明朝" w:hAnsi="ＭＳ 明朝"/>
                <w:color w:val="auto"/>
                <w:spacing w:val="24"/>
              </w:rPr>
            </w:pPr>
            <w:r>
              <w:rPr>
                <w:rFonts w:hint="eastAsia"/>
                <w:color w:val="auto"/>
              </w:rPr>
              <w:t>第５条～第１０条　　（略）</w:t>
            </w:r>
          </w:p>
          <w:p>
            <w:pPr>
              <w:pStyle w:val="0"/>
              <w:rPr>
                <w:rFonts w:hint="default" w:ascii="ＭＳ 明朝" w:hAnsi="ＭＳ 明朝"/>
                <w:color w:val="auto"/>
                <w:spacing w:val="24"/>
              </w:rPr>
            </w:pPr>
            <w:r>
              <w:rPr>
                <w:rFonts w:hint="default"/>
                <w:color w:val="auto"/>
              </w:rPr>
              <w:t xml:space="preserve">  </w:t>
            </w:r>
            <w:r>
              <w:rPr>
                <w:rFonts w:hint="eastAsia"/>
                <w:color w:val="auto"/>
              </w:rPr>
              <w:t>（附則）　（略）</w:t>
            </w:r>
          </w:p>
          <w:p>
            <w:pPr>
              <w:pStyle w:val="0"/>
              <w:ind w:left="238" w:leftChars="100"/>
              <w:rPr>
                <w:rFonts w:hint="default"/>
                <w:sz w:val="18"/>
              </w:rPr>
            </w:pPr>
            <w:r>
              <w:rPr>
                <w:rFonts w:hint="eastAsia" w:ascii="ＭＳ 明朝" w:hAnsi="ＭＳ 明朝"/>
                <w:color w:val="FF0000"/>
                <w:u w:val="none" w:color="auto"/>
              </w:rPr>
              <w:t>この要綱は、令和２年４月９日から施行する。</w:t>
            </w:r>
          </w:p>
        </w:tc>
        <w:tc>
          <w:tcPr>
            <w:tcW w:w="718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color w:val="auto"/>
                <w:spacing w:val="24"/>
              </w:rPr>
            </w:pPr>
            <w:r>
              <w:rPr>
                <w:rFonts w:hint="eastAsia"/>
                <w:color w:val="auto"/>
              </w:rPr>
              <w:t>　（目的）</w:t>
            </w:r>
          </w:p>
          <w:p>
            <w:pPr>
              <w:pStyle w:val="0"/>
              <w:ind w:left="240" w:hanging="238"/>
              <w:rPr>
                <w:rFonts w:hint="default" w:ascii="ＭＳ 明朝" w:hAnsi="ＭＳ 明朝"/>
                <w:color w:val="auto"/>
                <w:spacing w:val="24"/>
              </w:rPr>
            </w:pPr>
            <w:r>
              <w:rPr>
                <w:rFonts w:hint="eastAsia"/>
                <w:color w:val="auto"/>
              </w:rPr>
              <w:t>第１条　この制度は、林業経営基盤の強化等の促進のための資金の融通等に関する暫定措置法（昭和５４年法律第５１号）及び林業経営基盤の強化等の促進のための資金の融通等に関する暫定措置法施行令（昭和５４年政令第２０５号）に基づき、木材の生産及び流通の合理化の促進による木材供給の円滑化並びに効率的かつ安定的な林業経営の育成を図るため、県内の木材の生産又は流通を担う事業者がその行う事業の合理化を推進するのに必要な資金及び県内の林業者が行う林業経営の改善を推進するのに必要な資金（林業経営の規模の拡大、生産方式の合理化等の林業経営の改善に伴い必要なものに限る。）を低利で融通する措置を講じ、もって木材関連産業及び林業の健全な発展に資することを目的とする。</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color w:val="auto"/>
              </w:rPr>
              <w:t>第２条　（略）</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（借受資格者）</w:t>
            </w:r>
          </w:p>
          <w:p>
            <w:pPr>
              <w:pStyle w:val="0"/>
              <w:ind w:left="240" w:hanging="238"/>
              <w:rPr>
                <w:rFonts w:hint="default" w:ascii="ＭＳ 明朝" w:hAnsi="ＭＳ 明朝"/>
                <w:color w:val="auto"/>
                <w:spacing w:val="24"/>
              </w:rPr>
            </w:pPr>
            <w:r>
              <w:rPr>
                <w:rFonts w:hint="eastAsia"/>
                <w:color w:val="auto"/>
              </w:rPr>
              <w:t>第３条　指定金融機関から貸付けを受けることができる者は、</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の事業経営改善計画及び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の構造改善計画が適当である旨の知事の認定を受けた者（以下「合理化計画認定者」という。）又は</w:t>
            </w:r>
            <w:r>
              <w:rPr>
                <w:rFonts w:hint="default" w:ascii="ＭＳ 明朝" w:hAnsi="ＭＳ 明朝"/>
                <w:color w:val="FF0000"/>
                <w:u w:val="single" w:color="auto"/>
              </w:rPr>
              <w:t>(</w:t>
            </w:r>
            <w:r>
              <w:rPr>
                <w:rFonts w:hint="default"/>
                <w:color w:val="FF0000"/>
                <w:u w:val="single" w:color="auto"/>
              </w:rPr>
              <w:t>3</w:t>
            </w:r>
            <w:r>
              <w:rPr>
                <w:rFonts w:hint="default" w:ascii="ＭＳ 明朝" w:hAnsi="ＭＳ 明朝"/>
                <w:color w:val="FF0000"/>
                <w:u w:val="single" w:color="auto"/>
              </w:rPr>
              <w:t>)</w:t>
            </w:r>
            <w:r>
              <w:rPr>
                <w:rFonts w:hint="eastAsia"/>
                <w:color w:val="auto"/>
              </w:rPr>
              <w:t>の林業経営改善計画が適当である旨の知事の認定を受けた者（以下「林業経営改善計画認定者」という。）とする。</w:t>
            </w:r>
          </w:p>
          <w:p>
            <w:pPr>
              <w:pStyle w:val="0"/>
              <w:ind w:left="240" w:hanging="238"/>
              <w:rPr>
                <w:rFonts w:hint="default" w:ascii="ＭＳ 明朝" w:hAnsi="ＭＳ 明朝"/>
                <w:color w:val="auto"/>
                <w:spacing w:val="24"/>
              </w:rPr>
            </w:pPr>
          </w:p>
          <w:p>
            <w:pPr>
              <w:pStyle w:val="0"/>
              <w:ind w:left="240" w:hanging="238"/>
              <w:rPr>
                <w:rFonts w:hint="default" w:ascii="ＭＳ 明朝" w:hAnsi="ＭＳ 明朝"/>
                <w:color w:val="auto"/>
                <w:spacing w:val="24"/>
              </w:rPr>
            </w:pP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（略）</w:t>
            </w:r>
          </w:p>
          <w:p>
            <w:pPr>
              <w:pStyle w:val="0"/>
              <w:ind w:left="0" w:leftChars="0" w:firstLineChars="0"/>
              <w:rPr>
                <w:rFonts w:hint="default" w:ascii="ＭＳ 明朝" w:hAnsi="ＭＳ 明朝"/>
                <w:color w:val="auto"/>
                <w:spacing w:val="24"/>
              </w:rPr>
            </w:pPr>
            <w:r>
              <w:rPr>
                <w:rFonts w:hint="eastAsia" w:ascii="ＭＳ 明朝" w:hAnsi="ＭＳ 明朝"/>
                <w:color w:val="FF0000"/>
                <w:spacing w:val="24"/>
                <w:u w:val="single" w:color="auto"/>
              </w:rPr>
              <w:t>（新設）</w:t>
            </w:r>
          </w:p>
          <w:p>
            <w:pPr>
              <w:pStyle w:val="0"/>
              <w:ind w:left="240"/>
              <w:rPr>
                <w:rFonts w:hint="default" w:ascii="ＭＳ 明朝" w:hAnsi="ＭＳ 明朝"/>
                <w:color w:val="auto"/>
                <w:spacing w:val="24"/>
              </w:rPr>
            </w:pPr>
          </w:p>
          <w:p>
            <w:pPr>
              <w:pStyle w:val="0"/>
              <w:ind w:left="240"/>
              <w:rPr>
                <w:rFonts w:hint="default" w:ascii="ＭＳ 明朝" w:hAnsi="ＭＳ 明朝"/>
                <w:color w:val="auto"/>
                <w:spacing w:val="24"/>
              </w:rPr>
            </w:pPr>
          </w:p>
          <w:p>
            <w:pPr>
              <w:pStyle w:val="0"/>
              <w:ind w:left="0" w:leftChars="0" w:firstLine="179" w:firstLineChars="100"/>
              <w:rPr>
                <w:rFonts w:hint="default" w:ascii="ＭＳ 明朝" w:hAnsi="ＭＳ 明朝"/>
                <w:color w:val="auto"/>
                <w:spacing w:val="24"/>
              </w:rPr>
            </w:pPr>
            <w:r>
              <w:rPr>
                <w:rFonts w:hint="default" w:ascii="ＭＳ 明朝" w:hAnsi="ＭＳ 明朝"/>
                <w:color w:val="FF0000"/>
                <w:u w:val="single" w:color="auto"/>
              </w:rPr>
              <w:t>(</w:t>
            </w:r>
            <w:r>
              <w:rPr>
                <w:rFonts w:hint="default"/>
                <w:color w:val="FF0000"/>
                <w:u w:val="single" w:color="auto"/>
              </w:rPr>
              <w:t>3</w:t>
            </w:r>
            <w:r>
              <w:rPr>
                <w:rFonts w:hint="default" w:ascii="ＭＳ 明朝" w:hAnsi="ＭＳ 明朝"/>
                <w:color w:val="FF0000"/>
                <w:u w:val="single" w:color="auto"/>
              </w:rPr>
              <w:t>)</w:t>
            </w:r>
            <w:r>
              <w:rPr>
                <w:rFonts w:hint="eastAsia"/>
                <w:color w:val="auto"/>
              </w:rPr>
              <w:t>　林業経営改善計画</w:t>
            </w:r>
          </w:p>
          <w:p>
            <w:pPr>
              <w:pStyle w:val="0"/>
              <w:ind w:left="480" w:firstLine="240"/>
              <w:rPr>
                <w:rFonts w:hint="default" w:ascii="ＭＳ 明朝" w:hAnsi="ＭＳ 明朝"/>
                <w:color w:val="auto"/>
                <w:spacing w:val="24"/>
              </w:rPr>
            </w:pPr>
            <w:r>
              <w:rPr>
                <w:rFonts w:hint="eastAsia"/>
                <w:color w:val="auto"/>
              </w:rPr>
              <w:t>県内に住所を有する林業を営む者の申請に基づき、その者の作成する林業経営改善計画</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default"/>
                <w:color w:val="auto"/>
              </w:rPr>
              <w:t xml:space="preserve">  </w:t>
            </w:r>
            <w:r>
              <w:rPr>
                <w:rFonts w:hint="eastAsia"/>
                <w:color w:val="auto"/>
              </w:rPr>
              <w:t>（資金の種類）</w:t>
            </w:r>
          </w:p>
          <w:p>
            <w:pPr>
              <w:pStyle w:val="0"/>
              <w:ind w:left="240" w:hanging="238"/>
              <w:rPr>
                <w:rFonts w:hint="default" w:ascii="ＭＳ 明朝" w:hAnsi="ＭＳ 明朝"/>
                <w:color w:val="auto"/>
                <w:spacing w:val="24"/>
              </w:rPr>
            </w:pPr>
            <w:r>
              <w:rPr>
                <w:rFonts w:hint="eastAsia"/>
                <w:color w:val="auto"/>
              </w:rPr>
              <w:t>第４条</w:t>
            </w:r>
            <w:r>
              <w:rPr>
                <w:rFonts w:hint="default"/>
                <w:color w:val="auto"/>
              </w:rPr>
              <w:t xml:space="preserve">  </w:t>
            </w:r>
            <w:r>
              <w:rPr>
                <w:rFonts w:hint="eastAsia"/>
                <w:color w:val="auto"/>
              </w:rPr>
              <w:t>この要綱に基づき、貸付けを行う資金の種類は、合理化計画認定者が該当認定に係る合理化を図るためにとるべき措置（以下「合理化措置」という。）を実施するのに必要な資金で次の</w:t>
            </w: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及び</w:t>
            </w: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に掲げるもの及び林業経営改善計画認定者が該当認定に係る林業経営の改善を図るためにとるべき措置（以下「経営改善措置」という。）を実施するのに必要な資金で</w:t>
            </w:r>
            <w:r>
              <w:rPr>
                <w:rFonts w:hint="default" w:ascii="ＭＳ 明朝" w:hAnsi="ＭＳ 明朝"/>
                <w:color w:val="FF0000"/>
                <w:u w:val="single" w:color="auto"/>
              </w:rPr>
              <w:t>(</w:t>
            </w:r>
            <w:r>
              <w:rPr>
                <w:rFonts w:hint="default"/>
                <w:color w:val="FF0000"/>
                <w:u w:val="single" w:color="auto"/>
              </w:rPr>
              <w:t>3</w:t>
            </w:r>
            <w:r>
              <w:rPr>
                <w:rFonts w:hint="default" w:ascii="ＭＳ 明朝" w:hAnsi="ＭＳ 明朝"/>
                <w:color w:val="FF0000"/>
                <w:u w:val="single" w:color="auto"/>
              </w:rPr>
              <w:t>)</w:t>
            </w:r>
            <w:r>
              <w:rPr>
                <w:rFonts w:hint="eastAsia"/>
                <w:color w:val="auto"/>
              </w:rPr>
              <w:t>に掲げるものとする。</w:t>
            </w:r>
          </w:p>
          <w:p>
            <w:pPr>
              <w:pStyle w:val="0"/>
              <w:ind w:left="240" w:hanging="238"/>
              <w:rPr>
                <w:rFonts w:hint="default" w:ascii="ＭＳ 明朝" w:hAnsi="ＭＳ 明朝"/>
                <w:color w:val="auto"/>
                <w:spacing w:val="24"/>
              </w:rPr>
            </w:pPr>
          </w:p>
          <w:p>
            <w:pPr>
              <w:pStyle w:val="0"/>
              <w:ind w:leftChars="0" w:firstLineChars="0"/>
              <w:rPr>
                <w:rFonts w:hint="default" w:ascii="ＭＳ 明朝" w:hAnsi="ＭＳ 明朝"/>
                <w:color w:val="auto"/>
                <w:spacing w:val="24"/>
              </w:rPr>
            </w:pP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1</w:t>
            </w:r>
            <w:r>
              <w:rPr>
                <w:rFonts w:hint="default" w:ascii="ＭＳ 明朝" w:hAnsi="ＭＳ 明朝"/>
                <w:color w:val="auto"/>
              </w:rPr>
              <w:t>)</w:t>
            </w:r>
            <w:r>
              <w:rPr>
                <w:rFonts w:hint="eastAsia"/>
                <w:color w:val="auto"/>
              </w:rPr>
              <w:t>　事業経営改善計画に係る資金</w:t>
            </w:r>
          </w:p>
          <w:p>
            <w:pPr>
              <w:pStyle w:val="0"/>
              <w:ind w:left="722"/>
              <w:rPr>
                <w:rFonts w:hint="default" w:ascii="ＭＳ 明朝" w:hAnsi="ＭＳ 明朝"/>
                <w:color w:val="auto"/>
                <w:spacing w:val="24"/>
              </w:rPr>
            </w:pPr>
            <w:r>
              <w:rPr>
                <w:rFonts w:hint="eastAsia"/>
                <w:color w:val="FF0000"/>
                <w:u w:val="single"/>
              </w:rPr>
              <w:t>ア</w:t>
            </w:r>
            <w:r>
              <w:rPr>
                <w:rFonts w:hint="eastAsia"/>
                <w:color w:val="auto"/>
              </w:rPr>
              <w:t>　事業経営改善合理化資金</w:t>
            </w:r>
          </w:p>
          <w:p>
            <w:pPr>
              <w:pStyle w:val="0"/>
              <w:ind w:left="962"/>
              <w:rPr>
                <w:rFonts w:hint="default" w:ascii="ＭＳ 明朝" w:hAnsi="ＭＳ 明朝"/>
                <w:color w:val="auto"/>
                <w:spacing w:val="24"/>
              </w:rPr>
            </w:pPr>
            <w:r>
              <w:rPr>
                <w:rFonts w:hint="default" w:ascii="ＭＳ 明朝" w:hAnsi="ＭＳ 明朝"/>
                <w:color w:val="FF0000"/>
                <w:u w:val="single"/>
              </w:rPr>
              <w:t>(</w:t>
            </w:r>
            <w:r>
              <w:rPr>
                <w:rFonts w:hint="eastAsia"/>
                <w:color w:val="FF0000"/>
                <w:u w:val="single"/>
              </w:rPr>
              <w:t>ｱ</w:t>
            </w:r>
            <w:r>
              <w:rPr>
                <w:rFonts w:hint="default" w:ascii="ＭＳ 明朝" w:hAnsi="ＭＳ 明朝"/>
                <w:color w:val="FF0000"/>
                <w:u w:val="single"/>
              </w:rPr>
              <w:t>)</w:t>
            </w:r>
            <w:r>
              <w:rPr>
                <w:rFonts w:hint="eastAsia"/>
                <w:color w:val="auto"/>
              </w:rPr>
              <w:t>　素材生産等促進資金</w:t>
            </w:r>
          </w:p>
          <w:p>
            <w:pPr>
              <w:pStyle w:val="0"/>
              <w:ind w:left="962"/>
              <w:rPr>
                <w:rFonts w:hint="default" w:ascii="ＭＳ 明朝" w:hAnsi="ＭＳ 明朝"/>
                <w:color w:val="auto"/>
                <w:spacing w:val="24"/>
              </w:rPr>
            </w:pPr>
            <w:r>
              <w:rPr>
                <w:rFonts w:hint="default" w:ascii="ＭＳ 明朝" w:hAnsi="ＭＳ 明朝"/>
                <w:color w:val="FF0000"/>
                <w:u w:val="single"/>
              </w:rPr>
              <w:t>(</w:t>
            </w:r>
            <w:r>
              <w:rPr>
                <w:rFonts w:hint="eastAsia"/>
                <w:color w:val="FF0000"/>
                <w:u w:val="single"/>
              </w:rPr>
              <w:t>ｲ</w:t>
            </w:r>
            <w:r>
              <w:rPr>
                <w:rFonts w:hint="default" w:ascii="ＭＳ 明朝" w:hAnsi="ＭＳ 明朝"/>
                <w:color w:val="FF0000"/>
                <w:u w:val="single"/>
              </w:rPr>
              <w:t>)</w:t>
            </w:r>
            <w:r>
              <w:rPr>
                <w:rFonts w:hint="default"/>
                <w:color w:val="auto"/>
              </w:rPr>
              <w:t xml:space="preserve">  </w:t>
            </w:r>
            <w:r>
              <w:rPr>
                <w:rFonts w:hint="eastAsia"/>
                <w:color w:val="auto"/>
              </w:rPr>
              <w:t>新規需要創出資金</w:t>
            </w:r>
          </w:p>
          <w:p>
            <w:pPr>
              <w:pStyle w:val="0"/>
              <w:ind w:left="240"/>
              <w:rPr>
                <w:rFonts w:hint="default" w:ascii="ＭＳ 明朝" w:hAnsi="ＭＳ 明朝"/>
                <w:color w:val="auto"/>
                <w:spacing w:val="24"/>
              </w:rPr>
            </w:pPr>
            <w:r>
              <w:rPr>
                <w:rFonts w:hint="default" w:ascii="ＭＳ 明朝" w:hAnsi="ＭＳ 明朝"/>
                <w:color w:val="auto"/>
              </w:rPr>
              <w:t>(</w:t>
            </w:r>
            <w:r>
              <w:rPr>
                <w:rFonts w:hint="default"/>
                <w:color w:val="auto"/>
              </w:rPr>
              <w:t>2</w:t>
            </w:r>
            <w:r>
              <w:rPr>
                <w:rFonts w:hint="default" w:ascii="ＭＳ 明朝" w:hAnsi="ＭＳ 明朝"/>
                <w:color w:val="auto"/>
              </w:rPr>
              <w:t>)</w:t>
            </w:r>
            <w:r>
              <w:rPr>
                <w:rFonts w:hint="eastAsia"/>
                <w:color w:val="auto"/>
              </w:rPr>
              <w:t>　構造改善計画に係る資金</w:t>
            </w:r>
          </w:p>
          <w:p>
            <w:pPr>
              <w:pStyle w:val="0"/>
              <w:ind w:left="722"/>
              <w:rPr>
                <w:rFonts w:hint="default" w:ascii="ＭＳ 明朝" w:hAnsi="ＭＳ 明朝"/>
                <w:color w:val="FF0000"/>
                <w:spacing w:val="24"/>
                <w:u w:val="single" w:color="auto"/>
              </w:rPr>
            </w:pPr>
            <w:r>
              <w:rPr>
                <w:rFonts w:hint="eastAsia"/>
                <w:color w:val="FF0000"/>
                <w:u w:val="single" w:color="auto"/>
              </w:rPr>
              <w:t>ア　構造改善合理化資金</w:t>
            </w:r>
          </w:p>
          <w:p>
            <w:pPr>
              <w:pStyle w:val="0"/>
              <w:ind w:left="962"/>
              <w:rPr>
                <w:rFonts w:hint="default" w:ascii="ＭＳ 明朝" w:hAnsi="ＭＳ 明朝"/>
                <w:color w:val="FF0000"/>
                <w:spacing w:val="24"/>
                <w:u w:val="single" w:color="auto"/>
              </w:rPr>
            </w:pPr>
            <w:r>
              <w:rPr>
                <w:rFonts w:hint="default" w:ascii="ＭＳ 明朝" w:hAnsi="ＭＳ 明朝"/>
                <w:color w:val="FF0000"/>
                <w:u w:val="single" w:color="auto"/>
              </w:rPr>
              <w:t>(</w:t>
            </w:r>
            <w:r>
              <w:rPr>
                <w:rFonts w:hint="eastAsia"/>
                <w:color w:val="FF0000"/>
                <w:u w:val="single" w:color="auto"/>
              </w:rPr>
              <w:t>ｱ</w:t>
            </w:r>
            <w:r>
              <w:rPr>
                <w:rFonts w:hint="default" w:ascii="ＭＳ 明朝" w:hAnsi="ＭＳ 明朝"/>
                <w:color w:val="FF0000"/>
                <w:u w:val="single" w:color="auto"/>
              </w:rPr>
              <w:t>)</w:t>
            </w:r>
            <w:r>
              <w:rPr>
                <w:rFonts w:hint="eastAsia" w:ascii="ＭＳ 明朝" w:hAnsi="ＭＳ 明朝"/>
                <w:color w:val="FF0000"/>
                <w:u w:val="single" w:color="auto"/>
              </w:rPr>
              <w:t>　</w:t>
            </w:r>
            <w:r>
              <w:rPr>
                <w:rFonts w:hint="eastAsia"/>
                <w:color w:val="FF0000"/>
                <w:u w:val="single" w:color="auto"/>
              </w:rPr>
              <w:t>木材高度加工資金</w:t>
            </w:r>
          </w:p>
          <w:p>
            <w:pPr>
              <w:pStyle w:val="0"/>
              <w:ind w:left="962"/>
              <w:rPr>
                <w:rFonts w:hint="default" w:ascii="ＭＳ 明朝" w:hAnsi="ＭＳ 明朝"/>
                <w:color w:val="auto"/>
                <w:spacing w:val="24"/>
              </w:rPr>
            </w:pPr>
            <w:r>
              <w:rPr>
                <w:rFonts w:hint="default" w:ascii="ＭＳ 明朝" w:hAnsi="ＭＳ 明朝"/>
                <w:color w:val="FF0000"/>
                <w:u w:val="single" w:color="auto"/>
              </w:rPr>
              <w:t>(</w:t>
            </w:r>
            <w:r>
              <w:rPr>
                <w:rFonts w:hint="eastAsia"/>
                <w:color w:val="FF0000"/>
                <w:u w:val="single" w:color="auto"/>
              </w:rPr>
              <w:t>ｲ</w:t>
            </w:r>
            <w:r>
              <w:rPr>
                <w:rFonts w:hint="default" w:ascii="ＭＳ 明朝" w:hAnsi="ＭＳ 明朝"/>
                <w:color w:val="FF0000"/>
                <w:u w:val="single" w:color="auto"/>
              </w:rPr>
              <w:t>)</w:t>
            </w:r>
            <w:r>
              <w:rPr>
                <w:rFonts w:hint="eastAsia"/>
                <w:color w:val="FF0000"/>
                <w:u w:val="single" w:color="auto"/>
              </w:rPr>
              <w:t>　</w:t>
            </w:r>
            <w:r>
              <w:rPr>
                <w:rFonts w:hint="eastAsia" w:ascii="ＭＳ 明朝" w:hAnsi="ＭＳ 明朝"/>
                <w:color w:val="FF0000"/>
                <w:u w:val="single" w:color="auto"/>
              </w:rPr>
              <w:t>原木確保協定促進資金</w:t>
            </w:r>
          </w:p>
          <w:p>
            <w:pPr>
              <w:pStyle w:val="0"/>
              <w:ind w:left="0" w:leftChars="0" w:firstLineChars="0"/>
              <w:rPr>
                <w:rFonts w:hint="default" w:ascii="ＭＳ 明朝" w:hAnsi="ＭＳ 明朝"/>
                <w:color w:val="auto"/>
                <w:spacing w:val="24"/>
              </w:rPr>
            </w:pPr>
            <w:r>
              <w:rPr>
                <w:rFonts w:hint="eastAsia" w:ascii="ＭＳ 明朝" w:hAnsi="ＭＳ 明朝"/>
                <w:color w:val="FF0000"/>
                <w:spacing w:val="24"/>
                <w:u w:val="single" w:color="auto"/>
              </w:rPr>
              <w:t>（新設）</w:t>
            </w:r>
          </w:p>
          <w:p>
            <w:pPr>
              <w:pStyle w:val="0"/>
              <w:ind w:left="240"/>
              <w:rPr>
                <w:rFonts w:hint="default" w:ascii="ＭＳ 明朝" w:hAnsi="ＭＳ 明朝"/>
                <w:color w:val="auto"/>
                <w:spacing w:val="24"/>
              </w:rPr>
            </w:pPr>
          </w:p>
          <w:p>
            <w:pPr>
              <w:pStyle w:val="0"/>
              <w:ind w:left="240"/>
              <w:rPr>
                <w:rFonts w:hint="default" w:ascii="ＭＳ 明朝" w:hAnsi="ＭＳ 明朝"/>
                <w:color w:val="auto"/>
                <w:spacing w:val="24"/>
              </w:rPr>
            </w:pPr>
            <w:r>
              <w:rPr>
                <w:rFonts w:hint="default" w:ascii="ＭＳ 明朝" w:hAnsi="ＭＳ 明朝"/>
                <w:color w:val="FF0000"/>
                <w:u w:val="single" w:color="auto"/>
              </w:rPr>
              <w:t>(</w:t>
            </w:r>
            <w:r>
              <w:rPr>
                <w:rFonts w:hint="default"/>
                <w:color w:val="FF0000"/>
                <w:u w:val="single" w:color="auto"/>
              </w:rPr>
              <w:t>3</w:t>
            </w:r>
            <w:r>
              <w:rPr>
                <w:rFonts w:hint="default" w:ascii="ＭＳ 明朝" w:hAnsi="ＭＳ 明朝"/>
                <w:color w:val="FF0000"/>
                <w:u w:val="single" w:color="auto"/>
              </w:rPr>
              <w:t>)</w:t>
            </w:r>
            <w:r>
              <w:rPr>
                <w:rFonts w:hint="default"/>
                <w:color w:val="auto"/>
              </w:rPr>
              <w:t xml:space="preserve">  </w:t>
            </w:r>
            <w:r>
              <w:rPr>
                <w:rFonts w:hint="eastAsia"/>
                <w:color w:val="auto"/>
              </w:rPr>
              <w:t>林業経営改善計画に係る資金</w:t>
            </w:r>
          </w:p>
          <w:p>
            <w:pPr>
              <w:pStyle w:val="0"/>
              <w:ind w:left="240"/>
              <w:rPr>
                <w:rFonts w:hint="default" w:ascii="ＭＳ 明朝" w:hAnsi="ＭＳ 明朝"/>
                <w:color w:val="auto"/>
                <w:spacing w:val="24"/>
              </w:rPr>
            </w:pPr>
            <w:r>
              <w:rPr>
                <w:rFonts w:hint="eastAsia"/>
                <w:color w:val="auto"/>
              </w:rPr>
              <w:t>　　</w:t>
            </w:r>
            <w:r>
              <w:rPr>
                <w:rFonts w:hint="eastAsia"/>
                <w:color w:val="FF0000"/>
                <w:u w:val="single"/>
              </w:rPr>
              <w:t>ア</w:t>
            </w:r>
            <w:r>
              <w:rPr>
                <w:rFonts w:hint="eastAsia"/>
                <w:color w:val="auto"/>
              </w:rPr>
              <w:t>　林業経営改善資金</w:t>
            </w:r>
          </w:p>
          <w:p>
            <w:pPr>
              <w:pStyle w:val="0"/>
              <w:ind w:left="962"/>
              <w:rPr>
                <w:rFonts w:hint="default" w:ascii="ＭＳ 明朝" w:hAnsi="ＭＳ 明朝"/>
                <w:color w:val="auto"/>
                <w:spacing w:val="24"/>
              </w:rPr>
            </w:pPr>
            <w:r>
              <w:rPr>
                <w:rFonts w:hint="default" w:ascii="ＭＳ 明朝" w:hAnsi="ＭＳ 明朝"/>
                <w:color w:val="FF0000"/>
                <w:u w:val="single"/>
              </w:rPr>
              <w:t>(</w:t>
            </w:r>
            <w:r>
              <w:rPr>
                <w:rFonts w:hint="eastAsia"/>
                <w:color w:val="FF0000"/>
                <w:u w:val="single"/>
              </w:rPr>
              <w:t>ｱ</w:t>
            </w:r>
            <w:r>
              <w:rPr>
                <w:rFonts w:hint="default" w:ascii="ＭＳ 明朝" w:hAnsi="ＭＳ 明朝"/>
                <w:color w:val="FF0000"/>
                <w:u w:val="single"/>
              </w:rPr>
              <w:t>)</w:t>
            </w:r>
            <w:r>
              <w:rPr>
                <w:rFonts w:hint="eastAsia" w:ascii="ＭＳ 明朝" w:hAnsi="ＭＳ 明朝"/>
                <w:color w:val="auto"/>
              </w:rPr>
              <w:t>　林業経営高度化推進資金</w:t>
            </w:r>
          </w:p>
          <w:p>
            <w:pPr>
              <w:pStyle w:val="0"/>
              <w:ind w:left="722" w:leftChars="0" w:firstLine="238" w:firstLineChars="100"/>
              <w:rPr>
                <w:rFonts w:hint="default" w:ascii="ＭＳ 明朝" w:hAnsi="ＭＳ 明朝"/>
                <w:color w:val="auto"/>
                <w:spacing w:val="24"/>
              </w:rPr>
            </w:pPr>
            <w:r>
              <w:rPr>
                <w:rFonts w:hint="default" w:ascii="ＭＳ 明朝" w:hAnsi="ＭＳ 明朝"/>
                <w:color w:val="FF0000"/>
                <w:u w:val="single"/>
              </w:rPr>
              <w:t>(</w:t>
            </w:r>
            <w:r>
              <w:rPr>
                <w:rFonts w:hint="eastAsia"/>
                <w:color w:val="FF0000"/>
                <w:u w:val="single"/>
              </w:rPr>
              <w:t>ｲ</w:t>
            </w:r>
            <w:r>
              <w:rPr>
                <w:rFonts w:hint="default" w:ascii="ＭＳ 明朝" w:hAnsi="ＭＳ 明朝"/>
                <w:color w:val="FF0000"/>
                <w:u w:val="single"/>
              </w:rPr>
              <w:t>)</w:t>
            </w:r>
            <w:r>
              <w:rPr>
                <w:rFonts w:hint="eastAsia"/>
                <w:color w:val="auto"/>
              </w:rPr>
              <w:t>　伐採・造林一貫作業推進資金</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r>
              <w:rPr>
                <w:rFonts w:hint="default"/>
                <w:color w:val="auto"/>
              </w:rPr>
              <w:t xml:space="preserve">  </w:t>
            </w:r>
          </w:p>
          <w:p>
            <w:pPr>
              <w:pStyle w:val="0"/>
              <w:rPr>
                <w:rFonts w:hint="default" w:ascii="ＭＳ 明朝" w:hAnsi="ＭＳ 明朝"/>
                <w:color w:val="auto"/>
                <w:spacing w:val="24"/>
              </w:rPr>
            </w:pPr>
          </w:p>
          <w:p>
            <w:pPr>
              <w:pStyle w:val="0"/>
              <w:ind w:left="240" w:hanging="238"/>
              <w:rPr>
                <w:rFonts w:hint="default" w:ascii="ＭＳ 明朝" w:hAnsi="ＭＳ 明朝"/>
                <w:color w:val="auto"/>
                <w:spacing w:val="24"/>
              </w:rPr>
            </w:pPr>
            <w:r>
              <w:rPr>
                <w:rFonts w:hint="eastAsia"/>
                <w:color w:val="auto"/>
              </w:rPr>
              <w:t>第５条～第１０条　　（略）</w:t>
            </w:r>
          </w:p>
          <w:p>
            <w:pPr>
              <w:pStyle w:val="0"/>
              <w:rPr>
                <w:rFonts w:hint="default" w:ascii="ＭＳ 明朝" w:hAnsi="ＭＳ 明朝"/>
                <w:color w:val="auto"/>
                <w:spacing w:val="24"/>
              </w:rPr>
            </w:pPr>
            <w:r>
              <w:rPr>
                <w:rFonts w:hint="default"/>
                <w:color w:val="auto"/>
              </w:rPr>
              <w:t xml:space="preserve">  </w:t>
            </w:r>
            <w:r>
              <w:rPr>
                <w:rFonts w:hint="eastAsia"/>
                <w:color w:val="auto"/>
              </w:rPr>
              <w:t>（附則）　（略）</w:t>
            </w:r>
          </w:p>
          <w:p>
            <w:pPr>
              <w:pStyle w:val="0"/>
              <w:ind w:leftChars="0" w:firstLineChars="0"/>
              <w:rPr>
                <w:rFonts w:hint="default" w:ascii="ＭＳ 明朝" w:hAnsi="ＭＳ 明朝"/>
                <w:color w:val="000000" w:themeColor="text1"/>
                <w:u w:val="none" w:color="auto"/>
              </w:rPr>
            </w:pPr>
          </w:p>
          <w:p>
            <w:pPr>
              <w:pStyle w:val="0"/>
              <w:rPr>
                <w:rFonts w:hint="default"/>
                <w:sz w:val="18"/>
              </w:rPr>
            </w:pPr>
          </w:p>
        </w:tc>
      </w:tr>
    </w:tbl>
    <w:p>
      <w:pPr>
        <w:pStyle w:val="0"/>
        <w:rPr>
          <w:rFonts w:hint="default"/>
        </w:rPr>
      </w:pPr>
    </w:p>
    <w:sectPr>
      <w:pgSz w:w="16838" w:h="11906" w:orient="landscape"/>
      <w:pgMar w:top="1134" w:right="1134" w:bottom="1134" w:left="1134" w:header="851" w:footer="992" w:gutter="0"/>
      <w:cols w:space="720"/>
      <w:textDirection w:val="lrTb"/>
      <w:docGrid w:type="linesAndChars" w:linePitch="283" w:charSpace="-42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HorizontalSpacing w:val="189"/>
  <w:drawingGridVerticalSpacing w:val="2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46" w:hanging="246"/>
      <w:jc w:val="left"/>
    </w:pPr>
    <w:rPr>
      <w:rFonts w:ascii="ＭＳ 明朝" w:hAnsi="ＭＳ 明朝"/>
      <w:color w:val="000000"/>
      <w:spacing w:val="13"/>
      <w:kern w:val="0"/>
      <w:sz w:val="22"/>
      <w:u w:val="dotted" w:color="auto"/>
    </w:rPr>
  </w:style>
  <w:style w:type="paragraph" w:styleId="16">
    <w:name w:val="Body Text Indent 2"/>
    <w:basedOn w:val="0"/>
    <w:next w:val="16"/>
    <w:link w:val="0"/>
    <w:uiPriority w:val="0"/>
    <w:pPr>
      <w:ind w:left="189" w:hanging="189" w:hangingChars="100"/>
    </w:pPr>
    <w:rPr>
      <w:u w:val="dotted" w:color="auto"/>
    </w:rPr>
  </w:style>
  <w:style w:type="paragraph" w:styleId="17" w:customStyle="1">
    <w:name w:val="一太郎８/９"/>
    <w:next w:val="17"/>
    <w:link w:val="0"/>
    <w:uiPriority w:val="0"/>
    <w:pPr>
      <w:widowControl w:val="0"/>
      <w:wordWrap w:val="0"/>
      <w:autoSpaceDE w:val="0"/>
      <w:autoSpaceDN w:val="0"/>
      <w:adjustRightInd w:val="0"/>
      <w:spacing w:line="331" w:lineRule="atLeast"/>
      <w:jc w:val="both"/>
    </w:pPr>
    <w:rPr>
      <w:rFonts w:ascii="Times New Roman" w:hAnsi="Times New Roman"/>
      <w:spacing w:val="-3"/>
      <w:sz w:val="24"/>
    </w:rPr>
  </w:style>
  <w:style w:type="paragraph" w:styleId="18">
    <w:name w:val="Body Text Indent 3"/>
    <w:basedOn w:val="0"/>
    <w:next w:val="18"/>
    <w:link w:val="0"/>
    <w:uiPriority w:val="0"/>
    <w:pPr>
      <w:ind w:left="717" w:leftChars="100" w:hanging="538" w:hangingChars="300"/>
    </w:pPr>
  </w:style>
  <w:style w:type="paragraph" w:styleId="19">
    <w:name w:val="Note Heading"/>
    <w:basedOn w:val="0"/>
    <w:next w:val="0"/>
    <w:link w:val="0"/>
    <w:uiPriority w:val="0"/>
    <w:pPr>
      <w:jc w:val="center"/>
    </w:pPr>
    <w:rPr>
      <w:color w:val="000000"/>
    </w:rPr>
  </w:style>
  <w:style w:type="paragraph" w:styleId="20">
    <w:name w:val="Closing"/>
    <w:basedOn w:val="0"/>
    <w:next w:val="20"/>
    <w:link w:val="0"/>
    <w:uiPriority w:val="0"/>
    <w:pPr>
      <w:jc w:val="right"/>
    </w:pPr>
    <w:rPr>
      <w:color w:val="000000"/>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kern w:val="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font11"/>
    <w:basedOn w:val="10"/>
    <w:next w:val="28"/>
    <w:link w:val="0"/>
    <w:uiPriority w:val="0"/>
    <w:qFormat/>
    <w:rPr>
      <w:rFonts w:ascii="ＭＳ 明朝" w:hAnsi="ＭＳ 明朝" w:eastAsia="ＭＳ 明朝"/>
      <w:sz w:val="22"/>
    </w:rPr>
  </w:style>
  <w:style w:type="character" w:styleId="29" w:customStyle="1">
    <w:name w:val="font12"/>
    <w:basedOn w:val="10"/>
    <w:next w:val="29"/>
    <w:link w:val="0"/>
    <w:uiPriority w:val="0"/>
    <w:qFormat/>
    <w:rPr>
      <w:rFonts w:ascii="ＭＳ 明朝" w:hAnsi="ＭＳ 明朝" w:eastAsia="ＭＳ 明朝"/>
      <w:color w:val="FF0000"/>
      <w:sz w:val="22"/>
    </w:rPr>
  </w:style>
  <w:style w:type="character" w:styleId="30" w:customStyle="1">
    <w:name w:val="font17"/>
    <w:basedOn w:val="10"/>
    <w:next w:val="30"/>
    <w:link w:val="0"/>
    <w:uiPriority w:val="0"/>
    <w:qFormat/>
    <w:rPr>
      <w:rFonts w:ascii="ＭＳ 明朝" w:hAnsi="ＭＳ 明朝" w:eastAsia="ＭＳ 明朝"/>
      <w:sz w:val="20"/>
    </w:rPr>
  </w:style>
  <w:style w:type="character" w:styleId="31" w:customStyle="1">
    <w:name w:val="font18"/>
    <w:basedOn w:val="10"/>
    <w:next w:val="31"/>
    <w:link w:val="0"/>
    <w:uiPriority w:val="0"/>
    <w:qFormat/>
    <w:rPr>
      <w:rFonts w:ascii="ＭＳ 明朝" w:hAnsi="ＭＳ 明朝" w:eastAsia="ＭＳ 明朝"/>
      <w:color w:val="FF0000"/>
      <w:sz w:val="20"/>
    </w:rPr>
  </w:style>
  <w:style w:type="character" w:styleId="32" w:customStyle="1">
    <w:name w:val="font19"/>
    <w:basedOn w:val="10"/>
    <w:next w:val="32"/>
    <w:link w:val="0"/>
    <w:uiPriority w:val="0"/>
    <w:qFormat/>
    <w:rPr>
      <w:rFonts w:ascii="ＭＳ 明朝" w:hAnsi="ＭＳ 明朝" w:eastAsia="ＭＳ 明朝"/>
      <w:sz w:val="20"/>
    </w:rPr>
  </w:style>
  <w:style w:type="character" w:styleId="33" w:customStyle="1">
    <w:name w:val="font23"/>
    <w:basedOn w:val="10"/>
    <w:next w:val="33"/>
    <w:link w:val="0"/>
    <w:uiPriority w:val="0"/>
    <w:qFormat/>
    <w:rPr>
      <w:rFonts w:ascii="ＭＳ 明朝" w:hAnsi="ＭＳ 明朝" w:eastAsia="ＭＳ 明朝"/>
      <w:sz w:val="18"/>
    </w:rPr>
  </w:style>
  <w:style w:type="character" w:styleId="34" w:customStyle="1">
    <w:name w:val="font24"/>
    <w:basedOn w:val="10"/>
    <w:next w:val="34"/>
    <w:link w:val="0"/>
    <w:uiPriority w:val="0"/>
    <w:qFormat/>
    <w:rPr>
      <w:rFonts w:ascii="ＭＳ 明朝" w:hAnsi="ＭＳ 明朝" w:eastAsia="ＭＳ 明朝"/>
      <w:color w:val="FF0000"/>
      <w:sz w:val="18"/>
    </w:rPr>
  </w:style>
  <w:style w:type="character" w:styleId="35" w:customStyle="1">
    <w:name w:val="font25"/>
    <w:basedOn w:val="10"/>
    <w:next w:val="35"/>
    <w:link w:val="0"/>
    <w:uiPriority w:val="0"/>
    <w:qFormat/>
    <w:rPr>
      <w:rFonts w:ascii="ＭＳ 明朝" w:hAnsi="ＭＳ 明朝" w:eastAsia="ＭＳ 明朝"/>
      <w:sz w:val="18"/>
    </w:rPr>
  </w:style>
  <w:style w:type="character" w:styleId="36" w:customStyle="1">
    <w:name w:val="font43"/>
    <w:basedOn w:val="10"/>
    <w:next w:val="36"/>
    <w:link w:val="0"/>
    <w:uiPriority w:val="0"/>
    <w:qFormat/>
    <w:rPr>
      <w:rFonts w:ascii="ＭＳ 明朝" w:hAnsi="ＭＳ 明朝" w:eastAsia="ＭＳ 明朝"/>
      <w:color w:val="FF0000"/>
      <w:sz w:val="20"/>
    </w:rPr>
  </w:style>
  <w:style w:type="character" w:styleId="37" w:customStyle="1">
    <w:name w:val="font28"/>
    <w:basedOn w:val="10"/>
    <w:next w:val="37"/>
    <w:link w:val="0"/>
    <w:uiPriority w:val="0"/>
    <w:qFormat/>
    <w:rPr>
      <w:rFonts w:ascii="ＭＳ 明朝" w:hAnsi="ＭＳ 明朝" w:eastAsia="ＭＳ 明朝"/>
      <w:sz w:val="20"/>
    </w:rPr>
  </w:style>
  <w:style w:type="character" w:styleId="38" w:customStyle="1">
    <w:name w:val="font29"/>
    <w:basedOn w:val="10"/>
    <w:next w:val="38"/>
    <w:link w:val="0"/>
    <w:uiPriority w:val="0"/>
    <w:qFormat/>
    <w:rPr>
      <w:rFonts w:ascii="ＭＳ 明朝" w:hAnsi="ＭＳ 明朝" w:eastAsia="ＭＳ 明朝"/>
      <w:color w:val="FF0000"/>
      <w:sz w:val="20"/>
    </w:rPr>
  </w:style>
  <w:style w:type="character" w:styleId="39" w:customStyle="1">
    <w:name w:val="font30"/>
    <w:basedOn w:val="10"/>
    <w:next w:val="39"/>
    <w:link w:val="0"/>
    <w:uiPriority w:val="0"/>
    <w:qFormat/>
    <w:rPr>
      <w:rFonts w:ascii="ＭＳ 明朝" w:hAnsi="ＭＳ 明朝" w:eastAsia="ＭＳ 明朝"/>
      <w:sz w:val="20"/>
    </w:rPr>
  </w:style>
  <w:style w:type="character" w:styleId="40" w:customStyle="1">
    <w:name w:val="font34"/>
    <w:basedOn w:val="10"/>
    <w:next w:val="40"/>
    <w:link w:val="0"/>
    <w:uiPriority w:val="0"/>
    <w:qFormat/>
    <w:rPr>
      <w:rFonts w:ascii="Century" w:hAnsi="Century" w:eastAsia="Century"/>
      <w:sz w:val="18"/>
    </w:rPr>
  </w:style>
  <w:style w:type="character" w:styleId="41" w:customStyle="1">
    <w:name w:val="font35"/>
    <w:basedOn w:val="10"/>
    <w:next w:val="41"/>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28</Words>
  <Characters>2122</Characters>
  <Application>JUST Note</Application>
  <Lines>125</Lines>
  <Paragraphs>63</Paragraphs>
  <Company>高知県</Company>
  <CharactersWithSpaces>2209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高知県建設工事監督規程</dc:title>
  <dc:creator>高知県</dc:creator>
  <cp:lastModifiedBy>449241</cp:lastModifiedBy>
  <cp:lastPrinted>2020-03-21T06:30:58Z</cp:lastPrinted>
  <dcterms:created xsi:type="dcterms:W3CDTF">2011-05-12T23:53:00Z</dcterms:created>
  <dcterms:modified xsi:type="dcterms:W3CDTF">2020-04-09T04:19:13Z</dcterms:modified>
  <cp:revision>9</cp:revision>
</cp:coreProperties>
</file>