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Chars="0" w:firstLine="0" w:firstLineChars="0"/>
        <w:jc w:val="center"/>
        <w:rPr>
          <w:rFonts w:hint="eastAsia" w:ascii="游ゴシック" w:hAnsi="游ゴシック" w:eastAsia="游ゴシック"/>
          <w:sz w:val="28"/>
        </w:rPr>
      </w:pPr>
      <w:r>
        <w:rPr>
          <w:rFonts w:hint="eastAsia" w:ascii="游ゴシック" w:hAnsi="游ゴシック" w:eastAsia="游ゴシック"/>
          <w:b w:val="1"/>
          <w:sz w:val="24"/>
        </w:rPr>
        <w:t>令和５年度第４回障害のある人もない人も安心して暮らせる</w:t>
      </w:r>
    </w:p>
    <w:p>
      <w:pPr>
        <w:pStyle w:val="0"/>
        <w:spacing w:line="340" w:lineRule="exact"/>
        <w:ind w:left="0" w:leftChars="0" w:firstLine="0" w:firstLineChars="0"/>
        <w:jc w:val="center"/>
        <w:rPr>
          <w:rFonts w:hint="default"/>
          <w:sz w:val="28"/>
        </w:rPr>
      </w:pPr>
      <w:r>
        <w:rPr>
          <w:rFonts w:hint="eastAsia" w:ascii="游ゴシック" w:hAnsi="游ゴシック" w:eastAsia="游ゴシック"/>
          <w:b w:val="1"/>
          <w:sz w:val="24"/>
        </w:rPr>
        <w:t>高知県づくり条例（仮称）検討委員会の概要</w:t>
      </w:r>
    </w:p>
    <w:p>
      <w:pPr>
        <w:pStyle w:val="0"/>
        <w:spacing w:line="340" w:lineRule="exact"/>
        <w:ind w:firstLine="852" w:firstLineChars="300"/>
        <w:jc w:val="left"/>
        <w:rPr>
          <w:rFonts w:hint="default"/>
          <w:sz w:val="28"/>
        </w:rPr>
      </w:pPr>
    </w:p>
    <w:p>
      <w:pPr>
        <w:pStyle w:val="0"/>
        <w:spacing w:line="360" w:lineRule="exact"/>
        <w:rPr>
          <w:rFonts w:hint="default"/>
          <w:sz w:val="21"/>
        </w:rPr>
      </w:pPr>
      <w:r>
        <w:rPr>
          <w:rFonts w:hint="eastAsia" w:ascii="游ゴシック" w:hAnsi="游ゴシック" w:eastAsia="游ゴシック"/>
          <w:b w:val="1"/>
          <w:sz w:val="21"/>
        </w:rPr>
        <w:t>１</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日</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時</w:t>
      </w:r>
      <w:r>
        <w:rPr>
          <w:rFonts w:hint="eastAsia"/>
          <w:sz w:val="21"/>
        </w:rPr>
        <w:t xml:space="preserve"> </w:t>
      </w:r>
      <w:r>
        <w:rPr>
          <w:rFonts w:hint="eastAsia"/>
          <w:sz w:val="21"/>
        </w:rPr>
        <w:t>令和５年８月７日（月）１５時～１７時５分</w:t>
      </w:r>
    </w:p>
    <w:p>
      <w:pPr>
        <w:pStyle w:val="0"/>
        <w:spacing w:line="360" w:lineRule="exact"/>
        <w:rPr>
          <w:rFonts w:hint="default"/>
          <w:sz w:val="21"/>
        </w:rPr>
      </w:pPr>
      <w:r>
        <w:rPr>
          <w:rFonts w:hint="eastAsia" w:ascii="游ゴシック" w:hAnsi="游ゴシック" w:eastAsia="游ゴシック"/>
          <w:b w:val="1"/>
          <w:sz w:val="21"/>
        </w:rPr>
        <w:t>２</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場</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所</w:t>
      </w:r>
      <w:r>
        <w:rPr>
          <w:rFonts w:hint="eastAsia"/>
          <w:sz w:val="21"/>
        </w:rPr>
        <w:t xml:space="preserve"> </w:t>
      </w:r>
      <w:r>
        <w:rPr>
          <w:rFonts w:hint="eastAsia"/>
          <w:sz w:val="21"/>
        </w:rPr>
        <w:t>高知城ホール　２階　中会議室</w:t>
      </w:r>
    </w:p>
    <w:p>
      <w:pPr>
        <w:pStyle w:val="0"/>
        <w:widowControl w:val="1"/>
        <w:spacing w:line="360" w:lineRule="exact"/>
        <w:jc w:val="left"/>
        <w:rPr>
          <w:rFonts w:hint="eastAsia" w:ascii="游ゴシック" w:hAnsi="游ゴシック" w:eastAsia="游ゴシック"/>
          <w:sz w:val="21"/>
        </w:rPr>
      </w:pPr>
      <w:r>
        <w:rPr>
          <w:rFonts w:hint="eastAsia" w:ascii="游ゴシック" w:hAnsi="游ゴシック" w:eastAsia="游ゴシック"/>
          <w:b w:val="1"/>
          <w:sz w:val="21"/>
        </w:rPr>
        <w:t>３</w:t>
      </w:r>
      <w:r>
        <w:rPr>
          <w:rFonts w:hint="eastAsia" w:ascii="游ゴシック" w:hAnsi="游ゴシック" w:eastAsia="游ゴシック"/>
          <w:b w:val="1"/>
          <w:sz w:val="21"/>
        </w:rPr>
        <w:t xml:space="preserve"> </w:t>
      </w:r>
      <w:r>
        <w:rPr>
          <w:rFonts w:hint="eastAsia" w:ascii="游ゴシック" w:hAnsi="游ゴシック" w:eastAsia="游ゴシック"/>
          <w:b w:val="1"/>
          <w:sz w:val="21"/>
        </w:rPr>
        <w:t>検討内容</w:t>
      </w: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（１）手話言語条例の進捗について</w:t>
      </w:r>
    </w:p>
    <w:p>
      <w:pPr>
        <w:pStyle w:val="0"/>
        <w:spacing w:line="360" w:lineRule="exact"/>
        <w:ind w:firstLine="214" w:firstLineChars="100"/>
        <w:rPr>
          <w:rFonts w:hint="default"/>
          <w:sz w:val="21"/>
          <w:u w:val="none" w:color="auto"/>
        </w:rPr>
      </w:pPr>
      <w:r>
        <w:rPr>
          <w:rFonts w:hint="eastAsia"/>
          <w:sz w:val="21"/>
          <w:u w:val="none" w:color="auto"/>
          <w:bdr w:val="single" w:color="auto" w:sz="4" w:space="0"/>
        </w:rPr>
        <w:t>主な意見</w:t>
      </w:r>
    </w:p>
    <w:p>
      <w:pPr>
        <w:pStyle w:val="0"/>
        <w:numPr>
          <w:ilvl w:val="0"/>
          <w:numId w:val="1"/>
        </w:numPr>
        <w:spacing w:line="360" w:lineRule="exact"/>
        <w:ind w:leftChars="0" w:firstLineChars="0"/>
        <w:rPr>
          <w:rFonts w:hint="default"/>
          <w:sz w:val="21"/>
          <w:u w:val="none" w:color="auto"/>
        </w:rPr>
      </w:pPr>
      <w:r>
        <w:rPr>
          <w:rFonts w:hint="eastAsia"/>
          <w:sz w:val="21"/>
          <w:u w:val="none" w:color="auto"/>
        </w:rPr>
        <w:t>手話を言語とされている方や、情報アクセスに障害がある方は、社会の流れに対して、まだまだ情報ソースにたどりつくのに困難があるので、手話言語条例の制定についても、一定のスピード感を持って進めていただきたい。</w:t>
      </w:r>
    </w:p>
    <w:p>
      <w:pPr>
        <w:pStyle w:val="0"/>
        <w:numPr>
          <w:ilvl w:val="0"/>
          <w:numId w:val="1"/>
        </w:numPr>
        <w:spacing w:line="360" w:lineRule="exact"/>
        <w:ind w:leftChars="0" w:firstLineChars="0"/>
        <w:rPr>
          <w:rFonts w:hint="default"/>
          <w:sz w:val="21"/>
          <w:u w:val="none" w:color="auto"/>
        </w:rPr>
      </w:pP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（２）デジタル化における情報保障の重要性について</w:t>
      </w:r>
    </w:p>
    <w:p>
      <w:pPr>
        <w:pStyle w:val="0"/>
        <w:spacing w:line="360" w:lineRule="exact"/>
        <w:ind w:firstLine="214" w:firstLineChars="100"/>
        <w:rPr>
          <w:rFonts w:hint="default"/>
          <w:sz w:val="21"/>
          <w:u w:val="none" w:color="auto"/>
        </w:rPr>
      </w:pPr>
      <w:r>
        <w:rPr>
          <w:rFonts w:hint="eastAsia"/>
          <w:sz w:val="21"/>
          <w:u w:val="none" w:color="auto"/>
          <w:bdr w:val="single" w:color="auto" w:sz="4" w:space="0"/>
        </w:rPr>
        <w:t>主な意見</w:t>
      </w:r>
    </w:p>
    <w:p>
      <w:pPr>
        <w:pStyle w:val="0"/>
        <w:numPr>
          <w:ilvl w:val="0"/>
          <w:numId w:val="1"/>
        </w:numPr>
        <w:spacing w:line="360" w:lineRule="exact"/>
        <w:ind w:leftChars="0" w:firstLineChars="0"/>
        <w:rPr>
          <w:rFonts w:hint="default"/>
          <w:sz w:val="21"/>
          <w:u w:val="none" w:color="auto"/>
        </w:rPr>
      </w:pPr>
      <w:r>
        <w:rPr>
          <w:rFonts w:hint="eastAsia"/>
          <w:sz w:val="21"/>
          <w:u w:val="none" w:color="auto"/>
        </w:rPr>
        <w:t>手話言語条例とあわせて、情報アクセスの向上やコミュニケーション支援について考える必要がある。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全国的には、マイナンバーカードの写真に、重度肢体障害で座位を保持するために車椅子の後ろにヘッドギアがあると、邪魔なのでのけてくださいと言われてしまうが、のけると、顔写真を撮れないため、マイナンバーカードを諦めないといけないという状況がある。今後、紙の保険証がなくなると、保険が使えないという状況になり、情報デジタル社会から排除、社会から排除されることになる。そういう意味で、情報アクセスについては、これからもっと重要性が高まるので、一緒にあわせて考えてほしい。</w:t>
      </w:r>
    </w:p>
    <w:p>
      <w:pPr>
        <w:pStyle w:val="0"/>
        <w:numPr>
          <w:ilvl w:val="0"/>
          <w:numId w:val="1"/>
        </w:numPr>
        <w:spacing w:line="360" w:lineRule="exact"/>
        <w:ind w:leftChars="0" w:firstLineChars="0"/>
        <w:rPr>
          <w:rFonts w:hint="default"/>
          <w:sz w:val="21"/>
          <w:u w:val="none" w:color="auto"/>
        </w:rPr>
      </w:pPr>
      <w:r>
        <w:rPr>
          <w:rFonts w:hint="eastAsia"/>
          <w:sz w:val="21"/>
          <w:u w:val="none" w:color="auto"/>
        </w:rPr>
        <w:t>令和元年度の検討委員会では、デジタルのことは議論にでてきていなかった。デジタル化の中で、一番困難性を持っているのは、自分たちの周りにいる知的な障害を持っている方。マイナンバーカードの必要性にはじまり、取得するまで、難しさがあり、カード取得までに頓挫してしまう。デジタル化を進めていく際、障害者の問題をぬきには前に進めない。この委員会の中でもぜひ議論の中の大きい柱として議論を進めていただきたい。</w:t>
      </w:r>
    </w:p>
    <w:p>
      <w:pPr>
        <w:pStyle w:val="0"/>
        <w:numPr>
          <w:ilvl w:val="0"/>
          <w:numId w:val="1"/>
        </w:numPr>
        <w:spacing w:line="360" w:lineRule="exact"/>
        <w:ind w:leftChars="0" w:firstLineChars="0"/>
        <w:rPr>
          <w:rFonts w:hint="default"/>
          <w:sz w:val="21"/>
          <w:u w:val="none" w:color="auto"/>
        </w:rPr>
      </w:pPr>
      <w:r>
        <w:rPr>
          <w:rFonts w:hint="eastAsia"/>
          <w:sz w:val="21"/>
          <w:u w:val="none" w:color="auto"/>
        </w:rPr>
        <w:t>障害のある人の中には、携帯電話のゲームに課金をしすぎて、お金がなくなり困り果てて相談に来られる方もいる。あるいは、契約をさせられてしまってから相談ということもある。障害のある人だけでなく、高齢者や子どもも含めて誰もが安心して暮らせるという点では、マイナンバーカードの手続きも含めて、色々と課題がある。</w:t>
      </w:r>
    </w:p>
    <w:p>
      <w:pPr>
        <w:pStyle w:val="0"/>
        <w:numPr>
          <w:numId w:val="0"/>
        </w:numPr>
        <w:spacing w:line="360" w:lineRule="exact"/>
        <w:ind w:leftChars="0" w:firstLineChars="0"/>
        <w:rPr>
          <w:rFonts w:hint="default"/>
          <w:sz w:val="21"/>
          <w:u w:val="none" w:color="auto"/>
        </w:rPr>
      </w:pPr>
    </w:p>
    <w:p>
      <w:pPr>
        <w:pStyle w:val="0"/>
        <w:spacing w:line="360" w:lineRule="exact"/>
        <w:rPr>
          <w:rFonts w:hint="eastAsia" w:ascii="游ゴシック" w:hAnsi="游ゴシック" w:eastAsia="游ゴシック"/>
          <w:sz w:val="21"/>
          <w:u w:val="none" w:color="auto"/>
        </w:rPr>
      </w:pPr>
      <w:r>
        <w:rPr>
          <w:rFonts w:hint="eastAsia" w:ascii="游ゴシック" w:hAnsi="游ゴシック" w:eastAsia="游ゴシック"/>
          <w:b w:val="1"/>
          <w:sz w:val="21"/>
          <w:u w:val="none" w:color="auto"/>
        </w:rPr>
        <w:t>（３）紛争解決の仕組みについて</w:t>
      </w:r>
    </w:p>
    <w:p>
      <w:pPr>
        <w:pStyle w:val="0"/>
        <w:spacing w:line="360" w:lineRule="exact"/>
        <w:ind w:firstLine="214" w:firstLineChars="100"/>
        <w:rPr>
          <w:rFonts w:hint="default"/>
          <w:sz w:val="21"/>
          <w:u w:val="none" w:color="auto"/>
        </w:rPr>
      </w:pPr>
      <w:r>
        <w:rPr>
          <w:rFonts w:hint="eastAsia"/>
          <w:sz w:val="21"/>
          <w:u w:val="none" w:color="auto"/>
          <w:bdr w:val="single" w:color="auto" w:sz="4" w:space="0"/>
        </w:rPr>
        <w:t>主な意見</w:t>
      </w:r>
    </w:p>
    <w:p>
      <w:pPr>
        <w:pStyle w:val="0"/>
        <w:numPr>
          <w:numId w:val="0"/>
        </w:numPr>
        <w:spacing w:line="360" w:lineRule="exact"/>
        <w:ind w:leftChars="0" w:firstLineChars="0"/>
        <w:rPr>
          <w:rFonts w:hint="eastAsia" w:ascii="游ゴシック" w:hAnsi="游ゴシック" w:eastAsia="游ゴシック"/>
          <w:b w:val="1"/>
          <w:sz w:val="21"/>
          <w:u w:val="none" w:color="auto"/>
        </w:rPr>
      </w:pPr>
      <w:r>
        <w:rPr>
          <w:rFonts w:hint="eastAsia" w:ascii="游ゴシック" w:hAnsi="游ゴシック" w:eastAsia="游ゴシック"/>
          <w:b w:val="1"/>
          <w:sz w:val="21"/>
          <w:u w:val="none" w:color="auto"/>
        </w:rPr>
        <w:t>　①調整委員会の位置付け</w:t>
      </w:r>
    </w:p>
    <w:p>
      <w:pPr>
        <w:pStyle w:val="0"/>
        <w:numPr>
          <w:ilvl w:val="0"/>
          <w:numId w:val="1"/>
        </w:numPr>
        <w:spacing w:line="360" w:lineRule="exact"/>
        <w:ind w:leftChars="0" w:firstLineChars="0"/>
        <w:rPr>
          <w:rFonts w:hint="default"/>
          <w:sz w:val="21"/>
          <w:u w:val="none" w:color="auto"/>
        </w:rPr>
      </w:pPr>
      <w:r>
        <w:rPr>
          <w:rFonts w:hint="eastAsia"/>
          <w:sz w:val="21"/>
          <w:u w:val="none" w:color="auto"/>
        </w:rPr>
        <w:t>調整委員会に独立性を担保させるのか、それとも附属機関の位置付けになるのか、整理が必要。（井上委員、鈴木委員長）</w:t>
      </w:r>
    </w:p>
    <w:p>
      <w:pPr>
        <w:pStyle w:val="0"/>
        <w:numPr>
          <w:ilvl w:val="0"/>
          <w:numId w:val="1"/>
        </w:numPr>
        <w:spacing w:line="360" w:lineRule="exact"/>
        <w:ind w:leftChars="0" w:firstLineChars="0"/>
        <w:rPr>
          <w:rFonts w:hint="default"/>
          <w:sz w:val="21"/>
          <w:u w:val="none" w:color="auto"/>
        </w:rPr>
      </w:pPr>
      <w:r>
        <w:rPr>
          <w:rFonts w:hint="eastAsia"/>
          <w:sz w:val="21"/>
          <w:u w:val="none" w:color="auto"/>
        </w:rPr>
        <w:t>調整委員会が当事者と一緒に話し合いを進めて、勧告・公表はせず、円満な形で解決につなげるというやり方も考えられる。公表しない場合には、地域協議会に報告するということも考えられる。</w:t>
      </w:r>
    </w:p>
    <w:p>
      <w:pPr>
        <w:pStyle w:val="0"/>
        <w:numPr>
          <w:numId w:val="0"/>
        </w:numPr>
        <w:spacing w:line="360" w:lineRule="exact"/>
        <w:ind w:left="634" w:leftChars="0" w:firstLine="0" w:firstLineChars="0"/>
        <w:rPr>
          <w:rFonts w:hint="default"/>
          <w:sz w:val="21"/>
          <w:u w:val="none" w:color="auto"/>
        </w:rPr>
      </w:pPr>
    </w:p>
    <w:p>
      <w:pPr>
        <w:pStyle w:val="0"/>
        <w:numPr>
          <w:ilvl w:val="0"/>
          <w:numId w:val="1"/>
        </w:numPr>
        <w:spacing w:line="360" w:lineRule="exact"/>
        <w:ind w:leftChars="0" w:firstLineChars="0"/>
        <w:rPr>
          <w:rFonts w:hint="default"/>
          <w:sz w:val="21"/>
          <w:u w:val="none" w:color="auto"/>
        </w:rPr>
      </w:pPr>
      <w:r>
        <w:rPr>
          <w:rFonts w:hint="eastAsia"/>
          <w:sz w:val="21"/>
          <w:u w:val="none" w:color="auto"/>
        </w:rPr>
        <w:t>差別解消支援地域協議会には、差別事例の解決の仕組みづくりであったり、解決のモデルを作るという機能もあるので、調整委員会の調整内容が、差別解消支援地域協議会にフィードバックされる仕組みを紛争解決の仕組みの中にきちんと位置づけた方が良い。</w:t>
      </w:r>
    </w:p>
    <w:p>
      <w:pPr>
        <w:pStyle w:val="0"/>
        <w:numPr>
          <w:numId w:val="0"/>
        </w:numPr>
        <w:spacing w:line="360" w:lineRule="exact"/>
        <w:ind w:left="634" w:leftChars="0" w:firstLine="0" w:firstLineChars="0"/>
        <w:rPr>
          <w:rFonts w:hint="default"/>
          <w:sz w:val="21"/>
          <w:u w:val="none" w:color="auto"/>
        </w:rPr>
      </w:pPr>
      <w:r>
        <w:rPr>
          <w:rFonts w:hint="eastAsia"/>
          <w:sz w:val="21"/>
          <w:u w:val="none" w:color="auto"/>
        </w:rPr>
        <w:t>（事例内容のプライバシーに十分配慮した上で、その情報をフィードバックする）　</w:t>
      </w:r>
    </w:p>
    <w:p>
      <w:pPr>
        <w:pStyle w:val="0"/>
        <w:numPr>
          <w:ilvl w:val="0"/>
          <w:numId w:val="1"/>
        </w:numPr>
        <w:spacing w:line="360" w:lineRule="exact"/>
        <w:ind w:leftChars="0" w:firstLineChars="0"/>
        <w:rPr>
          <w:rFonts w:hint="default"/>
          <w:sz w:val="21"/>
          <w:u w:val="none" w:color="auto"/>
        </w:rPr>
      </w:pPr>
      <w:r>
        <w:rPr>
          <w:rFonts w:hint="eastAsia"/>
          <w:sz w:val="21"/>
          <w:u w:val="none" w:color="auto"/>
        </w:rPr>
        <w:t>紛争解決の仕組みにおける話し合いを通して、事業者側も当事者も行政も県民も、理解を深めていくプロセスを重視するという考え方もあると思う。（当事者は自分たちの権利や合理的配慮の申出方など）</w:t>
      </w:r>
    </w:p>
    <w:p>
      <w:pPr>
        <w:pStyle w:val="0"/>
        <w:numPr>
          <w:numId w:val="0"/>
        </w:numPr>
        <w:spacing w:line="360" w:lineRule="exact"/>
        <w:ind w:leftChars="0" w:firstLineChars="0"/>
        <w:rPr>
          <w:rFonts w:hint="default"/>
          <w:sz w:val="21"/>
          <w:u w:val="none" w:color="auto"/>
        </w:rPr>
      </w:pPr>
      <w:bookmarkStart w:id="0" w:name="_GoBack"/>
      <w:bookmarkEnd w:id="0"/>
    </w:p>
    <w:p>
      <w:pPr>
        <w:pStyle w:val="0"/>
        <w:numPr>
          <w:numId w:val="0"/>
        </w:numPr>
        <w:spacing w:line="360" w:lineRule="exact"/>
        <w:ind w:leftChars="0" w:firstLineChars="0"/>
        <w:rPr>
          <w:rFonts w:hint="eastAsia" w:ascii="游ゴシック" w:hAnsi="游ゴシック" w:eastAsia="游ゴシック"/>
          <w:b w:val="1"/>
          <w:sz w:val="21"/>
          <w:u w:val="none" w:color="auto"/>
        </w:rPr>
      </w:pPr>
      <w:r>
        <w:rPr>
          <w:rFonts w:hint="eastAsia" w:ascii="游ゴシック" w:hAnsi="游ゴシック" w:eastAsia="游ゴシック"/>
          <w:b w:val="1"/>
          <w:sz w:val="21"/>
          <w:u w:val="none" w:color="auto"/>
        </w:rPr>
        <w:t>　②調整委員会のメンバーについて</w:t>
      </w:r>
    </w:p>
    <w:p>
      <w:pPr>
        <w:pStyle w:val="0"/>
        <w:numPr>
          <w:ilvl w:val="0"/>
          <w:numId w:val="1"/>
        </w:numPr>
        <w:spacing w:line="360" w:lineRule="exact"/>
        <w:ind w:leftChars="0" w:firstLineChars="0"/>
        <w:rPr>
          <w:rFonts w:hint="default"/>
          <w:sz w:val="21"/>
          <w:u w:val="none" w:color="auto"/>
        </w:rPr>
      </w:pPr>
      <w:r>
        <w:rPr>
          <w:rFonts w:hint="eastAsia"/>
          <w:sz w:val="21"/>
          <w:u w:val="none" w:color="auto"/>
        </w:rPr>
        <w:t>他県のメンバーには、当事者が入っていることもあるけれど、独立性という点では、差別を受けた者の代表として入るので、公平性を担保する上では</w:t>
      </w:r>
      <w:r>
        <w:rPr>
          <w:rFonts w:hint="eastAsia"/>
          <w:sz w:val="21"/>
          <w:u w:val="none" w:color="auto"/>
        </w:rPr>
        <w:t>,</w:t>
      </w:r>
      <w:r>
        <w:rPr>
          <w:rFonts w:hint="eastAsia"/>
          <w:sz w:val="21"/>
          <w:u w:val="none" w:color="auto"/>
        </w:rPr>
        <w:t>当事者は入らない方がいいのではないか。</w:t>
      </w:r>
    </w:p>
    <w:p>
      <w:pPr>
        <w:pStyle w:val="0"/>
        <w:numPr>
          <w:numId w:val="0"/>
        </w:numPr>
        <w:spacing w:line="360" w:lineRule="exact"/>
        <w:ind w:left="634" w:leftChars="0" w:firstLine="0" w:firstLineChars="0"/>
        <w:rPr>
          <w:rFonts w:hint="default"/>
          <w:sz w:val="21"/>
          <w:u w:val="none" w:color="auto"/>
        </w:rPr>
      </w:pPr>
      <w:r>
        <w:rPr>
          <w:rFonts w:hint="eastAsia"/>
          <w:sz w:val="21"/>
          <w:u w:val="none" w:color="auto"/>
        </w:rPr>
        <w:t>（当事者の委員がいるので、障害者に有利な答えしか出ないのではないかという風に思われてしまうと公平性という点で弱くなるのではないか）</w:t>
      </w:r>
    </w:p>
    <w:p>
      <w:pPr>
        <w:pStyle w:val="0"/>
        <w:numPr>
          <w:ilvl w:val="0"/>
          <w:numId w:val="1"/>
        </w:numPr>
        <w:spacing w:line="360" w:lineRule="exact"/>
        <w:ind w:leftChars="0" w:firstLineChars="0"/>
        <w:rPr>
          <w:rFonts w:hint="default"/>
          <w:sz w:val="21"/>
          <w:u w:val="none" w:color="auto"/>
        </w:rPr>
      </w:pPr>
      <w:r>
        <w:rPr>
          <w:rFonts w:hint="eastAsia"/>
          <w:sz w:val="21"/>
          <w:u w:val="none" w:color="auto"/>
        </w:rPr>
        <w:t>調整の中で、当事者の視点がどうしても必要なことはあるので、意見をいただいた方が良い。公平性という点では、委員としての知見と、専門性を持って参加するという面から、やはり当事者性という点も調整を図る上で不可欠な性質だという風に考え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この手続きは、正しい判断をするというものではなく、歩み寄りのためのものなので、それぞれの事業者側によく実情を分かっている人も入り、当事者側によく実情を分かっている人もあって双方向調整し合いながら、話をするということが必要なのではないか。公平性という点では、当事者団体が団体としての力を強めていければ、そういった場でもプロとして入っていただきたい。</w:t>
      </w:r>
    </w:p>
    <w:p>
      <w:pPr>
        <w:pStyle w:val="0"/>
        <w:numPr>
          <w:ilvl w:val="0"/>
          <w:numId w:val="1"/>
        </w:numPr>
        <w:spacing w:line="360" w:lineRule="exact"/>
        <w:ind w:leftChars="0" w:firstLineChars="0"/>
        <w:rPr>
          <w:rFonts w:hint="default"/>
          <w:sz w:val="21"/>
          <w:u w:val="none" w:color="auto"/>
        </w:rPr>
      </w:pPr>
      <w:r>
        <w:rPr>
          <w:rFonts w:hint="eastAsia"/>
          <w:sz w:val="21"/>
          <w:u w:val="none" w:color="auto"/>
        </w:rPr>
        <w:t>県民の障害者に対する知識や理解が広がっていけば、ゆくゆくは当事者が入らなくてもいい調整委員会になればいいと思うが、まだまだ不十分なところがあるので、それをスタートラインまで上げるためのものではないかと考えている。相談先にしても、市町村の窓口にしても、手話で対応ができる場所がない。知的障害がある方にしても、対応できる人が足りない。そのスタートラインに、皆さんと同じ立ち位置に上がるまで、当事者が関わっていくという部分が必要なのではないかと考え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本来、障害のある人たちのことを周りの県民がしっかり理解をし、その困難ということにそれぞれ寄り添っていれば、障害の有る無しに関わらず委員が組めるということだが、現段階では、そうではないので、やはり当事者性のある委員の参加は必要。</w:t>
      </w:r>
    </w:p>
    <w:p>
      <w:pPr>
        <w:pStyle w:val="0"/>
        <w:numPr>
          <w:ilvl w:val="0"/>
          <w:numId w:val="1"/>
        </w:numPr>
        <w:spacing w:line="360" w:lineRule="exact"/>
        <w:ind w:leftChars="0" w:firstLineChars="0"/>
        <w:rPr>
          <w:rFonts w:hint="default"/>
          <w:sz w:val="21"/>
          <w:u w:val="none" w:color="auto"/>
        </w:rPr>
      </w:pPr>
      <w:r>
        <w:rPr>
          <w:rFonts w:hint="eastAsia"/>
          <w:sz w:val="21"/>
          <w:u w:val="none" w:color="auto"/>
        </w:rPr>
        <w:t>当事者の人が委員として入ることで、それぞれの障害について、どんなことがその方にとってしんどかったのかがより想像できるので、入った方がいいと考える。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当事者ということでいえば、事業者についても当事者となる。委員会の構成メンバーのそれぞれの視点による話し合いということで、当事者が入ることについて異論はない。</w:t>
      </w: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Chars="0" w:firstLineChars="0"/>
        <w:rPr>
          <w:rFonts w:hint="eastAsia" w:ascii="游ゴシック" w:hAnsi="游ゴシック" w:eastAsia="游ゴシック"/>
          <w:b w:val="1"/>
          <w:sz w:val="21"/>
          <w:u w:val="none" w:color="auto"/>
        </w:rPr>
      </w:pPr>
      <w:r>
        <w:rPr>
          <w:rFonts w:hint="eastAsia" w:ascii="游ゴシック" w:hAnsi="游ゴシック" w:eastAsia="游ゴシック"/>
          <w:b w:val="1"/>
          <w:sz w:val="21"/>
          <w:u w:val="none" w:color="auto"/>
        </w:rPr>
        <w:t>　③助言・あっせんの対象について</w:t>
      </w:r>
    </w:p>
    <w:p>
      <w:pPr>
        <w:pStyle w:val="0"/>
        <w:numPr>
          <w:ilvl w:val="0"/>
          <w:numId w:val="1"/>
        </w:numPr>
        <w:spacing w:line="360" w:lineRule="exact"/>
        <w:ind w:leftChars="0" w:firstLineChars="0"/>
        <w:rPr>
          <w:rFonts w:hint="default"/>
          <w:sz w:val="21"/>
          <w:u w:val="none" w:color="auto"/>
        </w:rPr>
      </w:pPr>
      <w:r>
        <w:rPr>
          <w:rFonts w:hint="eastAsia"/>
          <w:sz w:val="21"/>
          <w:u w:val="none" w:color="auto"/>
        </w:rPr>
        <w:t>事務局案では、行政については、行政不服申し立て等ができるので対象にしていないということだが、不服申し立てができる内容は限られているし、県でとりまとめている相談事案についても、多くは行政での対応に関する相談が多いので、そこから手をつけていかないと変わらないのではないか。（助言・あっせんの対象に行政も含める。）そこで紛争解決システムが使えない、あっせんまでいけないということでは、物事がなかなか進んでいかないのではないか。</w:t>
      </w:r>
    </w:p>
    <w:p>
      <w:pPr>
        <w:pStyle w:val="0"/>
        <w:numPr>
          <w:numId w:val="0"/>
        </w:numPr>
        <w:spacing w:line="360" w:lineRule="exact"/>
        <w:ind w:left="634" w:leftChars="0" w:firstLine="0" w:firstLineChars="0"/>
        <w:rPr>
          <w:rFonts w:hint="default"/>
          <w:sz w:val="21"/>
          <w:u w:val="none" w:color="auto"/>
        </w:rPr>
      </w:pPr>
      <w:r>
        <w:rPr>
          <w:rFonts w:hint="eastAsia"/>
          <w:sz w:val="21"/>
          <w:u w:val="none" w:color="auto"/>
        </w:rPr>
        <w:t>書きぶりとしては、参考資料にある長野県の条例の書きぶりが参考になると思う。</w:t>
      </w:r>
    </w:p>
    <w:p>
      <w:pPr>
        <w:pStyle w:val="0"/>
        <w:numPr>
          <w:numId w:val="0"/>
        </w:numPr>
        <w:spacing w:line="360" w:lineRule="exact"/>
        <w:ind w:left="634" w:leftChars="0" w:firstLine="0" w:firstLineChars="0"/>
        <w:rPr>
          <w:rFonts w:hint="default"/>
          <w:sz w:val="21"/>
          <w:u w:val="none" w:color="auto"/>
        </w:rPr>
      </w:pPr>
    </w:p>
    <w:p>
      <w:pPr>
        <w:pStyle w:val="0"/>
        <w:numPr>
          <w:numId w:val="0"/>
        </w:numPr>
        <w:spacing w:line="360" w:lineRule="exact"/>
        <w:ind w:leftChars="0" w:firstLineChars="0"/>
        <w:rPr>
          <w:rFonts w:hint="default"/>
          <w:sz w:val="21"/>
          <w:u w:val="none" w:color="auto"/>
        </w:rPr>
      </w:pPr>
      <w:r>
        <w:rPr>
          <w:rFonts w:hint="eastAsia" w:ascii="游ゴシック" w:hAnsi="游ゴシック" w:eastAsia="游ゴシック"/>
          <w:b w:val="1"/>
          <w:sz w:val="21"/>
          <w:u w:val="none" w:color="auto"/>
        </w:rPr>
        <w:t>　④専門相談員について</w:t>
      </w:r>
    </w:p>
    <w:p>
      <w:pPr>
        <w:pStyle w:val="0"/>
        <w:numPr>
          <w:ilvl w:val="0"/>
          <w:numId w:val="1"/>
        </w:numPr>
        <w:spacing w:line="360" w:lineRule="exact"/>
        <w:ind w:leftChars="0" w:firstLineChars="0"/>
        <w:rPr>
          <w:rFonts w:hint="default"/>
          <w:sz w:val="21"/>
          <w:u w:val="none" w:color="auto"/>
        </w:rPr>
      </w:pPr>
      <w:r>
        <w:rPr>
          <w:rFonts w:hint="eastAsia"/>
          <w:sz w:val="21"/>
          <w:u w:val="none" w:color="auto"/>
        </w:rPr>
        <w:t>専門相談員について、県が設置する場合には一定の専門性が求められる。専門性がないのであれば、逆に置かない方がいいという考え方もある。（相談は身近な市町村で対応して、紛争解決の仕組みは県で構えるなど。）</w:t>
      </w:r>
    </w:p>
    <w:p>
      <w:pPr>
        <w:pStyle w:val="0"/>
        <w:numPr>
          <w:ilvl w:val="0"/>
          <w:numId w:val="1"/>
        </w:numPr>
        <w:spacing w:line="360" w:lineRule="exact"/>
        <w:ind w:leftChars="0" w:firstLineChars="0"/>
        <w:rPr>
          <w:rFonts w:hint="default"/>
          <w:sz w:val="21"/>
          <w:u w:val="none" w:color="auto"/>
        </w:rPr>
      </w:pPr>
      <w:r>
        <w:rPr>
          <w:rFonts w:hint="eastAsia"/>
          <w:sz w:val="21"/>
          <w:u w:val="none" w:color="auto"/>
        </w:rPr>
        <w:t>専門相談員と、セットで弁護士やソーシャルワーカーなどのスーパーバイザーをつける仕組みにしないと仕組みとしては機能しないのではないか。</w:t>
      </w:r>
    </w:p>
    <w:p>
      <w:pPr>
        <w:pStyle w:val="0"/>
        <w:numPr>
          <w:ilvl w:val="0"/>
          <w:numId w:val="1"/>
        </w:numPr>
        <w:spacing w:line="360" w:lineRule="exact"/>
        <w:ind w:leftChars="0" w:firstLineChars="0"/>
        <w:rPr>
          <w:rFonts w:hint="default"/>
          <w:sz w:val="21"/>
          <w:u w:val="none" w:color="auto"/>
        </w:rPr>
      </w:pPr>
      <w:r>
        <w:rPr>
          <w:rFonts w:hint="eastAsia"/>
          <w:sz w:val="21"/>
          <w:u w:val="none" w:color="auto"/>
        </w:rPr>
        <w:t>専門相談員に持たせる役割によって、どんな人を配置するか検討が必要。事案の聞き取りや双方の調整、助言までを専門相談員が行う場合は、それなりの専門性を持った人でないと意味がない。</w:t>
      </w:r>
    </w:p>
    <w:p>
      <w:pPr>
        <w:pStyle w:val="0"/>
        <w:numPr>
          <w:ilvl w:val="0"/>
          <w:numId w:val="1"/>
        </w:numPr>
        <w:spacing w:line="360" w:lineRule="exact"/>
        <w:ind w:leftChars="0" w:firstLineChars="0"/>
        <w:rPr>
          <w:rFonts w:hint="default"/>
          <w:sz w:val="21"/>
          <w:u w:val="none" w:color="auto"/>
        </w:rPr>
      </w:pPr>
      <w:r>
        <w:rPr>
          <w:rFonts w:hint="eastAsia"/>
          <w:sz w:val="21"/>
          <w:u w:val="none" w:color="auto"/>
        </w:rPr>
        <w:t>障害者基本法や総合支援法に基づき、福祉相談も含め、相談対応については本来、市町村に求められていることだが、市町村の基盤が弱いということであれば、県として専門相談員を設置するという選択肢が必要になってくる。</w:t>
      </w:r>
    </w:p>
    <w:p>
      <w:pPr>
        <w:pStyle w:val="0"/>
        <w:numPr>
          <w:ilvl w:val="0"/>
          <w:numId w:val="1"/>
        </w:numPr>
        <w:spacing w:line="360" w:lineRule="exact"/>
        <w:ind w:leftChars="0" w:firstLineChars="0"/>
        <w:rPr>
          <w:rFonts w:hint="default"/>
          <w:sz w:val="21"/>
          <w:u w:val="none" w:color="auto"/>
        </w:rPr>
      </w:pPr>
      <w:r>
        <w:rPr>
          <w:rFonts w:hint="eastAsia"/>
          <w:sz w:val="21"/>
          <w:u w:val="none" w:color="auto"/>
        </w:rPr>
        <w:t>市町村での相談体制やその人材育成の部分は県の役割だと思うので、その辺りをどのように条例に盛り込むかは次回の宿題。</w:t>
      </w:r>
    </w:p>
    <w:p>
      <w:pPr>
        <w:pStyle w:val="0"/>
        <w:numPr>
          <w:ilvl w:val="0"/>
          <w:numId w:val="1"/>
        </w:numPr>
        <w:spacing w:line="360" w:lineRule="exact"/>
        <w:ind w:leftChars="0" w:firstLineChars="0"/>
        <w:rPr>
          <w:rFonts w:hint="default"/>
          <w:sz w:val="21"/>
          <w:u w:val="none" w:color="auto"/>
        </w:rPr>
      </w:pPr>
      <w:r>
        <w:rPr>
          <w:rFonts w:hint="eastAsia"/>
          <w:sz w:val="21"/>
          <w:u w:val="none" w:color="auto"/>
        </w:rPr>
        <w:t>専門相談員にも一定の独立性が必要。その部分を担保するためにどんな仕組みにするかについても検討が必要。</w:t>
      </w:r>
    </w:p>
    <w:sectPr>
      <w:footerReference r:id="rId6" w:type="default"/>
      <w:pgSz w:w="11906" w:h="16838"/>
      <w:pgMar w:top="1134" w:right="1080" w:bottom="850" w:left="1080" w:header="851" w:footer="992" w:gutter="0"/>
      <w:cols w:space="720"/>
      <w:textDirection w:val="lrTb"/>
      <w:docGrid w:type="linesAndChars" w:linePitch="346" w:charSpace="8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3</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1DB48A4"/>
    <w:lvl w:ilvl="0" w:tplc="3BEEA760">
      <w:numFmt w:val="bullet"/>
      <w:lvlText w:val=""/>
      <w:lvlJc w:val="left"/>
      <w:pPr>
        <w:ind w:left="634" w:hanging="420"/>
      </w:pPr>
      <w:rPr>
        <w:rFonts w:hint="default" w:ascii="Wingdings" w:hAnsi="Wingdings"/>
      </w:rPr>
    </w:lvl>
    <w:lvl w:ilvl="1" w:tplc="0409000B">
      <w:numFmt w:val="bullet"/>
      <w:lvlText w:val=""/>
      <w:lvlJc w:val="left"/>
      <w:pPr>
        <w:ind w:left="1054" w:hanging="420"/>
      </w:pPr>
      <w:rPr>
        <w:rFonts w:hint="default" w:ascii="Wingdings" w:hAnsi="Wingdings"/>
      </w:rPr>
    </w:lvl>
    <w:lvl w:ilvl="2" w:tplc="0409000D">
      <w:numFmt w:val="bullet"/>
      <w:lvlText w:val=""/>
      <w:lvlJc w:val="left"/>
      <w:pPr>
        <w:ind w:left="1474" w:hanging="420"/>
      </w:pPr>
      <w:rPr>
        <w:rFonts w:hint="default" w:ascii="Wingdings" w:hAnsi="Wingdings"/>
      </w:rPr>
    </w:lvl>
    <w:lvl w:ilvl="3" w:tplc="04090001">
      <w:numFmt w:val="bullet"/>
      <w:lvlText w:val=""/>
      <w:lvlJc w:val="left"/>
      <w:pPr>
        <w:ind w:left="1894" w:hanging="420"/>
      </w:pPr>
      <w:rPr>
        <w:rFonts w:hint="default" w:ascii="Wingdings" w:hAnsi="Wingdings"/>
      </w:rPr>
    </w:lvl>
    <w:lvl w:ilvl="4" w:tplc="0409000B">
      <w:numFmt w:val="bullet"/>
      <w:lvlText w:val=""/>
      <w:lvlJc w:val="left"/>
      <w:pPr>
        <w:ind w:left="2314" w:hanging="420"/>
      </w:pPr>
      <w:rPr>
        <w:rFonts w:hint="default" w:ascii="Wingdings" w:hAnsi="Wingdings"/>
      </w:rPr>
    </w:lvl>
    <w:lvl w:ilvl="5" w:tplc="0409000D">
      <w:numFmt w:val="bullet"/>
      <w:lvlText w:val=""/>
      <w:lvlJc w:val="left"/>
      <w:pPr>
        <w:ind w:left="2734" w:hanging="420"/>
      </w:pPr>
      <w:rPr>
        <w:rFonts w:hint="default" w:ascii="Wingdings" w:hAnsi="Wingdings"/>
      </w:rPr>
    </w:lvl>
    <w:lvl w:ilvl="6" w:tplc="04090001">
      <w:numFmt w:val="bullet"/>
      <w:lvlText w:val=""/>
      <w:lvlJc w:val="left"/>
      <w:pPr>
        <w:ind w:left="3154" w:hanging="420"/>
      </w:pPr>
      <w:rPr>
        <w:rFonts w:hint="default" w:ascii="Wingdings" w:hAnsi="Wingdings"/>
      </w:rPr>
    </w:lvl>
    <w:lvl w:ilvl="7" w:tplc="0409000B">
      <w:numFmt w:val="bullet"/>
      <w:lvlText w:val=""/>
      <w:lvlJc w:val="left"/>
      <w:pPr>
        <w:ind w:left="3574" w:hanging="420"/>
      </w:pPr>
      <w:rPr>
        <w:rFonts w:hint="default" w:ascii="Wingdings" w:hAnsi="Wingdings"/>
      </w:rPr>
    </w:lvl>
    <w:lvl w:ilvl="8" w:tplc="0409000D">
      <w:numFmt w:val="bullet"/>
      <w:lvlText w:val=""/>
      <w:lvlJc w:val="left"/>
      <w:pPr>
        <w:ind w:left="399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List Paragraph"/>
    <w:basedOn w:val="0"/>
    <w:next w:val="22"/>
    <w:link w:val="0"/>
    <w:uiPriority w:val="0"/>
    <w:qFormat/>
    <w:pPr>
      <w:ind w:left="400" w:leftChars="400"/>
    </w:p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1997</TotalTime>
  <Pages>3</Pages>
  <Words>0</Words>
  <Characters>2960</Characters>
  <Application>JUST Note</Application>
  <Lines>99</Lines>
  <Paragraphs>41</Paragraphs>
  <CharactersWithSpaces>2974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事務局</cp:lastModifiedBy>
  <cp:lastPrinted>2024-03-13T13:24:14Z</cp:lastPrinted>
  <dcterms:created xsi:type="dcterms:W3CDTF">2017-03-17T08:45:00Z</dcterms:created>
  <dcterms:modified xsi:type="dcterms:W3CDTF">2024-03-13T12:52:19Z</dcterms:modified>
  <cp:revision>102</cp:revision>
</cp:coreProperties>
</file>