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8C" w:rsidRDefault="0054048C">
      <w:pPr>
        <w:jc w:val="center"/>
        <w:rPr>
          <w:rFonts w:ascii="ＭＳ 明朝"/>
          <w:spacing w:val="2"/>
        </w:rPr>
      </w:pPr>
      <w:r>
        <w:rPr>
          <w:rFonts w:hint="eastAsia"/>
        </w:rPr>
        <w:t>審議会等の会議の公開に関する指針の運用方針</w:t>
      </w:r>
    </w:p>
    <w:p w:rsidR="0054048C" w:rsidRDefault="0054048C">
      <w:pPr>
        <w:rPr>
          <w:rFonts w:ascii="ＭＳ 明朝"/>
          <w:spacing w:val="2"/>
        </w:rPr>
      </w:pPr>
    </w:p>
    <w:p w:rsidR="0054048C" w:rsidRDefault="0054048C">
      <w:pPr>
        <w:rPr>
          <w:rFonts w:ascii="ＭＳ 明朝"/>
          <w:spacing w:val="2"/>
        </w:rPr>
      </w:pPr>
      <w:r>
        <w:rPr>
          <w:rFonts w:ascii="ＭＳ 明朝" w:hint="eastAsia"/>
        </w:rPr>
        <w:t>１　指針の目的</w:t>
      </w:r>
    </w:p>
    <w:p w:rsidR="0054048C" w:rsidRDefault="0054048C">
      <w:pPr>
        <w:rPr>
          <w:rFonts w:ascii="ＭＳ 明朝"/>
          <w:spacing w:val="2"/>
        </w:rPr>
      </w:pPr>
      <w:r>
        <w:rPr>
          <w:rFonts w:ascii="ＭＳ 明朝" w:hint="eastAsia"/>
        </w:rPr>
        <w:t xml:space="preserve">　この指針は、審議会等の自主性と自立性を尊重しつつ会議の公開に関する統一的な運営を進めるための基本方針を示すものである。</w:t>
      </w:r>
    </w:p>
    <w:p w:rsidR="0054048C" w:rsidRDefault="0054048C">
      <w:pPr>
        <w:rPr>
          <w:rFonts w:ascii="ＭＳ 明朝"/>
          <w:spacing w:val="2"/>
        </w:rPr>
      </w:pPr>
    </w:p>
    <w:p w:rsidR="0054048C" w:rsidRDefault="0054048C">
      <w:pPr>
        <w:rPr>
          <w:rFonts w:ascii="ＭＳ 明朝"/>
          <w:spacing w:val="2"/>
        </w:rPr>
      </w:pPr>
      <w:r>
        <w:rPr>
          <w:rFonts w:ascii="ＭＳ 明朝" w:hint="eastAsia"/>
        </w:rPr>
        <w:t>２　対象とする審議会等</w:t>
      </w:r>
    </w:p>
    <w:p w:rsidR="0054048C" w:rsidRDefault="0054048C">
      <w:pPr>
        <w:rPr>
          <w:rFonts w:ascii="ＭＳ 明朝"/>
          <w:spacing w:val="2"/>
        </w:rPr>
      </w:pPr>
      <w:r>
        <w:rPr>
          <w:rFonts w:ascii="ＭＳ 明朝" w:hint="eastAsia"/>
        </w:rPr>
        <w:t xml:space="preserve">　対象とする審議会等は、具体的には次の要件を満たし設置された機関である。</w:t>
      </w:r>
    </w:p>
    <w:p w:rsidR="0054048C" w:rsidRDefault="0054048C">
      <w:pPr>
        <w:rPr>
          <w:rFonts w:ascii="ＭＳ 明朝"/>
          <w:spacing w:val="2"/>
        </w:rPr>
      </w:pPr>
      <w:r>
        <w:rPr>
          <w:rFonts w:ascii="ＭＳ 明朝" w:hAnsi="ＭＳ 明朝"/>
        </w:rPr>
        <w:t xml:space="preserve">(1) </w:t>
      </w:r>
      <w:r>
        <w:rPr>
          <w:rFonts w:ascii="ＭＳ 明朝" w:hint="eastAsia"/>
        </w:rPr>
        <w:t>県の事務について審議、審査、調査等を行うため、知事の下に設置されていること。</w:t>
      </w:r>
    </w:p>
    <w:p w:rsidR="0054048C" w:rsidRDefault="0054048C">
      <w:pPr>
        <w:rPr>
          <w:rFonts w:ascii="ＭＳ 明朝"/>
          <w:spacing w:val="2"/>
        </w:rPr>
      </w:pPr>
      <w:r>
        <w:rPr>
          <w:rFonts w:ascii="ＭＳ 明朝" w:hAnsi="ＭＳ 明朝"/>
        </w:rPr>
        <w:t xml:space="preserve">(2) </w:t>
      </w:r>
      <w:r>
        <w:rPr>
          <w:rFonts w:ascii="ＭＳ 明朝" w:hint="eastAsia"/>
        </w:rPr>
        <w:t>設置の根拠が、法令、条例、規則又は要綱等にあること。</w:t>
      </w:r>
    </w:p>
    <w:p w:rsidR="0054048C" w:rsidRDefault="0054048C">
      <w:pPr>
        <w:rPr>
          <w:rFonts w:ascii="ＭＳ 明朝"/>
          <w:spacing w:val="2"/>
        </w:rPr>
      </w:pPr>
      <w:r>
        <w:rPr>
          <w:rFonts w:ascii="ＭＳ 明朝" w:hAnsi="ＭＳ 明朝"/>
        </w:rPr>
        <w:t xml:space="preserve">(3) </w:t>
      </w:r>
      <w:r>
        <w:rPr>
          <w:rFonts w:ascii="ＭＳ 明朝" w:hint="eastAsia"/>
        </w:rPr>
        <w:t>県民、学識経験者等で構成されていること。</w:t>
      </w:r>
    </w:p>
    <w:p w:rsidR="0054048C" w:rsidRDefault="0054048C">
      <w:pPr>
        <w:rPr>
          <w:rFonts w:ascii="ＭＳ 明朝"/>
          <w:spacing w:val="2"/>
        </w:rPr>
      </w:pPr>
      <w:r>
        <w:rPr>
          <w:rFonts w:ascii="ＭＳ 明朝" w:hint="eastAsia"/>
        </w:rPr>
        <w:t xml:space="preserve">　したがって、県の職員のみ、あるいは県の職員と国又は他の地方公共団体の関係職員の　みによって構成された検討会、協議会等の会議は、この指針の対象としない。</w:t>
      </w:r>
    </w:p>
    <w:p w:rsidR="0054048C" w:rsidRDefault="0054048C">
      <w:pPr>
        <w:rPr>
          <w:rFonts w:ascii="ＭＳ 明朝"/>
          <w:spacing w:val="2"/>
        </w:rPr>
      </w:pPr>
    </w:p>
    <w:p w:rsidR="0054048C" w:rsidRDefault="0054048C">
      <w:pPr>
        <w:rPr>
          <w:rFonts w:ascii="ＭＳ 明朝"/>
          <w:spacing w:val="2"/>
        </w:rPr>
      </w:pPr>
      <w:r>
        <w:rPr>
          <w:rFonts w:ascii="ＭＳ 明朝" w:hint="eastAsia"/>
        </w:rPr>
        <w:t>３　会議の公開基準</w:t>
      </w:r>
    </w:p>
    <w:p w:rsidR="0054048C" w:rsidRDefault="0054048C">
      <w:pPr>
        <w:rPr>
          <w:rFonts w:ascii="ＭＳ 明朝"/>
          <w:spacing w:val="2"/>
        </w:rPr>
      </w:pPr>
      <w:r>
        <w:rPr>
          <w:rFonts w:ascii="ＭＳ 明朝" w:hint="eastAsia"/>
        </w:rPr>
        <w:t xml:space="preserve">　この基準は、審議会等の会議は原則として公開するものであるが、一定の要件の下に非公開とすることができることを定めたものである。その要件は、次のとおりである。</w:t>
      </w:r>
    </w:p>
    <w:p w:rsidR="0054048C" w:rsidRDefault="0054048C">
      <w:pPr>
        <w:ind w:left="210" w:hangingChars="100" w:hanging="210"/>
        <w:rPr>
          <w:rFonts w:ascii="ＭＳ 明朝"/>
          <w:spacing w:val="2"/>
        </w:rPr>
      </w:pPr>
      <w:r>
        <w:rPr>
          <w:rFonts w:ascii="ＭＳ 明朝" w:hAnsi="ＭＳ 明朝"/>
        </w:rPr>
        <w:t xml:space="preserve">(1) </w:t>
      </w:r>
      <w:r>
        <w:rPr>
          <w:rFonts w:ascii="ＭＳ 明朝" w:hint="eastAsia"/>
        </w:rPr>
        <w:t>指針３の</w:t>
      </w:r>
      <w:r>
        <w:rPr>
          <w:rFonts w:ascii="ＭＳ 明朝" w:hAnsi="ＭＳ 明朝"/>
        </w:rPr>
        <w:t>(1)</w:t>
      </w:r>
      <w:r>
        <w:rPr>
          <w:rFonts w:ascii="ＭＳ 明朝" w:hint="eastAsia"/>
        </w:rPr>
        <w:t>は、高知県情報公開条例（以下「条例」という。）第６条第１項の各号に定める「非開示情報」に該当する事項を審議する会議については、条例との整合性を考慮して公開しないことができるとした。</w:t>
      </w:r>
    </w:p>
    <w:p w:rsidR="0054048C" w:rsidRDefault="0054048C">
      <w:pPr>
        <w:ind w:left="210" w:hangingChars="100" w:hanging="210"/>
        <w:rPr>
          <w:rFonts w:ascii="ＭＳ 明朝"/>
          <w:spacing w:val="2"/>
        </w:rPr>
      </w:pPr>
      <w:r>
        <w:rPr>
          <w:rFonts w:ascii="ＭＳ 明朝" w:hAnsi="ＭＳ 明朝"/>
        </w:rPr>
        <w:t xml:space="preserve">(2) </w:t>
      </w:r>
      <w:r>
        <w:rPr>
          <w:rFonts w:ascii="ＭＳ 明朝" w:hint="eastAsia"/>
        </w:rPr>
        <w:t>前項の「非開示情報」に該当する事項を審議する会議にあっても、それらの情報を伏　せて審議を行っても会議の目的を達成できる場合には、可能な限り会議の公開に努める　こと。これは、例えば、審議に付す事項のなかに個人に関する情報があっても、特定の個人が識別できないように個人名を伏せるなど、会議資料等に工夫を加えることによって、個人の権利侵害を防止し審議を進めることが可能である場合などがあてはまる。</w:t>
      </w:r>
    </w:p>
    <w:p w:rsidR="0054048C" w:rsidRDefault="0054048C">
      <w:pPr>
        <w:ind w:left="210" w:hangingChars="100" w:hanging="210"/>
        <w:rPr>
          <w:rFonts w:ascii="ＭＳ 明朝"/>
          <w:spacing w:val="2"/>
        </w:rPr>
      </w:pPr>
      <w:r>
        <w:rPr>
          <w:rFonts w:ascii="ＭＳ 明朝" w:hAnsi="ＭＳ 明朝"/>
        </w:rPr>
        <w:t xml:space="preserve">(3) </w:t>
      </w:r>
      <w:r>
        <w:rPr>
          <w:rFonts w:ascii="ＭＳ 明朝" w:hint="eastAsia"/>
        </w:rPr>
        <w:t>指針３の</w:t>
      </w:r>
      <w:r>
        <w:rPr>
          <w:rFonts w:ascii="ＭＳ 明朝" w:hAnsi="ＭＳ 明朝"/>
        </w:rPr>
        <w:t>(2)</w:t>
      </w:r>
      <w:r>
        <w:rPr>
          <w:rFonts w:ascii="ＭＳ 明朝" w:hint="eastAsia"/>
        </w:rPr>
        <w:t>は、会議の運営の観点から、公正又は円滑な審議が著しく阻害され、会議の目的が達成できないと認められる場合に、公開しないことができるとしたものである。この基準が適用されるのは、具体的には、開催阻止や審議への介入など物理的な障害が現実のものとして存在するか、又はそのような危険が予測される場合に限られるものであり、安易な適用は避けるべきである。</w:t>
      </w:r>
    </w:p>
    <w:p w:rsidR="0054048C" w:rsidRDefault="0054048C">
      <w:pPr>
        <w:rPr>
          <w:rFonts w:ascii="ＭＳ 明朝"/>
          <w:spacing w:val="2"/>
        </w:rPr>
      </w:pPr>
    </w:p>
    <w:p w:rsidR="0054048C" w:rsidRDefault="0054048C">
      <w:pPr>
        <w:rPr>
          <w:rFonts w:ascii="ＭＳ 明朝"/>
          <w:spacing w:val="2"/>
        </w:rPr>
      </w:pPr>
      <w:r>
        <w:rPr>
          <w:rFonts w:ascii="ＭＳ 明朝" w:hint="eastAsia"/>
        </w:rPr>
        <w:t>４　会議の公開・非公開の決定</w:t>
      </w:r>
    </w:p>
    <w:p w:rsidR="0054048C" w:rsidRDefault="0054048C">
      <w:pPr>
        <w:ind w:left="210" w:hangingChars="100" w:hanging="210"/>
        <w:rPr>
          <w:rFonts w:ascii="ＭＳ 明朝"/>
          <w:spacing w:val="2"/>
        </w:rPr>
      </w:pPr>
      <w:r>
        <w:rPr>
          <w:rFonts w:ascii="ＭＳ 明朝" w:hAnsi="ＭＳ 明朝"/>
        </w:rPr>
        <w:t xml:space="preserve">(1) </w:t>
      </w:r>
      <w:r>
        <w:rPr>
          <w:rFonts w:ascii="ＭＳ 明朝" w:hint="eastAsia"/>
        </w:rPr>
        <w:t>指針４は、審議会等の独立性を尊重するという考えから、審議会等が公開基準に基づ　き自主的に決定するとしたものである。この際、審議会等の担当課は、審議会等に対し、　上記３の要件を十分説明すること。</w:t>
      </w:r>
    </w:p>
    <w:p w:rsidR="0054048C" w:rsidRDefault="0054048C">
      <w:pPr>
        <w:rPr>
          <w:rFonts w:ascii="ＭＳ 明朝"/>
          <w:spacing w:val="2"/>
        </w:rPr>
      </w:pPr>
      <w:r>
        <w:rPr>
          <w:rFonts w:ascii="ＭＳ 明朝" w:hAnsi="ＭＳ 明朝"/>
        </w:rPr>
        <w:t xml:space="preserve">(2) </w:t>
      </w:r>
      <w:r>
        <w:rPr>
          <w:rFonts w:ascii="ＭＳ 明朝" w:hint="eastAsia"/>
        </w:rPr>
        <w:t>決定の方法は、次のように区分する。</w:t>
      </w:r>
    </w:p>
    <w:p w:rsidR="0054048C" w:rsidRDefault="0054048C">
      <w:pPr>
        <w:rPr>
          <w:rFonts w:ascii="ＭＳ 明朝"/>
          <w:spacing w:val="2"/>
        </w:rPr>
      </w:pPr>
      <w:r>
        <w:rPr>
          <w:rFonts w:ascii="ＭＳ 明朝" w:hint="eastAsia"/>
        </w:rPr>
        <w:t xml:space="preserve">　ア　公開をする場合　「公開」</w:t>
      </w:r>
    </w:p>
    <w:p w:rsidR="0054048C" w:rsidRDefault="0054048C">
      <w:pPr>
        <w:ind w:left="630" w:hangingChars="300" w:hanging="630"/>
        <w:rPr>
          <w:rFonts w:ascii="ＭＳ 明朝"/>
          <w:spacing w:val="2"/>
        </w:rPr>
      </w:pPr>
      <w:r>
        <w:rPr>
          <w:rFonts w:ascii="ＭＳ 明朝" w:hint="eastAsia"/>
        </w:rPr>
        <w:t xml:space="preserve">　　　なお、原則として公開するが、審議等の内容によっては「３　公開基準」のただし　　　書に該当することがあり得る場合は「公開」に含めること。</w:t>
      </w:r>
    </w:p>
    <w:p w:rsidR="0054048C" w:rsidRDefault="0054048C">
      <w:pPr>
        <w:rPr>
          <w:rFonts w:ascii="ＭＳ 明朝"/>
          <w:spacing w:val="2"/>
        </w:rPr>
      </w:pPr>
      <w:r>
        <w:rPr>
          <w:rFonts w:ascii="ＭＳ 明朝" w:hint="eastAsia"/>
        </w:rPr>
        <w:t xml:space="preserve">　イ　非公開とする場合　「非公開」</w:t>
      </w:r>
    </w:p>
    <w:p w:rsidR="0054048C" w:rsidRDefault="0054048C">
      <w:pPr>
        <w:ind w:left="630" w:hangingChars="300" w:hanging="630"/>
        <w:rPr>
          <w:rFonts w:ascii="ＭＳ 明朝"/>
          <w:spacing w:val="2"/>
        </w:rPr>
      </w:pPr>
      <w:r>
        <w:rPr>
          <w:rFonts w:ascii="ＭＳ 明朝" w:hint="eastAsia"/>
        </w:rPr>
        <w:lastRenderedPageBreak/>
        <w:t xml:space="preserve">　　　非公開と決定する場合は、その判断の公正さを担保するため、非公開の理由を明ら　　　かにすること。</w:t>
      </w:r>
    </w:p>
    <w:p w:rsidR="0054048C" w:rsidRDefault="0054048C">
      <w:pPr>
        <w:ind w:left="210" w:hangingChars="100" w:hanging="210"/>
        <w:rPr>
          <w:rFonts w:ascii="ＭＳ 明朝"/>
          <w:spacing w:val="2"/>
        </w:rPr>
      </w:pPr>
      <w:r>
        <w:rPr>
          <w:rFonts w:ascii="ＭＳ 明朝" w:hAnsi="ＭＳ 明朝"/>
        </w:rPr>
        <w:t xml:space="preserve">(3) </w:t>
      </w:r>
      <w:r>
        <w:rPr>
          <w:rFonts w:ascii="ＭＳ 明朝" w:hint="eastAsia"/>
        </w:rPr>
        <w:t>会議の公開又は非公開を決定した後、新たに審議する事項が追加される等の理由によ　り、当初の決定を変更しなければならない事情が生じた場合、審議会等は、その都度、上記</w:t>
      </w:r>
      <w:r>
        <w:rPr>
          <w:rFonts w:ascii="ＭＳ 明朝" w:hAnsi="ＭＳ 明朝"/>
        </w:rPr>
        <w:t>(2)</w:t>
      </w:r>
      <w:r>
        <w:rPr>
          <w:rFonts w:ascii="ＭＳ 明朝" w:hint="eastAsia"/>
        </w:rPr>
        <w:t>に準じて公開又は非公開を決定することになる。</w:t>
      </w:r>
    </w:p>
    <w:p w:rsidR="0054048C" w:rsidRPr="006E0BDE" w:rsidRDefault="0054048C">
      <w:pPr>
        <w:ind w:left="210" w:hangingChars="100" w:hanging="210"/>
        <w:rPr>
          <w:rFonts w:ascii="ＭＳ 明朝"/>
          <w:spacing w:val="2"/>
        </w:rPr>
      </w:pPr>
      <w:r w:rsidRPr="006E0BDE">
        <w:rPr>
          <w:rFonts w:ascii="ＭＳ 明朝" w:hAnsi="ＭＳ 明朝"/>
        </w:rPr>
        <w:t xml:space="preserve">(4) </w:t>
      </w:r>
      <w:r w:rsidRPr="006E0BDE">
        <w:rPr>
          <w:rFonts w:ascii="ＭＳ 明朝" w:hint="eastAsia"/>
        </w:rPr>
        <w:t>前２項の審議会等の公開・非公開の決定、変更等を行った場合は、各審議会等の所管　課は、インターネットの高知県ホームページ（以下「県ホームページ」という。）に掲載すること。</w:t>
      </w:r>
    </w:p>
    <w:p w:rsidR="0054048C" w:rsidRDefault="0054048C">
      <w:pPr>
        <w:rPr>
          <w:rFonts w:ascii="ＭＳ 明朝"/>
          <w:spacing w:val="2"/>
        </w:rPr>
      </w:pPr>
    </w:p>
    <w:p w:rsidR="0054048C" w:rsidRDefault="0054048C">
      <w:pPr>
        <w:rPr>
          <w:rFonts w:ascii="ＭＳ 明朝"/>
          <w:spacing w:val="2"/>
        </w:rPr>
      </w:pPr>
      <w:r>
        <w:rPr>
          <w:rFonts w:ascii="ＭＳ 明朝" w:hint="eastAsia"/>
        </w:rPr>
        <w:t>５　公開の方法等</w:t>
      </w:r>
    </w:p>
    <w:p w:rsidR="0054048C" w:rsidRDefault="0054048C">
      <w:pPr>
        <w:ind w:left="210" w:hangingChars="100" w:hanging="210"/>
        <w:rPr>
          <w:rFonts w:ascii="ＭＳ 明朝"/>
          <w:spacing w:val="2"/>
        </w:rPr>
      </w:pPr>
      <w:r>
        <w:rPr>
          <w:rFonts w:ascii="ＭＳ 明朝" w:hAnsi="ＭＳ 明朝"/>
        </w:rPr>
        <w:t xml:space="preserve">(1) </w:t>
      </w:r>
      <w:r>
        <w:rPr>
          <w:rFonts w:ascii="ＭＳ 明朝" w:hint="eastAsia"/>
        </w:rPr>
        <w:t>公開の方法は、傍聴を希望する者に当該会議の傍聴を認めることにより行うが、傍聴　席数や傍聴者への会議資料等の提供については、当該審議会等で自主的に判断すること。　　また、傍聴を認めるときは、傍聴要領を定めるなど会議中における会場の秩序維持に努めなければならない。</w:t>
      </w:r>
    </w:p>
    <w:p w:rsidR="0054048C" w:rsidRDefault="0054048C">
      <w:pPr>
        <w:rPr>
          <w:rFonts w:ascii="ＭＳ 明朝"/>
          <w:spacing w:val="2"/>
        </w:rPr>
      </w:pPr>
      <w:r>
        <w:rPr>
          <w:rFonts w:ascii="ＭＳ 明朝" w:hint="eastAsia"/>
        </w:rPr>
        <w:t xml:space="preserve">　　なお、傍聴者は、県民に限定するものではない。</w:t>
      </w:r>
    </w:p>
    <w:p w:rsidR="0054048C" w:rsidRDefault="0054048C">
      <w:pPr>
        <w:ind w:left="210" w:hangingChars="100" w:hanging="210"/>
        <w:rPr>
          <w:rFonts w:ascii="ＭＳ 明朝"/>
          <w:spacing w:val="2"/>
        </w:rPr>
      </w:pPr>
      <w:r>
        <w:rPr>
          <w:rFonts w:ascii="ＭＳ 明朝" w:hAnsi="ＭＳ 明朝"/>
        </w:rPr>
        <w:t xml:space="preserve">(2) </w:t>
      </w:r>
      <w:r>
        <w:rPr>
          <w:rFonts w:ascii="ＭＳ 明朝" w:hint="eastAsia"/>
        </w:rPr>
        <w:t>報道機関は審議状況を県民に明らかにする上で重要な役割を果たすものであることか　ら、その取材活動に配慮すること。</w:t>
      </w:r>
    </w:p>
    <w:p w:rsidR="0054048C" w:rsidRDefault="0054048C">
      <w:pPr>
        <w:ind w:left="210" w:hangingChars="100" w:hanging="210"/>
        <w:rPr>
          <w:rFonts w:ascii="ＭＳ 明朝"/>
          <w:spacing w:val="2"/>
        </w:rPr>
      </w:pPr>
      <w:r>
        <w:rPr>
          <w:rFonts w:ascii="ＭＳ 明朝" w:hAnsi="ＭＳ 明朝"/>
        </w:rPr>
        <w:t xml:space="preserve">(3) </w:t>
      </w:r>
      <w:r>
        <w:rPr>
          <w:rFonts w:ascii="ＭＳ 明朝" w:hint="eastAsia"/>
        </w:rPr>
        <w:t>公開した会議の会議資料及び会議録の写しの交付は、条例に基づく開示請求の手続に　よる。</w:t>
      </w:r>
    </w:p>
    <w:p w:rsidR="0054048C" w:rsidRPr="006E0BDE" w:rsidRDefault="0054048C">
      <w:pPr>
        <w:ind w:left="210" w:hangingChars="100" w:hanging="210"/>
        <w:rPr>
          <w:rFonts w:ascii="ＭＳ 明朝"/>
          <w:spacing w:val="2"/>
        </w:rPr>
      </w:pPr>
      <w:r w:rsidRPr="006E0BDE">
        <w:rPr>
          <w:rFonts w:ascii="ＭＳ 明朝" w:hAnsi="ＭＳ 明朝"/>
        </w:rPr>
        <w:t>(</w:t>
      </w:r>
      <w:r w:rsidRPr="006E0BDE">
        <w:t>4</w:t>
      </w:r>
      <w:r w:rsidRPr="006E0BDE">
        <w:rPr>
          <w:rFonts w:ascii="ＭＳ 明朝" w:hAnsi="ＭＳ 明朝"/>
        </w:rPr>
        <w:t>)</w:t>
      </w:r>
      <w:r w:rsidRPr="006E0BDE">
        <w:t xml:space="preserve"> </w:t>
      </w:r>
      <w:r w:rsidRPr="006E0BDE">
        <w:rPr>
          <w:rFonts w:hint="eastAsia"/>
        </w:rPr>
        <w:t>会議を非公開とした場合であっても、それをもって当然に当該会議に係る会議内容が　非開示となるものではないこと。このため、当該会議に係る事項に含まれる情報が、条例第</w:t>
      </w:r>
      <w:r w:rsidRPr="006E0BDE">
        <w:t>6</w:t>
      </w:r>
      <w:r w:rsidRPr="006E0BDE">
        <w:rPr>
          <w:rFonts w:hint="eastAsia"/>
        </w:rPr>
        <w:t>条に規定する非開示情報を除き、当該会議の会議要旨を公開しなければならない。</w:t>
      </w:r>
    </w:p>
    <w:p w:rsidR="0054048C" w:rsidRDefault="0054048C">
      <w:pPr>
        <w:rPr>
          <w:rFonts w:ascii="ＭＳ 明朝"/>
          <w:spacing w:val="2"/>
        </w:rPr>
      </w:pPr>
    </w:p>
    <w:p w:rsidR="0054048C" w:rsidRDefault="0054048C">
      <w:pPr>
        <w:rPr>
          <w:rFonts w:ascii="ＭＳ 明朝"/>
          <w:spacing w:val="2"/>
        </w:rPr>
      </w:pPr>
      <w:r>
        <w:rPr>
          <w:rFonts w:ascii="ＭＳ 明朝" w:hint="eastAsia"/>
        </w:rPr>
        <w:t>６　会議開催の周知</w:t>
      </w:r>
    </w:p>
    <w:p w:rsidR="0054048C" w:rsidRDefault="0054048C">
      <w:pPr>
        <w:rPr>
          <w:rFonts w:ascii="ＭＳ 明朝"/>
          <w:spacing w:val="2"/>
        </w:rPr>
      </w:pPr>
      <w:r>
        <w:rPr>
          <w:rFonts w:ascii="ＭＳ 明朝" w:hint="eastAsia"/>
        </w:rPr>
        <w:t xml:space="preserve">　指針６は、審議会等の会議の公開を事前に県民に知らせるための必要事項（以下「会議開催のお知らせ」という。）及び方法を定めたものであるが、具体的には次の方法によること。ただし、緊急に会議を開催する必要がある場合は、この限りではない。</w:t>
      </w:r>
    </w:p>
    <w:p w:rsidR="0054048C" w:rsidRPr="006E0BDE" w:rsidRDefault="0054048C">
      <w:pPr>
        <w:ind w:left="210" w:hangingChars="100" w:hanging="210"/>
        <w:rPr>
          <w:rFonts w:ascii="ＭＳ 明朝"/>
          <w:spacing w:val="2"/>
        </w:rPr>
      </w:pPr>
      <w:r w:rsidRPr="006E0BDE">
        <w:rPr>
          <w:rFonts w:ascii="ＭＳ 明朝" w:hAnsi="ＭＳ 明朝"/>
        </w:rPr>
        <w:t xml:space="preserve">(1) </w:t>
      </w:r>
      <w:r w:rsidRPr="006E0BDE">
        <w:rPr>
          <w:rFonts w:ascii="ＭＳ 明朝" w:hint="eastAsia"/>
        </w:rPr>
        <w:t>審議会等は、当該会議の開催日の２週間前までに「会議開催のお知らせ」を県ホーム　ページに掲載するとともに、イントラネットの「各種システム」中の「県政記者室配付資料登録」で登録を行い、報道機関に提供することとする。</w:t>
      </w:r>
    </w:p>
    <w:p w:rsidR="0054048C" w:rsidRPr="006E0BDE" w:rsidRDefault="0054048C">
      <w:pPr>
        <w:ind w:left="210" w:hangingChars="100" w:hanging="210"/>
        <w:rPr>
          <w:rFonts w:ascii="ＭＳ 明朝"/>
          <w:spacing w:val="2"/>
        </w:rPr>
      </w:pPr>
      <w:r w:rsidRPr="006E0BDE">
        <w:rPr>
          <w:rFonts w:ascii="ＭＳ 明朝" w:hAnsi="ＭＳ 明朝"/>
        </w:rPr>
        <w:t xml:space="preserve">(2) </w:t>
      </w:r>
      <w:r w:rsidR="000E1E1A" w:rsidRPr="006E0BDE">
        <w:rPr>
          <w:rFonts w:ascii="ＭＳ 明朝" w:hAnsi="ＭＳ 明朝" w:hint="eastAsia"/>
        </w:rPr>
        <w:t>文書情報</w:t>
      </w:r>
      <w:r w:rsidRPr="006E0BDE">
        <w:rPr>
          <w:rFonts w:ascii="ＭＳ 明朝" w:hint="eastAsia"/>
        </w:rPr>
        <w:t>課は、前１項の「会議開催のお知らせ」を別表の出先機関（以下「</w:t>
      </w:r>
      <w:r w:rsidR="000E1E1A" w:rsidRPr="006E0BDE">
        <w:rPr>
          <w:rFonts w:ascii="ＭＳ 明朝" w:hint="eastAsia"/>
        </w:rPr>
        <w:t>文書情報</w:t>
      </w:r>
      <w:r w:rsidRPr="006E0BDE">
        <w:rPr>
          <w:rFonts w:ascii="ＭＳ 明朝" w:hint="eastAsia"/>
        </w:rPr>
        <w:t xml:space="preserve">　課等」という。）に通知し、本庁舎の県民室に「会議開催のお知らせ」を掲示する。</w:t>
      </w:r>
    </w:p>
    <w:p w:rsidR="0054048C" w:rsidRPr="006E0BDE" w:rsidRDefault="0054048C">
      <w:pPr>
        <w:ind w:left="210" w:hangingChars="100" w:hanging="210"/>
        <w:rPr>
          <w:rFonts w:ascii="ＭＳ 明朝"/>
          <w:spacing w:val="2"/>
        </w:rPr>
      </w:pPr>
      <w:r w:rsidRPr="006E0BDE">
        <w:rPr>
          <w:rFonts w:ascii="ＭＳ 明朝" w:hint="eastAsia"/>
        </w:rPr>
        <w:t xml:space="preserve">　　また、通知を受けた出先機関は、各庁舎に「会議開催のお知らせ」を掲示し、又はそ　のファイルを備え置く。</w:t>
      </w:r>
    </w:p>
    <w:p w:rsidR="0054048C" w:rsidRDefault="0054048C">
      <w:pPr>
        <w:ind w:left="210" w:hangingChars="100" w:hanging="210"/>
        <w:rPr>
          <w:rFonts w:ascii="ＭＳ 明朝"/>
          <w:spacing w:val="2"/>
        </w:rPr>
      </w:pPr>
      <w:r>
        <w:rPr>
          <w:rFonts w:ascii="ＭＳ 明朝" w:hAnsi="ＭＳ 明朝"/>
        </w:rPr>
        <w:t xml:space="preserve">(3) </w:t>
      </w:r>
      <w:r>
        <w:rPr>
          <w:rFonts w:ascii="ＭＳ 明朝" w:hint="eastAsia"/>
        </w:rPr>
        <w:t>前２項の規定にかかわらず、特定の地域で、その地域に係る事項について審議する審　議会等の場合は、当該審議事項を所管する出先機関に限り「会議開催のお知らせ」を掲示し、又はそのファイルを備え置くことができる。</w:t>
      </w:r>
    </w:p>
    <w:p w:rsidR="00DD0BE1" w:rsidRDefault="0054048C">
      <w:pPr>
        <w:rPr>
          <w:rFonts w:ascii="ＭＳ 明朝"/>
        </w:rPr>
      </w:pPr>
      <w:r>
        <w:rPr>
          <w:rFonts w:ascii="ＭＳ 明朝" w:hAnsi="ＭＳ 明朝"/>
        </w:rPr>
        <w:t>(4)</w:t>
      </w:r>
      <w:r>
        <w:rPr>
          <w:rFonts w:ascii="ＭＳ 明朝" w:hint="eastAsia"/>
        </w:rPr>
        <w:t>上記のほか、さんＳＵＮ高知等の広報媒体をできるだけ活用すること。</w:t>
      </w:r>
    </w:p>
    <w:p w:rsidR="00DD0BE1" w:rsidRDefault="00DD0BE1">
      <w:pPr>
        <w:widowControl/>
        <w:jc w:val="left"/>
        <w:rPr>
          <w:rFonts w:ascii="ＭＳ 明朝"/>
        </w:rPr>
      </w:pPr>
      <w:r>
        <w:rPr>
          <w:rFonts w:ascii="ＭＳ 明朝"/>
        </w:rPr>
        <w:br w:type="page"/>
      </w:r>
    </w:p>
    <w:p w:rsidR="00DD0BE1" w:rsidRPr="00DD0BE1" w:rsidRDefault="00DD0BE1" w:rsidP="00DD0BE1">
      <w:pPr>
        <w:spacing w:before="240" w:after="240"/>
        <w:rPr>
          <w:rFonts w:hint="eastAsia"/>
          <w:sz w:val="24"/>
        </w:rPr>
      </w:pPr>
      <w:r w:rsidRPr="00DD0BE1">
        <w:rPr>
          <w:rFonts w:hint="eastAsia"/>
          <w:sz w:val="24"/>
        </w:rPr>
        <w:lastRenderedPageBreak/>
        <w:t>別表</w:t>
      </w:r>
    </w:p>
    <w:tbl>
      <w:tblPr>
        <w:tblStyle w:val="a7"/>
        <w:tblW w:w="0" w:type="auto"/>
        <w:tblInd w:w="108" w:type="dxa"/>
        <w:tblLook w:val="04A0"/>
      </w:tblPr>
      <w:tblGrid>
        <w:gridCol w:w="5954"/>
      </w:tblGrid>
      <w:tr w:rsidR="00DD0BE1" w:rsidTr="00DD0BE1">
        <w:tc>
          <w:tcPr>
            <w:tcW w:w="5954" w:type="dxa"/>
          </w:tcPr>
          <w:p w:rsidR="00DD0BE1" w:rsidRPr="00DD0BE1" w:rsidRDefault="00DD0BE1" w:rsidP="00DD0BE1">
            <w:pPr>
              <w:spacing w:before="240" w:after="240"/>
              <w:ind w:leftChars="200" w:left="420"/>
              <w:rPr>
                <w:sz w:val="24"/>
              </w:rPr>
            </w:pPr>
            <w:r w:rsidRPr="00DD0BE1">
              <w:rPr>
                <w:rFonts w:hint="eastAsia"/>
                <w:sz w:val="24"/>
              </w:rPr>
              <w:t>出先機関名</w:t>
            </w:r>
          </w:p>
        </w:tc>
      </w:tr>
      <w:tr w:rsidR="00DD0BE1" w:rsidTr="00DD0BE1">
        <w:tc>
          <w:tcPr>
            <w:tcW w:w="5954" w:type="dxa"/>
          </w:tcPr>
          <w:p w:rsidR="00DD0BE1" w:rsidRPr="00DD0BE1" w:rsidRDefault="00DD0BE1" w:rsidP="00DD0BE1">
            <w:pPr>
              <w:spacing w:before="240" w:after="240"/>
              <w:ind w:leftChars="200" w:left="420"/>
              <w:rPr>
                <w:sz w:val="24"/>
              </w:rPr>
            </w:pPr>
            <w:r w:rsidRPr="00DD0BE1">
              <w:rPr>
                <w:rFonts w:hint="eastAsia"/>
                <w:sz w:val="24"/>
              </w:rPr>
              <w:t>安芸福祉保健所</w:t>
            </w:r>
          </w:p>
        </w:tc>
      </w:tr>
      <w:tr w:rsidR="00DD0BE1" w:rsidTr="00DD0BE1">
        <w:tc>
          <w:tcPr>
            <w:tcW w:w="5954" w:type="dxa"/>
          </w:tcPr>
          <w:p w:rsidR="00DD0BE1" w:rsidRPr="00DD0BE1" w:rsidRDefault="00DD0BE1" w:rsidP="00DD0BE1">
            <w:pPr>
              <w:spacing w:before="240" w:after="240"/>
              <w:ind w:leftChars="200" w:left="420"/>
              <w:rPr>
                <w:sz w:val="24"/>
              </w:rPr>
            </w:pPr>
            <w:r w:rsidRPr="00DD0BE1">
              <w:rPr>
                <w:rFonts w:hint="eastAsia"/>
                <w:sz w:val="24"/>
              </w:rPr>
              <w:t>中央東福祉保健所</w:t>
            </w:r>
          </w:p>
        </w:tc>
      </w:tr>
      <w:tr w:rsidR="00DD0BE1" w:rsidTr="00DD0BE1">
        <w:tc>
          <w:tcPr>
            <w:tcW w:w="5954" w:type="dxa"/>
          </w:tcPr>
          <w:p w:rsidR="00DD0BE1" w:rsidRPr="00DD0BE1" w:rsidRDefault="00DD0BE1" w:rsidP="00DD0BE1">
            <w:pPr>
              <w:spacing w:before="240" w:after="240"/>
              <w:ind w:leftChars="200" w:left="420"/>
              <w:rPr>
                <w:sz w:val="24"/>
              </w:rPr>
            </w:pPr>
            <w:r w:rsidRPr="00DD0BE1">
              <w:rPr>
                <w:rFonts w:hint="eastAsia"/>
                <w:sz w:val="24"/>
              </w:rPr>
              <w:t>中央西福祉保健所</w:t>
            </w:r>
          </w:p>
        </w:tc>
      </w:tr>
      <w:tr w:rsidR="00DD0BE1" w:rsidTr="00DD0BE1">
        <w:tc>
          <w:tcPr>
            <w:tcW w:w="5954" w:type="dxa"/>
          </w:tcPr>
          <w:p w:rsidR="00DD0BE1" w:rsidRPr="00DD0BE1" w:rsidRDefault="00DD0BE1" w:rsidP="00DD0BE1">
            <w:pPr>
              <w:spacing w:before="240" w:after="240"/>
              <w:ind w:leftChars="200" w:left="420"/>
              <w:rPr>
                <w:sz w:val="24"/>
              </w:rPr>
            </w:pPr>
            <w:r w:rsidRPr="00DD0BE1">
              <w:rPr>
                <w:rFonts w:hint="eastAsia"/>
                <w:sz w:val="24"/>
              </w:rPr>
              <w:t>須崎農業振興センター</w:t>
            </w:r>
          </w:p>
        </w:tc>
      </w:tr>
      <w:tr w:rsidR="00DD0BE1" w:rsidTr="00DD0BE1">
        <w:tc>
          <w:tcPr>
            <w:tcW w:w="5954" w:type="dxa"/>
          </w:tcPr>
          <w:p w:rsidR="00DD0BE1" w:rsidRPr="00DD0BE1" w:rsidRDefault="00DD0BE1" w:rsidP="00DD0BE1">
            <w:pPr>
              <w:spacing w:before="240" w:after="240"/>
              <w:ind w:leftChars="200" w:left="420"/>
              <w:rPr>
                <w:sz w:val="24"/>
              </w:rPr>
            </w:pPr>
            <w:r w:rsidRPr="00DD0BE1">
              <w:rPr>
                <w:rFonts w:hint="eastAsia"/>
                <w:sz w:val="24"/>
              </w:rPr>
              <w:t>幡多福祉保健所</w:t>
            </w:r>
          </w:p>
        </w:tc>
      </w:tr>
    </w:tbl>
    <w:p w:rsidR="00DD0BE1" w:rsidRDefault="00DD0BE1" w:rsidP="00DD0BE1">
      <w:pPr>
        <w:spacing w:before="240" w:after="240"/>
      </w:pPr>
    </w:p>
    <w:sectPr w:rsidR="00DD0BE1" w:rsidSect="00391D69">
      <w:pgSz w:w="11906" w:h="16838"/>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48C" w:rsidRDefault="0054048C" w:rsidP="000E1E1A">
      <w:r>
        <w:separator/>
      </w:r>
    </w:p>
  </w:endnote>
  <w:endnote w:type="continuationSeparator" w:id="0">
    <w:p w:rsidR="0054048C" w:rsidRDefault="0054048C" w:rsidP="000E1E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48C" w:rsidRDefault="0054048C" w:rsidP="000E1E1A">
      <w:r>
        <w:separator/>
      </w:r>
    </w:p>
  </w:footnote>
  <w:footnote w:type="continuationSeparator" w:id="0">
    <w:p w:rsidR="0054048C" w:rsidRDefault="0054048C" w:rsidP="000E1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E1A"/>
    <w:rsid w:val="000E1E1A"/>
    <w:rsid w:val="00391D69"/>
    <w:rsid w:val="0054048C"/>
    <w:rsid w:val="006E0BDE"/>
    <w:rsid w:val="00DD0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1E1A"/>
    <w:pPr>
      <w:tabs>
        <w:tab w:val="center" w:pos="4252"/>
        <w:tab w:val="right" w:pos="8504"/>
      </w:tabs>
      <w:snapToGrid w:val="0"/>
    </w:pPr>
  </w:style>
  <w:style w:type="character" w:customStyle="1" w:styleId="a4">
    <w:name w:val="ヘッダー (文字)"/>
    <w:basedOn w:val="a0"/>
    <w:link w:val="a3"/>
    <w:uiPriority w:val="99"/>
    <w:semiHidden/>
    <w:rsid w:val="000E1E1A"/>
    <w:rPr>
      <w:kern w:val="2"/>
      <w:sz w:val="21"/>
      <w:szCs w:val="24"/>
    </w:rPr>
  </w:style>
  <w:style w:type="paragraph" w:styleId="a5">
    <w:name w:val="footer"/>
    <w:basedOn w:val="a"/>
    <w:link w:val="a6"/>
    <w:uiPriority w:val="99"/>
    <w:semiHidden/>
    <w:unhideWhenUsed/>
    <w:rsid w:val="000E1E1A"/>
    <w:pPr>
      <w:tabs>
        <w:tab w:val="center" w:pos="4252"/>
        <w:tab w:val="right" w:pos="8504"/>
      </w:tabs>
      <w:snapToGrid w:val="0"/>
    </w:pPr>
  </w:style>
  <w:style w:type="character" w:customStyle="1" w:styleId="a6">
    <w:name w:val="フッター (文字)"/>
    <w:basedOn w:val="a0"/>
    <w:link w:val="a5"/>
    <w:uiPriority w:val="99"/>
    <w:semiHidden/>
    <w:rsid w:val="000E1E1A"/>
    <w:rPr>
      <w:kern w:val="2"/>
      <w:sz w:val="21"/>
      <w:szCs w:val="24"/>
    </w:rPr>
  </w:style>
  <w:style w:type="table" w:styleId="a7">
    <w:name w:val="Table Grid"/>
    <w:basedOn w:val="a1"/>
    <w:uiPriority w:val="59"/>
    <w:rsid w:val="00DD0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2195</Words>
  <Characters>167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審議会等の会議の公開に関する指針の運用方針</vt:lpstr>
      <vt:lpstr>審議会等の会議の公開に関する指針の運用方針</vt:lpstr>
    </vt:vector>
  </TitlesOfParts>
  <Company>高知県</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審議会等の会議の公開に関する指針の運用方針</dc:title>
  <dc:creator>高知県</dc:creator>
  <cp:lastModifiedBy>文書情報課</cp:lastModifiedBy>
  <cp:revision>3</cp:revision>
  <dcterms:created xsi:type="dcterms:W3CDTF">2016-01-14T02:18:00Z</dcterms:created>
  <dcterms:modified xsi:type="dcterms:W3CDTF">2016-01-22T01:43:00Z</dcterms:modified>
</cp:coreProperties>
</file>