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ind w:leftChars="0" w:firstLineChars="0"/>
        <w:jc w:val="left"/>
        <w:rPr>
          <w:rFonts w:hint="default" w:asciiTheme="minorEastAsia" w:hAnsiTheme="minorEastAsia"/>
          <w:b w:val="1"/>
          <w:sz w:val="28"/>
        </w:rPr>
      </w:pPr>
      <w:r>
        <w:rPr>
          <w:rFonts w:hint="eastAsia" w:asciiTheme="minorEastAsia" w:hAnsiTheme="minorEastAsia"/>
          <w:b w:val="1"/>
          <w:sz w:val="28"/>
        </w:rPr>
        <w:t>新型コロナウイルス感染症に係る３月利用分の放課後等デイサービス費</w:t>
      </w:r>
    </w:p>
    <w:p>
      <w:pPr>
        <w:pStyle w:val="0"/>
        <w:spacing w:line="0" w:lineRule="atLeast"/>
        <w:ind w:leftChars="0" w:firstLineChars="0"/>
        <w:jc w:val="left"/>
        <w:rPr>
          <w:rFonts w:hint="default" w:asciiTheme="minorEastAsia" w:hAnsiTheme="minorEastAsia"/>
          <w:b w:val="1"/>
          <w:sz w:val="28"/>
        </w:rPr>
      </w:pPr>
      <w:r>
        <w:rPr>
          <w:rFonts w:hint="eastAsia" w:asciiTheme="minorEastAsia" w:hAnsiTheme="minorEastAsia"/>
          <w:b w:val="1"/>
          <w:sz w:val="28"/>
        </w:rPr>
        <w:t>請求について</w:t>
      </w:r>
    </w:p>
    <w:p>
      <w:pPr>
        <w:pStyle w:val="0"/>
        <w:spacing w:line="120" w:lineRule="atLeast"/>
        <w:jc w:val="center"/>
        <w:rPr>
          <w:rFonts w:hint="default"/>
          <w:b w:val="1"/>
          <w:sz w:val="20"/>
          <w:bdr w:val="single" w:color="auto" w:sz="4" w:space="0"/>
        </w:rPr>
      </w:pPr>
      <w:r>
        <w:rPr>
          <w:rFonts w:hint="eastAsia"/>
          <w:b w:val="1"/>
          <w:sz w:val="20"/>
          <w:bdr w:val="single" w:color="auto" w:sz="4" w:space="0"/>
        </w:rPr>
        <w:t>請求抜かりや誤りがないこと等、厳重なチェックの上、請求していただくようお願いします。</w:t>
      </w:r>
    </w:p>
    <w:p>
      <w:pPr>
        <w:pStyle w:val="0"/>
        <w:spacing w:line="120" w:lineRule="atLeast"/>
        <w:rPr>
          <w:rFonts w:hint="default"/>
          <w:b w:val="1"/>
          <w:sz w:val="26"/>
        </w:rPr>
      </w:pPr>
      <w:r>
        <w:rPr>
          <w:rFonts w:hint="eastAsia"/>
          <w:b w:val="1"/>
          <w:sz w:val="26"/>
        </w:rPr>
        <w:t>１　実績記録票の記載について</w:t>
      </w:r>
    </w:p>
    <w:p>
      <w:pPr>
        <w:pStyle w:val="0"/>
        <w:spacing w:line="240" w:lineRule="auto"/>
        <w:rPr>
          <w:rFonts w:hint="default"/>
          <w:b w:val="1"/>
          <w:sz w:val="21"/>
        </w:rPr>
      </w:pPr>
      <w:r>
        <w:rPr>
          <w:rFonts w:hint="eastAsia"/>
          <w:b w:val="1"/>
          <w:sz w:val="21"/>
        </w:rPr>
        <w:t>（備考欄に記載できない場合は、市町村に対し事前連絡のうえ</w:t>
      </w:r>
      <w:r>
        <w:rPr>
          <w:rFonts w:hint="eastAsia"/>
          <w:b w:val="1"/>
          <w:sz w:val="21"/>
        </w:rPr>
        <w:t>4</w:t>
      </w:r>
      <w:r>
        <w:rPr>
          <w:rFonts w:hint="eastAsia"/>
          <w:b w:val="1"/>
          <w:sz w:val="21"/>
        </w:rPr>
        <w:t>月中旬までに紙でご提出ください。）</w:t>
      </w:r>
    </w:p>
    <w:p>
      <w:pPr>
        <w:pStyle w:val="0"/>
        <w:spacing w:line="120" w:lineRule="atLeast"/>
        <w:ind w:firstLine="210" w:firstLineChars="100"/>
        <w:rPr>
          <w:rFonts w:hint="default" w:asciiTheme="minorEastAsia" w:hAnsiTheme="minorEastAsia"/>
        </w:rPr>
      </w:pPr>
      <w:r>
        <w:rPr>
          <w:rFonts w:hint="eastAsia" w:asciiTheme="minorEastAsia" w:hAnsiTheme="minorEastAsia"/>
        </w:rPr>
        <w:t>記載する期間は</w:t>
      </w:r>
      <w:r>
        <w:rPr>
          <w:rFonts w:hint="eastAsia" w:asciiTheme="minorEastAsia" w:hAnsiTheme="minorEastAsia" w:eastAsiaTheme="minorEastAsia"/>
        </w:rPr>
        <w:t>、</w:t>
      </w:r>
      <w:r>
        <w:rPr>
          <w:rFonts w:hint="eastAsia" w:asciiTheme="minorEastAsia" w:hAnsiTheme="minorEastAsia"/>
          <w:b w:val="1"/>
          <w:u w:val="single" w:color="auto"/>
        </w:rPr>
        <w:t>利用者の通う学校の臨時休業開始日～利用者の通う学校の春休みの前日までの利用分</w:t>
      </w:r>
      <w:r>
        <w:rPr>
          <w:rFonts w:hint="eastAsia" w:asciiTheme="minorEastAsia" w:hAnsiTheme="minorEastAsia"/>
        </w:rPr>
        <w:t>です。対象期間は利用者ごとに異なりますので、ご留意ください。</w:t>
      </w:r>
    </w:p>
    <w:p>
      <w:pPr>
        <w:pStyle w:val="0"/>
        <w:spacing w:line="120" w:lineRule="atLeast"/>
        <w:ind w:firstLine="210" w:firstLineChars="100"/>
        <w:rPr>
          <w:rFonts w:hint="default" w:asciiTheme="minorEastAsia" w:hAnsiTheme="minorEastAsia"/>
          <w:b w:val="1"/>
          <w:sz w:val="26"/>
        </w:rPr>
      </w:pPr>
      <w:r>
        <w:rPr>
          <w:rFonts w:hint="eastAsia" w:asciiTheme="minorEastAsia" w:hAnsiTheme="minorEastAsia"/>
        </w:rPr>
        <w:t>また</w:t>
      </w:r>
      <w:r>
        <w:rPr>
          <w:rFonts w:hint="eastAsia" w:asciiTheme="minorEastAsia" w:hAnsiTheme="minorEastAsia" w:eastAsiaTheme="minorEastAsia"/>
        </w:rPr>
        <w:t>、</w:t>
      </w:r>
      <w:r>
        <w:rPr>
          <w:rFonts w:hint="eastAsia" w:asciiTheme="minorEastAsia" w:hAnsiTheme="minorEastAsia"/>
        </w:rPr>
        <w:t>この期間の報酬は平日（月～金曜日）であっても</w:t>
      </w:r>
      <w:r>
        <w:rPr>
          <w:rFonts w:hint="eastAsia" w:asciiTheme="minorEastAsia" w:hAnsiTheme="minorEastAsia"/>
          <w:b w:val="1"/>
          <w:u w:val="single" w:color="auto"/>
        </w:rPr>
        <w:t>「休業日」</w:t>
      </w:r>
      <w:r>
        <w:rPr>
          <w:rFonts w:hint="eastAsia" w:asciiTheme="minorEastAsia" w:hAnsiTheme="minorEastAsia"/>
        </w:rPr>
        <w:t>として取り扱います。</w:t>
      </w:r>
    </w:p>
    <w:p>
      <w:pPr>
        <w:pStyle w:val="0"/>
        <w:spacing w:line="240" w:lineRule="atLeast"/>
        <w:ind w:firstLine="210" w:firstLineChars="100"/>
        <w:rPr>
          <w:rFonts w:hint="default"/>
        </w:rPr>
      </w:pPr>
      <w:r>
        <w:rPr>
          <w:rFonts w:hint="eastAsia"/>
        </w:rPr>
        <w:t>なお、以下のいずれかに該当する場合は、コロナにおける例外的な取扱いのため</w:t>
      </w:r>
      <w:r>
        <w:rPr>
          <w:rFonts w:hint="eastAsia"/>
          <w:b w:val="1"/>
          <w:u w:val="single" w:color="auto"/>
        </w:rPr>
        <w:t>必ず入力</w:t>
      </w:r>
      <w:r>
        <w:rPr>
          <w:rFonts w:hint="eastAsia"/>
        </w:rPr>
        <w:t>をお願いいたします。</w:t>
      </w:r>
    </w:p>
    <w:p>
      <w:pPr>
        <w:pStyle w:val="0"/>
        <w:spacing w:line="360" w:lineRule="exact"/>
        <w:ind w:firstLine="210" w:firstLineChars="100"/>
        <w:rPr>
          <w:rFonts w:hint="default"/>
        </w:rPr>
      </w:pPr>
      <w:r>
        <w:rPr>
          <w:rFonts w:hint="eastAsia"/>
        </w:rPr>
        <w:t>①</w:t>
      </w:r>
      <w:r>
        <w:rPr>
          <w:rFonts w:hint="eastAsia"/>
        </w:rPr>
        <w:t xml:space="preserve"> </w:t>
      </w:r>
      <w:r>
        <w:rPr>
          <w:rFonts w:hint="eastAsia"/>
        </w:rPr>
        <w:t>コロナによる臨時休業で</w:t>
      </w:r>
      <w:r>
        <w:rPr>
          <w:rFonts w:hint="eastAsia"/>
          <w:bdr w:val="single" w:color="auto" w:sz="4" w:space="0"/>
        </w:rPr>
        <w:t>日数</w:t>
      </w:r>
      <w:r>
        <w:rPr>
          <w:rFonts w:hint="eastAsia"/>
        </w:rPr>
        <w:t>が増えた利用分（支援計画に予定がなかった利用分）</w:t>
      </w:r>
    </w:p>
    <w:p>
      <w:pPr>
        <w:pStyle w:val="0"/>
        <w:spacing w:line="360" w:lineRule="exact"/>
        <w:rPr>
          <w:rFonts w:hint="default"/>
        </w:rPr>
      </w:pPr>
      <w:r>
        <w:rPr>
          <w:rFonts w:hint="eastAsia"/>
        </w:rPr>
        <w:t>　　</w:t>
      </w:r>
      <w:r>
        <w:rPr>
          <w:rFonts w:hint="eastAsia"/>
        </w:rPr>
        <w:t xml:space="preserve"> </w:t>
      </w:r>
      <w:r>
        <w:rPr>
          <w:rFonts w:hint="eastAsia"/>
        </w:rPr>
        <w:t>実績記録票の備考欄に「１」を記載してください。</w:t>
      </w:r>
    </w:p>
    <w:p>
      <w:pPr>
        <w:pStyle w:val="0"/>
        <w:spacing w:before="180" w:beforeLines="50" w:beforeAutospacing="0" w:line="120" w:lineRule="atLeast"/>
        <w:ind w:firstLine="210" w:firstLineChars="100"/>
        <w:rPr>
          <w:rFonts w:hint="default"/>
        </w:rPr>
      </w:pPr>
      <w:r>
        <w:rPr>
          <w:rFonts w:hint="eastAsia"/>
        </w:rPr>
        <w:t>②</w:t>
      </w:r>
      <w:r>
        <w:rPr>
          <w:rFonts w:hint="eastAsia"/>
        </w:rPr>
        <w:t xml:space="preserve"> </w:t>
      </w:r>
      <w:r>
        <w:rPr>
          <w:rFonts w:hint="eastAsia"/>
        </w:rPr>
        <w:t>利用者の学校</w:t>
      </w:r>
    </w:p>
    <w:p>
      <w:pPr>
        <w:pStyle w:val="0"/>
        <w:ind w:left="420" w:hanging="420" w:hangingChars="200"/>
        <w:rPr>
          <w:rFonts w:hint="default"/>
        </w:rPr>
      </w:pPr>
      <w:r>
        <w:rPr>
          <w:rFonts w:hint="eastAsia"/>
        </w:rPr>
        <w:t>　　</w:t>
      </w:r>
      <w:r>
        <w:rPr>
          <w:rFonts w:hint="eastAsia"/>
        </w:rPr>
        <w:t xml:space="preserve"> </w:t>
      </w:r>
      <w:r>
        <w:rPr>
          <w:rFonts w:hint="eastAsia"/>
        </w:rPr>
        <w:t>市立学校は「市」、県立学校は「県」、国立学校は「国」、私立学校は「学校名」を学校の臨時休業になった日以降の</w:t>
      </w:r>
      <w:r>
        <w:rPr>
          <w:rFonts w:hint="eastAsia"/>
          <w:b w:val="1"/>
          <w:u w:val="single" w:color="auto"/>
        </w:rPr>
        <w:t>初回のみ</w:t>
      </w:r>
      <w:r>
        <w:rPr>
          <w:rFonts w:hint="eastAsia"/>
        </w:rPr>
        <w:t>記載してください。</w:t>
      </w:r>
    </w:p>
    <w:p>
      <w:pPr>
        <w:pStyle w:val="0"/>
        <w:spacing w:before="180" w:beforeLines="50" w:beforeAutospacing="0" w:line="0" w:lineRule="atLeast"/>
        <w:ind w:firstLine="210" w:firstLineChars="100"/>
        <w:rPr>
          <w:rFonts w:hint="default"/>
        </w:rPr>
      </w:pPr>
      <w:r>
        <w:rPr>
          <w:rFonts w:hint="eastAsia"/>
        </w:rPr>
        <w:t>③</w:t>
      </w:r>
      <w:r>
        <w:rPr>
          <w:rFonts w:hint="eastAsia"/>
        </w:rPr>
        <w:t xml:space="preserve"> </w:t>
      </w:r>
      <w:r>
        <w:rPr>
          <w:rFonts w:hint="eastAsia"/>
        </w:rPr>
        <w:t>コロナによる臨時休業で</w:t>
      </w:r>
      <w:r>
        <w:rPr>
          <w:rFonts w:hint="eastAsia"/>
          <w:bdr w:val="single" w:color="auto" w:sz="4" w:space="0"/>
        </w:rPr>
        <w:t>営業前延長支援</w:t>
      </w:r>
      <w:r>
        <w:rPr>
          <w:rFonts w:hint="eastAsia"/>
        </w:rPr>
        <w:t>が増えた利用分（支援計画の予定日）</w:t>
      </w:r>
    </w:p>
    <w:p>
      <w:pPr>
        <w:pStyle w:val="0"/>
        <w:ind w:left="420" w:hanging="420" w:hangingChars="200"/>
        <w:rPr>
          <w:rFonts w:hint="default"/>
        </w:rPr>
      </w:pPr>
      <w:r>
        <w:rPr>
          <w:rFonts w:hint="eastAsia"/>
        </w:rPr>
        <w:t>　　</w:t>
      </w:r>
      <w:r>
        <w:rPr>
          <w:rFonts w:hint="eastAsia"/>
        </w:rPr>
        <w:t xml:space="preserve"> </w:t>
      </w:r>
      <w:r>
        <w:rPr>
          <w:rFonts w:hint="eastAsia"/>
        </w:rPr>
        <w:t>実績記録票の備考欄に「延長」を記載してください。</w:t>
      </w:r>
    </w:p>
    <w:p>
      <w:pPr>
        <w:pStyle w:val="0"/>
        <w:spacing w:before="180" w:beforeLines="50" w:beforeAutospacing="0"/>
        <w:ind w:firstLine="210" w:firstLineChars="100"/>
        <w:rPr>
          <w:rFonts w:hint="default"/>
        </w:rPr>
      </w:pPr>
      <w:r>
        <w:rPr>
          <w:rFonts w:hint="eastAsia"/>
        </w:rPr>
        <w:t>④</w:t>
      </w:r>
      <w:r>
        <w:rPr>
          <w:rFonts w:hint="eastAsia"/>
        </w:rPr>
        <w:t xml:space="preserve"> </w:t>
      </w:r>
      <w:r>
        <w:rPr>
          <w:rFonts w:hint="eastAsia"/>
        </w:rPr>
        <w:t>特例的提供対象者の利用分</w:t>
      </w:r>
    </w:p>
    <w:p>
      <w:pPr>
        <w:pStyle w:val="0"/>
        <w:rPr>
          <w:rFonts w:hint="default"/>
        </w:rPr>
      </w:pPr>
      <w:r>
        <w:rPr>
          <w:rFonts w:hint="eastAsia"/>
        </w:rPr>
        <w:t>　　</w:t>
      </w:r>
      <w:r>
        <w:rPr>
          <w:rFonts w:hint="eastAsia"/>
        </w:rPr>
        <w:t xml:space="preserve"> </w:t>
      </w:r>
      <w:r>
        <w:rPr>
          <w:rFonts w:hint="eastAsia"/>
        </w:rPr>
        <w:t>特例的提供（訪問）又は、特例的提供（電話等）の記載をしてください。</w:t>
      </w:r>
    </w:p>
    <w:p>
      <w:pPr>
        <w:pStyle w:val="0"/>
        <w:ind w:firstLine="210" w:firstLineChars="100"/>
        <w:rPr>
          <w:rFonts w:hint="default"/>
        </w:rPr>
      </w:pPr>
      <w:r>
        <w:rPr>
          <w:rFonts w:hint="eastAsia"/>
        </w:rPr>
        <w:t>※</w:t>
      </w:r>
      <w:r>
        <w:rPr>
          <w:rFonts w:hint="eastAsia"/>
        </w:rPr>
        <w:t xml:space="preserve"> </w:t>
      </w:r>
      <w:r>
        <w:rPr>
          <w:rFonts w:hint="eastAsia"/>
        </w:rPr>
        <w:t>不定期利用者の場合は、コロナによる臨時休業での利用か保護者に確認してください。</w:t>
      </w:r>
    </w:p>
    <w:p>
      <w:pPr>
        <w:pStyle w:val="0"/>
        <w:rPr>
          <w:rFonts w:hint="default"/>
          <w:b w:val="1"/>
          <w:sz w:val="28"/>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327660</wp:posOffset>
                </wp:positionH>
                <wp:positionV relativeFrom="paragraph">
                  <wp:posOffset>100330</wp:posOffset>
                </wp:positionV>
                <wp:extent cx="1524000" cy="523875"/>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1524000" cy="523875"/>
                        </a:xfrm>
                        <a:prstGeom prst="rect">
                          <a:avLst/>
                        </a:prstGeom>
                        <a:solidFill>
                          <a:schemeClr val="bg1"/>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color w:val="000000" w:themeColor="text1"/>
                                <w:sz w:val="21"/>
                              </w:rPr>
                            </w:pPr>
                            <w:r>
                              <w:rPr>
                                <w:rFonts w:hint="eastAsia"/>
                                <w:b w:val="1"/>
                                <w:color w:val="000000" w:themeColor="text1"/>
                                <w:sz w:val="21"/>
                              </w:rPr>
                              <w:t>臨時休業以降が対象</w:t>
                            </w:r>
                          </w:p>
                        </w:txbxContent>
                      </wps:txbx>
                      <wps:bodyPr vertOverflow="overflow" horzOverflow="overflow" wrap="square" anchor="ctr"/>
                    </wps:wsp>
                  </a:graphicData>
                </a:graphic>
              </wp:anchor>
            </w:drawing>
          </mc:Choice>
          <mc:Fallback>
            <w:pict>
              <v:rect id="オブジェクト 0" style="mso-wrap-distance-right:16pt;mso-wrap-distance-bottom:0pt;margin-top:7.9pt;mso-position-vertical-relative:text;mso-position-horizontal-relative:text;v-text-anchor:middle;position:absolute;height:41.25pt;mso-wrap-distance-top:0pt;width:120pt;mso-wrap-distance-left:16pt;margin-left:25.8pt;z-index:2;" o:spid="_x0000_s1026" o:allowincell="t" o:allowoverlap="t" filled="t" fillcolor="#ffffff [3212]" stroked="f" strokecolor="#42709c" strokeweight="1pt" o:spt="1">
                <v:fill/>
                <v:stroke linestyle="single" miterlimit="8" endcap="flat" dashstyle="solid"/>
                <v:textbox style="layout-flow:horizontal;">
                  <w:txbxContent>
                    <w:p>
                      <w:pPr>
                        <w:pStyle w:val="0"/>
                        <w:rPr>
                          <w:rFonts w:hint="eastAsia"/>
                          <w:color w:val="000000" w:themeColor="text1"/>
                          <w:sz w:val="21"/>
                        </w:rPr>
                      </w:pPr>
                      <w:r>
                        <w:rPr>
                          <w:rFonts w:hint="eastAsia"/>
                          <w:b w:val="1"/>
                          <w:color w:val="000000" w:themeColor="text1"/>
                          <w:sz w:val="21"/>
                        </w:rPr>
                        <w:t>臨時休業以降が対象</w:t>
                      </w:r>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3152140</wp:posOffset>
                </wp:positionH>
                <wp:positionV relativeFrom="paragraph">
                  <wp:posOffset>1677035</wp:posOffset>
                </wp:positionV>
                <wp:extent cx="942975" cy="1714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942975" cy="171450"/>
                        </a:xfrm>
                        <a:prstGeom prst="rect">
                          <a:avLst/>
                        </a:prstGeom>
                        <a:solidFill>
                          <a:schemeClr val="bg1"/>
                        </a:solidFill>
                        <a:ln w="12700" cap="flat" cmpd="sng" algn="ctr">
                          <a:solidFill>
                            <a:schemeClr val="bg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32.05000000000001pt;mso-position-vertical-relative:text;mso-position-horizontal-relative:text;position:absolute;height:13.5pt;mso-wrap-distance-top:0pt;width:74.25pt;mso-wrap-distance-left:16pt;margin-left:248.2pt;z-index:3;" o:spid="_x0000_s1027" o:allowincell="t" o:allowoverlap="t" filled="t" fillcolor="#ffffff [3212]" stroked="t" strokecolor="#ffffff [3212]" strokeweight="1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71755" distR="71755" simplePos="0" relativeHeight="4" behindDoc="0" locked="0" layoutInCell="1" hidden="0" allowOverlap="1">
                <wp:simplePos x="0" y="0"/>
                <wp:positionH relativeFrom="column">
                  <wp:posOffset>813435</wp:posOffset>
                </wp:positionH>
                <wp:positionV relativeFrom="paragraph">
                  <wp:posOffset>1243330</wp:posOffset>
                </wp:positionV>
                <wp:extent cx="361950" cy="13144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361950" cy="131445"/>
                        </a:xfrm>
                        <a:prstGeom prst="rect">
                          <a:avLst/>
                        </a:prstGeom>
                        <a:solidFill>
                          <a:schemeClr val="bg1"/>
                        </a:solidFill>
                        <a:ln w="6350" cmpd="sng">
                          <a:solidFill>
                            <a:schemeClr val="bg1"/>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anchor="t"/>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97.9pt;mso-position-vertical-relative:text;mso-position-horizontal-relative:text;v-text-anchor:top;position:absolute;height:10.35pt;mso-wrap-distance-top:0pt;width:28.5pt;mso-wrap-distance-left:5.65pt;margin-left:64.05pt;z-index:4;" o:spid="_x0000_s1028" o:allowincell="t" o:allowoverlap="t" filled="t" fillcolor="#ffffff [3212]" stroked="t" strokecolor="#ffffff [3212]"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rPr>
        <w:drawing>
          <wp:inline distT="0" distB="0" distL="0" distR="0">
            <wp:extent cx="5253355" cy="3882390"/>
            <wp:effectExtent l="0" t="0" r="0" b="0"/>
            <wp:docPr id="1029" name="Picture 2"/>
            <a:graphic xmlns:a="http://schemas.openxmlformats.org/drawingml/2006/main">
              <a:graphicData uri="http://schemas.openxmlformats.org/drawingml/2006/picture">
                <pic:pic xmlns:pic="http://schemas.openxmlformats.org/drawingml/2006/picture">
                  <pic:nvPicPr>
                    <pic:cNvPr id="1029" name="Picture 2"/>
                    <pic:cNvPicPr>
                      <a:picLocks noChangeAspect="1" noChangeArrowheads="1"/>
                    </pic:cNvPicPr>
                  </pic:nvPicPr>
                  <pic:blipFill>
                    <a:blip r:embed="rId5"/>
                    <a:stretch>
                      <a:fillRect/>
                    </a:stretch>
                  </pic:blipFill>
                  <pic:spPr>
                    <a:xfrm>
                      <a:off x="0" y="0"/>
                      <a:ext cx="5253355" cy="3882390"/>
                    </a:xfrm>
                    <a:prstGeom prst="rect">
                      <a:avLst/>
                    </a:prstGeom>
                    <a:noFill/>
                    <a:ln>
                      <a:noFill/>
                    </a:ln>
                  </pic:spPr>
                </pic:pic>
              </a:graphicData>
            </a:graphic>
          </wp:inline>
        </w:drawing>
      </w:r>
    </w:p>
    <w:p>
      <w:pPr>
        <w:pStyle w:val="0"/>
        <w:rPr>
          <w:rFonts w:hint="default"/>
          <w:b w:val="1"/>
          <w:sz w:val="28"/>
        </w:rPr>
      </w:pPr>
    </w:p>
    <w:p>
      <w:pPr>
        <w:pStyle w:val="0"/>
        <w:rPr>
          <w:rFonts w:hint="default"/>
          <w:b w:val="1"/>
          <w:sz w:val="28"/>
        </w:rPr>
      </w:pPr>
      <w:r>
        <w:rPr>
          <w:rFonts w:hint="eastAsia"/>
          <w:b w:val="1"/>
          <w:sz w:val="26"/>
        </w:rPr>
        <w:t>２　延長支援加算の算定方法</w:t>
      </w:r>
    </w:p>
    <w:p>
      <w:pPr>
        <w:pStyle w:val="0"/>
        <w:ind w:firstLine="210" w:firstLineChars="100"/>
        <w:rPr>
          <w:rFonts w:hint="default"/>
        </w:rPr>
      </w:pPr>
      <w:r>
        <w:rPr>
          <w:rFonts w:hint="eastAsia"/>
          <w:u w:val="single" w:color="auto"/>
        </w:rPr>
        <w:t>通常どおり</w:t>
      </w:r>
      <w:r>
        <w:rPr>
          <w:rFonts w:hint="eastAsia"/>
        </w:rPr>
        <w:t>、前後を合計して請求してください。</w:t>
      </w:r>
    </w:p>
    <w:p>
      <w:pPr>
        <w:pStyle w:val="0"/>
        <w:ind w:left="420" w:leftChars="100" w:hanging="210" w:hangingChars="100"/>
        <w:rPr>
          <w:rFonts w:hint="default"/>
        </w:rPr>
      </w:pPr>
      <w:r>
        <w:rPr>
          <w:rFonts w:hint="eastAsia"/>
        </w:rPr>
        <w:t>例）営業時間</w:t>
      </w:r>
      <w:r>
        <w:rPr>
          <w:rFonts w:hint="eastAsia"/>
        </w:rPr>
        <w:t>9</w:t>
      </w:r>
      <w:r>
        <w:rPr>
          <w:rFonts w:hint="eastAsia"/>
        </w:rPr>
        <w:t>：</w:t>
      </w:r>
      <w:r>
        <w:rPr>
          <w:rFonts w:hint="eastAsia"/>
        </w:rPr>
        <w:t>00</w:t>
      </w:r>
      <w:r>
        <w:rPr>
          <w:rFonts w:hint="eastAsia"/>
        </w:rPr>
        <w:t>～</w:t>
      </w:r>
      <w:r>
        <w:rPr>
          <w:rFonts w:hint="eastAsia"/>
        </w:rPr>
        <w:t>17</w:t>
      </w:r>
      <w:r>
        <w:rPr>
          <w:rFonts w:hint="eastAsia"/>
        </w:rPr>
        <w:t>：</w:t>
      </w:r>
      <w:r>
        <w:rPr>
          <w:rFonts w:hint="eastAsia"/>
        </w:rPr>
        <w:t>00</w:t>
      </w:r>
      <w:r>
        <w:rPr>
          <w:rFonts w:hint="eastAsia"/>
        </w:rPr>
        <w:t>の事業所で、</w:t>
      </w:r>
      <w:r>
        <w:rPr>
          <w:rFonts w:hint="eastAsia"/>
        </w:rPr>
        <w:t>8</w:t>
      </w:r>
      <w:r>
        <w:rPr>
          <w:rFonts w:hint="eastAsia"/>
        </w:rPr>
        <w:t>：</w:t>
      </w:r>
      <w:r>
        <w:rPr>
          <w:rFonts w:hint="eastAsia"/>
        </w:rPr>
        <w:t>30</w:t>
      </w:r>
      <w:r>
        <w:rPr>
          <w:rFonts w:hint="eastAsia"/>
        </w:rPr>
        <w:t>～</w:t>
      </w:r>
      <w:r>
        <w:rPr>
          <w:rFonts w:hint="eastAsia"/>
        </w:rPr>
        <w:t>18</w:t>
      </w:r>
      <w:r>
        <w:rPr>
          <w:rFonts w:hint="eastAsia"/>
        </w:rPr>
        <w:t>：</w:t>
      </w:r>
      <w:r>
        <w:rPr>
          <w:rFonts w:hint="eastAsia"/>
        </w:rPr>
        <w:t>30</w:t>
      </w:r>
      <w:r>
        <w:rPr>
          <w:rFonts w:hint="eastAsia"/>
        </w:rPr>
        <w:t>の支援をした場合、</w:t>
      </w:r>
      <w:r>
        <w:rPr>
          <w:rFonts w:hint="eastAsia"/>
        </w:rPr>
        <w:t>8</w:t>
      </w:r>
      <w:r>
        <w:rPr>
          <w:rFonts w:hint="eastAsia"/>
        </w:rPr>
        <w:t>：</w:t>
      </w:r>
      <w:r>
        <w:rPr>
          <w:rFonts w:hint="eastAsia"/>
        </w:rPr>
        <w:t>30</w:t>
      </w:r>
      <w:r>
        <w:rPr>
          <w:rFonts w:hint="eastAsia"/>
        </w:rPr>
        <w:t>～</w:t>
      </w:r>
      <w:r>
        <w:rPr>
          <w:rFonts w:hint="eastAsia"/>
        </w:rPr>
        <w:t>9</w:t>
      </w:r>
      <w:r>
        <w:rPr>
          <w:rFonts w:hint="eastAsia"/>
        </w:rPr>
        <w:t>：</w:t>
      </w:r>
      <w:r>
        <w:rPr>
          <w:rFonts w:hint="eastAsia"/>
        </w:rPr>
        <w:t>00</w:t>
      </w:r>
      <w:r>
        <w:rPr>
          <w:rFonts w:hint="eastAsia"/>
        </w:rPr>
        <w:t>と</w:t>
      </w:r>
      <w:r>
        <w:rPr>
          <w:rFonts w:hint="eastAsia"/>
        </w:rPr>
        <w:t>17</w:t>
      </w:r>
      <w:r>
        <w:rPr>
          <w:rFonts w:hint="eastAsia"/>
        </w:rPr>
        <w:t>：</w:t>
      </w:r>
      <w:r>
        <w:rPr>
          <w:rFonts w:hint="eastAsia"/>
        </w:rPr>
        <w:t>00</w:t>
      </w:r>
      <w:r>
        <w:rPr>
          <w:rFonts w:hint="eastAsia"/>
        </w:rPr>
        <w:t>～</w:t>
      </w:r>
      <w:r>
        <w:rPr>
          <w:rFonts w:hint="eastAsia"/>
        </w:rPr>
        <w:t>18</w:t>
      </w:r>
      <w:r>
        <w:rPr>
          <w:rFonts w:hint="eastAsia"/>
        </w:rPr>
        <w:t>：</w:t>
      </w:r>
      <w:r>
        <w:rPr>
          <w:rFonts w:hint="eastAsia"/>
        </w:rPr>
        <w:t>30</w:t>
      </w:r>
      <w:r>
        <w:rPr>
          <w:rFonts w:hint="eastAsia"/>
        </w:rPr>
        <w:t>を合計し、</w:t>
      </w:r>
      <w:r>
        <w:rPr>
          <w:rFonts w:hint="eastAsia"/>
        </w:rPr>
        <w:t xml:space="preserve"> 2</w:t>
      </w:r>
      <w:r>
        <w:rPr>
          <w:rFonts w:hint="eastAsia"/>
        </w:rPr>
        <w:t>時間以上として</w:t>
      </w:r>
      <w:r>
        <w:rPr>
          <w:rFonts w:hint="eastAsia"/>
        </w:rPr>
        <w:t>123</w:t>
      </w:r>
      <w:r>
        <w:rPr>
          <w:rFonts w:hint="eastAsia"/>
        </w:rPr>
        <w:t>単位を請求してください。</w:t>
      </w:r>
    </w:p>
    <w:p>
      <w:pPr>
        <w:pStyle w:val="0"/>
        <w:ind w:firstLine="630" w:firstLineChars="300"/>
        <w:rPr>
          <w:rFonts w:hint="default"/>
          <w:sz w:val="21"/>
        </w:rPr>
      </w:pPr>
      <w:r>
        <w:rPr>
          <w:rFonts w:hint="eastAsia"/>
          <w:sz w:val="21"/>
        </w:rPr>
        <w:t>※</w:t>
      </w:r>
      <w:r>
        <w:rPr>
          <w:rFonts w:hint="eastAsia"/>
          <w:sz w:val="21"/>
        </w:rPr>
        <w:t xml:space="preserve"> </w:t>
      </w:r>
      <w:r>
        <w:rPr>
          <w:rFonts w:hint="eastAsia"/>
          <w:sz w:val="21"/>
        </w:rPr>
        <w:t>コロナによる臨時休業で</w:t>
      </w:r>
      <w:r>
        <w:rPr>
          <w:rFonts w:hint="eastAsia"/>
          <w:b w:val="1"/>
          <w:sz w:val="21"/>
          <w:u w:val="none" w:color="auto"/>
          <w:bdr w:val="single" w:color="auto" w:sz="4" w:space="0"/>
        </w:rPr>
        <w:t>営業前</w:t>
      </w:r>
      <w:r>
        <w:rPr>
          <w:rFonts w:hint="eastAsia"/>
          <w:sz w:val="21"/>
          <w:bdr w:val="single" w:color="auto" w:sz="4" w:space="0"/>
        </w:rPr>
        <w:t>延長支援</w:t>
      </w:r>
      <w:r>
        <w:rPr>
          <w:rFonts w:hint="eastAsia"/>
          <w:sz w:val="21"/>
        </w:rPr>
        <w:t>が増えた利用分（支援計画の予定日）</w:t>
      </w:r>
    </w:p>
    <w:p>
      <w:pPr>
        <w:pStyle w:val="0"/>
        <w:rPr>
          <w:rFonts w:hint="default"/>
          <w:sz w:val="21"/>
        </w:rPr>
      </w:pPr>
      <w:r>
        <w:rPr>
          <w:rFonts w:hint="eastAsia"/>
          <w:sz w:val="21"/>
        </w:rPr>
        <w:t>　　</w:t>
      </w:r>
      <w:r>
        <w:rPr>
          <w:rFonts w:hint="eastAsia"/>
          <w:sz w:val="21"/>
        </w:rPr>
        <w:t xml:space="preserve"> </w:t>
      </w:r>
      <w:r>
        <w:rPr>
          <w:rFonts w:hint="eastAsia"/>
          <w:sz w:val="21"/>
        </w:rPr>
        <w:t>　実績記録票の備考欄に「延長」を記載してください。</w:t>
      </w:r>
    </w:p>
    <w:p>
      <w:pPr>
        <w:pStyle w:val="0"/>
        <w:rPr>
          <w:rFonts w:hint="default"/>
          <w:sz w:val="21"/>
        </w:rPr>
      </w:pPr>
      <w:r>
        <w:rPr>
          <w:rFonts w:hint="eastAsia"/>
          <w:sz w:val="21"/>
        </w:rPr>
        <w:t>　　　※</w:t>
      </w:r>
      <w:r>
        <w:rPr>
          <w:rFonts w:hint="eastAsia"/>
          <w:sz w:val="21"/>
        </w:rPr>
        <w:t xml:space="preserve"> </w:t>
      </w:r>
      <w:r>
        <w:rPr>
          <w:rFonts w:hint="eastAsia"/>
          <w:sz w:val="21"/>
        </w:rPr>
        <w:t>単位数で換算した際に単位が増加しない場合は不要です。</w:t>
      </w:r>
    </w:p>
    <w:p>
      <w:pPr>
        <w:pStyle w:val="0"/>
        <w:ind w:left="1050" w:leftChars="300" w:hanging="420" w:hangingChars="200"/>
        <w:rPr>
          <w:rFonts w:hint="default"/>
          <w:sz w:val="21"/>
        </w:rPr>
      </w:pPr>
      <w:r>
        <w:rPr>
          <w:rFonts w:hint="eastAsia"/>
          <w:sz w:val="21"/>
        </w:rPr>
        <w:t>例：利用時間が１時間から１時間</w:t>
      </w:r>
      <w:r>
        <w:rPr>
          <w:rFonts w:hint="eastAsia"/>
          <w:sz w:val="21"/>
        </w:rPr>
        <w:t>30</w:t>
      </w:r>
      <w:bookmarkStart w:id="0" w:name="_GoBack"/>
      <w:bookmarkEnd w:id="0"/>
      <w:r>
        <w:rPr>
          <w:rFonts w:hint="eastAsia"/>
          <w:sz w:val="21"/>
        </w:rPr>
        <w:t>分になった場合（単位数はともに１時間以上２時間未満の単位が適応されるためです。）。</w:t>
      </w:r>
    </w:p>
    <w:p>
      <w:pPr>
        <w:pStyle w:val="0"/>
        <w:ind w:firstLine="210" w:firstLineChars="100"/>
        <w:rPr>
          <w:rFonts w:hint="default"/>
        </w:rPr>
      </w:pPr>
    </w:p>
    <w:p>
      <w:pPr>
        <w:pStyle w:val="0"/>
        <w:rPr>
          <w:rFonts w:hint="default"/>
          <w:b w:val="1"/>
          <w:sz w:val="28"/>
        </w:rPr>
      </w:pPr>
      <w:r>
        <w:rPr>
          <w:rFonts w:hint="eastAsia"/>
          <w:b w:val="1"/>
          <w:sz w:val="26"/>
        </w:rPr>
        <w:t>３　利用者負担額について</w:t>
      </w:r>
    </w:p>
    <w:p>
      <w:pPr>
        <w:pStyle w:val="0"/>
        <w:ind w:left="210" w:leftChars="100" w:firstLine="210" w:firstLineChars="100"/>
        <w:rPr>
          <w:rFonts w:hint="default" w:asciiTheme="minorEastAsia" w:hAnsiTheme="minorEastAsia"/>
        </w:rPr>
      </w:pPr>
      <w:r>
        <w:rPr>
          <w:rFonts w:hint="eastAsia" w:asciiTheme="minorEastAsia" w:hAnsiTheme="minorEastAsia"/>
          <w:u w:val="single" w:color="auto"/>
        </w:rPr>
        <w:t>通常どおり</w:t>
      </w:r>
      <w:r>
        <w:rPr>
          <w:rFonts w:hint="eastAsia" w:asciiTheme="minorEastAsia" w:hAnsiTheme="minorEastAsia"/>
        </w:rPr>
        <w:t>1</w:t>
      </w:r>
      <w:r>
        <w:rPr>
          <w:rFonts w:hint="eastAsia" w:asciiTheme="minorEastAsia" w:hAnsiTheme="minorEastAsia"/>
        </w:rPr>
        <w:t>割又は上限額まで徴収したデータを国保連に伝送してください。</w:t>
      </w:r>
    </w:p>
    <w:p>
      <w:pPr>
        <w:pStyle w:val="0"/>
        <w:ind w:left="210" w:leftChars="100" w:firstLine="210" w:firstLineChars="100"/>
        <w:rPr>
          <w:rFonts w:hint="eastAsia"/>
        </w:rPr>
      </w:pPr>
      <w:r>
        <w:rPr>
          <w:rFonts w:hint="eastAsia" w:asciiTheme="minorEastAsia" w:hAnsiTheme="minorEastAsia"/>
        </w:rPr>
        <w:t>ただし、３月は上限金額までの利用は予定していなかったが、臨時休業に伴い利用する必要性が生じたために負担額が増加した場合は、増加分は国保連に請求してください。</w:t>
      </w:r>
      <w:r>
        <w:rPr>
          <w:rFonts w:hint="eastAsia" w:asciiTheme="minorEastAsia" w:hAnsiTheme="minorEastAsia"/>
          <w:u w:val="single" w:color="auto"/>
        </w:rPr>
        <w:t>この場合は、事前に受給決定市町村にご相談ください</w:t>
      </w:r>
      <w:r>
        <w:rPr>
          <w:rFonts w:hint="eastAsia" w:asciiTheme="minorEastAsia" w:hAnsiTheme="minorEastAsia"/>
        </w:rPr>
        <w:t>。</w:t>
      </w:r>
    </w:p>
    <w:p>
      <w:pPr>
        <w:pStyle w:val="0"/>
        <w:ind w:left="420" w:leftChars="200" w:firstLine="0" w:firstLineChars="0"/>
        <w:rPr>
          <w:rFonts w:hint="eastAsia"/>
        </w:rPr>
      </w:pPr>
      <w:r>
        <w:rPr>
          <w:rFonts w:hint="eastAsia" w:asciiTheme="minorEastAsia" w:hAnsiTheme="minorEastAsia"/>
        </w:rPr>
        <w:t>※元々春休みを利用することを予定していたなど、臨時休業が決まる以前から３月は上限負担額に達する見込みだった場合は通常どおりの金額で国保連に伝送してください。</w:t>
      </w:r>
    </w:p>
    <w:sectPr>
      <w:pgSz w:w="11906" w:h="16838"/>
      <w:pgMar w:top="1134" w:right="1417" w:bottom="850"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2</Pages>
  <Words>20</Words>
  <Characters>1093</Characters>
  <Application>JUST Note</Application>
  <Lines>42</Lines>
  <Paragraphs>29</Paragraphs>
  <CharactersWithSpaces>1123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447500</dc:creator>
  <cp:lastModifiedBy>447500</cp:lastModifiedBy>
  <dcterms:created xsi:type="dcterms:W3CDTF">2020-04-02T13:46:00Z</dcterms:created>
  <dcterms:modified xsi:type="dcterms:W3CDTF">2020-04-02T14:29:26Z</dcterms:modified>
  <cp:revision>0</cp:revision>
</cp:coreProperties>
</file>