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center"/>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令和２年度水産業緊急支援事業費補助金交付要綱</w:t>
      </w:r>
    </w:p>
    <w:p>
      <w:pPr>
        <w:pStyle w:val="0"/>
        <w:spacing w:line="360" w:lineRule="exact"/>
        <w:rPr>
          <w:rFonts w:hint="eastAsia" w:ascii="游ゴシック Light" w:hAnsi="游ゴシック Light" w:eastAsia="游ゴシック Light"/>
          <w:sz w:val="24"/>
          <w:highlight w:val="none"/>
        </w:rPr>
      </w:pPr>
    </w:p>
    <w:p>
      <w:pPr>
        <w:pStyle w:val="0"/>
        <w:spacing w:line="360" w:lineRule="exact"/>
        <w:ind w:firstLine="240" w:firstLine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（趣旨）</w:t>
      </w:r>
    </w:p>
    <w:p>
      <w:pPr>
        <w:pStyle w:val="0"/>
        <w:spacing w:line="360" w:lineRule="exact"/>
        <w:ind w:left="24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第１条　この要綱は、高知県補助金等交付規則（昭和</w:t>
      </w:r>
      <w:r>
        <w:rPr>
          <w:rFonts w:hint="eastAsia" w:ascii="游ゴシック Light" w:hAnsi="游ゴシック Light" w:eastAsia="游ゴシック Light"/>
          <w:sz w:val="24"/>
          <w:highlight w:val="none"/>
        </w:rPr>
        <w:t>43</w:t>
      </w:r>
      <w:r>
        <w:rPr>
          <w:rFonts w:hint="eastAsia" w:ascii="游ゴシック Light" w:hAnsi="游ゴシック Light" w:eastAsia="游ゴシック Light"/>
          <w:sz w:val="24"/>
          <w:highlight w:val="none"/>
        </w:rPr>
        <w:t>年高知県規則第７号。以下「規則」という。）第</w:t>
      </w:r>
      <w:r>
        <w:rPr>
          <w:rFonts w:hint="eastAsia" w:ascii="游ゴシック Light" w:hAnsi="游ゴシック Light" w:eastAsia="游ゴシック Light"/>
          <w:sz w:val="24"/>
          <w:highlight w:val="none"/>
        </w:rPr>
        <w:t>24</w:t>
      </w:r>
      <w:r>
        <w:rPr>
          <w:rFonts w:hint="eastAsia" w:ascii="游ゴシック Light" w:hAnsi="游ゴシック Light" w:eastAsia="游ゴシック Light"/>
          <w:sz w:val="24"/>
          <w:highlight w:val="none"/>
        </w:rPr>
        <w:t>条の規定に基づき、水産業緊急支援事業費補助金（以下「補助金」という。）の交付に関し必要な事項を定めるものとする。</w:t>
      </w:r>
    </w:p>
    <w:p>
      <w:pPr>
        <w:pStyle w:val="0"/>
        <w:spacing w:line="360" w:lineRule="exact"/>
        <w:rPr>
          <w:rFonts w:hint="eastAsia" w:ascii="游ゴシック Light" w:hAnsi="游ゴシック Light" w:eastAsia="游ゴシック Light"/>
          <w:sz w:val="24"/>
          <w:highlight w:val="none"/>
        </w:rPr>
      </w:pPr>
    </w:p>
    <w:p>
      <w:pPr>
        <w:pStyle w:val="0"/>
        <w:spacing w:line="360" w:lineRule="exact"/>
        <w:ind w:firstLine="240" w:firstLineChars="100"/>
        <w:rPr>
          <w:rFonts w:hint="eastAsia" w:ascii="游ゴシック Light" w:hAnsi="游ゴシック Light" w:eastAsia="游ゴシック Light"/>
          <w:color w:val="auto"/>
          <w:sz w:val="24"/>
          <w:highlight w:val="none"/>
        </w:rPr>
      </w:pPr>
      <w:r>
        <w:rPr>
          <w:rFonts w:hint="eastAsia" w:ascii="游ゴシック Light" w:hAnsi="游ゴシック Light" w:eastAsia="游ゴシック Light"/>
          <w:color w:val="auto"/>
          <w:sz w:val="24"/>
          <w:highlight w:val="none"/>
        </w:rPr>
        <w:t>（補助の目的及び補助事業）</w:t>
      </w:r>
    </w:p>
    <w:p>
      <w:pPr>
        <w:pStyle w:val="0"/>
        <w:spacing w:line="360" w:lineRule="exact"/>
        <w:ind w:left="240" w:hanging="240" w:hangingChars="100"/>
        <w:rPr>
          <w:rFonts w:hint="eastAsia" w:ascii="游ゴシック Light" w:hAnsi="游ゴシック Light" w:eastAsia="游ゴシック Light"/>
          <w:color w:val="auto"/>
          <w:sz w:val="24"/>
          <w:highlight w:val="none"/>
        </w:rPr>
      </w:pPr>
      <w:r>
        <w:rPr>
          <w:rFonts w:hint="eastAsia" w:ascii="游ゴシック Light" w:hAnsi="游ゴシック Light" w:eastAsia="游ゴシック Light"/>
          <w:color w:val="auto"/>
          <w:sz w:val="24"/>
          <w:highlight w:val="none"/>
        </w:rPr>
        <w:t>第２条　県は、漁業者及び漁業協同組合</w:t>
      </w:r>
      <w:r>
        <w:rPr>
          <w:rFonts w:hint="eastAsia" w:ascii="游ゴシック Light" w:hAnsi="游ゴシック Light" w:eastAsia="游ゴシック Light"/>
          <w:color w:val="auto"/>
          <w:sz w:val="24"/>
          <w:highlight w:val="none"/>
          <w:u w:val="none" w:color="auto"/>
        </w:rPr>
        <w:t>が新型コロナウイルス感染症の拡大を防止しながら水産物の供給を継続するための事業（以下「補助事業」という。）</w:t>
      </w:r>
      <w:r>
        <w:rPr>
          <w:rFonts w:hint="eastAsia" w:ascii="游ゴシック Light" w:hAnsi="游ゴシック Light" w:eastAsia="游ゴシック Light"/>
          <w:color w:val="auto"/>
          <w:sz w:val="24"/>
          <w:highlight w:val="none"/>
        </w:rPr>
        <w:t>に要する経費に対し、予算の範囲内において補助する。</w:t>
      </w:r>
    </w:p>
    <w:p>
      <w:pPr>
        <w:pStyle w:val="0"/>
        <w:spacing w:line="360" w:lineRule="exact"/>
        <w:rPr>
          <w:rFonts w:hint="eastAsia" w:ascii="游ゴシック Light" w:hAnsi="游ゴシック Light" w:eastAsia="游ゴシック Light"/>
          <w:color w:val="auto"/>
          <w:sz w:val="24"/>
          <w:highlight w:val="none"/>
        </w:rPr>
      </w:pPr>
    </w:p>
    <w:p>
      <w:pPr>
        <w:pStyle w:val="0"/>
        <w:spacing w:line="360" w:lineRule="exact"/>
        <w:ind w:firstLine="240" w:firstLineChars="100"/>
        <w:rPr>
          <w:rFonts w:hint="eastAsia" w:ascii="游ゴシック Light" w:hAnsi="游ゴシック Light" w:eastAsia="游ゴシック Light"/>
          <w:color w:val="auto"/>
          <w:sz w:val="24"/>
          <w:highlight w:val="none"/>
        </w:rPr>
      </w:pPr>
      <w:r>
        <w:rPr>
          <w:rFonts w:hint="eastAsia" w:ascii="游ゴシック Light" w:hAnsi="游ゴシック Light" w:eastAsia="游ゴシック Light"/>
          <w:color w:val="auto"/>
          <w:sz w:val="24"/>
          <w:highlight w:val="none"/>
        </w:rPr>
        <w:t>（</w:t>
      </w:r>
      <w:r>
        <w:rPr>
          <w:rFonts w:hint="eastAsia" w:ascii="游ゴシック Light" w:hAnsi="游ゴシック Light" w:eastAsia="游ゴシック Light"/>
          <w:color w:val="auto"/>
          <w:sz w:val="24"/>
        </w:rPr>
        <w:t>補助事業者、事業種目、補助対象経費、補助率及び補助上限額</w:t>
      </w:r>
      <w:r>
        <w:rPr>
          <w:rFonts w:hint="eastAsia" w:ascii="游ゴシック Light" w:hAnsi="游ゴシック Light" w:eastAsia="游ゴシック Light"/>
          <w:color w:val="auto"/>
          <w:sz w:val="24"/>
          <w:highlight w:val="none"/>
        </w:rPr>
        <w:t>）</w:t>
      </w:r>
    </w:p>
    <w:p>
      <w:pPr>
        <w:pStyle w:val="0"/>
        <w:spacing w:line="360" w:lineRule="exact"/>
        <w:ind w:left="240" w:hanging="240" w:hangingChars="100"/>
        <w:rPr>
          <w:rFonts w:hint="eastAsia" w:ascii="游ゴシック Light" w:hAnsi="游ゴシック Light" w:eastAsia="游ゴシック Light"/>
          <w:color w:val="auto"/>
          <w:sz w:val="24"/>
          <w:highlight w:val="none"/>
        </w:rPr>
      </w:pPr>
      <w:r>
        <w:rPr>
          <w:rFonts w:hint="eastAsia" w:ascii="游ゴシック Light" w:hAnsi="游ゴシック Light" w:eastAsia="游ゴシック Light"/>
          <w:color w:val="auto"/>
          <w:sz w:val="24"/>
          <w:highlight w:val="none"/>
        </w:rPr>
        <w:t>第３条　補助事業者、補助事業の事業種目、補助対象経費、補助率及び補助上限額は、別表第１に定めるとおりとする。ただし、算出された補助金の額に</w:t>
      </w:r>
      <w:r>
        <w:rPr>
          <w:rFonts w:hint="eastAsia" w:ascii="游ゴシック Light" w:hAnsi="游ゴシック Light" w:eastAsia="游ゴシック Light"/>
          <w:color w:val="auto"/>
          <w:sz w:val="24"/>
          <w:highlight w:val="none"/>
        </w:rPr>
        <w:t>1,000</w:t>
      </w:r>
      <w:r>
        <w:rPr>
          <w:rFonts w:hint="eastAsia" w:ascii="游ゴシック Light" w:hAnsi="游ゴシック Light" w:eastAsia="游ゴシック Light"/>
          <w:color w:val="auto"/>
          <w:sz w:val="24"/>
          <w:highlight w:val="none"/>
        </w:rPr>
        <w:t>円未満の端数を生じた場合は、当該端数を切り捨てた額とする。</w:t>
      </w:r>
    </w:p>
    <w:p>
      <w:pPr>
        <w:pStyle w:val="0"/>
        <w:spacing w:line="360" w:lineRule="exact"/>
        <w:rPr>
          <w:rFonts w:hint="eastAsia" w:ascii="游ゴシック Light" w:hAnsi="游ゴシック Light" w:eastAsia="游ゴシック Light"/>
          <w:sz w:val="24"/>
          <w:highlight w:val="none"/>
        </w:rPr>
      </w:pPr>
    </w:p>
    <w:p>
      <w:pPr>
        <w:pStyle w:val="0"/>
        <w:spacing w:line="360" w:lineRule="exact"/>
        <w:ind w:firstLine="240" w:firstLine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（補助金の交付申請）</w:t>
      </w:r>
    </w:p>
    <w:p>
      <w:pPr>
        <w:pStyle w:val="0"/>
        <w:spacing w:line="360" w:lineRule="exact"/>
        <w:ind w:left="24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第４条　補助事業者が補助金の交付を受けようとするときは、</w:t>
      </w:r>
      <w:r>
        <w:rPr>
          <w:rFonts w:hint="eastAsia" w:ascii="游ゴシック Light" w:hAnsi="游ゴシック Light" w:eastAsia="游ゴシック Light"/>
          <w:color w:val="auto"/>
          <w:sz w:val="24"/>
          <w:highlight w:val="none"/>
        </w:rPr>
        <w:t>別記第１号様式</w:t>
      </w:r>
      <w:r>
        <w:rPr>
          <w:rFonts w:hint="eastAsia" w:ascii="游ゴシック Light" w:hAnsi="游ゴシック Light" w:eastAsia="游ゴシック Light"/>
          <w:sz w:val="24"/>
          <w:highlight w:val="none"/>
        </w:rPr>
        <w:t>による補助金交付申請書を知事に提出しなければならない。</w:t>
      </w:r>
    </w:p>
    <w:p>
      <w:pPr>
        <w:pStyle w:val="0"/>
        <w:spacing w:line="360" w:lineRule="exact"/>
        <w:ind w:left="24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２　前項の補助金交付申請書の提出に当たって、当該補助金に係る消費税仕入控除税額等（補助対象経費に含まれる消費税及び地方消費税の相当額のうち、消費税法（昭和</w:t>
      </w:r>
      <w:r>
        <w:rPr>
          <w:rFonts w:hint="eastAsia" w:ascii="游ゴシック Light" w:hAnsi="游ゴシック Light" w:eastAsia="游ゴシック Light"/>
          <w:sz w:val="24"/>
          <w:highlight w:val="none"/>
        </w:rPr>
        <w:t>63</w:t>
      </w:r>
      <w:r>
        <w:rPr>
          <w:rFonts w:hint="eastAsia" w:ascii="游ゴシック Light" w:hAnsi="游ゴシック Light" w:eastAsia="游ゴシック Light"/>
          <w:sz w:val="24"/>
          <w:highlight w:val="none"/>
        </w:rPr>
        <w:t>年法律第</w:t>
      </w:r>
      <w:r>
        <w:rPr>
          <w:rFonts w:hint="eastAsia" w:ascii="游ゴシック Light" w:hAnsi="游ゴシック Light" w:eastAsia="游ゴシック Light"/>
          <w:sz w:val="24"/>
          <w:highlight w:val="none"/>
        </w:rPr>
        <w:t>108</w:t>
      </w:r>
      <w:r>
        <w:rPr>
          <w:rFonts w:hint="eastAsia" w:ascii="游ゴシック Light" w:hAnsi="游ゴシック Light" w:eastAsia="游ゴシック Light"/>
          <w:sz w:val="24"/>
          <w:highlight w:val="none"/>
        </w:rPr>
        <w:t>号）に規定する仕入れに係る消費税額として控除することができる部分の金額及び当該金額に地方税法（昭和</w:t>
      </w:r>
      <w:r>
        <w:rPr>
          <w:rFonts w:hint="eastAsia" w:ascii="游ゴシック Light" w:hAnsi="游ゴシック Light" w:eastAsia="游ゴシック Light"/>
          <w:sz w:val="24"/>
          <w:highlight w:val="none"/>
        </w:rPr>
        <w:t>25</w:t>
      </w:r>
      <w:r>
        <w:rPr>
          <w:rFonts w:hint="eastAsia" w:ascii="游ゴシック Light" w:hAnsi="游ゴシック Light" w:eastAsia="游ゴシック Light"/>
          <w:sz w:val="24"/>
          <w:highlight w:val="none"/>
        </w:rPr>
        <w:t>年法律第</w:t>
      </w:r>
      <w:r>
        <w:rPr>
          <w:rFonts w:hint="eastAsia" w:ascii="游ゴシック Light" w:hAnsi="游ゴシック Light" w:eastAsia="游ゴシック Light"/>
          <w:sz w:val="24"/>
          <w:highlight w:val="none"/>
        </w:rPr>
        <w:t>226</w:t>
      </w:r>
      <w:r>
        <w:rPr>
          <w:rFonts w:hint="eastAsia" w:ascii="游ゴシック Light" w:hAnsi="游ゴシック Light" w:eastAsia="游ゴシック Light"/>
          <w:sz w:val="24"/>
          <w:highlight w:val="none"/>
        </w:rPr>
        <w:t>号）に規定する地方消費税の税率を乗じて得た金額をいう。以下同じ。）がある場合には、これを減額して申請しなければならない。ただし、申請時において当該補助金に係る消費税仕入控除税額等が明らかでない場合については、この限りでない。</w:t>
      </w:r>
    </w:p>
    <w:p>
      <w:pPr>
        <w:pStyle w:val="0"/>
        <w:spacing w:line="360" w:lineRule="exact"/>
        <w:ind w:left="240" w:hanging="240" w:hangingChars="100"/>
        <w:rPr>
          <w:rFonts w:hint="eastAsia" w:ascii="游ゴシック Light" w:hAnsi="游ゴシック Light" w:eastAsia="游ゴシック Light"/>
          <w:sz w:val="24"/>
          <w:highlight w:val="none"/>
        </w:rPr>
      </w:pPr>
    </w:p>
    <w:p>
      <w:pPr>
        <w:pStyle w:val="0"/>
        <w:spacing w:line="360" w:lineRule="exact"/>
        <w:ind w:left="24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　（補助の条件）</w:t>
      </w:r>
    </w:p>
    <w:p>
      <w:pPr>
        <w:pStyle w:val="0"/>
        <w:spacing w:line="360" w:lineRule="exact"/>
        <w:ind w:left="24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第５条　補助事業者は、補助金の交付の目的を達成するため、次に掲げる事項を遵守しなければならない。</w:t>
      </w:r>
    </w:p>
    <w:p>
      <w:pPr>
        <w:pStyle w:val="0"/>
        <w:spacing w:line="360" w:lineRule="exact"/>
        <w:ind w:left="480" w:hanging="480" w:hangingChars="2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（１）交付決定を受けた補助事業について、次に掲げる場合に該当する変更をするときは、事前に</w:t>
      </w:r>
      <w:r>
        <w:rPr>
          <w:rFonts w:hint="eastAsia" w:ascii="游ゴシック Light" w:hAnsi="游ゴシック Light" w:eastAsia="游ゴシック Light"/>
          <w:color w:val="auto"/>
          <w:sz w:val="24"/>
          <w:highlight w:val="none"/>
        </w:rPr>
        <w:t>別記第２号様式</w:t>
      </w:r>
      <w:r>
        <w:rPr>
          <w:rFonts w:hint="eastAsia" w:ascii="游ゴシック Light" w:hAnsi="游ゴシック Light" w:eastAsia="游ゴシック Light"/>
          <w:sz w:val="24"/>
          <w:highlight w:val="none"/>
        </w:rPr>
        <w:t>による変更承認申請書、中止承認申請書又は廃止承認申請書を速やかに知事に提出し、知事の承認を受けなければならないこと。</w:t>
      </w:r>
    </w:p>
    <w:p>
      <w:pPr>
        <w:pStyle w:val="0"/>
        <w:spacing w:line="360" w:lineRule="exact"/>
        <w:ind w:left="480" w:hanging="480" w:hangingChars="2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　　ア　補助金額が増額となる場合</w:t>
      </w:r>
    </w:p>
    <w:p>
      <w:pPr>
        <w:pStyle w:val="0"/>
        <w:spacing w:line="360" w:lineRule="exact"/>
        <w:ind w:left="480" w:hanging="480" w:hangingChars="2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　　イ　補助金額を</w:t>
      </w:r>
      <w:r>
        <w:rPr>
          <w:rFonts w:hint="eastAsia" w:ascii="游ゴシック Light" w:hAnsi="游ゴシック Light" w:eastAsia="游ゴシック Light"/>
          <w:sz w:val="24"/>
          <w:highlight w:val="none"/>
        </w:rPr>
        <w:t>20</w:t>
      </w:r>
      <w:r>
        <w:rPr>
          <w:rFonts w:hint="eastAsia" w:ascii="游ゴシック Light" w:hAnsi="游ゴシック Light" w:eastAsia="游ゴシック Light"/>
          <w:sz w:val="24"/>
          <w:highlight w:val="none"/>
        </w:rPr>
        <w:t>パーセントを超えて減額する場合</w:t>
      </w:r>
    </w:p>
    <w:p>
      <w:pPr>
        <w:pStyle w:val="0"/>
        <w:spacing w:line="360" w:lineRule="exact"/>
        <w:ind w:left="480" w:hanging="480" w:hangingChars="2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　　ウ　補助事業を中止し、又は廃止しようとする場合</w:t>
      </w:r>
    </w:p>
    <w:p>
      <w:pPr>
        <w:pStyle w:val="0"/>
        <w:spacing w:line="360" w:lineRule="exact"/>
        <w:ind w:left="480" w:hanging="480" w:hangingChars="2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　　エ　前各号に掲げるもののほか、補助事業の内容の著しい変更の場合</w:t>
      </w:r>
    </w:p>
    <w:p>
      <w:pPr>
        <w:pStyle w:val="0"/>
        <w:spacing w:line="360" w:lineRule="exact"/>
        <w:ind w:left="480" w:hanging="480" w:hangingChars="2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（２）補助事業が予定の期間に完了しない場合又は補助事業の遂行が困難となった場合は、速やかに知事に報告し、その指示を受けなければならないこと。</w:t>
      </w:r>
    </w:p>
    <w:p>
      <w:pPr>
        <w:pStyle w:val="0"/>
        <w:spacing w:line="360" w:lineRule="exact"/>
        <w:ind w:left="480" w:hanging="480" w:hangingChars="2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（３）補助金に係る収入及び支出を明らかにした帳簿を備え、かつ、当該収入及び支出についての証拠書類を補助事業の終了の翌年度から起算して５年間保管すること。</w:t>
      </w:r>
    </w:p>
    <w:p>
      <w:pPr>
        <w:pStyle w:val="0"/>
        <w:spacing w:line="360" w:lineRule="exact"/>
        <w:ind w:left="480" w:hanging="480" w:hangingChars="2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（４）補助事業により取得し、又は効用の増加した財産については、補助事業の完了後においても善良な管理者の注意をもって管理するとともに、補助金の交付の目的に従ってその効率的な運用を図ること。</w:t>
      </w:r>
    </w:p>
    <w:p>
      <w:pPr>
        <w:pStyle w:val="0"/>
        <w:spacing w:line="360" w:lineRule="exact"/>
        <w:ind w:left="480" w:hanging="480" w:hangingChars="2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（５）補助事業により取得し、又は効用の増加した財産（取得価格又は効用の増加価格が</w:t>
      </w:r>
      <w:r>
        <w:rPr>
          <w:rFonts w:hint="eastAsia" w:ascii="游ゴシック Light" w:hAnsi="游ゴシック Light" w:eastAsia="游ゴシック Light"/>
          <w:sz w:val="24"/>
          <w:highlight w:val="none"/>
        </w:rPr>
        <w:t>50</w:t>
      </w:r>
      <w:r>
        <w:rPr>
          <w:rFonts w:hint="eastAsia" w:ascii="游ゴシック Light" w:hAnsi="游ゴシック Light" w:eastAsia="游ゴシック Light"/>
          <w:sz w:val="24"/>
          <w:highlight w:val="none"/>
        </w:rPr>
        <w:t>万円を超えるものに限る。）については、減価償却資産の耐用年数等に関する省令（昭和</w:t>
      </w:r>
      <w:r>
        <w:rPr>
          <w:rFonts w:hint="eastAsia" w:ascii="游ゴシック Light" w:hAnsi="游ゴシック Light" w:eastAsia="游ゴシック Light"/>
          <w:sz w:val="24"/>
          <w:highlight w:val="none"/>
        </w:rPr>
        <w:t>40</w:t>
      </w:r>
      <w:r>
        <w:rPr>
          <w:rFonts w:hint="eastAsia" w:ascii="游ゴシック Light" w:hAnsi="游ゴシック Light" w:eastAsia="游ゴシック Light"/>
          <w:sz w:val="24"/>
          <w:highlight w:val="none"/>
        </w:rPr>
        <w:t>年大蔵省令第</w:t>
      </w:r>
      <w:r>
        <w:rPr>
          <w:rFonts w:hint="eastAsia" w:ascii="游ゴシック Light" w:hAnsi="游ゴシック Light" w:eastAsia="游ゴシック Light"/>
          <w:sz w:val="24"/>
          <w:highlight w:val="none"/>
        </w:rPr>
        <w:t>15</w:t>
      </w:r>
      <w:r>
        <w:rPr>
          <w:rFonts w:hint="eastAsia" w:ascii="游ゴシック Light" w:hAnsi="游ゴシック Light" w:eastAsia="游ゴシック Light"/>
          <w:sz w:val="24"/>
          <w:highlight w:val="none"/>
        </w:rPr>
        <w:t>号）に規定する耐用年数に相当する期間内において、補助金の交付の目的に反して使用し、譲渡し、交換し、廃棄し、貸し付け、又は担保に供する場合は、事前に知事の承認を受けなければならないこと。</w:t>
      </w:r>
    </w:p>
    <w:p>
      <w:pPr>
        <w:pStyle w:val="0"/>
        <w:spacing w:line="360" w:lineRule="exact"/>
        <w:ind w:left="480" w:hanging="480" w:hangingChars="2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（６）前号の規定により知事の承認を得て財産を処分したことにより収入があった場合は、当該収入の全部又は一部を県に納付しなければならないこと。</w:t>
      </w:r>
    </w:p>
    <w:p>
      <w:pPr>
        <w:pStyle w:val="0"/>
        <w:spacing w:line="360" w:lineRule="exact"/>
        <w:ind w:left="480" w:hanging="480" w:hangingChars="2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（７）補助事業を行うために締結する契約については、県が行う契約手続の取扱いに準じて適切に行わなければならないこと。</w:t>
      </w:r>
    </w:p>
    <w:p>
      <w:pPr>
        <w:pStyle w:val="0"/>
        <w:spacing w:line="360" w:lineRule="exact"/>
        <w:ind w:left="480" w:hanging="480" w:hangingChars="2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（８）補助事業の実施に当たっては、別表第２に掲げるいずれかに該当すると認められる者を契約の相手方としない等の暴力団等の排除に係る県の取扱いに準じて行わなければならないこと。</w:t>
      </w:r>
    </w:p>
    <w:p>
      <w:pPr>
        <w:pStyle w:val="0"/>
        <w:spacing w:line="360" w:lineRule="exact"/>
        <w:ind w:left="480" w:hanging="480" w:hangingChars="2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（９）補助事業者が県税の納税義務者である場合は、県税の滞納がないこと。</w:t>
      </w:r>
    </w:p>
    <w:p>
      <w:pPr>
        <w:pStyle w:val="0"/>
        <w:spacing w:line="360" w:lineRule="exact"/>
        <w:ind w:left="480" w:hanging="480" w:hangingChars="2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w:t>
      </w:r>
      <w:r>
        <w:rPr>
          <w:rFonts w:hint="eastAsia" w:ascii="游ゴシック Light" w:hAnsi="游ゴシック Light" w:eastAsia="游ゴシック Light"/>
          <w:sz w:val="24"/>
          <w:highlight w:val="none"/>
        </w:rPr>
        <w:t>10</w:t>
      </w:r>
      <w:r>
        <w:rPr>
          <w:rFonts w:hint="eastAsia" w:ascii="游ゴシック Light" w:hAnsi="游ゴシック Light" w:eastAsia="游ゴシック Light"/>
          <w:sz w:val="24"/>
          <w:highlight w:val="none"/>
        </w:rPr>
        <w:t>）事業終了後において、消費税の申告により、当該補助金に係る消費税仕入控除税額等が確定した場合は、その金額を速やかに県に報告するとともに、当該金額を県に返還しなければならないこと。</w:t>
      </w:r>
    </w:p>
    <w:p>
      <w:pPr>
        <w:pStyle w:val="0"/>
        <w:spacing w:line="360" w:lineRule="exact"/>
        <w:ind w:left="480" w:hanging="480" w:hangingChars="200"/>
        <w:rPr>
          <w:rFonts w:hint="eastAsia" w:ascii="游ゴシック Light" w:hAnsi="游ゴシック Light" w:eastAsia="游ゴシック Light"/>
          <w:sz w:val="24"/>
          <w:highlight w:val="none"/>
        </w:rPr>
      </w:pPr>
    </w:p>
    <w:p>
      <w:pPr>
        <w:pStyle w:val="0"/>
        <w:spacing w:line="360" w:lineRule="exact"/>
        <w:ind w:left="480" w:hanging="480" w:hangingChars="2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　（補助金の交付の決定）</w:t>
      </w:r>
    </w:p>
    <w:p>
      <w:pPr>
        <w:pStyle w:val="0"/>
        <w:spacing w:line="360" w:lineRule="exact"/>
        <w:ind w:left="0" w:leftChars="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第６条　知事は、第４条第１項の規定による補助金の交付の申請が適当であると認めたときは、補助金の交付を決定し、当該補助事業者に通知するものとする。ただし、当該申請をした者が別表第２に掲げるいずれかに該当すると認められるときを除く。</w:t>
      </w:r>
    </w:p>
    <w:p>
      <w:pPr>
        <w:pStyle w:val="0"/>
        <w:spacing w:line="360" w:lineRule="exact"/>
        <w:ind w:left="0" w:leftChars="0" w:hanging="240" w:hangingChars="100"/>
        <w:rPr>
          <w:rFonts w:hint="eastAsia" w:ascii="游ゴシック Light" w:hAnsi="游ゴシック Light" w:eastAsia="游ゴシック Light"/>
          <w:sz w:val="24"/>
          <w:highlight w:val="none"/>
        </w:rPr>
      </w:pPr>
    </w:p>
    <w:p>
      <w:pPr>
        <w:pStyle w:val="0"/>
        <w:spacing w:line="360" w:lineRule="exact"/>
        <w:ind w:left="0" w:leftChars="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　（補助金の交付の決定の取消し）</w:t>
      </w:r>
    </w:p>
    <w:p>
      <w:pPr>
        <w:pStyle w:val="0"/>
        <w:spacing w:line="360" w:lineRule="exact"/>
        <w:ind w:left="0" w:leftChars="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第７条　知事は、補助事業者が別表第２に掲げるいずれかに該当すると認めたときは、補助金の交付の決定の全部又は一部を取り消すことができる。</w:t>
      </w:r>
    </w:p>
    <w:p>
      <w:pPr>
        <w:pStyle w:val="0"/>
        <w:spacing w:line="360" w:lineRule="exact"/>
        <w:ind w:left="0" w:leftChars="0" w:hanging="240" w:hangingChars="100"/>
        <w:rPr>
          <w:rFonts w:hint="eastAsia" w:ascii="游ゴシック Light" w:hAnsi="游ゴシック Light" w:eastAsia="游ゴシック Light"/>
          <w:sz w:val="24"/>
          <w:highlight w:val="none"/>
        </w:rPr>
      </w:pPr>
    </w:p>
    <w:p>
      <w:pPr>
        <w:pStyle w:val="0"/>
        <w:spacing w:line="360" w:lineRule="exact"/>
        <w:ind w:left="0" w:leftChars="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　（実績報告等）</w:t>
      </w:r>
    </w:p>
    <w:p>
      <w:pPr>
        <w:pStyle w:val="0"/>
        <w:spacing w:line="360" w:lineRule="exact"/>
        <w:ind w:left="0" w:leftChars="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第８条　補助事業者は、補助事業が完了した場合は、</w:t>
      </w:r>
      <w:r>
        <w:rPr>
          <w:rFonts w:hint="eastAsia" w:ascii="游ゴシック Light" w:hAnsi="游ゴシック Light" w:eastAsia="游ゴシック Light"/>
          <w:color w:val="auto"/>
          <w:sz w:val="24"/>
          <w:highlight w:val="none"/>
        </w:rPr>
        <w:t>別記第３号様式に</w:t>
      </w:r>
      <w:r>
        <w:rPr>
          <w:rFonts w:hint="eastAsia" w:ascii="游ゴシック Light" w:hAnsi="游ゴシック Light" w:eastAsia="游ゴシック Light"/>
          <w:sz w:val="24"/>
          <w:highlight w:val="none"/>
        </w:rPr>
        <w:t>よる実績報告書を補助事業の完了の日若しくは廃止の承認を受けた日から起算して</w:t>
      </w:r>
      <w:r>
        <w:rPr>
          <w:rFonts w:hint="eastAsia" w:ascii="游ゴシック Light" w:hAnsi="游ゴシック Light" w:eastAsia="游ゴシック Light"/>
          <w:sz w:val="24"/>
          <w:highlight w:val="none"/>
        </w:rPr>
        <w:t>30</w:t>
      </w:r>
      <w:r>
        <w:rPr>
          <w:rFonts w:hint="eastAsia" w:ascii="游ゴシック Light" w:hAnsi="游ゴシック Light" w:eastAsia="游ゴシック Light"/>
          <w:sz w:val="24"/>
          <w:highlight w:val="none"/>
        </w:rPr>
        <w:t>日を経過した日又は補助事業の実施年度の２月</w:t>
      </w:r>
      <w:r>
        <w:rPr>
          <w:rFonts w:hint="eastAsia" w:ascii="游ゴシック Light" w:hAnsi="游ゴシック Light" w:eastAsia="游ゴシック Light"/>
          <w:sz w:val="24"/>
          <w:highlight w:val="none"/>
        </w:rPr>
        <w:t>28</w:t>
      </w:r>
      <w:r>
        <w:rPr>
          <w:rFonts w:hint="eastAsia" w:ascii="游ゴシック Light" w:hAnsi="游ゴシック Light" w:eastAsia="游ゴシック Light"/>
          <w:sz w:val="24"/>
          <w:highlight w:val="none"/>
        </w:rPr>
        <w:t>日のいずれか早い期日までに知事に提出しなければならない。</w:t>
      </w:r>
    </w:p>
    <w:p>
      <w:pPr>
        <w:pStyle w:val="0"/>
        <w:spacing w:line="360" w:lineRule="exact"/>
        <w:ind w:left="0" w:leftChars="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２　第４条第２項ただし書の規定により補助金の交付を申請した補助事業者は、前項に規定する実績報告書の提出に当たって当該補助金に係る消費税仕入控除税額等が明らかになった場合は、これを補助金額から減額して報告しなければならない。</w:t>
      </w:r>
    </w:p>
    <w:p>
      <w:pPr>
        <w:pStyle w:val="0"/>
        <w:spacing w:line="360" w:lineRule="exact"/>
        <w:ind w:left="0" w:leftChars="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３　第４条第２項のただし書の規定により補助金の交付を申請した補助事業者は、第１項に規定する実績報告書を提出した後において、消費税及び地方消費税の申告により当該補助金に係る消費税仕入控除税額等が確定した場合は、その金額（前項の規定により減額した補助事業者にあっては、その金額が減じた額を上回る部分の金額）を</w:t>
      </w:r>
      <w:r>
        <w:rPr>
          <w:rFonts w:hint="eastAsia" w:ascii="游ゴシック Light" w:hAnsi="游ゴシック Light" w:eastAsia="游ゴシック Light"/>
          <w:color w:val="auto"/>
          <w:sz w:val="24"/>
          <w:highlight w:val="none"/>
        </w:rPr>
        <w:t>別記第４号様式</w:t>
      </w:r>
      <w:r>
        <w:rPr>
          <w:rFonts w:hint="eastAsia" w:ascii="游ゴシック Light" w:hAnsi="游ゴシック Light" w:eastAsia="游ゴシック Light"/>
          <w:sz w:val="24"/>
          <w:highlight w:val="none"/>
        </w:rPr>
        <w:t>により速やかに知事に報告するとともに、知事の返還命令を受けて、これを返還しなければならない。</w:t>
      </w:r>
    </w:p>
    <w:p>
      <w:pPr>
        <w:pStyle w:val="0"/>
        <w:spacing w:line="360" w:lineRule="exact"/>
        <w:ind w:left="0" w:leftChars="0" w:hanging="240" w:hangingChars="100"/>
        <w:rPr>
          <w:rFonts w:hint="eastAsia" w:ascii="游ゴシック Light" w:hAnsi="游ゴシック Light" w:eastAsia="游ゴシック Light"/>
          <w:sz w:val="24"/>
          <w:highlight w:val="none"/>
        </w:rPr>
      </w:pPr>
    </w:p>
    <w:p>
      <w:pPr>
        <w:pStyle w:val="0"/>
        <w:spacing w:line="360" w:lineRule="exact"/>
        <w:ind w:left="0" w:leftChars="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　（繰越承認申請）</w:t>
      </w:r>
    </w:p>
    <w:p>
      <w:pPr>
        <w:pStyle w:val="0"/>
        <w:spacing w:line="360" w:lineRule="exact"/>
        <w:ind w:left="0" w:leftChars="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第９条　補助事業者は、補助事業が年度内に完了し難いと認められ、補助事業を繰り越す必要がある場合は、別記第５号様式による繰越承認申請書を知事に提出し、知事の承認を受けなければならない。</w:t>
      </w:r>
    </w:p>
    <w:p>
      <w:pPr>
        <w:pStyle w:val="0"/>
        <w:spacing w:line="360" w:lineRule="exact"/>
        <w:ind w:left="0" w:leftChars="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２　知事は、前項の規定により繰越承認申請書の提出があった場合には、その内容の適否等について決定を行い、当該補助事業者に通知するものとする。</w:t>
      </w:r>
    </w:p>
    <w:p>
      <w:pPr>
        <w:pStyle w:val="0"/>
        <w:spacing w:line="360" w:lineRule="exact"/>
        <w:ind w:left="0" w:leftChars="0" w:hanging="240" w:hangingChars="100"/>
        <w:rPr>
          <w:rFonts w:hint="eastAsia" w:ascii="游ゴシック Light" w:hAnsi="游ゴシック Light" w:eastAsia="游ゴシック Light"/>
          <w:sz w:val="24"/>
          <w:highlight w:val="none"/>
        </w:rPr>
      </w:pPr>
    </w:p>
    <w:p>
      <w:pPr>
        <w:pStyle w:val="0"/>
        <w:spacing w:line="360" w:lineRule="exact"/>
        <w:ind w:left="0" w:leftChars="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　（実施状況に関する報告）</w:t>
      </w:r>
    </w:p>
    <w:p>
      <w:pPr>
        <w:pStyle w:val="0"/>
        <w:spacing w:line="360" w:lineRule="exact"/>
        <w:ind w:left="0" w:leftChars="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第</w:t>
      </w:r>
      <w:r>
        <w:rPr>
          <w:rFonts w:hint="eastAsia" w:ascii="游ゴシック Light" w:hAnsi="游ゴシック Light" w:eastAsia="游ゴシック Light"/>
          <w:sz w:val="24"/>
          <w:highlight w:val="none"/>
        </w:rPr>
        <w:t>10</w:t>
      </w:r>
      <w:r>
        <w:rPr>
          <w:rFonts w:hint="eastAsia" w:ascii="游ゴシック Light" w:hAnsi="游ゴシック Light" w:eastAsia="游ゴシック Light"/>
          <w:sz w:val="24"/>
          <w:highlight w:val="none"/>
        </w:rPr>
        <w:t>条　知事は、必要があると認めるときは、補助事業者に対し、補助事業の遂行状況の報告を求め、又は必要な調査を行うことができる。</w:t>
      </w:r>
    </w:p>
    <w:p>
      <w:pPr>
        <w:pStyle w:val="0"/>
        <w:spacing w:line="360" w:lineRule="exact"/>
        <w:ind w:left="0" w:leftChars="0" w:hanging="240" w:hangingChars="100"/>
        <w:rPr>
          <w:rFonts w:hint="eastAsia" w:ascii="游ゴシック Light" w:hAnsi="游ゴシック Light" w:eastAsia="游ゴシック Light"/>
          <w:sz w:val="24"/>
          <w:highlight w:val="none"/>
        </w:rPr>
      </w:pPr>
    </w:p>
    <w:p>
      <w:pPr>
        <w:pStyle w:val="0"/>
        <w:spacing w:line="360" w:lineRule="exact"/>
        <w:ind w:left="0" w:leftChars="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　（補助金の返還）</w:t>
      </w:r>
    </w:p>
    <w:p>
      <w:pPr>
        <w:pStyle w:val="0"/>
        <w:spacing w:line="360" w:lineRule="exact"/>
        <w:ind w:left="0" w:leftChars="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第</w:t>
      </w:r>
      <w:r>
        <w:rPr>
          <w:rFonts w:hint="eastAsia" w:ascii="游ゴシック Light" w:hAnsi="游ゴシック Light" w:eastAsia="游ゴシック Light"/>
          <w:sz w:val="24"/>
          <w:highlight w:val="none"/>
        </w:rPr>
        <w:t>11</w:t>
      </w:r>
      <w:r>
        <w:rPr>
          <w:rFonts w:hint="eastAsia" w:ascii="游ゴシック Light" w:hAnsi="游ゴシック Light" w:eastAsia="游ゴシック Light"/>
          <w:sz w:val="24"/>
          <w:highlight w:val="none"/>
        </w:rPr>
        <w:t>条　知事は、補助事業者が次の各号のいずれかに該当すると認めるときは、補助金の交付の決定を変更し、若しくは取り消し、又は交付した補助金の全部若しくは一部を返還させるものとする。</w:t>
      </w:r>
    </w:p>
    <w:p>
      <w:pPr>
        <w:pStyle w:val="0"/>
        <w:spacing w:line="360" w:lineRule="exact"/>
        <w:ind w:left="0" w:leftChars="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（１）不正に補助金の交付の決定又は補助金の交付を受けたとき。</w:t>
      </w:r>
    </w:p>
    <w:p>
      <w:pPr>
        <w:pStyle w:val="0"/>
        <w:spacing w:line="360" w:lineRule="exact"/>
        <w:ind w:left="0" w:leftChars="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（２）補助金を補助対象事業以外に使用したとき。</w:t>
      </w:r>
    </w:p>
    <w:p>
      <w:pPr>
        <w:pStyle w:val="0"/>
        <w:spacing w:line="360" w:lineRule="exact"/>
        <w:ind w:left="0" w:leftChars="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（３）規則又はこの要綱の規定に違反したとき。</w:t>
      </w:r>
    </w:p>
    <w:p>
      <w:pPr>
        <w:pStyle w:val="0"/>
        <w:spacing w:line="360" w:lineRule="exact"/>
        <w:ind w:left="0" w:leftChars="0" w:hanging="480" w:hangingChars="2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（４）補助事業により購入し、又は取得した設備を、耐用年数を過ぎる以前に処分したとき。</w:t>
      </w:r>
    </w:p>
    <w:p>
      <w:pPr>
        <w:pStyle w:val="0"/>
        <w:spacing w:line="360" w:lineRule="exact"/>
        <w:ind w:left="0" w:leftChars="0" w:hanging="480" w:hangingChars="2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（５）補助目的に沿った使用をしなくなったとき又は事業の存続が困難となったとき。</w:t>
      </w:r>
    </w:p>
    <w:p>
      <w:pPr>
        <w:pStyle w:val="0"/>
        <w:spacing w:line="360" w:lineRule="exact"/>
        <w:ind w:left="0" w:leftChars="0" w:hanging="480" w:hangingChars="200"/>
        <w:rPr>
          <w:rFonts w:hint="eastAsia" w:ascii="游ゴシック Light" w:hAnsi="游ゴシック Light" w:eastAsia="游ゴシック Light"/>
          <w:sz w:val="24"/>
          <w:highlight w:val="none"/>
        </w:rPr>
      </w:pPr>
    </w:p>
    <w:p>
      <w:pPr>
        <w:pStyle w:val="0"/>
        <w:spacing w:line="360" w:lineRule="exact"/>
        <w:ind w:left="0" w:leftChars="0" w:hanging="480" w:hangingChars="2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　（グリーン購入）</w:t>
      </w:r>
    </w:p>
    <w:p>
      <w:pPr>
        <w:pStyle w:val="0"/>
        <w:spacing w:line="360" w:lineRule="exact"/>
        <w:ind w:left="0" w:leftChars="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第</w:t>
      </w:r>
      <w:r>
        <w:rPr>
          <w:rFonts w:hint="eastAsia" w:ascii="游ゴシック Light" w:hAnsi="游ゴシック Light" w:eastAsia="游ゴシック Light"/>
          <w:sz w:val="24"/>
          <w:highlight w:val="none"/>
        </w:rPr>
        <w:t>12</w:t>
      </w:r>
      <w:r>
        <w:rPr>
          <w:rFonts w:hint="eastAsia" w:ascii="游ゴシック Light" w:hAnsi="游ゴシック Light" w:eastAsia="游ゴシック Light"/>
          <w:sz w:val="24"/>
          <w:highlight w:val="none"/>
        </w:rPr>
        <w:t>条　補助事業者は、補助事業の実施において物品等を調達する場合は、県が定める「高知県グリーン購入基本方針」に基づき環境物品等の調達に努めるものとする。</w:t>
      </w:r>
    </w:p>
    <w:p>
      <w:pPr>
        <w:pStyle w:val="0"/>
        <w:spacing w:line="360" w:lineRule="exact"/>
        <w:ind w:leftChars="0" w:firstLineChars="0"/>
        <w:rPr>
          <w:rFonts w:hint="eastAsia" w:ascii="游ゴシック Light" w:hAnsi="游ゴシック Light" w:eastAsia="游ゴシック Light"/>
          <w:sz w:val="24"/>
          <w:highlight w:val="none"/>
        </w:rPr>
      </w:pPr>
    </w:p>
    <w:p>
      <w:pPr>
        <w:pStyle w:val="0"/>
        <w:spacing w:line="360" w:lineRule="exact"/>
        <w:ind w:leftChars="0" w:firstLineChars="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　（情報の開示）</w:t>
      </w:r>
    </w:p>
    <w:p>
      <w:pPr>
        <w:pStyle w:val="0"/>
        <w:spacing w:line="360" w:lineRule="exact"/>
        <w:ind w:left="0" w:leftChars="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第</w:t>
      </w:r>
      <w:r>
        <w:rPr>
          <w:rFonts w:hint="eastAsia" w:ascii="游ゴシック Light" w:hAnsi="游ゴシック Light" w:eastAsia="游ゴシック Light"/>
          <w:sz w:val="24"/>
          <w:highlight w:val="none"/>
        </w:rPr>
        <w:t>13</w:t>
      </w:r>
      <w:r>
        <w:rPr>
          <w:rFonts w:hint="eastAsia" w:ascii="游ゴシック Light" w:hAnsi="游ゴシック Light" w:eastAsia="游ゴシック Light"/>
          <w:sz w:val="24"/>
          <w:highlight w:val="none"/>
        </w:rPr>
        <w:t>条　補助事業又は補助事業者に関して高知県情報公開条例（平成２年高知県条例第１号）に基づく開示請求があった場合は、同条例第６条第１項の規定による非開示項目以外の項目は、原則として開示するものとする。</w:t>
      </w:r>
    </w:p>
    <w:p>
      <w:pPr>
        <w:pStyle w:val="0"/>
        <w:spacing w:line="360" w:lineRule="exact"/>
        <w:ind w:left="0" w:leftChars="0" w:hanging="240" w:hangingChars="100"/>
        <w:rPr>
          <w:rFonts w:hint="eastAsia" w:ascii="游ゴシック Light" w:hAnsi="游ゴシック Light" w:eastAsia="游ゴシック Light"/>
          <w:sz w:val="24"/>
          <w:highlight w:val="none"/>
        </w:rPr>
      </w:pPr>
    </w:p>
    <w:p>
      <w:pPr>
        <w:pStyle w:val="0"/>
        <w:spacing w:line="360" w:lineRule="exact"/>
        <w:ind w:left="0" w:leftChars="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　（委任）</w:t>
      </w:r>
    </w:p>
    <w:p>
      <w:pPr>
        <w:pStyle w:val="0"/>
        <w:spacing w:line="360" w:lineRule="exact"/>
        <w:ind w:left="0" w:leftChars="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第</w:t>
      </w:r>
      <w:r>
        <w:rPr>
          <w:rFonts w:hint="eastAsia" w:ascii="游ゴシック Light" w:hAnsi="游ゴシック Light" w:eastAsia="游ゴシック Light"/>
          <w:sz w:val="24"/>
          <w:highlight w:val="none"/>
        </w:rPr>
        <w:t>14</w:t>
      </w:r>
      <w:r>
        <w:rPr>
          <w:rFonts w:hint="eastAsia" w:ascii="游ゴシック Light" w:hAnsi="游ゴシック Light" w:eastAsia="游ゴシック Light"/>
          <w:sz w:val="24"/>
          <w:highlight w:val="none"/>
        </w:rPr>
        <w:t>条　この要綱に定めるもののほか、補助金の交付に関し必要な事項は知事が別に定める。</w:t>
      </w:r>
    </w:p>
    <w:p>
      <w:pPr>
        <w:pStyle w:val="0"/>
        <w:spacing w:line="360" w:lineRule="exact"/>
        <w:ind w:left="0" w:leftChars="0" w:hanging="240" w:hangingChars="100"/>
        <w:rPr>
          <w:rFonts w:hint="eastAsia" w:ascii="游ゴシック Light" w:hAnsi="游ゴシック Light" w:eastAsia="游ゴシック Light"/>
          <w:sz w:val="24"/>
          <w:highlight w:val="none"/>
        </w:rPr>
      </w:pPr>
    </w:p>
    <w:p>
      <w:pPr>
        <w:pStyle w:val="0"/>
        <w:spacing w:line="360" w:lineRule="exact"/>
        <w:ind w:left="0" w:leftChars="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　　附則</w:t>
      </w:r>
    </w:p>
    <w:p>
      <w:pPr>
        <w:pStyle w:val="0"/>
        <w:spacing w:line="360" w:lineRule="exact"/>
        <w:ind w:left="0" w:leftChars="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１　この要綱は、</w:t>
      </w:r>
      <w:r>
        <w:rPr>
          <w:rFonts w:hint="eastAsia" w:ascii="游ゴシック Light" w:hAnsi="游ゴシック Light" w:eastAsia="游ゴシック Light"/>
          <w:strike w:val="0"/>
          <w:dstrike w:val="0"/>
          <w:sz w:val="24"/>
          <w:highlight w:val="none"/>
        </w:rPr>
        <w:t>令和２年</w:t>
      </w:r>
      <w:r>
        <w:rPr>
          <w:rFonts w:hint="eastAsia" w:ascii="游ゴシック Light" w:hAnsi="游ゴシック Light" w:eastAsia="游ゴシック Light"/>
          <w:strike w:val="0"/>
          <w:dstrike w:val="0"/>
          <w:sz w:val="24"/>
          <w:highlight w:val="none"/>
        </w:rPr>
        <w:t>11</w:t>
      </w:r>
      <w:r>
        <w:rPr>
          <w:rFonts w:hint="eastAsia" w:ascii="游ゴシック Light" w:hAnsi="游ゴシック Light" w:eastAsia="游ゴシック Light"/>
          <w:strike w:val="0"/>
          <w:dstrike w:val="0"/>
          <w:sz w:val="24"/>
          <w:highlight w:val="none"/>
        </w:rPr>
        <w:t>月</w:t>
      </w:r>
      <w:r>
        <w:rPr>
          <w:rFonts w:hint="eastAsia" w:ascii="游ゴシック Light" w:hAnsi="游ゴシック Light" w:eastAsia="游ゴシック Light"/>
          <w:strike w:val="0"/>
          <w:dstrike w:val="0"/>
          <w:sz w:val="24"/>
          <w:highlight w:val="none"/>
        </w:rPr>
        <w:t>26</w:t>
      </w:r>
      <w:r>
        <w:rPr>
          <w:rFonts w:hint="eastAsia" w:ascii="游ゴシック Light" w:hAnsi="游ゴシック Light" w:eastAsia="游ゴシック Light"/>
          <w:strike w:val="0"/>
          <w:dstrike w:val="0"/>
          <w:sz w:val="24"/>
          <w:highlight w:val="none"/>
        </w:rPr>
        <w:t>日</w:t>
      </w:r>
      <w:r>
        <w:rPr>
          <w:rFonts w:hint="eastAsia" w:ascii="游ゴシック Light" w:hAnsi="游ゴシック Light" w:eastAsia="游ゴシック Light"/>
          <w:sz w:val="24"/>
          <w:highlight w:val="none"/>
        </w:rPr>
        <w:t>から施行するものとする。</w:t>
      </w:r>
    </w:p>
    <w:p>
      <w:pPr>
        <w:pStyle w:val="0"/>
        <w:spacing w:line="360" w:lineRule="exact"/>
        <w:ind w:left="0" w:leftChars="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２　この要綱は、令和</w:t>
      </w:r>
      <w:r>
        <w:rPr>
          <w:rFonts w:hint="eastAsia" w:ascii="游ゴシック Light" w:hAnsi="游ゴシック Light" w:eastAsia="游ゴシック Light"/>
          <w:strike w:val="0"/>
          <w:dstrike w:val="0"/>
          <w:sz w:val="24"/>
          <w:highlight w:val="none"/>
        </w:rPr>
        <w:t>４</w:t>
      </w:r>
      <w:r>
        <w:rPr>
          <w:rFonts w:hint="eastAsia" w:ascii="游ゴシック Light" w:hAnsi="游ゴシック Light" w:eastAsia="游ゴシック Light"/>
          <w:sz w:val="24"/>
          <w:highlight w:val="none"/>
        </w:rPr>
        <w:t>年５月</w:t>
      </w:r>
      <w:r>
        <w:rPr>
          <w:rFonts w:hint="eastAsia" w:ascii="游ゴシック Light" w:hAnsi="游ゴシック Light" w:eastAsia="游ゴシック Light"/>
          <w:sz w:val="24"/>
          <w:highlight w:val="none"/>
        </w:rPr>
        <w:t>31</w:t>
      </w:r>
      <w:r>
        <w:rPr>
          <w:rFonts w:hint="eastAsia" w:ascii="游ゴシック Light" w:hAnsi="游ゴシック Light" w:eastAsia="游ゴシック Light"/>
          <w:sz w:val="24"/>
          <w:highlight w:val="none"/>
        </w:rPr>
        <w:t>日限り、その効力を失う。ただし、この要綱に基づき交付された補助金については、第５条第３号から第</w:t>
      </w:r>
      <w:r>
        <w:rPr>
          <w:rFonts w:hint="eastAsia" w:ascii="游ゴシック Light" w:hAnsi="游ゴシック Light" w:eastAsia="游ゴシック Light"/>
          <w:sz w:val="24"/>
          <w:highlight w:val="none"/>
        </w:rPr>
        <w:t>6</w:t>
      </w:r>
      <w:r>
        <w:rPr>
          <w:rFonts w:hint="eastAsia" w:ascii="游ゴシック Light" w:hAnsi="游ゴシック Light" w:eastAsia="游ゴシック Light"/>
          <w:sz w:val="24"/>
          <w:highlight w:val="none"/>
        </w:rPr>
        <w:t>号まで及び第</w:t>
      </w:r>
      <w:r>
        <w:rPr>
          <w:rFonts w:hint="eastAsia" w:ascii="游ゴシック Light" w:hAnsi="游ゴシック Light" w:eastAsia="游ゴシック Light"/>
          <w:sz w:val="24"/>
          <w:highlight w:val="none"/>
        </w:rPr>
        <w:t>10</w:t>
      </w:r>
      <w:r>
        <w:rPr>
          <w:rFonts w:hint="eastAsia" w:ascii="游ゴシック Light" w:hAnsi="游ゴシック Light" w:eastAsia="游ゴシック Light"/>
          <w:sz w:val="24"/>
          <w:highlight w:val="none"/>
        </w:rPr>
        <w:t>号、第７条、第８条第３項、第</w:t>
      </w:r>
      <w:r>
        <w:rPr>
          <w:rFonts w:hint="eastAsia" w:ascii="游ゴシック Light" w:hAnsi="游ゴシック Light" w:eastAsia="游ゴシック Light"/>
          <w:sz w:val="24"/>
          <w:highlight w:val="none"/>
        </w:rPr>
        <w:t>10</w:t>
      </w:r>
      <w:r>
        <w:rPr>
          <w:rFonts w:hint="eastAsia" w:ascii="游ゴシック Light" w:hAnsi="游ゴシック Light" w:eastAsia="游ゴシック Light"/>
          <w:sz w:val="24"/>
          <w:highlight w:val="none"/>
        </w:rPr>
        <w:t>条、第</w:t>
      </w:r>
      <w:r>
        <w:rPr>
          <w:rFonts w:hint="eastAsia" w:ascii="游ゴシック Light" w:hAnsi="游ゴシック Light" w:eastAsia="游ゴシック Light"/>
          <w:sz w:val="24"/>
          <w:highlight w:val="none"/>
        </w:rPr>
        <w:t>11</w:t>
      </w:r>
      <w:r>
        <w:rPr>
          <w:rFonts w:hint="eastAsia" w:ascii="游ゴシック Light" w:hAnsi="游ゴシック Light" w:eastAsia="游ゴシック Light"/>
          <w:sz w:val="24"/>
          <w:highlight w:val="none"/>
        </w:rPr>
        <w:t>条並びに第</w:t>
      </w:r>
      <w:r>
        <w:rPr>
          <w:rFonts w:hint="eastAsia" w:ascii="游ゴシック Light" w:hAnsi="游ゴシック Light" w:eastAsia="游ゴシック Light"/>
          <w:sz w:val="24"/>
          <w:highlight w:val="none"/>
        </w:rPr>
        <w:t>13</w:t>
      </w:r>
      <w:r>
        <w:rPr>
          <w:rFonts w:hint="eastAsia" w:ascii="游ゴシック Light" w:hAnsi="游ゴシック Light" w:eastAsia="游ゴシック Light"/>
          <w:sz w:val="24"/>
          <w:highlight w:val="none"/>
        </w:rPr>
        <w:t>条の規定は、同日以降もなおその効力を有する。</w:t>
      </w:r>
      <w:bookmarkStart w:id="0" w:name="_GoBack"/>
      <w:bookmarkEnd w:id="0"/>
    </w:p>
    <w:p>
      <w:pPr>
        <w:pStyle w:val="0"/>
        <w:spacing w:line="360" w:lineRule="exact"/>
        <w:rPr>
          <w:rFonts w:hint="eastAsia" w:ascii="游ゴシック Light" w:hAnsi="游ゴシック Light" w:eastAsia="游ゴシック Light"/>
          <w:sz w:val="24"/>
          <w:highlight w:val="none"/>
        </w:rPr>
      </w:pPr>
      <w:r>
        <w:rPr>
          <w:rFonts w:hint="eastAsia"/>
          <w:highlight w:val="none"/>
        </w:rPr>
        <w:br w:type="page"/>
      </w:r>
    </w:p>
    <w:p>
      <w:pPr>
        <w:pStyle w:val="0"/>
        <w:spacing w:line="360" w:lineRule="exact"/>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別表第１（第３条関係）</w:t>
      </w:r>
    </w:p>
    <w:tbl>
      <w:tblPr>
        <w:tblStyle w:val="22"/>
        <w:tblW w:w="9571" w:type="dxa"/>
        <w:tblInd w:w="0" w:type="dxa"/>
        <w:tblLayout w:type="fixed"/>
        <w:tblLook w:firstRow="1" w:lastRow="0" w:firstColumn="1" w:lastColumn="0" w:noHBand="0" w:noVBand="1" w:val="04A0"/>
      </w:tblPr>
      <w:tblGrid>
        <w:gridCol w:w="1920"/>
        <w:gridCol w:w="2358"/>
        <w:gridCol w:w="2168"/>
        <w:gridCol w:w="1033"/>
        <w:gridCol w:w="2092"/>
      </w:tblGrid>
      <w:tr>
        <w:trPr/>
        <w:tc>
          <w:tcPr>
            <w:tcW w:w="1951" w:type="dxa"/>
            <w:shd w:val="clear" w:color="auto" w:themeFill="background1" w:themeFillTint="FF" w:themeFillShade="D9"/>
            <w:vAlign w:val="center"/>
          </w:tcPr>
          <w:p>
            <w:pPr>
              <w:pStyle w:val="0"/>
              <w:snapToGrid w:val="1"/>
              <w:spacing w:line="360" w:lineRule="exact"/>
              <w:jc w:val="center"/>
              <w:rPr>
                <w:rFonts w:hint="eastAsia" w:asciiTheme="majorEastAsia" w:hAnsiTheme="majorEastAsia" w:eastAsiaTheme="majorEastAsia"/>
                <w:sz w:val="21"/>
                <w:highlight w:val="none"/>
              </w:rPr>
            </w:pPr>
            <w:r>
              <w:rPr>
                <w:rFonts w:hint="eastAsia" w:asciiTheme="majorEastAsia" w:hAnsiTheme="majorEastAsia" w:eastAsiaTheme="majorEastAsia"/>
                <w:sz w:val="21"/>
                <w:highlight w:val="none"/>
              </w:rPr>
              <w:t>補助事業者</w:t>
            </w:r>
          </w:p>
        </w:tc>
        <w:tc>
          <w:tcPr>
            <w:tcW w:w="2397" w:type="dxa"/>
            <w:shd w:val="clear" w:color="auto" w:themeFill="background1" w:themeFillTint="FF" w:themeFillShade="D9"/>
            <w:vAlign w:val="center"/>
          </w:tcPr>
          <w:p>
            <w:pPr>
              <w:pStyle w:val="0"/>
              <w:snapToGrid w:val="1"/>
              <w:spacing w:line="360" w:lineRule="exact"/>
              <w:jc w:val="center"/>
              <w:rPr>
                <w:rFonts w:hint="eastAsia" w:asciiTheme="majorEastAsia" w:hAnsiTheme="majorEastAsia" w:eastAsiaTheme="majorEastAsia"/>
                <w:strike w:val="0"/>
                <w:dstrike w:val="0"/>
                <w:sz w:val="21"/>
                <w:highlight w:val="none"/>
              </w:rPr>
            </w:pPr>
            <w:r>
              <w:rPr>
                <w:rFonts w:hint="eastAsia" w:asciiTheme="majorEastAsia" w:hAnsiTheme="majorEastAsia" w:eastAsiaTheme="majorEastAsia"/>
                <w:strike w:val="0"/>
                <w:dstrike w:val="0"/>
                <w:sz w:val="21"/>
                <w:highlight w:val="none"/>
              </w:rPr>
              <w:t>事業種目</w:t>
            </w:r>
          </w:p>
        </w:tc>
        <w:tc>
          <w:tcPr>
            <w:tcW w:w="2204" w:type="dxa"/>
            <w:shd w:val="clear" w:color="auto" w:themeFill="background1" w:themeFillTint="FF" w:themeFillShade="D9"/>
            <w:vAlign w:val="center"/>
          </w:tcPr>
          <w:p>
            <w:pPr>
              <w:pStyle w:val="0"/>
              <w:snapToGrid w:val="1"/>
              <w:spacing w:line="360" w:lineRule="exact"/>
              <w:jc w:val="center"/>
              <w:rPr>
                <w:rFonts w:hint="eastAsia" w:asciiTheme="majorEastAsia" w:hAnsiTheme="majorEastAsia" w:eastAsiaTheme="majorEastAsia"/>
                <w:sz w:val="21"/>
                <w:highlight w:val="none"/>
              </w:rPr>
            </w:pPr>
            <w:r>
              <w:rPr>
                <w:rFonts w:hint="eastAsia" w:asciiTheme="majorEastAsia" w:hAnsiTheme="majorEastAsia" w:eastAsiaTheme="majorEastAsia"/>
                <w:sz w:val="21"/>
                <w:highlight w:val="none"/>
              </w:rPr>
              <w:t>補助対象経費</w:t>
            </w:r>
          </w:p>
        </w:tc>
        <w:tc>
          <w:tcPr>
            <w:tcW w:w="1048" w:type="dxa"/>
            <w:shd w:val="clear" w:color="auto" w:themeFill="background1" w:themeFillTint="FF" w:themeFillShade="D9"/>
            <w:vAlign w:val="center"/>
          </w:tcPr>
          <w:p>
            <w:pPr>
              <w:pStyle w:val="0"/>
              <w:snapToGrid w:val="1"/>
              <w:spacing w:line="360" w:lineRule="exact"/>
              <w:jc w:val="center"/>
              <w:rPr>
                <w:rFonts w:hint="eastAsia" w:asciiTheme="majorEastAsia" w:hAnsiTheme="majorEastAsia" w:eastAsiaTheme="majorEastAsia"/>
                <w:sz w:val="21"/>
                <w:highlight w:val="none"/>
              </w:rPr>
            </w:pPr>
            <w:r>
              <w:rPr>
                <w:rFonts w:hint="eastAsia" w:asciiTheme="majorEastAsia" w:hAnsiTheme="majorEastAsia" w:eastAsiaTheme="majorEastAsia"/>
                <w:sz w:val="21"/>
                <w:highlight w:val="none"/>
              </w:rPr>
              <w:t>補助率</w:t>
            </w:r>
          </w:p>
        </w:tc>
        <w:tc>
          <w:tcPr>
            <w:tcW w:w="2126" w:type="dxa"/>
            <w:shd w:val="clear" w:color="auto" w:themeFill="background1" w:themeFillTint="FF" w:themeFillShade="D9"/>
            <w:vAlign w:val="center"/>
          </w:tcPr>
          <w:p>
            <w:pPr>
              <w:pStyle w:val="0"/>
              <w:snapToGrid w:val="1"/>
              <w:spacing w:line="360" w:lineRule="exact"/>
              <w:jc w:val="center"/>
              <w:rPr>
                <w:rFonts w:hint="eastAsia" w:asciiTheme="majorEastAsia" w:hAnsiTheme="majorEastAsia" w:eastAsiaTheme="majorEastAsia"/>
                <w:sz w:val="21"/>
                <w:highlight w:val="none"/>
              </w:rPr>
            </w:pPr>
            <w:r>
              <w:rPr>
                <w:rFonts w:hint="eastAsia" w:asciiTheme="majorEastAsia" w:hAnsiTheme="majorEastAsia" w:eastAsiaTheme="majorEastAsia"/>
                <w:sz w:val="21"/>
                <w:highlight w:val="none"/>
              </w:rPr>
              <w:t>補助上限額</w:t>
            </w:r>
          </w:p>
        </w:tc>
      </w:tr>
      <w:tr>
        <w:trPr/>
        <w:tc>
          <w:tcPr>
            <w:tcW w:w="1951" w:type="dxa"/>
            <w:vAlign w:val="top"/>
          </w:tcPr>
          <w:p>
            <w:pPr>
              <w:pStyle w:val="0"/>
              <w:spacing w:line="360" w:lineRule="exact"/>
              <w:rPr>
                <w:rFonts w:hint="eastAsia" w:asciiTheme="majorEastAsia" w:hAnsiTheme="majorEastAsia" w:eastAsiaTheme="majorEastAsia"/>
                <w:sz w:val="21"/>
                <w:highlight w:val="none"/>
              </w:rPr>
            </w:pPr>
            <w:r>
              <w:rPr>
                <w:rFonts w:hint="eastAsia" w:asciiTheme="majorEastAsia" w:hAnsiTheme="majorEastAsia" w:eastAsiaTheme="majorEastAsia"/>
                <w:sz w:val="21"/>
                <w:highlight w:val="none"/>
              </w:rPr>
              <w:t>高知県内に主たる事業所を有する者であって、常時使用する従業員数</w:t>
            </w:r>
            <w:r>
              <w:rPr>
                <w:rFonts w:hint="eastAsia" w:asciiTheme="majorEastAsia" w:hAnsiTheme="majorEastAsia" w:eastAsiaTheme="majorEastAsia"/>
                <w:sz w:val="21"/>
                <w:highlight w:val="none"/>
                <w:vertAlign w:val="baseline"/>
              </w:rPr>
              <w:t>（注１）</w:t>
            </w:r>
            <w:r>
              <w:rPr>
                <w:rFonts w:hint="eastAsia" w:asciiTheme="majorEastAsia" w:hAnsiTheme="majorEastAsia" w:eastAsiaTheme="majorEastAsia"/>
                <w:sz w:val="21"/>
                <w:highlight w:val="none"/>
              </w:rPr>
              <w:t>が</w:t>
            </w:r>
            <w:r>
              <w:rPr>
                <w:rFonts w:hint="eastAsia" w:asciiTheme="majorEastAsia" w:hAnsiTheme="majorEastAsia" w:eastAsiaTheme="majorEastAsia"/>
                <w:sz w:val="21"/>
                <w:highlight w:val="none"/>
              </w:rPr>
              <w:t>21</w:t>
            </w:r>
            <w:r>
              <w:rPr>
                <w:rFonts w:hint="eastAsia" w:asciiTheme="majorEastAsia" w:hAnsiTheme="majorEastAsia" w:eastAsiaTheme="majorEastAsia"/>
                <w:sz w:val="21"/>
                <w:highlight w:val="none"/>
              </w:rPr>
              <w:t>名以上の漁業を営む中小企業者（注２）</w:t>
            </w:r>
          </w:p>
        </w:tc>
        <w:tc>
          <w:tcPr>
            <w:tcW w:w="2397" w:type="dxa"/>
            <w:vAlign w:val="top"/>
          </w:tcPr>
          <w:p>
            <w:pPr>
              <w:pStyle w:val="0"/>
              <w:spacing w:line="360" w:lineRule="exact"/>
              <w:jc w:val="both"/>
              <w:rPr>
                <w:rFonts w:hint="eastAsia" w:asciiTheme="majorEastAsia" w:hAnsiTheme="majorEastAsia" w:eastAsiaTheme="majorEastAsia"/>
                <w:strike w:val="0"/>
                <w:dstrike w:val="0"/>
                <w:sz w:val="21"/>
                <w:highlight w:val="none"/>
              </w:rPr>
            </w:pPr>
            <w:r>
              <w:rPr>
                <w:rFonts w:hint="eastAsia" w:asciiTheme="majorEastAsia" w:hAnsiTheme="majorEastAsia" w:eastAsiaTheme="majorEastAsia"/>
                <w:strike w:val="0"/>
                <w:dstrike w:val="0"/>
                <w:sz w:val="21"/>
                <w:highlight w:val="none"/>
              </w:rPr>
              <w:t>デジタル技術導入事業</w:t>
            </w:r>
          </w:p>
        </w:tc>
        <w:tc>
          <w:tcPr>
            <w:tcW w:w="2204" w:type="dxa"/>
            <w:vAlign w:val="top"/>
          </w:tcPr>
          <w:p>
            <w:pPr>
              <w:pStyle w:val="0"/>
              <w:spacing w:line="360" w:lineRule="exact"/>
              <w:jc w:val="both"/>
              <w:rPr>
                <w:rFonts w:hint="eastAsia" w:asciiTheme="majorEastAsia" w:hAnsiTheme="majorEastAsia" w:eastAsiaTheme="majorEastAsia"/>
                <w:sz w:val="21"/>
                <w:highlight w:val="none"/>
              </w:rPr>
            </w:pPr>
            <w:r>
              <w:rPr>
                <w:rFonts w:hint="eastAsia" w:asciiTheme="majorEastAsia" w:hAnsiTheme="majorEastAsia" w:eastAsiaTheme="majorEastAsia"/>
                <w:sz w:val="21"/>
                <w:highlight w:val="none"/>
              </w:rPr>
              <w:t>デジタル技術を活用し、自動化・省力化を図るための設備・機器の整備にかかる経費（デジタル技術を活用した効率的な漁業生産体制の転換を進める「高知マリンイノベーション」と目的が合致するものに限る。）</w:t>
            </w:r>
          </w:p>
        </w:tc>
        <w:tc>
          <w:tcPr>
            <w:tcW w:w="1048" w:type="dxa"/>
            <w:vAlign w:val="top"/>
          </w:tcPr>
          <w:p>
            <w:pPr>
              <w:pStyle w:val="0"/>
              <w:spacing w:line="360" w:lineRule="exact"/>
              <w:rPr>
                <w:rFonts w:hint="eastAsia" w:asciiTheme="majorEastAsia" w:hAnsiTheme="majorEastAsia" w:eastAsiaTheme="majorEastAsia"/>
                <w:sz w:val="21"/>
                <w:highlight w:val="none"/>
              </w:rPr>
            </w:pPr>
            <w:r>
              <w:rPr>
                <w:rFonts w:hint="eastAsia" w:asciiTheme="majorEastAsia" w:hAnsiTheme="majorEastAsia" w:eastAsiaTheme="majorEastAsia"/>
                <w:sz w:val="21"/>
                <w:highlight w:val="none"/>
              </w:rPr>
              <w:t>４分の３以内</w:t>
            </w:r>
          </w:p>
          <w:p>
            <w:pPr>
              <w:pStyle w:val="0"/>
              <w:spacing w:line="360" w:lineRule="exact"/>
              <w:rPr>
                <w:rFonts w:hint="eastAsia" w:asciiTheme="majorEastAsia" w:hAnsiTheme="majorEastAsia" w:eastAsiaTheme="majorEastAsia"/>
                <w:sz w:val="21"/>
                <w:highlight w:val="none"/>
              </w:rPr>
            </w:pPr>
          </w:p>
        </w:tc>
        <w:tc>
          <w:tcPr>
            <w:tcW w:w="2126" w:type="dxa"/>
            <w:vAlign w:val="top"/>
          </w:tcPr>
          <w:p>
            <w:pPr>
              <w:pStyle w:val="0"/>
              <w:spacing w:line="360" w:lineRule="exact"/>
              <w:rPr>
                <w:rFonts w:hint="eastAsia" w:asciiTheme="majorEastAsia" w:hAnsiTheme="majorEastAsia" w:eastAsiaTheme="majorEastAsia"/>
                <w:sz w:val="21"/>
                <w:highlight w:val="none"/>
              </w:rPr>
            </w:pPr>
            <w:r>
              <w:rPr>
                <w:rFonts w:hint="eastAsia" w:asciiTheme="majorEastAsia" w:hAnsiTheme="majorEastAsia" w:eastAsiaTheme="majorEastAsia"/>
                <w:sz w:val="21"/>
                <w:highlight w:val="none"/>
              </w:rPr>
              <w:t>750</w:t>
            </w:r>
            <w:r>
              <w:rPr>
                <w:rFonts w:hint="eastAsia" w:asciiTheme="majorEastAsia" w:hAnsiTheme="majorEastAsia" w:eastAsiaTheme="majorEastAsia"/>
                <w:sz w:val="21"/>
                <w:highlight w:val="none"/>
              </w:rPr>
              <w:t>万円</w:t>
            </w:r>
          </w:p>
          <w:p>
            <w:pPr>
              <w:pStyle w:val="0"/>
              <w:spacing w:line="360" w:lineRule="exact"/>
              <w:rPr>
                <w:rFonts w:hint="eastAsia" w:asciiTheme="majorEastAsia" w:hAnsiTheme="majorEastAsia" w:eastAsiaTheme="majorEastAsia"/>
                <w:sz w:val="21"/>
                <w:highlight w:val="none"/>
              </w:rPr>
            </w:pPr>
          </w:p>
        </w:tc>
      </w:tr>
      <w:tr>
        <w:trPr/>
        <w:tc>
          <w:tcPr>
            <w:tcW w:w="1951" w:type="dxa"/>
            <w:vAlign w:val="top"/>
          </w:tcPr>
          <w:p>
            <w:pPr>
              <w:pStyle w:val="0"/>
              <w:spacing w:line="360" w:lineRule="exact"/>
              <w:rPr>
                <w:rFonts w:hint="eastAsia" w:asciiTheme="majorEastAsia" w:hAnsiTheme="majorEastAsia" w:eastAsiaTheme="majorEastAsia"/>
                <w:sz w:val="21"/>
                <w:highlight w:val="none"/>
              </w:rPr>
            </w:pPr>
            <w:r>
              <w:rPr>
                <w:rFonts w:hint="eastAsia" w:asciiTheme="majorEastAsia" w:hAnsiTheme="majorEastAsia" w:eastAsiaTheme="majorEastAsia"/>
                <w:sz w:val="21"/>
                <w:highlight w:val="none"/>
              </w:rPr>
              <w:t>漁業協同組合</w:t>
            </w:r>
          </w:p>
        </w:tc>
        <w:tc>
          <w:tcPr>
            <w:tcW w:w="2397" w:type="dxa"/>
            <w:vAlign w:val="top"/>
          </w:tcPr>
          <w:p>
            <w:pPr>
              <w:pStyle w:val="0"/>
              <w:spacing w:line="360" w:lineRule="exact"/>
              <w:rPr>
                <w:rFonts w:hint="eastAsia" w:asciiTheme="majorEastAsia" w:hAnsiTheme="majorEastAsia" w:eastAsiaTheme="majorEastAsia"/>
                <w:strike w:val="0"/>
                <w:dstrike w:val="0"/>
                <w:sz w:val="21"/>
                <w:highlight w:val="none"/>
              </w:rPr>
            </w:pPr>
            <w:r>
              <w:rPr>
                <w:rFonts w:hint="eastAsia" w:asciiTheme="majorEastAsia" w:hAnsiTheme="majorEastAsia" w:eastAsiaTheme="majorEastAsia"/>
                <w:strike w:val="0"/>
                <w:dstrike w:val="0"/>
                <w:sz w:val="21"/>
                <w:highlight w:val="none"/>
              </w:rPr>
              <w:t>出荷施設衛生環境整備事業</w:t>
            </w:r>
          </w:p>
        </w:tc>
        <w:tc>
          <w:tcPr>
            <w:tcW w:w="2204" w:type="dxa"/>
            <w:vAlign w:val="top"/>
          </w:tcPr>
          <w:p>
            <w:pPr>
              <w:pStyle w:val="0"/>
              <w:spacing w:line="360" w:lineRule="exact"/>
              <w:rPr>
                <w:rFonts w:hint="eastAsia" w:asciiTheme="majorEastAsia" w:hAnsiTheme="majorEastAsia" w:eastAsiaTheme="majorEastAsia"/>
                <w:sz w:val="21"/>
                <w:highlight w:val="none"/>
              </w:rPr>
            </w:pPr>
            <w:r>
              <w:rPr>
                <w:rFonts w:hint="eastAsia" w:asciiTheme="majorEastAsia" w:hAnsiTheme="majorEastAsia" w:eastAsiaTheme="majorEastAsia"/>
                <w:sz w:val="21"/>
                <w:highlight w:val="none"/>
              </w:rPr>
              <w:t>（１）市場及び出荷場における接触機会の減少、衛生管理の向上等に向けた設備等の整備にかかる経費</w:t>
            </w:r>
          </w:p>
          <w:p>
            <w:pPr>
              <w:pStyle w:val="0"/>
              <w:spacing w:line="360" w:lineRule="exact"/>
              <w:rPr>
                <w:rFonts w:hint="eastAsia" w:asciiTheme="majorEastAsia" w:hAnsiTheme="majorEastAsia" w:eastAsiaTheme="majorEastAsia"/>
                <w:sz w:val="21"/>
                <w:highlight w:val="none"/>
              </w:rPr>
            </w:pPr>
            <w:r>
              <w:rPr>
                <w:rFonts w:hint="eastAsia" w:asciiTheme="majorEastAsia" w:hAnsiTheme="majorEastAsia" w:eastAsiaTheme="majorEastAsia"/>
                <w:sz w:val="21"/>
                <w:highlight w:val="none"/>
              </w:rPr>
              <w:t>（２）市場及び出荷場における感染症拡大防止に向けた備品等の購入にかかる経費</w:t>
            </w:r>
          </w:p>
        </w:tc>
        <w:tc>
          <w:tcPr>
            <w:tcW w:w="1048" w:type="dxa"/>
            <w:vAlign w:val="top"/>
          </w:tcPr>
          <w:p>
            <w:pPr>
              <w:pStyle w:val="0"/>
              <w:spacing w:line="360" w:lineRule="exact"/>
              <w:rPr>
                <w:rFonts w:hint="eastAsia" w:asciiTheme="majorEastAsia" w:hAnsiTheme="majorEastAsia" w:eastAsiaTheme="majorEastAsia"/>
                <w:sz w:val="21"/>
                <w:highlight w:val="none"/>
              </w:rPr>
            </w:pPr>
            <w:r>
              <w:rPr>
                <w:rFonts w:hint="eastAsia" w:asciiTheme="majorEastAsia" w:hAnsiTheme="majorEastAsia" w:eastAsiaTheme="majorEastAsia"/>
                <w:sz w:val="21"/>
                <w:highlight w:val="none"/>
              </w:rPr>
              <w:t>４分の３以内</w:t>
            </w:r>
          </w:p>
          <w:p>
            <w:pPr>
              <w:pStyle w:val="0"/>
              <w:spacing w:line="360" w:lineRule="exact"/>
              <w:rPr>
                <w:rFonts w:hint="eastAsia" w:asciiTheme="majorEastAsia" w:hAnsiTheme="majorEastAsia" w:eastAsiaTheme="majorEastAsia"/>
                <w:sz w:val="21"/>
                <w:highlight w:val="none"/>
              </w:rPr>
            </w:pPr>
          </w:p>
        </w:tc>
        <w:tc>
          <w:tcPr>
            <w:tcW w:w="2126" w:type="dxa"/>
            <w:vAlign w:val="top"/>
          </w:tcPr>
          <w:p>
            <w:pPr>
              <w:pStyle w:val="0"/>
              <w:spacing w:line="360" w:lineRule="exact"/>
              <w:rPr>
                <w:rFonts w:hint="eastAsia" w:asciiTheme="majorEastAsia" w:hAnsiTheme="majorEastAsia" w:eastAsiaTheme="majorEastAsia"/>
                <w:sz w:val="21"/>
                <w:highlight w:val="none"/>
              </w:rPr>
            </w:pPr>
            <w:r>
              <w:rPr>
                <w:rFonts w:hint="eastAsia" w:asciiTheme="majorEastAsia" w:hAnsiTheme="majorEastAsia" w:eastAsiaTheme="majorEastAsia"/>
                <w:sz w:val="21"/>
                <w:highlight w:val="none"/>
              </w:rPr>
              <w:t>（１）</w:t>
            </w:r>
            <w:r>
              <w:rPr>
                <w:rFonts w:hint="eastAsia" w:asciiTheme="majorEastAsia" w:hAnsiTheme="majorEastAsia" w:eastAsiaTheme="majorEastAsia"/>
                <w:sz w:val="21"/>
                <w:highlight w:val="none"/>
              </w:rPr>
              <w:t>1</w:t>
            </w:r>
            <w:r>
              <w:rPr>
                <w:rFonts w:hint="eastAsia" w:asciiTheme="majorEastAsia" w:hAnsiTheme="majorEastAsia" w:eastAsiaTheme="majorEastAsia"/>
                <w:sz w:val="21"/>
                <w:highlight w:val="none"/>
              </w:rPr>
              <w:t>漁協又は支所当たり</w:t>
            </w:r>
            <w:r>
              <w:rPr>
                <w:rFonts w:hint="eastAsia" w:asciiTheme="majorEastAsia" w:hAnsiTheme="majorEastAsia" w:eastAsiaTheme="majorEastAsia"/>
                <w:sz w:val="21"/>
                <w:highlight w:val="none"/>
              </w:rPr>
              <w:t>150</w:t>
            </w:r>
            <w:r>
              <w:rPr>
                <w:rFonts w:hint="eastAsia" w:asciiTheme="majorEastAsia" w:hAnsiTheme="majorEastAsia" w:eastAsiaTheme="majorEastAsia"/>
                <w:sz w:val="21"/>
                <w:highlight w:val="none"/>
              </w:rPr>
              <w:t>万円</w:t>
            </w:r>
          </w:p>
          <w:p>
            <w:pPr>
              <w:pStyle w:val="0"/>
              <w:spacing w:line="360" w:lineRule="exact"/>
              <w:rPr>
                <w:rFonts w:hint="eastAsia" w:asciiTheme="majorEastAsia" w:hAnsiTheme="majorEastAsia" w:eastAsiaTheme="majorEastAsia"/>
                <w:sz w:val="21"/>
                <w:highlight w:val="none"/>
              </w:rPr>
            </w:pPr>
            <w:r>
              <w:rPr>
                <w:rFonts w:hint="eastAsia" w:asciiTheme="majorEastAsia" w:hAnsiTheme="majorEastAsia" w:eastAsiaTheme="majorEastAsia"/>
                <w:sz w:val="21"/>
                <w:highlight w:val="none"/>
              </w:rPr>
              <w:t>ただし、総合水産基盤整備事業計画で定める生産拠点、流通拠点、輸出拠点の漁港若しくは高知県１漁協の将来像に関する提言で定める拠点市場における取組については</w:t>
            </w:r>
            <w:r>
              <w:rPr>
                <w:rFonts w:hint="eastAsia" w:asciiTheme="majorEastAsia" w:hAnsiTheme="majorEastAsia" w:eastAsiaTheme="majorEastAsia"/>
                <w:sz w:val="21"/>
                <w:highlight w:val="none"/>
              </w:rPr>
              <w:t>1,500</w:t>
            </w:r>
            <w:r>
              <w:rPr>
                <w:rFonts w:hint="eastAsia" w:asciiTheme="majorEastAsia" w:hAnsiTheme="majorEastAsia" w:eastAsiaTheme="majorEastAsia"/>
                <w:sz w:val="21"/>
                <w:highlight w:val="none"/>
              </w:rPr>
              <w:t>万円</w:t>
            </w:r>
          </w:p>
          <w:p>
            <w:pPr>
              <w:pStyle w:val="0"/>
              <w:spacing w:line="360" w:lineRule="exact"/>
              <w:rPr>
                <w:rFonts w:hint="eastAsia" w:asciiTheme="majorEastAsia" w:hAnsiTheme="majorEastAsia" w:eastAsiaTheme="majorEastAsia"/>
                <w:sz w:val="21"/>
                <w:highlight w:val="none"/>
              </w:rPr>
            </w:pPr>
            <w:r>
              <w:rPr>
                <w:rFonts w:hint="eastAsia" w:asciiTheme="majorEastAsia" w:hAnsiTheme="majorEastAsia" w:eastAsiaTheme="majorEastAsia"/>
                <w:sz w:val="21"/>
                <w:highlight w:val="none"/>
              </w:rPr>
              <w:t>（２）</w:t>
            </w:r>
            <w:r>
              <w:rPr>
                <w:rFonts w:hint="eastAsia" w:asciiTheme="majorEastAsia" w:hAnsiTheme="majorEastAsia" w:eastAsiaTheme="majorEastAsia"/>
                <w:sz w:val="21"/>
              </w:rPr>
              <w:t>1</w:t>
            </w:r>
            <w:r>
              <w:rPr>
                <w:rFonts w:hint="eastAsia" w:asciiTheme="majorEastAsia" w:hAnsiTheme="majorEastAsia" w:eastAsiaTheme="majorEastAsia"/>
                <w:sz w:val="21"/>
              </w:rPr>
              <w:t>漁協又は支所当たり</w:t>
            </w:r>
            <w:r>
              <w:rPr>
                <w:rFonts w:hint="eastAsia" w:asciiTheme="majorEastAsia" w:hAnsiTheme="majorEastAsia" w:eastAsiaTheme="majorEastAsia"/>
                <w:sz w:val="21"/>
                <w:highlight w:val="none"/>
              </w:rPr>
              <w:t>30</w:t>
            </w:r>
            <w:r>
              <w:rPr>
                <w:rFonts w:hint="eastAsia" w:asciiTheme="majorEastAsia" w:hAnsiTheme="majorEastAsia" w:eastAsiaTheme="majorEastAsia"/>
                <w:sz w:val="21"/>
                <w:highlight w:val="none"/>
              </w:rPr>
              <w:t>万円</w:t>
            </w:r>
          </w:p>
        </w:tc>
      </w:tr>
    </w:tbl>
    <w:p>
      <w:pPr>
        <w:pStyle w:val="0"/>
        <w:spacing w:line="360" w:lineRule="exact"/>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注１　以下の者は「常時使用する従業員数」に含めないものとする。</w:t>
      </w:r>
    </w:p>
    <w:p>
      <w:pPr>
        <w:pStyle w:val="0"/>
        <w:spacing w:line="360" w:lineRule="exact"/>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（１）会社役員（ただし、従業員との兼務役員を除く。）</w:t>
      </w:r>
      <w:r>
        <w:rPr>
          <w:rFonts w:hint="eastAsia" w:ascii="游ゴシック Light" w:hAnsi="游ゴシック Light" w:eastAsia="游ゴシック Light"/>
          <w:sz w:val="24"/>
          <w:highlight w:val="none"/>
        </w:rPr>
        <w:t xml:space="preserve"> </w:t>
      </w:r>
    </w:p>
    <w:p>
      <w:pPr>
        <w:pStyle w:val="0"/>
        <w:spacing w:line="360" w:lineRule="exact"/>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（２）個人事業主本人及び同居の親族従業員</w:t>
      </w:r>
      <w:r>
        <w:rPr>
          <w:rFonts w:hint="eastAsia" w:ascii="游ゴシック Light" w:hAnsi="游ゴシック Light" w:eastAsia="游ゴシック Light"/>
          <w:sz w:val="24"/>
          <w:highlight w:val="none"/>
        </w:rPr>
        <w:t xml:space="preserve"> </w:t>
      </w:r>
    </w:p>
    <w:p>
      <w:pPr>
        <w:pStyle w:val="0"/>
        <w:spacing w:line="360" w:lineRule="exact"/>
        <w:ind w:left="720" w:hanging="720" w:hangingChars="3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（３）申請時点で、法令や社内就業規則等に基づいて休業（育児休業、介護休業及び傷病休業）又は休職の措置が適用されている社員</w:t>
      </w:r>
      <w:r>
        <w:rPr>
          <w:rFonts w:hint="eastAsia" w:ascii="游ゴシック Light" w:hAnsi="游ゴシック Light" w:eastAsia="游ゴシック Light"/>
          <w:sz w:val="24"/>
          <w:highlight w:val="none"/>
        </w:rPr>
        <w:t xml:space="preserve"> </w:t>
      </w:r>
    </w:p>
    <w:p>
      <w:pPr>
        <w:pStyle w:val="0"/>
        <w:spacing w:line="360" w:lineRule="exact"/>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（４）以下のいずれかの条件に該当するパートタイム労働者等</w:t>
      </w:r>
      <w:r>
        <w:rPr>
          <w:rFonts w:hint="eastAsia" w:ascii="游ゴシック Light" w:hAnsi="游ゴシック Light" w:eastAsia="游ゴシック Light"/>
          <w:sz w:val="24"/>
          <w:highlight w:val="none"/>
        </w:rPr>
        <w:t xml:space="preserve"> </w:t>
      </w:r>
    </w:p>
    <w:p>
      <w:pPr>
        <w:pStyle w:val="0"/>
        <w:spacing w:line="360" w:lineRule="exact"/>
        <w:ind w:left="690" w:leftChars="100" w:hanging="480" w:hangingChars="2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①　日々雇い入れられる者、２か月以内の期間を定めて雇用される者又は季節的業務に４か月以内の期間を定めて雇用される者（ただし、所定の期間を超えて引き続き雇用されている者を除く）</w:t>
      </w:r>
      <w:r>
        <w:rPr>
          <w:rFonts w:hint="eastAsia" w:ascii="游ゴシック Light" w:hAnsi="游ゴシック Light" w:eastAsia="游ゴシック Light"/>
          <w:sz w:val="24"/>
          <w:highlight w:val="none"/>
        </w:rPr>
        <w:t xml:space="preserve"> </w:t>
      </w:r>
    </w:p>
    <w:p>
      <w:pPr>
        <w:pStyle w:val="0"/>
        <w:spacing w:line="360" w:lineRule="exact"/>
        <w:ind w:left="690" w:leftChars="100" w:hanging="480" w:hangingChars="2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②　所定労働時間が同一の事業所に雇用される「通常の従業員」の所定労働時間に比べて短い者</w:t>
      </w:r>
      <w:r>
        <w:rPr>
          <w:rFonts w:hint="eastAsia" w:ascii="游ゴシック Light" w:hAnsi="游ゴシック Light" w:eastAsia="游ゴシック Light"/>
          <w:sz w:val="24"/>
          <w:highlight w:val="none"/>
        </w:rPr>
        <w:t xml:space="preserve"> </w:t>
      </w:r>
    </w:p>
    <w:p>
      <w:pPr>
        <w:pStyle w:val="0"/>
        <w:spacing w:line="360" w:lineRule="exact"/>
        <w:ind w:left="720" w:hanging="720" w:hangingChars="3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　　　　なお、「通常の従業員」については、社会通念に従い、通常の従業員と判断される従業員とし、労働契約の期間の定めがない、長期雇用を前提とした待遇を受ける賃金体系である等、雇用形態、賃金体系などを総合的に勘案して判断するものとする。</w:t>
      </w:r>
    </w:p>
    <w:p>
      <w:pPr>
        <w:pStyle w:val="0"/>
        <w:spacing w:line="360" w:lineRule="exact"/>
        <w:ind w:left="720" w:hanging="720" w:hangingChars="3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　　　　また、「（４）②パートタイム労働者」に該当するのは、「１日の労働時間及び１か月の所定労働日数が４分の３以下」か、「１週間の労働時間及び１か月の所定労働日数が４分の３以下」の場合に限る。</w:t>
      </w:r>
    </w:p>
    <w:p>
      <w:pPr>
        <w:pStyle w:val="0"/>
        <w:spacing w:line="360" w:lineRule="exact"/>
        <w:ind w:left="879" w:leftChars="105" w:hanging="658" w:hangingChars="274"/>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例）事業所にいわゆる正規型の従業員がいない場合、フルタイムの基幹的な働き方をしている従業員がいれば、その従業員が通常の従業員となり、その従業員より所定労働時間が短い従業員（１日若しくは１週間の労働時間又は１か月の所定労働日数が、通常の従業員の４分の３以下）はパートタイム労働者とする。</w:t>
      </w:r>
      <w:r>
        <w:rPr>
          <w:rFonts w:hint="eastAsia" w:ascii="游ゴシック Light" w:hAnsi="游ゴシック Light" w:eastAsia="游ゴシック Light"/>
          <w:sz w:val="24"/>
          <w:highlight w:val="none"/>
        </w:rPr>
        <w:t xml:space="preserve"> </w:t>
      </w:r>
    </w:p>
    <w:p>
      <w:pPr>
        <w:pStyle w:val="0"/>
        <w:spacing w:line="360" w:lineRule="exact"/>
        <w:ind w:left="1140" w:leftChars="200" w:hanging="720" w:hangingChars="300"/>
        <w:rPr>
          <w:rFonts w:hint="eastAsia" w:ascii="游ゴシック Light" w:hAnsi="游ゴシック Light" w:eastAsia="游ゴシック Light"/>
          <w:sz w:val="24"/>
          <w:highlight w:val="none"/>
        </w:rPr>
      </w:pPr>
    </w:p>
    <w:p>
      <w:pPr>
        <w:pStyle w:val="0"/>
        <w:spacing w:line="360" w:lineRule="exact"/>
        <w:ind w:left="480" w:hanging="480" w:hangingChars="2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注２　中小企業支援法（昭和</w:t>
      </w:r>
      <w:r>
        <w:rPr>
          <w:rFonts w:hint="eastAsia" w:ascii="游ゴシック Light" w:hAnsi="游ゴシック Light" w:eastAsia="游ゴシック Light"/>
          <w:sz w:val="24"/>
          <w:highlight w:val="none"/>
        </w:rPr>
        <w:t>38</w:t>
      </w:r>
      <w:r>
        <w:rPr>
          <w:rFonts w:hint="eastAsia" w:ascii="游ゴシック Light" w:hAnsi="游ゴシック Light" w:eastAsia="游ゴシック Light"/>
          <w:sz w:val="24"/>
          <w:highlight w:val="none"/>
        </w:rPr>
        <w:t>年法律第</w:t>
      </w:r>
      <w:r>
        <w:rPr>
          <w:rFonts w:hint="eastAsia" w:ascii="游ゴシック Light" w:hAnsi="游ゴシック Light" w:eastAsia="游ゴシック Light"/>
          <w:sz w:val="24"/>
          <w:highlight w:val="none"/>
        </w:rPr>
        <w:t>147</w:t>
      </w:r>
      <w:r>
        <w:rPr>
          <w:rFonts w:hint="eastAsia" w:ascii="游ゴシック Light" w:hAnsi="游ゴシック Light" w:eastAsia="游ゴシック Light"/>
          <w:sz w:val="24"/>
          <w:highlight w:val="none"/>
        </w:rPr>
        <w:t>号）第２条第１項第１号に該当する者とする。</w:t>
      </w:r>
    </w:p>
    <w:p>
      <w:pPr>
        <w:pStyle w:val="0"/>
        <w:spacing w:line="360" w:lineRule="exact"/>
        <w:rPr>
          <w:rFonts w:hint="eastAsia" w:ascii="游ゴシック Light" w:hAnsi="游ゴシック Light" w:eastAsia="游ゴシック Light"/>
          <w:sz w:val="24"/>
          <w:highlight w:val="none"/>
        </w:rPr>
      </w:pPr>
    </w:p>
    <w:p>
      <w:pPr>
        <w:pStyle w:val="0"/>
        <w:spacing w:line="360" w:lineRule="exact"/>
        <w:ind w:left="240" w:hanging="240" w:hangingChars="100"/>
        <w:rPr>
          <w:rFonts w:hint="eastAsia" w:ascii="游ゴシック Light" w:hAnsi="游ゴシック Light" w:eastAsia="游ゴシック Light"/>
          <w:sz w:val="24"/>
          <w:highlight w:val="none"/>
        </w:rPr>
      </w:pPr>
    </w:p>
    <w:p>
      <w:pPr>
        <w:pStyle w:val="0"/>
        <w:widowControl w:val="1"/>
        <w:spacing w:line="360" w:lineRule="exact"/>
        <w:jc w:val="left"/>
        <w:rPr>
          <w:rFonts w:hint="eastAsia"/>
          <w:highlight w:val="none"/>
        </w:rPr>
      </w:pPr>
      <w:r>
        <w:rPr>
          <w:rFonts w:hint="eastAsia" w:ascii="游ゴシック Light" w:hAnsi="游ゴシック Light" w:eastAsia="游ゴシック Light"/>
          <w:sz w:val="24"/>
          <w:highlight w:val="none"/>
        </w:rPr>
        <w:br w:type="page"/>
      </w:r>
    </w:p>
    <w:p>
      <w:pPr>
        <w:pStyle w:val="0"/>
        <w:spacing w:line="360" w:lineRule="exact"/>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別表第２（第５条－第７条関係）</w:t>
      </w:r>
    </w:p>
    <w:p>
      <w:pPr>
        <w:pStyle w:val="0"/>
        <w:spacing w:line="360" w:lineRule="exact"/>
        <w:ind w:left="24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１　暴力団（高知県暴力団排除条例（平成</w:t>
      </w:r>
      <w:r>
        <w:rPr>
          <w:rFonts w:hint="eastAsia" w:ascii="游ゴシック Light" w:hAnsi="游ゴシック Light" w:eastAsia="游ゴシック Light"/>
          <w:sz w:val="24"/>
          <w:highlight w:val="none"/>
        </w:rPr>
        <w:t>22</w:t>
      </w:r>
      <w:r>
        <w:rPr>
          <w:rFonts w:hint="eastAsia" w:ascii="游ゴシック Light" w:hAnsi="游ゴシック Light" w:eastAsia="游ゴシック Light"/>
          <w:sz w:val="24"/>
          <w:highlight w:val="none"/>
        </w:rPr>
        <w:t>年高知県条例第</w:t>
      </w:r>
      <w:r>
        <w:rPr>
          <w:rFonts w:hint="eastAsia" w:ascii="游ゴシック Light" w:hAnsi="游ゴシック Light" w:eastAsia="游ゴシック Light"/>
          <w:sz w:val="24"/>
          <w:highlight w:val="none"/>
        </w:rPr>
        <w:t>36</w:t>
      </w:r>
      <w:r>
        <w:rPr>
          <w:rFonts w:hint="eastAsia" w:ascii="游ゴシック Light" w:hAnsi="游ゴシック Light" w:eastAsia="游ゴシック Light"/>
          <w:sz w:val="24"/>
          <w:highlight w:val="none"/>
        </w:rPr>
        <w:t>号。以下「暴排条例」という。）第２条第１号に規定する暴力団をいう。以下同じ。）又は暴力団員等（同条第３号に規定する暴力団員等をいう。以下同じ。）であるとき。</w:t>
      </w:r>
    </w:p>
    <w:p>
      <w:pPr>
        <w:pStyle w:val="0"/>
        <w:spacing w:line="360" w:lineRule="exact"/>
        <w:ind w:left="24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２　暴排条例第</w:t>
      </w:r>
      <w:r>
        <w:rPr>
          <w:rFonts w:hint="eastAsia" w:ascii="游ゴシック Light" w:hAnsi="游ゴシック Light" w:eastAsia="游ゴシック Light"/>
          <w:sz w:val="24"/>
          <w:highlight w:val="none"/>
        </w:rPr>
        <w:t>18</w:t>
      </w:r>
      <w:r>
        <w:rPr>
          <w:rFonts w:hint="eastAsia" w:ascii="游ゴシック Light" w:hAnsi="游ゴシック Light" w:eastAsia="游ゴシック Light"/>
          <w:sz w:val="24"/>
          <w:highlight w:val="none"/>
        </w:rPr>
        <w:t>条又は第</w:t>
      </w:r>
      <w:r>
        <w:rPr>
          <w:rFonts w:hint="eastAsia" w:ascii="游ゴシック Light" w:hAnsi="游ゴシック Light" w:eastAsia="游ゴシック Light"/>
          <w:sz w:val="24"/>
          <w:highlight w:val="none"/>
        </w:rPr>
        <w:t>19</w:t>
      </w:r>
      <w:r>
        <w:rPr>
          <w:rFonts w:hint="eastAsia" w:ascii="游ゴシック Light" w:hAnsi="游ゴシック Light" w:eastAsia="游ゴシック Light"/>
          <w:sz w:val="24"/>
          <w:highlight w:val="none"/>
        </w:rPr>
        <w:t>条の規定に違反した事実があるとき。</w:t>
      </w:r>
    </w:p>
    <w:p>
      <w:pPr>
        <w:pStyle w:val="0"/>
        <w:spacing w:line="360" w:lineRule="exact"/>
        <w:ind w:left="24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３　そ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者と認められる者を含み、法人以外の団体にあっては、代表者、理事その他これらと同等の責任を有する者をいう。以下同じ。）が暴力団員等であるとき。</w:t>
      </w:r>
    </w:p>
    <w:p>
      <w:pPr>
        <w:pStyle w:val="0"/>
        <w:spacing w:line="360" w:lineRule="exact"/>
        <w:ind w:left="24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４　暴力団員等がその事業活動を支配しているとき。</w:t>
      </w:r>
    </w:p>
    <w:p>
      <w:pPr>
        <w:pStyle w:val="0"/>
        <w:spacing w:line="360" w:lineRule="exact"/>
        <w:ind w:left="24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５　暴力団員等をその業務に従事させ、又はその業務の補助者として使用しているとき。</w:t>
      </w:r>
    </w:p>
    <w:p>
      <w:pPr>
        <w:pStyle w:val="0"/>
        <w:spacing w:line="360" w:lineRule="exact"/>
        <w:ind w:left="24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６　暴力団又は暴力団員等がその経営又は運営に実質的に関与しているとき。</w:t>
      </w:r>
    </w:p>
    <w:p>
      <w:pPr>
        <w:pStyle w:val="0"/>
        <w:spacing w:line="360" w:lineRule="exact"/>
        <w:ind w:left="24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７　いかなる名義をもってするかを問わず、暴力団又は暴力団員等に対して、金銭、物品、その他財産上の利益を与え、又は便宜を供与する等直接的又は積極的に暴力団の維持又は運営に協力し、又は関与したとき。</w:t>
      </w:r>
    </w:p>
    <w:p>
      <w:pPr>
        <w:pStyle w:val="0"/>
        <w:spacing w:line="360" w:lineRule="exact"/>
        <w:ind w:left="24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８　業務に関し、暴力団又は暴力団員等が経営又は運営に実質的に関与していると認められる者であることを知りながら、これを利用したとき。</w:t>
      </w:r>
    </w:p>
    <w:p>
      <w:pPr>
        <w:pStyle w:val="0"/>
        <w:spacing w:line="360" w:lineRule="exact"/>
        <w:ind w:left="24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９　その役員が、自己、その属する法人その他の団体若しくは第三者の利益を図り、又は第三者に損害を加えることを目的として、暴力団又は暴力団員等を利用したとき。</w:t>
      </w:r>
    </w:p>
    <w:p>
      <w:pPr>
        <w:pStyle w:val="0"/>
        <w:spacing w:line="360" w:lineRule="exact"/>
        <w:ind w:left="240" w:hanging="240" w:hangingChars="100"/>
        <w:rPr>
          <w:rFonts w:hint="eastAsia" w:ascii="游ゴシック Light" w:hAnsi="游ゴシック Light" w:eastAsia="游ゴシック Light"/>
          <w:sz w:val="24"/>
          <w:highlight w:val="none"/>
        </w:rPr>
      </w:pPr>
      <w:r>
        <w:rPr>
          <w:rFonts w:hint="eastAsia" w:ascii="游ゴシック Light" w:hAnsi="游ゴシック Light" w:eastAsia="游ゴシック Light"/>
          <w:sz w:val="24"/>
          <w:highlight w:val="none"/>
        </w:rPr>
        <w:t>10</w:t>
      </w:r>
      <w:r>
        <w:rPr>
          <w:rFonts w:hint="eastAsia" w:ascii="游ゴシック Light" w:hAnsi="游ゴシック Light" w:eastAsia="游ゴシック Light"/>
          <w:sz w:val="24"/>
          <w:highlight w:val="none"/>
        </w:rPr>
        <w:t>　その役員が暴力団又は暴力団員等と社会的に非難されるべき関係を有しているとき。</w:t>
      </w:r>
    </w:p>
    <w:p>
      <w:pPr>
        <w:pStyle w:val="0"/>
        <w:spacing w:line="360" w:lineRule="exact"/>
        <w:rPr>
          <w:rFonts w:hint="eastAsia" w:ascii="游ゴシック Light" w:hAnsi="游ゴシック Light" w:eastAsia="游ゴシック Light"/>
          <w:sz w:val="24"/>
          <w:highlight w:val="none"/>
        </w:rPr>
      </w:pPr>
    </w:p>
    <w:sectPr>
      <w:pgSz w:w="11906" w:h="16838"/>
      <w:pgMar w:top="1417" w:right="1134" w:bottom="1134" w:left="1417" w:header="851" w:footer="992" w:gutter="0"/>
      <w:cols w:space="720"/>
      <w:textDirection w:val="lrTb"/>
      <w:docGrid w:type="lines" w:linePitch="31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40"/>
  <w:hyphenationZone w:val="0"/>
  <w:defaultTableStyle w:val="22"/>
  <w:drawingGridHorizontalSpacing w:val="22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paragraph" w:styleId="21">
    <w:name w:val="Balloon Text"/>
    <w:basedOn w:val="0"/>
    <w:next w:val="21"/>
    <w:link w:val="0"/>
    <w:uiPriority w:val="0"/>
    <w:semiHidden/>
    <w:rPr>
      <w:rFonts w:asciiTheme="majorHAnsi" w:hAnsiTheme="majorHAnsi" w:eastAsiaTheme="majorEastAsia"/>
      <w:sz w:val="18"/>
    </w:rPr>
  </w:style>
  <w:style w:type="table" w:styleId="22" w:customStyle="1">
    <w:name w:val="表（シンプル 1）"/>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2591</TotalTime>
  <Pages>7</Pages>
  <Words>43</Words>
  <Characters>5059</Characters>
  <Application>JUST Note</Application>
  <Lines>239</Lines>
  <Paragraphs>96</Paragraphs>
  <CharactersWithSpaces>5132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501354</cp:lastModifiedBy>
  <cp:lastPrinted>2020-11-25T23:35:47Z</cp:lastPrinted>
  <dcterms:created xsi:type="dcterms:W3CDTF">2020-08-08T17:29:00Z</dcterms:created>
  <dcterms:modified xsi:type="dcterms:W3CDTF">2020-11-26T00:06:53Z</dcterms:modified>
  <cp:revision>191</cp:revision>
</cp:coreProperties>
</file>