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分割による理容所開設者地位承継届出書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分割により理容所の開設者の地位を承継しましたので、理容師法第</w:t>
      </w:r>
      <w:r>
        <w:rPr>
          <w:rFonts w:hint="eastAsia" w:ascii="ＭＳ 明朝" w:hAnsi="ＭＳ 明朝" w:eastAsia="ＭＳ 明朝"/>
          <w:kern w:val="22"/>
          <w:sz w:val="22"/>
        </w:rPr>
        <w:t>11</w:t>
      </w:r>
      <w:r>
        <w:rPr>
          <w:rFonts w:hint="eastAsia" w:ascii="ＭＳ 明朝" w:hAnsi="ＭＳ 明朝" w:eastAsia="ＭＳ 明朝"/>
          <w:kern w:val="22"/>
          <w:sz w:val="22"/>
        </w:rPr>
        <w:t>条の３第２項の規定により次のとおり関係書類を添えて届け出ます。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10"/>
        <w:gridCol w:w="645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3924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 w:ascii="ＭＳ 明朝" w:hAnsi="ＭＳ 明朝" w:eastAsia="ＭＳ 明朝"/>
          <w:kern w:val="22"/>
          <w:sz w:val="22"/>
        </w:rPr>
        <w:t>分割により営業を承継した法人の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登記事項証明書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1882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2021-04-03T05:49:34Z</dcterms:modified>
  <cp:revision>53</cp:revision>
</cp:coreProperties>
</file>