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ascii="ＭＳ ゴシック" w:hAnsi="ＭＳ ゴシック" w:eastAsia="ＭＳ ゴシック"/>
          <w:sz w:val="36"/>
        </w:rPr>
        <w:t>Ⅲ　在宅生活等への移行や就労支援等の目標</w:t>
      </w:r>
    </w:p>
    <w:p>
      <w:pPr>
        <w:pStyle w:val="0"/>
        <w:rPr>
          <w:rFonts w:hint="default"/>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１　福祉施設の入所者の在宅生活等への移行</w:t>
      </w:r>
    </w:p>
    <w:p>
      <w:pPr>
        <w:pStyle w:val="0"/>
        <w:rPr>
          <w:rFonts w:hint="default"/>
        </w:rPr>
      </w:pPr>
    </w:p>
    <w:tbl>
      <w:tblPr>
        <w:tblStyle w:val="11"/>
        <w:tblW w:w="876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0"/>
        <w:gridCol w:w="2520"/>
      </w:tblGrid>
      <w:tr>
        <w:trPr>
          <w:trHeight w:val="1065" w:hRule="atLeast"/>
        </w:trPr>
        <w:tc>
          <w:tcPr>
            <w:tcW w:w="624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令和２年度から令和５年度末までに</w:t>
            </w:r>
          </w:p>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入所施設</w:t>
            </w:r>
            <w:r>
              <w:rPr>
                <w:rFonts w:hint="eastAsia" w:ascii="ＭＳ ゴシック" w:hAnsi="ＭＳ ゴシック" w:eastAsia="ＭＳ ゴシック"/>
                <w:color w:val="auto"/>
                <w:u w:val="none" w:color="auto"/>
                <w:vertAlign w:val="subscript"/>
              </w:rPr>
              <w:t>（※１）</w:t>
            </w:r>
            <w:r>
              <w:rPr>
                <w:rFonts w:hint="eastAsia" w:ascii="ＭＳ ゴシック" w:hAnsi="ＭＳ ゴシック" w:eastAsia="ＭＳ ゴシック"/>
                <w:color w:val="auto"/>
                <w:u w:val="none" w:color="auto"/>
              </w:rPr>
              <w:t>から在宅生活等に移行する人の目標</w:t>
            </w:r>
          </w:p>
        </w:tc>
        <w:tc>
          <w:tcPr>
            <w:tcW w:w="2520"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３９人</w:t>
            </w:r>
          </w:p>
        </w:tc>
      </w:tr>
      <w:tr>
        <w:trPr>
          <w:trHeight w:val="1050" w:hRule="atLeast"/>
        </w:trPr>
        <w:tc>
          <w:tcPr>
            <w:tcW w:w="62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令和５年度末における施設</w:t>
            </w:r>
            <w:r>
              <w:rPr>
                <w:rFonts w:hint="eastAsia" w:ascii="ＭＳ ゴシック" w:hAnsi="ＭＳ ゴシック" w:eastAsia="ＭＳ ゴシック"/>
                <w:color w:val="auto"/>
                <w:u w:val="none" w:color="auto"/>
                <w:vertAlign w:val="subscript"/>
              </w:rPr>
              <w:t>（※２）</w:t>
            </w:r>
            <w:r>
              <w:rPr>
                <w:rFonts w:hint="eastAsia" w:ascii="ＭＳ ゴシック" w:hAnsi="ＭＳ ゴシック" w:eastAsia="ＭＳ ゴシック"/>
                <w:color w:val="auto"/>
                <w:u w:val="none" w:color="auto"/>
              </w:rPr>
              <w:t>入所者数の目標</w:t>
            </w:r>
          </w:p>
          <w:p>
            <w:pPr>
              <w:pStyle w:val="0"/>
              <w:ind w:leftChars="0" w:firstLine="0" w:firstLineChars="0"/>
              <w:jc w:val="right"/>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sz w:val="21"/>
                <w:u w:val="none" w:color="auto"/>
              </w:rPr>
              <w:t>（令和元年度末現在の入所者数</w:t>
            </w:r>
            <w:r>
              <w:rPr>
                <w:rFonts w:hint="eastAsia" w:ascii="ＭＳ ゴシック" w:hAnsi="ＭＳ ゴシック" w:eastAsia="ＭＳ ゴシック"/>
                <w:color w:val="auto"/>
                <w:sz w:val="21"/>
                <w:highlight w:val="none"/>
                <w:u w:val="none" w:color="auto"/>
              </w:rPr>
              <w:t>1,2</w:t>
            </w:r>
            <w:r>
              <w:rPr>
                <w:rFonts w:hint="eastAsia" w:ascii="ＭＳ ゴシック" w:hAnsi="ＭＳ ゴシック" w:eastAsia="ＭＳ ゴシック"/>
                <w:color w:val="auto"/>
                <w:sz w:val="21"/>
                <w:u w:val="none" w:color="auto"/>
              </w:rPr>
              <w:t>57</w:t>
            </w:r>
            <w:r>
              <w:rPr>
                <w:rFonts w:hint="eastAsia" w:ascii="ＭＳ ゴシック" w:hAnsi="ＭＳ ゴシック" w:eastAsia="ＭＳ ゴシック"/>
                <w:color w:val="auto"/>
                <w:sz w:val="21"/>
                <w:u w:val="none" w:color="auto"/>
              </w:rPr>
              <w:t>人）</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１，２７４人</w:t>
            </w:r>
          </w:p>
        </w:tc>
      </w:tr>
    </w:tbl>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ＭＳ 明朝" w:hAnsi="ＭＳ 明朝"/>
          <w:sz w:val="21"/>
        </w:rPr>
        <w:t>※１　入所施設　　障害者支援施設を指す</w:t>
      </w:r>
    </w:p>
    <w:p>
      <w:pPr>
        <w:pStyle w:val="0"/>
        <w:widowControl w:val="1"/>
        <w:ind w:left="0" w:leftChars="0" w:hanging="1800" w:hangingChars="75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ＭＳ 明朝" w:hAnsi="ＭＳ 明朝"/>
          <w:sz w:val="21"/>
        </w:rPr>
        <w:t>※２　児童福祉法の改正により、</w:t>
      </w:r>
      <w:r>
        <w:rPr>
          <w:rFonts w:hint="eastAsia" w:ascii="ＭＳ 明朝" w:hAnsi="ＭＳ 明朝"/>
          <w:sz w:val="21"/>
        </w:rPr>
        <w:t>18</w:t>
      </w:r>
      <w:r>
        <w:rPr>
          <w:rFonts w:hint="eastAsia" w:ascii="ＭＳ 明朝" w:hAnsi="ＭＳ 明朝"/>
          <w:sz w:val="21"/>
        </w:rPr>
        <w:t>歳以上の入所者について障害者総合支援法に基づく障害者支援施設等として利用させることとした施設を除く</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これまでの実績</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rPr>
        <w:t>第</w:t>
      </w:r>
      <w:r>
        <w:rPr>
          <w:rFonts w:hint="eastAsia" w:asciiTheme="minorEastAsia" w:hAnsiTheme="minorEastAsia"/>
          <w:color w:val="auto"/>
          <w:u w:val="none" w:color="auto"/>
        </w:rPr>
        <w:t>５期計画では、平成</w:t>
      </w:r>
      <w:r>
        <w:rPr>
          <w:rFonts w:hint="eastAsia" w:asciiTheme="minorEastAsia" w:hAnsiTheme="minorEastAsia"/>
          <w:color w:val="auto"/>
          <w:u w:val="none" w:color="auto"/>
        </w:rPr>
        <w:t>29</w:t>
      </w:r>
      <w:r>
        <w:rPr>
          <w:rFonts w:hint="eastAsia" w:asciiTheme="minorEastAsia" w:hAnsiTheme="minorEastAsia"/>
          <w:color w:val="auto"/>
          <w:u w:val="none" w:color="auto"/>
        </w:rPr>
        <w:t>年度から令和２年度末までに</w:t>
      </w:r>
      <w:r>
        <w:rPr>
          <w:rFonts w:hint="eastAsia" w:asciiTheme="minorEastAsia" w:hAnsiTheme="minorEastAsia"/>
          <w:color w:val="auto"/>
          <w:u w:val="none" w:color="auto"/>
        </w:rPr>
        <w:t>66</w:t>
      </w:r>
      <w:r>
        <w:rPr>
          <w:rFonts w:hint="eastAsia" w:asciiTheme="minorEastAsia" w:hAnsiTheme="minorEastAsia"/>
          <w:color w:val="auto"/>
          <w:u w:val="none" w:color="auto"/>
        </w:rPr>
        <w:t>人が入所施設から在宅生活等へ移行するとともに、施設入所者数を</w:t>
      </w:r>
      <w:r>
        <w:rPr>
          <w:rFonts w:hint="eastAsia" w:asciiTheme="minorEastAsia" w:hAnsiTheme="minorEastAsia"/>
          <w:color w:val="auto"/>
          <w:u w:val="none" w:color="auto"/>
        </w:rPr>
        <w:t>1,292</w:t>
      </w:r>
      <w:r>
        <w:rPr>
          <w:rFonts w:hint="eastAsia" w:asciiTheme="minorEastAsia" w:hAnsiTheme="minorEastAsia"/>
          <w:color w:val="auto"/>
          <w:u w:val="none" w:color="auto"/>
        </w:rPr>
        <w:t>人とすることを目標としていました。</w:t>
      </w:r>
    </w:p>
    <w:p>
      <w:pPr>
        <w:pStyle w:val="0"/>
        <w:ind w:left="240" w:leftChars="100" w:firstLine="240" w:firstLineChars="100"/>
        <w:rPr>
          <w:rFonts w:hint="default" w:asciiTheme="minorEastAsia" w:hAnsiTheme="minorEastAsia"/>
        </w:rPr>
      </w:pPr>
      <w:r>
        <w:rPr>
          <w:rFonts w:hint="eastAsia" w:asciiTheme="minorEastAsia" w:hAnsiTheme="minorEastAsia"/>
          <w:color w:val="auto"/>
          <w:u w:val="none" w:color="auto"/>
        </w:rPr>
        <w:t>これに対して、令和２年７月末時点で、目標を上回る</w:t>
      </w:r>
      <w:r>
        <w:rPr>
          <w:rFonts w:hint="eastAsia" w:asciiTheme="minorEastAsia" w:hAnsiTheme="minorEastAsia"/>
          <w:color w:val="auto"/>
          <w:u w:val="none" w:color="auto"/>
        </w:rPr>
        <w:t>82</w:t>
      </w:r>
      <w:r>
        <w:rPr>
          <w:rFonts w:hint="eastAsia" w:asciiTheme="minorEastAsia" w:hAnsiTheme="minorEastAsia"/>
          <w:color w:val="auto"/>
          <w:u w:val="none" w:color="auto"/>
        </w:rPr>
        <w:t>人が在宅生活等に移行しており、</w:t>
      </w:r>
      <w:r>
        <w:rPr>
          <w:rFonts w:hint="eastAsia" w:asciiTheme="minorEastAsia" w:hAnsiTheme="minorEastAsia"/>
          <w:color w:val="auto"/>
          <w:highlight w:val="none"/>
          <w:u w:val="none" w:color="auto"/>
        </w:rPr>
        <w:t>そのなかで約５割が自宅、約４割がグループホームに</w:t>
      </w:r>
      <w:r>
        <w:rPr>
          <w:rFonts w:hint="eastAsia" w:asciiTheme="minorEastAsia" w:hAnsiTheme="minorEastAsia"/>
          <w:highlight w:val="none"/>
        </w:rPr>
        <w:t>移行しています</w:t>
      </w:r>
      <w:r>
        <w:rPr>
          <w:rFonts w:hint="eastAsia" w:asciiTheme="minorEastAsia" w:hAnsiTheme="minorEastAsia"/>
        </w:rPr>
        <w:t>。</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目標設定の考え方等</w:t>
      </w:r>
    </w:p>
    <w:p>
      <w:pPr>
        <w:pStyle w:val="0"/>
        <w:ind w:left="240" w:leftChars="100" w:firstLine="240" w:firstLineChars="100"/>
        <w:rPr>
          <w:rFonts w:hint="default" w:asciiTheme="minorEastAsia" w:hAnsiTheme="minorEastAsia"/>
          <w:color w:val="auto"/>
          <w:u w:val="none" w:color="auto"/>
        </w:rPr>
      </w:pPr>
      <w:r>
        <w:rPr>
          <w:rFonts w:hint="eastAsia" w:asciiTheme="minorEastAsia" w:hAnsiTheme="minorEastAsia"/>
        </w:rPr>
        <w:t>現に施設に入所している人の障害や家族の状況、年齢、地域のサービス提供基盤の整備状況等の他、計画策定にあたって県及び市町村が実施したアンケート調査の結果などを参考にしながら市町村が見込んだサービス利用量の算出結果などから、在宅生活やグループホーム等での生活に移行する人の目標を</w:t>
      </w:r>
      <w:r>
        <w:rPr>
          <w:rFonts w:hint="eastAsia" w:asciiTheme="minorEastAsia" w:hAnsiTheme="minorEastAsia"/>
          <w:color w:val="auto"/>
          <w:u w:val="none" w:color="auto"/>
        </w:rPr>
        <w:t>39</w:t>
      </w:r>
      <w:r>
        <w:rPr>
          <w:rFonts w:hint="eastAsia" w:asciiTheme="minorEastAsia" w:hAnsiTheme="minorEastAsia"/>
          <w:color w:val="auto"/>
          <w:u w:val="none" w:color="auto"/>
        </w:rPr>
        <w:t>人と設定します。また、施設入所者数は、</w:t>
      </w:r>
      <w:r>
        <w:rPr>
          <w:rFonts w:hint="eastAsia" w:asciiTheme="minorEastAsia" w:hAnsiTheme="minorEastAsia"/>
          <w:color w:val="auto"/>
          <w:u w:val="none" w:color="auto"/>
        </w:rPr>
        <w:t>1,274</w:t>
      </w:r>
      <w:r>
        <w:rPr>
          <w:rFonts w:hint="eastAsia" w:asciiTheme="minorEastAsia" w:hAnsiTheme="minorEastAsia"/>
          <w:color w:val="auto"/>
          <w:u w:val="none" w:color="auto"/>
        </w:rPr>
        <w:t>人とします。</w:t>
      </w:r>
    </w:p>
    <w:p>
      <w:pPr>
        <w:pStyle w:val="0"/>
        <w:widowControl w:val="1"/>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目標達成への取り組み</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①　障害や障害のある人に対する理解の促進</w:t>
      </w:r>
    </w:p>
    <w:p>
      <w:pPr>
        <w:pStyle w:val="0"/>
        <w:ind w:left="720" w:leftChars="200" w:hanging="240" w:hangingChars="100"/>
        <w:rPr>
          <w:rFonts w:hint="default" w:asciiTheme="minorEastAsia" w:hAnsiTheme="minorEastAsia"/>
        </w:rPr>
      </w:pPr>
      <w:r>
        <w:rPr>
          <w:rFonts w:hint="eastAsia" w:asciiTheme="minorEastAsia" w:hAnsiTheme="minorEastAsia"/>
        </w:rPr>
        <w:t>○　障害のある人が地域で安心して暮らしていくためには、県民一人ひとりが障害や障害のある人を理解し、障害のある人もない人も、お互いに人格と個性を尊重することが必要です。</w:t>
      </w:r>
    </w:p>
    <w:p>
      <w:pPr>
        <w:pStyle w:val="0"/>
        <w:ind w:left="720" w:leftChars="300" w:firstLine="240" w:firstLineChars="100"/>
        <w:rPr>
          <w:rFonts w:hint="default" w:asciiTheme="minorEastAsia" w:hAnsiTheme="minorEastAsia"/>
        </w:rPr>
      </w:pPr>
      <w:r>
        <w:rPr>
          <w:rFonts w:hint="eastAsia" w:asciiTheme="minorEastAsia" w:hAnsiTheme="minorEastAsia"/>
        </w:rPr>
        <w:t>そのため、県・市町村の広報媒体やイベントの開催などの啓発活動を通じて、県民の障害や障害のある人に対する理解を促進します。また、障害者団体や福祉団体などが主体的に行う啓発活動や交流活動を支援します。</w:t>
      </w:r>
    </w:p>
    <w:p>
      <w:pPr>
        <w:pStyle w:val="0"/>
        <w:ind w:left="720" w:leftChars="300" w:firstLine="240" w:firstLineChars="100"/>
        <w:rPr>
          <w:rFonts w:hint="default" w:asciiTheme="minorEastAsia" w:hAnsiTheme="minorEastAsia"/>
        </w:rPr>
      </w:pPr>
    </w:p>
    <w:p>
      <w:pPr>
        <w:pStyle w:val="0"/>
        <w:ind w:firstLine="240" w:firstLineChars="100"/>
        <w:rPr>
          <w:rFonts w:hint="default" w:asciiTheme="minorEastAsia" w:hAnsiTheme="minorEastAsia"/>
        </w:rPr>
      </w:pPr>
      <w:r>
        <w:rPr>
          <w:rFonts w:hint="eastAsia"/>
        </w:rPr>
        <w:br w:type="page"/>
      </w:r>
    </w:p>
    <w:p>
      <w:pPr>
        <w:pStyle w:val="0"/>
        <w:ind w:firstLine="240" w:firstLineChars="100"/>
        <w:rPr>
          <w:rFonts w:hint="default" w:asciiTheme="minorEastAsia" w:hAnsiTheme="minorEastAsia"/>
        </w:rPr>
      </w:pPr>
      <w:r>
        <w:rPr>
          <w:rFonts w:hint="eastAsia" w:asciiTheme="minorEastAsia" w:hAnsiTheme="minorEastAsia"/>
        </w:rPr>
        <w:t>②　相談支援体制等の充実</w:t>
      </w:r>
    </w:p>
    <w:p>
      <w:pPr>
        <w:pStyle w:val="0"/>
        <w:ind w:left="720" w:leftChars="200" w:hanging="240" w:hangingChars="100"/>
        <w:rPr>
          <w:rFonts w:hint="default" w:asciiTheme="minorEastAsia" w:hAnsiTheme="minorEastAsia"/>
        </w:rPr>
      </w:pPr>
      <w:r>
        <w:rPr>
          <w:rFonts w:hint="eastAsia" w:asciiTheme="minorEastAsia" w:hAnsiTheme="minorEastAsia"/>
        </w:rPr>
        <w:t>○　「地域移行支援」や「地域定着支援」を実施する指定一般相談支援事業所や基幹相談支援センターの設置を促進し、市町村や障害福祉サービス事業所と連携して相談支援体制の充実を図ります。</w:t>
      </w:r>
    </w:p>
    <w:p>
      <w:pPr>
        <w:pStyle w:val="0"/>
        <w:ind w:left="720" w:leftChars="200" w:hanging="240" w:hangingChars="100"/>
        <w:rPr>
          <w:rFonts w:hint="default" w:asciiTheme="minorEastAsia" w:hAnsiTheme="minorEastAsia"/>
          <w:color w:val="auto"/>
          <w:u w:val="none" w:color="auto"/>
        </w:rPr>
      </w:pPr>
      <w:r>
        <w:rPr>
          <w:rFonts w:hint="eastAsia" w:asciiTheme="minorEastAsia" w:hAnsiTheme="minorEastAsia"/>
        </w:rPr>
        <w:t>○　障害のある人の在宅生活等を支えるため、市町村や関係事業所などと連携を図りながら、訪問系サービスや短期入所、地域生活支援事業など、在宅サービスの充実、さらには</w:t>
      </w:r>
      <w:r>
        <w:rPr>
          <w:rFonts w:hint="eastAsia" w:asciiTheme="minorEastAsia" w:hAnsiTheme="minorEastAsia"/>
          <w:color w:val="auto"/>
          <w:u w:val="none" w:color="auto"/>
        </w:rPr>
        <w:t>地域の相談支援の中核を担う人材の養成に努めます。</w:t>
      </w:r>
    </w:p>
    <w:p>
      <w:pPr>
        <w:pStyle w:val="0"/>
        <w:ind w:left="720" w:hanging="720" w:hangingChars="300"/>
        <w:rPr>
          <w:rFonts w:hint="default" w:asciiTheme="minorEastAsia" w:hAnsiTheme="minorEastAsia"/>
        </w:rPr>
      </w:pPr>
      <w:r>
        <w:rPr>
          <w:rFonts w:hint="eastAsia" w:asciiTheme="minorEastAsia" w:hAnsiTheme="minorEastAsia"/>
          <w:color w:val="auto"/>
          <w:u w:val="none" w:color="auto"/>
        </w:rPr>
        <w:t>　　○　障害のある人の生活を地域全体で支えるサービス提供体制を地域の実情に応じた創意工夫により整備・構築するため、地域生活支援拠点等の整備を進めます。</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③　住まいの場の確保</w:t>
      </w:r>
    </w:p>
    <w:p>
      <w:pPr>
        <w:pStyle w:val="0"/>
        <w:ind w:left="720" w:leftChars="200" w:hanging="240" w:hangingChars="100"/>
        <w:rPr>
          <w:rFonts w:hint="default" w:asciiTheme="minorEastAsia" w:hAnsiTheme="minorEastAsia"/>
        </w:rPr>
      </w:pPr>
      <w:r>
        <w:rPr>
          <w:rFonts w:hint="eastAsia" w:asciiTheme="minorEastAsia" w:hAnsiTheme="minorEastAsia"/>
        </w:rPr>
        <w:t>○　</w:t>
      </w:r>
      <w:r>
        <w:rPr>
          <w:rFonts w:hint="eastAsia" w:asciiTheme="minorEastAsia" w:hAnsiTheme="minorEastAsia"/>
          <w:color w:val="auto"/>
        </w:rPr>
        <w:t>自立</w:t>
      </w:r>
      <w:r>
        <w:rPr>
          <w:rFonts w:hint="eastAsia" w:asciiTheme="minorEastAsia" w:hAnsiTheme="minorEastAsia"/>
        </w:rPr>
        <w:t>した生活を目指す人が支援を受けながら生活するグループホームの充実を図るため、施設整備に対する助成を行いながら積極的に整備を進めます。</w:t>
      </w:r>
    </w:p>
    <w:p>
      <w:pPr>
        <w:pStyle w:val="0"/>
        <w:ind w:left="720" w:leftChars="200" w:hanging="240" w:hangingChars="100"/>
        <w:rPr>
          <w:rFonts w:hint="default" w:asciiTheme="minorEastAsia" w:hAnsiTheme="minorEastAsia"/>
        </w:rPr>
      </w:pPr>
      <w:r>
        <w:rPr>
          <w:rFonts w:hint="eastAsia" w:asciiTheme="minorEastAsia" w:hAnsiTheme="minorEastAsia"/>
        </w:rPr>
        <w:t>○　希望する人が可能な限り在宅生活が続けられるよう、住宅改造への助成を行うことにより、住環境の整備を進めます。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ＭＳ 明朝" w:hAnsi="ＭＳ 明朝" w:eastAsia="ＭＳ ゴシック"/>
          <w:sz w:val="28"/>
        </w:rPr>
      </w:pPr>
      <w:r>
        <w:rPr>
          <w:rFonts w:hint="eastAsia"/>
        </w:rPr>
        <w:br w:type="page"/>
      </w:r>
      <w:r>
        <w:rPr>
          <w:rFonts w:hint="eastAsia" w:ascii="ＭＳ 明朝" w:hAnsi="ＭＳ 明朝" w:eastAsia="ＭＳ ゴシック"/>
          <w:sz w:val="28"/>
        </w:rPr>
        <w:t>２　精神障害にも対応した地域包括ケアシステムの構築</w:t>
      </w:r>
    </w:p>
    <w:tbl>
      <w:tblPr>
        <w:tblStyle w:val="11"/>
        <w:tblpPr w:leftFromText="0" w:rightFromText="0" w:topFromText="0" w:bottomFromText="0" w:vertAnchor="text" w:horzAnchor="margin" w:tblpX="693" w:tblpY="6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226"/>
        <w:gridCol w:w="2920"/>
      </w:tblGrid>
      <w:tr>
        <w:trPr>
          <w:trHeight w:val="1020"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精神障害者の精神病床から退院後１年以内の地域における平均生活日数</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Chars="0" w:firstLine="0" w:firstLineChars="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316</w:t>
            </w:r>
            <w:r>
              <w:rPr>
                <w:rFonts w:hint="eastAsia" w:ascii="ＭＳ ゴシック" w:hAnsi="ＭＳ ゴシック" w:eastAsia="ＭＳ ゴシック"/>
                <w:b w:val="1"/>
                <w:color w:val="auto"/>
                <w:sz w:val="28"/>
                <w:u w:val="none" w:color="auto"/>
              </w:rPr>
              <w:t>日以上</w:t>
            </w:r>
          </w:p>
        </w:tc>
      </w:tr>
      <w:tr>
        <w:trPr>
          <w:trHeight w:val="1070"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color w:val="auto"/>
                <w:u w:val="none" w:color="auto"/>
              </w:rPr>
            </w:pPr>
            <w:r>
              <w:rPr>
                <w:rFonts w:hint="eastAsia" w:ascii="ＭＳ ゴシック" w:hAnsi="ＭＳ ゴシック" w:eastAsia="ＭＳ ゴシック"/>
                <w:color w:val="auto"/>
                <w:kern w:val="0"/>
                <w:u w:val="none" w:color="auto"/>
              </w:rPr>
              <w:t>令和５年度における入院後３か月時点の退院率の目標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FF0000"/>
              </w:rPr>
            </w:pPr>
            <w:r>
              <w:rPr>
                <w:rFonts w:hint="eastAsia" w:ascii="ＭＳ ゴシック" w:hAnsi="ＭＳ ゴシック" w:eastAsia="ＭＳ ゴシック"/>
                <w:b w:val="1"/>
                <w:color w:val="auto"/>
                <w:sz w:val="28"/>
                <w:u w:val="none" w:color="auto"/>
              </w:rPr>
              <w:t>７１％</w:t>
            </w:r>
          </w:p>
        </w:tc>
      </w:tr>
      <w:tr>
        <w:trPr>
          <w:trHeight w:val="1070"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令和５年度における入院後６か月時点の退院率の目標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８８％</w:t>
            </w:r>
          </w:p>
        </w:tc>
      </w:tr>
      <w:tr>
        <w:trPr>
          <w:trHeight w:val="1070"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令和５年度における入院後１年時点の退院率の目標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９４％</w:t>
            </w:r>
          </w:p>
        </w:tc>
      </w:tr>
      <w:tr>
        <w:trPr>
          <w:trHeight w:val="1256"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令和５年度末時点の１年以上の長期入院患者数の目標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color w:val="auto"/>
                <w:sz w:val="28"/>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22860</wp:posOffset>
                      </wp:positionH>
                      <wp:positionV relativeFrom="paragraph">
                        <wp:posOffset>224155</wp:posOffset>
                      </wp:positionV>
                      <wp:extent cx="166687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666875" cy="523875"/>
                              </a:xfrm>
                              <a:prstGeom prst="bracketPair">
                                <a:avLst>
                                  <a:gd name="adj" fmla="val 1666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64pt;mso-position-vertical-relative:text;mso-position-horizontal-relative:text;position:absolute;height:41.25pt;mso-wrap-distance-top:0pt;width:131.25pt;mso-wrap-distance-left:16pt;margin-left:1.8pt;z-index:2;"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b w:val="1"/>
                <w:color w:val="auto"/>
                <w:sz w:val="28"/>
                <w:u w:val="none" w:color="auto"/>
              </w:rPr>
              <w:t>1,540</w:t>
            </w:r>
            <w:r>
              <w:rPr>
                <w:rFonts w:hint="eastAsia" w:ascii="ＭＳ ゴシック" w:hAnsi="ＭＳ ゴシック" w:eastAsia="ＭＳ ゴシック"/>
                <w:b w:val="1"/>
                <w:color w:val="auto"/>
                <w:sz w:val="28"/>
                <w:u w:val="none" w:color="auto"/>
              </w:rPr>
              <w:t>人</w:t>
            </w:r>
          </w:p>
          <w:p>
            <w:pPr>
              <w:pStyle w:val="0"/>
              <w:spacing w:line="0" w:lineRule="atLeast"/>
              <w:ind w:left="240" w:leftChars="100"/>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65</w:t>
            </w:r>
            <w:r>
              <w:rPr>
                <w:rFonts w:hint="eastAsia" w:ascii="ＭＳ ゴシック" w:hAnsi="ＭＳ ゴシック" w:eastAsia="ＭＳ ゴシック"/>
                <w:b w:val="1"/>
                <w:color w:val="auto"/>
                <w:sz w:val="28"/>
                <w:u w:val="none" w:color="auto"/>
              </w:rPr>
              <w:t>歳以上</w:t>
            </w:r>
            <w:r>
              <w:rPr>
                <w:rFonts w:hint="eastAsia" w:ascii="ＭＳ ゴシック" w:hAnsi="ＭＳ ゴシック" w:eastAsia="ＭＳ ゴシック"/>
                <w:b w:val="1"/>
                <w:color w:val="auto"/>
                <w:sz w:val="28"/>
                <w:u w:val="none" w:color="auto"/>
              </w:rPr>
              <w:t>1,183</w:t>
            </w:r>
            <w:r>
              <w:rPr>
                <w:rFonts w:hint="eastAsia" w:ascii="ＭＳ ゴシック" w:hAnsi="ＭＳ ゴシック" w:eastAsia="ＭＳ ゴシック"/>
                <w:b w:val="1"/>
                <w:color w:val="auto"/>
                <w:sz w:val="28"/>
                <w:u w:val="none" w:color="auto"/>
              </w:rPr>
              <w:t>人</w:t>
            </w:r>
          </w:p>
          <w:p>
            <w:pPr>
              <w:pStyle w:val="0"/>
              <w:spacing w:line="0" w:lineRule="atLeast"/>
              <w:ind w:left="240" w:leftChars="100"/>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65</w:t>
            </w:r>
            <w:r>
              <w:rPr>
                <w:rFonts w:hint="eastAsia" w:ascii="ＭＳ ゴシック" w:hAnsi="ＭＳ ゴシック" w:eastAsia="ＭＳ ゴシック"/>
                <w:b w:val="1"/>
                <w:color w:val="auto"/>
                <w:sz w:val="28"/>
                <w:u w:val="none" w:color="auto"/>
              </w:rPr>
              <w:t>歳未満　</w:t>
            </w:r>
            <w:r>
              <w:rPr>
                <w:rFonts w:hint="eastAsia" w:ascii="ＭＳ ゴシック" w:hAnsi="ＭＳ ゴシック" w:eastAsia="ＭＳ ゴシック"/>
                <w:b w:val="1"/>
                <w:color w:val="auto"/>
                <w:sz w:val="28"/>
                <w:u w:val="none" w:color="auto"/>
              </w:rPr>
              <w:t>357</w:t>
            </w:r>
            <w:r>
              <w:rPr>
                <w:rFonts w:hint="eastAsia" w:ascii="ＭＳ ゴシック" w:hAnsi="ＭＳ ゴシック" w:eastAsia="ＭＳ ゴシック"/>
                <w:b w:val="1"/>
                <w:color w:val="auto"/>
                <w:sz w:val="28"/>
                <w:u w:val="none" w:color="auto"/>
              </w:rPr>
              <w:t>人</w:t>
            </w:r>
          </w:p>
        </w:tc>
      </w:tr>
    </w:tbl>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ゴシック" w:hAnsi="ＭＳ ゴシック"/>
        </w:rPr>
      </w:pPr>
    </w:p>
    <w:p>
      <w:pPr>
        <w:pStyle w:val="0"/>
        <w:ind w:firstLine="240" w:firstLineChars="100"/>
        <w:jc w:val="left"/>
        <w:rPr>
          <w:rFonts w:hint="default" w:ascii="ＭＳ 明朝" w:hAnsi="ＭＳ 明朝"/>
        </w:rPr>
      </w:pPr>
      <w:r>
        <w:rPr>
          <w:rFonts w:hint="eastAsia" w:ascii="ＭＳ 明朝" w:hAnsi="ＭＳ 明朝" w:eastAsia="ＭＳ 明朝"/>
        </w:rPr>
        <w:t>(1)</w:t>
      </w:r>
      <w:r>
        <w:rPr>
          <w:rFonts w:hint="eastAsia" w:ascii="ＭＳ 明朝" w:hAnsi="ＭＳ 明朝" w:eastAsia="ＭＳ 明朝"/>
        </w:rPr>
        <w:t>　これまでの実績</w:t>
      </w:r>
    </w:p>
    <w:p>
      <w:pPr>
        <w:pStyle w:val="0"/>
        <w:ind w:left="480" w:leftChars="100" w:hanging="240" w:hangingChars="100"/>
        <w:jc w:val="left"/>
        <w:rPr>
          <w:rFonts w:hint="default"/>
          <w:color w:val="auto"/>
          <w:u w:val="none" w:color="auto"/>
        </w:rPr>
      </w:pPr>
      <w:r>
        <w:rPr>
          <w:rFonts w:hint="eastAsia" w:ascii="ＭＳ 明朝" w:hAnsi="ＭＳ 明朝" w:eastAsia="ＭＳ 明朝"/>
        </w:rPr>
        <w:t>　　</w:t>
      </w:r>
      <w:r>
        <w:rPr>
          <w:rFonts w:hint="eastAsia" w:ascii="Century" w:hAnsi="Century" w:eastAsia="ＭＳ 明朝"/>
          <w:color w:val="auto"/>
          <w:u w:val="none" w:color="auto"/>
        </w:rPr>
        <w:t>第５期計画では、入院後の退院率について、入院後３か月時点で</w:t>
      </w:r>
      <w:r>
        <w:rPr>
          <w:rFonts w:hint="eastAsia" w:ascii="Century" w:hAnsi="Century" w:eastAsia="ＭＳ 明朝"/>
          <w:color w:val="auto"/>
          <w:u w:val="none" w:color="auto"/>
        </w:rPr>
        <w:t>70.8</w:t>
      </w:r>
      <w:r>
        <w:rPr>
          <w:rFonts w:hint="eastAsia" w:ascii="Century" w:hAnsi="Century" w:eastAsia="ＭＳ 明朝"/>
          <w:color w:val="auto"/>
          <w:u w:val="none" w:color="auto"/>
        </w:rPr>
        <w:t>％、入院後６か月時点で</w:t>
      </w:r>
      <w:r>
        <w:rPr>
          <w:rFonts w:hint="default" w:ascii="Century" w:hAnsi="Century" w:eastAsia="ＭＳ 明朝"/>
          <w:color w:val="auto"/>
          <w:u w:val="none" w:color="auto"/>
        </w:rPr>
        <w:t>87.9%</w:t>
      </w:r>
      <w:r>
        <w:rPr>
          <w:rFonts w:hint="eastAsia" w:ascii="Century" w:hAnsi="Century" w:eastAsia="ＭＳ 明朝"/>
          <w:color w:val="auto"/>
          <w:u w:val="none" w:color="auto"/>
        </w:rPr>
        <w:t>、入院後１年時点で</w:t>
      </w:r>
      <w:r>
        <w:rPr>
          <w:rFonts w:hint="eastAsia" w:ascii="Century" w:hAnsi="Century" w:eastAsia="ＭＳ 明朝"/>
          <w:color w:val="auto"/>
          <w:u w:val="none" w:color="auto"/>
        </w:rPr>
        <w:t>9</w:t>
      </w:r>
      <w:r>
        <w:rPr>
          <w:rFonts w:hint="default" w:ascii="Century" w:hAnsi="Century" w:eastAsia="ＭＳ 明朝"/>
          <w:color w:val="auto"/>
          <w:u w:val="none" w:color="auto"/>
        </w:rPr>
        <w:t>3</w:t>
      </w:r>
      <w:r>
        <w:rPr>
          <w:rFonts w:hint="eastAsia" w:ascii="Century" w:hAnsi="Century" w:eastAsia="ＭＳ 明朝"/>
          <w:color w:val="auto"/>
          <w:u w:val="none" w:color="auto"/>
        </w:rPr>
        <w:t>.</w:t>
      </w:r>
      <w:r>
        <w:rPr>
          <w:rFonts w:hint="default" w:ascii="Century" w:hAnsi="Century" w:eastAsia="ＭＳ 明朝"/>
          <w:color w:val="auto"/>
          <w:u w:val="none" w:color="auto"/>
        </w:rPr>
        <w:t>2</w:t>
      </w:r>
      <w:r>
        <w:rPr>
          <w:rFonts w:hint="eastAsia" w:ascii="Century" w:hAnsi="Century" w:eastAsia="ＭＳ 明朝"/>
          <w:color w:val="auto"/>
          <w:u w:val="none" w:color="auto"/>
        </w:rPr>
        <w:t>％とすることを目標としていました。　</w:t>
      </w:r>
    </w:p>
    <w:p>
      <w:pPr>
        <w:pStyle w:val="0"/>
        <w:ind w:left="480" w:leftChars="200" w:firstLine="240" w:firstLineChars="100"/>
        <w:jc w:val="left"/>
        <w:rPr>
          <w:rFonts w:hint="default"/>
        </w:rPr>
      </w:pPr>
      <w:r>
        <w:rPr>
          <w:rFonts w:hint="eastAsia" w:ascii="Century" w:hAnsi="Century" w:eastAsia="ＭＳ 明朝"/>
          <w:color w:val="auto"/>
          <w:u w:val="none" w:color="auto"/>
        </w:rPr>
        <w:t>これに対して平成</w:t>
      </w:r>
      <w:r>
        <w:rPr>
          <w:rFonts w:hint="default" w:ascii="Century" w:hAnsi="Century" w:eastAsia="ＭＳ 明朝"/>
          <w:color w:val="auto"/>
          <w:u w:val="none" w:color="auto"/>
        </w:rPr>
        <w:t>29</w:t>
      </w:r>
      <w:r>
        <w:rPr>
          <w:rFonts w:hint="eastAsia" w:ascii="Century" w:hAnsi="Century" w:eastAsia="ＭＳ 明朝"/>
          <w:color w:val="auto"/>
          <w:u w:val="none" w:color="auto"/>
        </w:rPr>
        <w:t>年度</w:t>
      </w:r>
      <w:r>
        <w:rPr>
          <w:rFonts w:hint="eastAsia" w:asciiTheme="minorEastAsia" w:hAnsiTheme="minorEastAsia"/>
          <w:color w:val="auto"/>
          <w:u w:val="none" w:color="auto"/>
          <w:vertAlign w:val="subscript"/>
        </w:rPr>
        <w:t>（※１）</w:t>
      </w:r>
      <w:r>
        <w:rPr>
          <w:rFonts w:hint="eastAsia" w:ascii="Century" w:hAnsi="Century" w:eastAsia="ＭＳ 明朝"/>
        </w:rPr>
        <w:t>における退院率は、入院後３か月時点で</w:t>
      </w:r>
      <w:r>
        <w:rPr>
          <w:rFonts w:hint="default" w:ascii="Century" w:hAnsi="Century" w:eastAsia="ＭＳ 明朝"/>
        </w:rPr>
        <w:t>64.0</w:t>
      </w:r>
      <w:r>
        <w:rPr>
          <w:rFonts w:hint="eastAsia" w:ascii="Century" w:hAnsi="Century" w:eastAsia="ＭＳ 明朝"/>
        </w:rPr>
        <w:t>％、入院後６か月時点で</w:t>
      </w:r>
      <w:r>
        <w:rPr>
          <w:rFonts w:hint="default" w:ascii="Century" w:hAnsi="Century" w:eastAsia="ＭＳ 明朝"/>
        </w:rPr>
        <w:t>83.0</w:t>
      </w:r>
      <w:r>
        <w:rPr>
          <w:rFonts w:hint="eastAsia" w:ascii="Century" w:hAnsi="Century" w:eastAsia="ＭＳ 明朝"/>
        </w:rPr>
        <w:t>％、入院後１年時点で</w:t>
      </w:r>
      <w:r>
        <w:rPr>
          <w:rFonts w:hint="default" w:ascii="Century" w:hAnsi="Century" w:eastAsia="ＭＳ 明朝"/>
        </w:rPr>
        <w:t>91.0</w:t>
      </w:r>
      <w:r>
        <w:rPr>
          <w:rFonts w:hint="eastAsia" w:ascii="Century" w:hAnsi="Century" w:eastAsia="ＭＳ 明朝"/>
        </w:rPr>
        <w:t>％となっています。</w:t>
      </w: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r>
        <w:rPr>
          <w:rFonts w:hint="eastAsia" w:ascii="Century" w:hAnsi="Century" w:eastAsia="ＭＳ 明朝"/>
        </w:rPr>
        <w:t>■　</w:t>
      </w:r>
      <w:r>
        <w:rPr>
          <w:rFonts w:hint="eastAsia" w:ascii="ＭＳ ゴシック" w:hAnsi="ＭＳ ゴシック" w:eastAsia="ＭＳ ゴシック"/>
        </w:rPr>
        <w:t>図Ⅲ－２－１</w:t>
      </w:r>
      <w:r>
        <w:rPr>
          <w:rFonts w:hint="eastAsia" w:ascii="Century" w:hAnsi="Century" w:eastAsia="ＭＳ 明朝"/>
        </w:rPr>
        <w:t>　退院率の推移</w:t>
      </w:r>
    </w:p>
    <w:p>
      <w:pPr>
        <w:pStyle w:val="0"/>
        <w:ind w:left="240" w:leftChars="100"/>
        <w:jc w:val="left"/>
        <w:rPr>
          <w:rFonts w:hint="default" w:ascii="ＭＳ 明朝" w:hAnsi="ＭＳ 明朝"/>
        </w:rPr>
      </w:pPr>
      <w:r>
        <w:rPr>
          <w:rFonts w:hint="eastAsia"/>
        </w:rPr>
        <w:drawing>
          <wp:anchor distT="0" distB="0" distL="114300" distR="114300" simplePos="0" relativeHeight="4" behindDoc="0" locked="0" layoutInCell="1" hidden="0" allowOverlap="1">
            <wp:simplePos x="0" y="0"/>
            <wp:positionH relativeFrom="page">
              <wp:posOffset>1050925</wp:posOffset>
            </wp:positionH>
            <wp:positionV relativeFrom="page">
              <wp:posOffset>6784340</wp:posOffset>
            </wp:positionV>
            <wp:extent cx="5663565" cy="2762250"/>
            <wp:effectExtent l="0" t="0" r="0" b="0"/>
            <wp:wrapNone/>
            <wp:docPr id="1027" name="オブジェクト 0"/>
            <a:graphic xmlns:a="http://schemas.openxmlformats.org/drawingml/2006/main">
              <a:graphicData uri="http://schemas.openxmlformats.org/drawingml/2006/chart">
                <c:chart xmlns:c="http://schemas.openxmlformats.org/drawingml/2006/chart" r:id="rId7"/>
              </a:graphicData>
            </a:graphic>
          </wp:anchor>
        </w:drawing>
      </w: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564" w:leftChars="235" w:firstLine="0" w:firstLineChars="0"/>
        <w:rPr>
          <w:rFonts w:hint="default"/>
          <w:color w:val="auto"/>
          <w:u w:val="none" w:color="auto"/>
        </w:rPr>
      </w:pPr>
      <w:r>
        <w:rPr>
          <w:rFonts w:hint="eastAsia" w:ascii="ＭＳ 明朝" w:hAnsi="ＭＳ 明朝"/>
        </w:rPr>
        <w:t>また、</w:t>
      </w:r>
      <w:r>
        <w:rPr>
          <w:rFonts w:hint="eastAsia" w:ascii="Century" w:hAnsi="Century" w:eastAsia="ＭＳ 明朝"/>
        </w:rPr>
        <w:t>１年以上の在院者数（長期入院患者数）については、</w:t>
      </w:r>
      <w:r>
        <w:rPr>
          <w:rFonts w:hint="eastAsia" w:ascii="Century" w:hAnsi="Century" w:eastAsia="ＭＳ 明朝"/>
          <w:color w:val="auto"/>
          <w:u w:val="none" w:color="auto"/>
        </w:rPr>
        <w:t>1,</w:t>
      </w:r>
      <w:r>
        <w:rPr>
          <w:rFonts w:hint="default" w:ascii="Century" w:hAnsi="Century" w:eastAsia="ＭＳ 明朝"/>
          <w:color w:val="auto"/>
          <w:u w:val="none" w:color="auto"/>
        </w:rPr>
        <w:t>757</w:t>
      </w:r>
      <w:r>
        <w:rPr>
          <w:rFonts w:hint="eastAsia" w:ascii="Century" w:hAnsi="Century" w:eastAsia="ＭＳ 明朝"/>
          <w:color w:val="auto"/>
          <w:u w:val="none" w:color="auto"/>
        </w:rPr>
        <w:t>人の目標に対して、</w:t>
      </w:r>
    </w:p>
    <w:p>
      <w:pPr>
        <w:pStyle w:val="0"/>
        <w:ind w:left="240" w:leftChars="100" w:firstLine="0" w:firstLineChars="0"/>
        <w:rPr>
          <w:rFonts w:hint="default" w:ascii="ＭＳ 明朝" w:hAnsi="ＭＳ 明朝"/>
        </w:rPr>
      </w:pPr>
      <w:r>
        <w:rPr>
          <w:rFonts w:hint="eastAsia" w:ascii="Century" w:hAnsi="Century" w:eastAsia="ＭＳ 明朝"/>
          <w:color w:val="auto"/>
          <w:u w:val="none" w:color="auto"/>
        </w:rPr>
        <w:t>令和元年６月末時点で</w:t>
      </w:r>
      <w:r>
        <w:rPr>
          <w:rFonts w:hint="eastAsia" w:ascii="Century" w:hAnsi="Century" w:eastAsia="ＭＳ 明朝"/>
          <w:color w:val="auto"/>
          <w:u w:val="none" w:color="auto"/>
        </w:rPr>
        <w:t>1,</w:t>
      </w:r>
      <w:r>
        <w:rPr>
          <w:rFonts w:hint="default" w:ascii="Century" w:hAnsi="Century" w:eastAsia="ＭＳ 明朝"/>
          <w:color w:val="auto"/>
          <w:u w:val="none" w:color="auto"/>
        </w:rPr>
        <w:t>834</w:t>
      </w:r>
      <w:r>
        <w:rPr>
          <w:rFonts w:hint="eastAsia" w:ascii="Century" w:hAnsi="Century" w:eastAsia="ＭＳ 明朝"/>
          <w:color w:val="auto"/>
          <w:u w:val="none" w:color="auto"/>
        </w:rPr>
        <w:t>人</w:t>
      </w:r>
      <w:r>
        <w:rPr>
          <w:rFonts w:hint="eastAsia" w:ascii="ＭＳ 明朝" w:hAnsi="ＭＳ 明朝" w:eastAsia="ＭＳ 明朝"/>
          <w:color w:val="auto"/>
          <w:u w:val="none" w:color="auto"/>
        </w:rPr>
        <w:t>となっており、これまで減少傾向が続いていましたが、令和元年度は、前年の人数を上回る結果</w:t>
      </w:r>
      <w:r>
        <w:rPr>
          <w:rFonts w:hint="eastAsia" w:ascii="ＭＳ 明朝" w:hAnsi="ＭＳ 明朝" w:eastAsia="ＭＳ 明朝"/>
        </w:rPr>
        <w:t>となっています。</w:t>
      </w: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r>
        <w:rPr>
          <w:rFonts w:hint="eastAsia" w:ascii="ＭＳ 明朝" w:hAnsi="ＭＳ 明朝" w:eastAsia="ＭＳ 明朝"/>
        </w:rPr>
        <w:t>　</w:t>
      </w:r>
      <w:r>
        <w:rPr>
          <w:rFonts w:hint="eastAsia" w:ascii="Century" w:hAnsi="Century" w:eastAsia="ＭＳ 明朝"/>
        </w:rPr>
        <w:t>■　</w:t>
      </w:r>
      <w:r>
        <w:rPr>
          <w:rFonts w:hint="eastAsia" w:ascii="ＭＳ ゴシック" w:hAnsi="ＭＳ ゴシック" w:eastAsia="ＭＳ ゴシック"/>
        </w:rPr>
        <w:t>図Ⅲ－２－２</w:t>
      </w:r>
      <w:r>
        <w:rPr>
          <w:rFonts w:hint="eastAsia" w:ascii="Century" w:hAnsi="Century" w:eastAsia="ＭＳ ゴシック"/>
        </w:rPr>
        <w:t>　</w:t>
      </w:r>
      <w:r>
        <w:rPr>
          <w:rFonts w:hint="eastAsia" w:ascii="Century" w:hAnsi="Century" w:eastAsia="ＭＳ 明朝"/>
        </w:rPr>
        <w:t>１年以上の</w:t>
      </w:r>
      <w:r>
        <w:rPr>
          <w:rFonts w:hint="eastAsia" w:ascii="ＭＳ 明朝" w:hAnsi="ＭＳ 明朝" w:eastAsia="ＭＳ 明朝"/>
        </w:rPr>
        <w:t>長期入院患者</w:t>
      </w:r>
      <w:r>
        <w:rPr>
          <w:rFonts w:hint="eastAsia" w:ascii="Century" w:hAnsi="Century" w:eastAsia="ＭＳ 明朝"/>
        </w:rPr>
        <w:t>数の推移</w:t>
      </w:r>
    </w:p>
    <w:p>
      <w:pPr>
        <w:pStyle w:val="0"/>
        <w:ind w:left="240" w:leftChars="100"/>
        <w:jc w:val="left"/>
        <w:rPr>
          <w:rFonts w:hint="default" w:ascii="ＭＳ 明朝" w:hAnsi="ＭＳ 明朝"/>
        </w:rPr>
      </w:pPr>
      <w:r>
        <w:rPr>
          <w:rFonts w:hint="eastAsia"/>
        </w:rPr>
        <w:drawing>
          <wp:inline distT="0" distB="0" distL="203200" distR="203200">
            <wp:extent cx="5628640" cy="226060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5628640" cy="2260600"/>
                    </a:xfrm>
                    <a:prstGeom prst="rect">
                      <a:avLst/>
                    </a:prstGeom>
                  </pic:spPr>
                </pic:pic>
              </a:graphicData>
            </a:graphic>
          </wp:inline>
        </w:drawing>
      </w:r>
    </w:p>
    <w:p>
      <w:pPr>
        <w:pStyle w:val="0"/>
        <w:ind w:left="240" w:leftChars="100"/>
        <w:jc w:val="left"/>
        <w:rPr>
          <w:rFonts w:hint="default" w:ascii="ＭＳ 明朝" w:hAnsi="ＭＳ 明朝"/>
        </w:rPr>
      </w:pPr>
    </w:p>
    <w:p>
      <w:pPr>
        <w:pStyle w:val="0"/>
        <w:ind w:left="240" w:leftChars="100" w:firstLine="360" w:firstLineChars="150"/>
        <w:rPr>
          <w:rFonts w:hint="eastAsia"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保健・医療・福祉関係者による協議の場の設置については、自立支援協議会の部会等、既存の協議会を活用している市町村もあります。</w:t>
      </w:r>
    </w:p>
    <w:p>
      <w:pPr>
        <w:pStyle w:val="0"/>
        <w:ind w:left="240" w:leftChars="100" w:firstLine="240" w:firstLineChars="100"/>
        <w:jc w:val="left"/>
        <w:rPr>
          <w:rFonts w:hint="default" w:ascii="ＭＳ 明朝" w:hAnsi="ＭＳ 明朝"/>
        </w:rPr>
      </w:pPr>
      <w:r>
        <w:rPr>
          <w:rFonts w:hint="eastAsia" w:ascii="ＭＳ 明朝" w:hAnsi="ＭＳ 明朝" w:eastAsia="ＭＳ 明朝"/>
          <w:b w:val="0"/>
          <w:color w:val="000000" w:themeColor="text1"/>
          <w:sz w:val="24"/>
          <w:u w:val="none" w:color="auto"/>
        </w:rPr>
        <w:t>県および各圏域においては、具体的な事例を持って実質的な協議を進めていく体制には至っていませんが、令和２年度は、各圏域で市町村や病院、相談支援事業所などの関係機関が集まり、地域移行に関する共通認識の確認や意識啓発を行いました。</w:t>
      </w:r>
    </w:p>
    <w:p>
      <w:pPr>
        <w:pStyle w:val="0"/>
        <w:ind w:left="240" w:leftChars="100"/>
        <w:jc w:val="left"/>
        <w:rPr>
          <w:rFonts w:hint="default" w:ascii="ＭＳ 明朝" w:hAnsi="ＭＳ 明朝"/>
        </w:rPr>
      </w:pPr>
    </w:p>
    <w:p>
      <w:pPr>
        <w:pStyle w:val="0"/>
        <w:ind w:left="240" w:leftChars="100"/>
        <w:jc w:val="left"/>
        <w:rPr>
          <w:rFonts w:hint="default" w:ascii="ＭＳ 明朝" w:hAnsi="ＭＳ 明朝"/>
          <w:color w:val="auto"/>
          <w:u w:val="none" w:color="auto"/>
        </w:rPr>
      </w:pPr>
      <w:r>
        <w:rPr>
          <w:rFonts w:hint="eastAsia" w:ascii="ＭＳ 明朝" w:hAnsi="ＭＳ 明朝" w:eastAsia="ＭＳ 明朝"/>
        </w:rPr>
        <w:t>(2)</w:t>
      </w:r>
      <w:r>
        <w:rPr>
          <w:rFonts w:hint="eastAsia" w:ascii="ＭＳ 明朝" w:hAnsi="ＭＳ 明朝" w:eastAsia="ＭＳ 明朝"/>
        </w:rPr>
        <w:t>　目標設定の考え方等</w:t>
      </w:r>
    </w:p>
    <w:p>
      <w:pPr>
        <w:pStyle w:val="0"/>
        <w:ind w:left="480" w:leftChars="100" w:hanging="240" w:hangingChars="100"/>
        <w:jc w:val="left"/>
        <w:rPr>
          <w:rFonts w:hint="default" w:ascii="ＭＳ 明朝" w:hAnsi="ＭＳ 明朝"/>
          <w:color w:val="auto"/>
          <w:u w:val="none" w:color="auto"/>
        </w:rPr>
      </w:pPr>
      <w:r>
        <w:rPr>
          <w:rFonts w:hint="eastAsia" w:ascii="ＭＳ 明朝" w:hAnsi="ＭＳ 明朝" w:eastAsia="ＭＳ 明朝"/>
        </w:rPr>
        <w:t>　①退院後一年以内の地域における</w:t>
      </w:r>
      <w:r>
        <w:rPr>
          <w:rFonts w:hint="eastAsia" w:ascii="ＭＳ 明朝" w:hAnsi="ＭＳ 明朝" w:eastAsia="ＭＳ 明朝"/>
          <w:color w:val="auto"/>
          <w:u w:val="none" w:color="auto"/>
        </w:rPr>
        <w:t>平均生活日数</w:t>
      </w:r>
    </w:p>
    <w:p>
      <w:pPr>
        <w:pStyle w:val="0"/>
        <w:ind w:left="480" w:leftChars="200" w:firstLine="240" w:firstLineChars="100"/>
        <w:jc w:val="left"/>
        <w:rPr>
          <w:rFonts w:hint="default" w:ascii="ＭＳ 明朝" w:hAnsi="ＭＳ 明朝"/>
          <w:color w:val="auto"/>
          <w:u w:val="none" w:color="auto"/>
        </w:rPr>
      </w:pPr>
      <w:r>
        <w:rPr>
          <w:rFonts w:hint="eastAsia" w:ascii="ＭＳ 明朝" w:hAnsi="ＭＳ 明朝" w:eastAsia="ＭＳ 明朝"/>
          <w:color w:val="auto"/>
          <w:u w:val="none" w:color="auto"/>
        </w:rPr>
        <w:t>地域包括ケアシステムの構築を推進するためには、地域における精神保健医療福祉体制の基盤を整備する必要があることから、当該基盤整備状況を評価する指標として目標値に掲げています。</w:t>
      </w:r>
    </w:p>
    <w:p>
      <w:pPr>
        <w:pStyle w:val="0"/>
        <w:ind w:left="480" w:leftChars="200" w:firstLine="240" w:firstLineChars="100"/>
        <w:jc w:val="left"/>
        <w:rPr>
          <w:rFonts w:hint="default" w:ascii="ＭＳ 明朝" w:hAnsi="ＭＳ 明朝"/>
        </w:rPr>
      </w:pPr>
      <w:r>
        <w:rPr>
          <w:rFonts w:hint="eastAsia" w:ascii="ＭＳ 明朝" w:hAnsi="ＭＳ 明朝" w:eastAsia="ＭＳ 明朝"/>
          <w:color w:val="auto"/>
          <w:u w:val="none" w:color="auto"/>
        </w:rPr>
        <w:t>本県における</w:t>
      </w:r>
      <w:r>
        <w:rPr>
          <w:rFonts w:hint="eastAsia" w:asciiTheme="minorEastAsia" w:hAnsiTheme="minorEastAsia"/>
          <w:color w:val="auto"/>
          <w:u w:val="none" w:color="auto"/>
        </w:rPr>
        <w:t>実績値</w:t>
      </w:r>
      <w:r>
        <w:rPr>
          <w:rFonts w:hint="eastAsia" w:asciiTheme="minorEastAsia" w:hAnsiTheme="minorEastAsia"/>
          <w:color w:val="auto"/>
          <w:u w:val="none" w:color="auto"/>
          <w:vertAlign w:val="subscript"/>
        </w:rPr>
        <w:t>（※</w:t>
      </w:r>
      <w:r>
        <w:rPr>
          <w:rFonts w:hint="eastAsia" w:asciiTheme="minorEastAsia" w:hAnsiTheme="minorEastAsia"/>
          <w:color w:val="auto"/>
          <w:u w:val="none" w:color="auto"/>
          <w:vertAlign w:val="subscript"/>
        </w:rPr>
        <w:t>2</w:t>
      </w:r>
      <w:r>
        <w:rPr>
          <w:rFonts w:hint="eastAsia" w:asciiTheme="minorEastAsia" w:hAnsiTheme="minorEastAsia"/>
          <w:color w:val="auto"/>
          <w:u w:val="none" w:color="auto"/>
          <w:vertAlign w:val="subscript"/>
        </w:rPr>
        <w:t>）</w:t>
      </w:r>
      <w:r>
        <w:rPr>
          <w:rFonts w:hint="eastAsia" w:asciiTheme="minorEastAsia" w:hAnsiTheme="minorEastAsia"/>
          <w:color w:val="auto"/>
          <w:u w:val="none" w:color="auto"/>
        </w:rPr>
        <w:t>は</w:t>
      </w:r>
      <w:r>
        <w:rPr>
          <w:rFonts w:hint="eastAsia" w:asciiTheme="minorEastAsia" w:hAnsiTheme="minorEastAsia"/>
          <w:color w:val="auto"/>
          <w:u w:val="none" w:color="auto"/>
        </w:rPr>
        <w:t>298</w:t>
      </w:r>
      <w:r>
        <w:rPr>
          <w:rFonts w:hint="eastAsia" w:asciiTheme="minorEastAsia" w:hAnsiTheme="minorEastAsia"/>
          <w:color w:val="auto"/>
          <w:u w:val="none" w:color="auto"/>
        </w:rPr>
        <w:t>日となっており、国の目標値である</w:t>
      </w:r>
      <w:r>
        <w:rPr>
          <w:rFonts w:hint="eastAsia" w:asciiTheme="minorEastAsia" w:hAnsiTheme="minorEastAsia"/>
          <w:color w:val="auto"/>
          <w:u w:val="none" w:color="auto"/>
        </w:rPr>
        <w:t>316</w:t>
      </w:r>
      <w:r>
        <w:rPr>
          <w:rFonts w:hint="eastAsia" w:asciiTheme="minorEastAsia" w:hAnsiTheme="minorEastAsia"/>
          <w:color w:val="auto"/>
          <w:u w:val="none" w:color="auto"/>
        </w:rPr>
        <w:t>日を下回っているため、国の目標値と同じ</w:t>
      </w:r>
      <w:r>
        <w:rPr>
          <w:rFonts w:hint="eastAsia" w:asciiTheme="minorEastAsia" w:hAnsiTheme="minorEastAsia"/>
          <w:color w:val="auto"/>
          <w:u w:val="none" w:color="auto"/>
        </w:rPr>
        <w:t>316</w:t>
      </w:r>
      <w:r>
        <w:rPr>
          <w:rFonts w:hint="eastAsia" w:asciiTheme="minorEastAsia" w:hAnsiTheme="minorEastAsia"/>
          <w:color w:val="auto"/>
          <w:u w:val="none" w:color="auto"/>
        </w:rPr>
        <w:t>日を目標値とします。</w:t>
      </w:r>
    </w:p>
    <w:p>
      <w:pPr>
        <w:pStyle w:val="0"/>
        <w:ind w:left="480" w:leftChars="100" w:hanging="240" w:hangingChars="100"/>
        <w:jc w:val="left"/>
        <w:rPr>
          <w:rFonts w:hint="default" w:ascii="ＭＳ 明朝" w:hAnsi="ＭＳ 明朝"/>
        </w:rPr>
      </w:pPr>
    </w:p>
    <w:p>
      <w:pPr>
        <w:pStyle w:val="0"/>
        <w:ind w:left="480" w:leftChars="200"/>
        <w:jc w:val="left"/>
        <w:rPr>
          <w:rFonts w:hint="default" w:ascii="ＭＳ 明朝" w:hAnsi="ＭＳ 明朝"/>
        </w:rPr>
      </w:pPr>
      <w:r>
        <w:rPr>
          <w:rFonts w:hint="eastAsia" w:ascii="ＭＳ 明朝" w:hAnsi="ＭＳ 明朝" w:eastAsia="ＭＳ 明朝"/>
        </w:rPr>
        <w:t>②入院後３か月時点、６か月時点、１年時点の退院率</w:t>
      </w:r>
    </w:p>
    <w:p>
      <w:pPr>
        <w:pStyle w:val="0"/>
        <w:ind w:left="480" w:hanging="480" w:hangingChars="200"/>
        <w:jc w:val="left"/>
        <w:rPr>
          <w:rFonts w:hint="default" w:ascii="ＭＳ 明朝" w:hAnsi="ＭＳ 明朝"/>
        </w:rPr>
      </w:pPr>
      <w:r>
        <w:rPr>
          <w:rFonts w:hint="eastAsia" w:ascii="ＭＳ 明朝" w:hAnsi="ＭＳ 明朝" w:eastAsia="ＭＳ 明朝"/>
        </w:rPr>
        <w:t>　　　本県の退院率は、国の基本方針で示された目標数値</w:t>
      </w:r>
      <w:r>
        <w:rPr>
          <w:rFonts w:hint="eastAsia" w:ascii="ＭＳ 明朝" w:hAnsi="ＭＳ 明朝" w:eastAsia="ＭＳ 明朝"/>
          <w:color w:val="auto"/>
          <w:u w:val="none" w:color="auto"/>
        </w:rPr>
        <w:t>69%</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86%</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92%</w:t>
      </w:r>
      <w:r>
        <w:rPr>
          <w:rFonts w:hint="eastAsia" w:ascii="ＭＳ 明朝" w:hAnsi="ＭＳ 明朝" w:eastAsia="ＭＳ 明朝"/>
          <w:color w:val="auto"/>
          <w:u w:val="none" w:color="auto"/>
        </w:rPr>
        <w:t>を平成</w:t>
      </w:r>
      <w:r>
        <w:rPr>
          <w:rFonts w:hint="eastAsia" w:ascii="ＭＳ 明朝" w:hAnsi="ＭＳ 明朝" w:eastAsia="ＭＳ 明朝"/>
          <w:color w:val="auto"/>
          <w:u w:val="none" w:color="auto"/>
        </w:rPr>
        <w:t>29</w:t>
      </w:r>
      <w:r>
        <w:rPr>
          <w:rFonts w:hint="eastAsia" w:ascii="ＭＳ 明朝" w:hAnsi="ＭＳ 明朝" w:eastAsia="ＭＳ 明朝"/>
          <w:color w:val="auto"/>
          <w:u w:val="none" w:color="auto"/>
        </w:rPr>
        <w:t>年度の実績では下回っていますが、過去</w:t>
      </w:r>
      <w:r>
        <w:rPr>
          <w:rFonts w:hint="eastAsia" w:ascii="ＭＳ 明朝" w:hAnsi="ＭＳ 明朝" w:eastAsia="ＭＳ 明朝"/>
        </w:rPr>
        <w:t>には上回っていた年もあることから、目標設定にあたっては、過去の退院率で最も高かった数値（入院後３か月時点：</w:t>
      </w:r>
      <w:r>
        <w:rPr>
          <w:rFonts w:hint="eastAsia" w:ascii="ＭＳ 明朝" w:hAnsi="ＭＳ 明朝" w:eastAsia="ＭＳ 明朝"/>
        </w:rPr>
        <w:t>71%</w:t>
      </w:r>
      <w:r>
        <w:rPr>
          <w:rFonts w:hint="eastAsia" w:ascii="ＭＳ 明朝" w:hAnsi="ＭＳ 明朝" w:eastAsia="ＭＳ 明朝"/>
        </w:rPr>
        <w:t>、入院後６か月時点：</w:t>
      </w:r>
      <w:r>
        <w:rPr>
          <w:rFonts w:hint="eastAsia" w:ascii="ＭＳ 明朝" w:hAnsi="ＭＳ 明朝" w:eastAsia="ＭＳ 明朝"/>
        </w:rPr>
        <w:t>88%</w:t>
      </w:r>
      <w:r>
        <w:rPr>
          <w:rFonts w:hint="eastAsia" w:ascii="ＭＳ 明朝" w:hAnsi="ＭＳ 明朝" w:eastAsia="ＭＳ 明朝"/>
        </w:rPr>
        <w:t>、入院後１年時点：</w:t>
      </w:r>
      <w:r>
        <w:rPr>
          <w:rFonts w:hint="eastAsia" w:ascii="ＭＳ 明朝" w:hAnsi="ＭＳ 明朝" w:eastAsia="ＭＳ 明朝"/>
        </w:rPr>
        <w:t>94%</w:t>
      </w:r>
      <w:r>
        <w:rPr>
          <w:rFonts w:hint="eastAsia" w:ascii="ＭＳ 明朝" w:hAnsi="ＭＳ 明朝" w:eastAsia="ＭＳ 明朝"/>
        </w:rPr>
        <w:t>）を目標値とします。</w:t>
      </w:r>
    </w:p>
    <w:p>
      <w:pPr>
        <w:pStyle w:val="0"/>
        <w:ind w:left="240" w:leftChars="100"/>
        <w:jc w:val="left"/>
        <w:rPr>
          <w:rFonts w:hint="default" w:ascii="ＭＳ 明朝" w:hAnsi="ＭＳ 明朝"/>
        </w:rPr>
      </w:pPr>
    </w:p>
    <w:p>
      <w:pPr>
        <w:pStyle w:val="0"/>
        <w:ind w:left="240" w:leftChars="100"/>
        <w:jc w:val="left"/>
        <w:rPr>
          <w:rFonts w:hint="default" w:ascii="ＭＳ 明朝" w:hAnsi="ＭＳ 明朝"/>
          <w:sz w:val="22"/>
        </w:rPr>
      </w:pPr>
      <w:r>
        <w:rPr>
          <w:rFonts w:hint="eastAsia" w:ascii="ＭＳ 明朝" w:hAnsi="ＭＳ 明朝" w:eastAsia="ＭＳ 明朝"/>
        </w:rPr>
        <w:t>　③</w:t>
      </w:r>
      <w:r>
        <w:rPr>
          <w:rFonts w:hint="eastAsia" w:ascii="ＭＳ 明朝" w:hAnsi="ＭＳ 明朝" w:eastAsia="ＭＳ 明朝"/>
        </w:rPr>
        <w:t xml:space="preserve"> </w:t>
      </w:r>
      <w:r>
        <w:rPr>
          <w:rFonts w:hint="eastAsia" w:ascii="ＭＳ 明朝" w:hAnsi="ＭＳ 明朝" w:eastAsia="ＭＳ 明朝"/>
        </w:rPr>
        <w:t>１年以上の長期入院患者数</w:t>
      </w:r>
    </w:p>
    <w:p>
      <w:pPr>
        <w:pStyle w:val="0"/>
        <w:ind w:left="480" w:leftChars="200" w:firstLine="240" w:firstLineChars="100"/>
        <w:jc w:val="left"/>
        <w:rPr>
          <w:rFonts w:hint="default" w:ascii="ＭＳ 明朝" w:hAnsi="ＭＳ 明朝"/>
          <w:sz w:val="22"/>
        </w:rPr>
      </w:pPr>
      <w:r>
        <w:rPr>
          <w:rFonts w:hint="eastAsia" w:ascii="ＭＳ 明朝" w:hAnsi="ＭＳ 明朝" w:eastAsia="ＭＳ 明朝"/>
          <w:b w:val="0"/>
          <w:color w:val="000000" w:themeColor="text1"/>
          <w:sz w:val="24"/>
          <w:u w:val="none" w:color="auto"/>
        </w:rPr>
        <w:t>地域における支援ネットワークの発展により、地域移行・地域定着支援等の相談支援体制の充実を図ることで、退院する人数を増</w:t>
      </w:r>
      <w:r>
        <w:rPr>
          <w:rFonts w:hint="eastAsia" w:ascii="ＭＳ 明朝" w:hAnsi="ＭＳ 明朝" w:eastAsia="ＭＳ 明朝"/>
          <w:b w:val="0"/>
          <w:color w:val="auto"/>
          <w:sz w:val="24"/>
          <w:u w:val="none" w:color="auto"/>
        </w:rPr>
        <w:t>加させていくことを目指し、</w:t>
      </w:r>
      <w:r>
        <w:rPr>
          <w:rFonts w:hint="eastAsia" w:ascii="ＭＳ 明朝" w:hAnsi="ＭＳ 明朝" w:eastAsia="ＭＳ 明朝"/>
          <w:b w:val="0"/>
          <w:color w:val="000000" w:themeColor="text1"/>
          <w:sz w:val="24"/>
          <w:u w:val="none" w:color="auto"/>
        </w:rPr>
        <w:t>国の基本指針で示された計算式</w:t>
      </w:r>
      <w:bookmarkStart w:id="0" w:name="_GoBack"/>
      <w:bookmarkEnd w:id="0"/>
      <w:r>
        <w:rPr>
          <w:rFonts w:hint="eastAsia" w:ascii="ＭＳ 明朝" w:hAnsi="ＭＳ 明朝" w:eastAsia="ＭＳ 明朝"/>
          <w:b w:val="0"/>
          <w:color w:val="000000" w:themeColor="text1"/>
          <w:sz w:val="24"/>
          <w:u w:val="none" w:color="auto"/>
        </w:rPr>
        <w:t>により算定した</w:t>
      </w:r>
      <w:r>
        <w:rPr>
          <w:rFonts w:hint="eastAsia" w:ascii="ＭＳ 明朝" w:hAnsi="ＭＳ 明朝" w:eastAsia="ＭＳ 明朝"/>
          <w:b w:val="0"/>
          <w:color w:val="000000" w:themeColor="text1"/>
          <w:sz w:val="24"/>
          <w:u w:val="none" w:color="auto"/>
        </w:rPr>
        <w:t>1,540</w:t>
      </w:r>
      <w:r>
        <w:rPr>
          <w:rFonts w:hint="eastAsia" w:ascii="ＭＳ 明朝" w:hAnsi="ＭＳ 明朝" w:eastAsia="ＭＳ 明朝"/>
          <w:b w:val="0"/>
          <w:color w:val="000000" w:themeColor="text1"/>
          <w:sz w:val="24"/>
          <w:u w:val="none" w:color="auto"/>
        </w:rPr>
        <w:t>人を目標値とします。</w:t>
      </w:r>
    </w:p>
    <w:p>
      <w:pPr>
        <w:pStyle w:val="0"/>
        <w:spacing w:line="320" w:lineRule="exact"/>
        <w:ind w:firstLine="240" w:firstLineChars="100"/>
        <w:jc w:val="left"/>
        <w:rPr>
          <w:rFonts w:hint="default" w:ascii="ＭＳ 明朝" w:hAnsi="ＭＳ 明朝"/>
        </w:rPr>
      </w:pPr>
      <w:r>
        <w:rPr>
          <w:rFonts w:hint="eastAsia" w:ascii="ＭＳ 明朝" w:hAnsi="ＭＳ 明朝" w:eastAsia="ＭＳ 明朝"/>
        </w:rPr>
        <w:t>(3)</w:t>
      </w:r>
      <w:r>
        <w:rPr>
          <w:rFonts w:hint="eastAsia" w:ascii="ＭＳ 明朝" w:hAnsi="ＭＳ 明朝" w:eastAsia="ＭＳ 明朝"/>
        </w:rPr>
        <w:t>　目標達成への取り組み</w:t>
      </w:r>
    </w:p>
    <w:p>
      <w:pPr>
        <w:pStyle w:val="0"/>
        <w:spacing w:line="320" w:lineRule="exact"/>
        <w:ind w:left="480" w:hanging="480" w:hangingChars="200"/>
        <w:rPr>
          <w:rFonts w:hint="default"/>
        </w:rPr>
      </w:pPr>
      <w:r>
        <w:rPr>
          <w:rFonts w:hint="eastAsia" w:ascii="Century" w:hAnsi="Century" w:eastAsia="ＭＳ 明朝"/>
        </w:rPr>
        <w:t>　○　</w:t>
      </w:r>
      <w:r>
        <w:rPr>
          <w:rFonts w:hint="eastAsia" w:ascii="ＭＳ 明朝" w:hAnsi="ＭＳ 明朝" w:eastAsia="ＭＳ 明朝"/>
          <w:b w:val="0"/>
          <w:color w:val="000000" w:themeColor="text1"/>
          <w:sz w:val="24"/>
          <w:u w:val="none" w:color="auto"/>
        </w:rPr>
        <w:t>精神障害のある人が安心して地域で暮らしていくことができるよう、精神障害についての正しい知識の普及や啓発活動などを通じて、県民一人ひとりの理解が進むよう取り組みます。</w:t>
      </w:r>
    </w:p>
    <w:p>
      <w:pPr>
        <w:pStyle w:val="0"/>
        <w:spacing w:line="320" w:lineRule="exact"/>
        <w:ind w:left="480" w:hanging="480" w:hangingChars="200"/>
        <w:rPr>
          <w:rFonts w:hint="default"/>
        </w:rPr>
      </w:pPr>
    </w:p>
    <w:p>
      <w:pPr>
        <w:pStyle w:val="0"/>
        <w:numPr>
          <w:ilvl w:val="0"/>
          <w:numId w:val="1"/>
        </w:numPr>
        <w:spacing w:line="320" w:lineRule="exact"/>
        <w:rPr>
          <w:rFonts w:hint="default"/>
        </w:rPr>
      </w:pPr>
      <w:r>
        <w:rPr>
          <w:rFonts w:hint="eastAsia" w:ascii="Century" w:hAnsi="Century" w:eastAsia="ＭＳ 明朝"/>
        </w:rPr>
        <w:t xml:space="preserve"> </w:t>
      </w:r>
      <w:r>
        <w:rPr>
          <w:rFonts w:hint="eastAsia" w:ascii="ＭＳ 明朝" w:hAnsi="ＭＳ 明朝" w:eastAsia="ＭＳ 明朝"/>
          <w:b w:val="0"/>
          <w:color w:val="auto"/>
          <w:sz w:val="24"/>
          <w:u w:val="none" w:color="auto"/>
        </w:rPr>
        <w:t>保健・医療・福祉関係者が、入退院の状況や地域の資源を検証し、具体的な事例をもって支援を進めるなかで明らかになる地域の課題を解決していくことにより、実質的な協議の場に繋がる支援のネットワークを発展させていきます。</w:t>
      </w:r>
    </w:p>
    <w:p>
      <w:pPr>
        <w:pStyle w:val="0"/>
        <w:spacing w:line="320" w:lineRule="exact"/>
        <w:rPr>
          <w:rFonts w:hint="default"/>
        </w:rPr>
      </w:pPr>
    </w:p>
    <w:p>
      <w:pPr>
        <w:pStyle w:val="0"/>
        <w:numPr>
          <w:ilvl w:val="0"/>
          <w:numId w:val="1"/>
        </w:numPr>
        <w:spacing w:line="320" w:lineRule="exact"/>
        <w:rPr>
          <w:rFonts w:hint="default"/>
        </w:rPr>
      </w:pPr>
      <w:r>
        <w:rPr>
          <w:rFonts w:hint="eastAsia" w:ascii="Century" w:hAnsi="Century" w:eastAsia="ＭＳ 明朝"/>
        </w:rPr>
        <w:t xml:space="preserve"> </w:t>
      </w:r>
      <w:r>
        <w:rPr>
          <w:rFonts w:hint="eastAsia" w:ascii="ＭＳ 明朝" w:hAnsi="ＭＳ 明朝" w:eastAsia="ＭＳ 明朝"/>
          <w:b w:val="0"/>
          <w:color w:val="000000" w:themeColor="text1"/>
          <w:sz w:val="24"/>
          <w:u w:val="none" w:color="auto"/>
        </w:rPr>
        <w:t>入院中の精神障害のある人が退院する際や、退院後の日常生活など様々な場面で、ピアサポーター</w:t>
      </w:r>
      <w:r>
        <w:rPr>
          <w:rFonts w:hint="eastAsia" w:asciiTheme="minorEastAsia" w:hAnsiTheme="minorEastAsia"/>
          <w:color w:val="auto"/>
          <w:u w:val="none" w:color="auto"/>
          <w:vertAlign w:val="subscript"/>
        </w:rPr>
        <w:t>（※３）</w:t>
      </w:r>
      <w:r>
        <w:rPr>
          <w:rFonts w:hint="eastAsia" w:ascii="ＭＳ 明朝" w:hAnsi="ＭＳ 明朝" w:eastAsia="ＭＳ 明朝"/>
          <w:b w:val="0"/>
          <w:color w:val="000000" w:themeColor="text1"/>
          <w:sz w:val="24"/>
          <w:u w:val="none" w:color="auto"/>
        </w:rPr>
        <w:t>が自らの知識や経験を活かし、積極的な活動ができるよう支援を行います。</w:t>
      </w:r>
    </w:p>
    <w:p>
      <w:pPr>
        <w:pStyle w:val="0"/>
        <w:numPr>
          <w:numId w:val="0"/>
        </w:numPr>
        <w:spacing w:line="320" w:lineRule="exact"/>
        <w:ind w:left="585" w:leftChars="0" w:firstLine="0" w:firstLineChars="0"/>
        <w:rPr>
          <w:rFonts w:hint="default"/>
        </w:rPr>
      </w:pPr>
    </w:p>
    <w:p>
      <w:pPr>
        <w:pStyle w:val="19"/>
        <w:spacing w:line="320" w:lineRule="exact"/>
        <w:ind w:left="422" w:leftChars="0" w:hanging="422" w:hangingChars="176"/>
        <w:rPr>
          <w:rFonts w:hint="default" w:asciiTheme="minorEastAsia" w:hAnsiTheme="minorEastAsia"/>
        </w:rPr>
      </w:pPr>
      <w:r>
        <w:rPr>
          <w:rFonts w:hint="eastAsia"/>
        </w:rPr>
        <w:t>　○　精神障害のある人が地域で安心して生活ができるよう、精神科医療機関、その他の医療機関、地域の支援事業者、市町村などと</w:t>
      </w:r>
      <w:r>
        <w:rPr>
          <w:rFonts w:hint="eastAsia"/>
          <w:color w:val="auto"/>
          <w:u w:val="none" w:color="auto"/>
        </w:rPr>
        <w:t>連携して、多職種によるアウトリーチ支援が行える</w:t>
      </w:r>
      <w:r>
        <w:rPr>
          <w:rFonts w:hint="eastAsia"/>
        </w:rPr>
        <w:t>体制の構築を図ります。</w:t>
      </w:r>
    </w:p>
    <w:p>
      <w:pPr>
        <w:pStyle w:val="0"/>
        <w:spacing w:line="320" w:lineRule="exact"/>
        <w:rPr>
          <w:rFonts w:hint="default"/>
        </w:rPr>
      </w:pPr>
    </w:p>
    <w:p>
      <w:pPr>
        <w:pStyle w:val="0"/>
        <w:spacing w:line="320" w:lineRule="exact"/>
        <w:ind w:left="480" w:leftChars="100" w:hanging="240" w:hangingChars="100"/>
        <w:rPr>
          <w:rFonts w:hint="default"/>
          <w:sz w:val="24"/>
          <w:u w:val="none" w:color="auto"/>
        </w:rPr>
      </w:pPr>
      <w:r>
        <w:rPr>
          <w:rFonts w:hint="eastAsia" w:ascii="Century" w:hAnsi="Century" w:eastAsia="ＭＳ 明朝"/>
        </w:rPr>
        <w:t>○　</w:t>
      </w:r>
      <w:r>
        <w:rPr>
          <w:rFonts w:hint="eastAsia" w:ascii="ＭＳ 明朝" w:hAnsi="ＭＳ 明朝" w:eastAsia="ＭＳ 明朝"/>
          <w:b w:val="0"/>
          <w:color w:val="000000" w:themeColor="text1"/>
          <w:sz w:val="24"/>
          <w:u w:val="none" w:color="auto"/>
        </w:rPr>
        <w:t>「地域移行支援」や「地域定着支援」の潜在的なニーズを把握するとともに、具体的な退院支援の事例を通じ、地域移行支援に主体的に取り組むことができる相談支援専門員を増やすことにより、「地域移行支援」や「地域定着支援」の利用を促進させ、相談支援体制を充実させます。</w:t>
      </w:r>
    </w:p>
    <w:p>
      <w:pPr>
        <w:pStyle w:val="0"/>
        <w:spacing w:line="320" w:lineRule="exact"/>
        <w:rPr>
          <w:rFonts w:hint="default"/>
        </w:rPr>
      </w:pPr>
    </w:p>
    <w:p>
      <w:pPr>
        <w:pStyle w:val="0"/>
        <w:spacing w:line="320" w:lineRule="exact"/>
        <w:ind w:left="480" w:leftChars="100" w:hanging="240" w:hangingChars="100"/>
        <w:rPr>
          <w:rFonts w:hint="default"/>
        </w:rPr>
      </w:pPr>
      <w:r>
        <w:rPr>
          <w:rFonts w:hint="eastAsia" w:ascii="Century" w:hAnsi="Century" w:eastAsia="ＭＳ 明朝"/>
        </w:rPr>
        <w:t>○　</w:t>
      </w:r>
      <w:r>
        <w:rPr>
          <w:rFonts w:hint="eastAsia" w:ascii="ＭＳ 明朝" w:hAnsi="ＭＳ 明朝" w:eastAsia="ＭＳ 明朝"/>
          <w:b w:val="0"/>
          <w:color w:val="000000" w:themeColor="text1"/>
          <w:sz w:val="24"/>
          <w:u w:val="none" w:color="auto"/>
        </w:rPr>
        <w:t>精神障害のある人が地域で安心して生活ができるよう、精神科医療・その他医療機関、地域の支援事業者、市町村等との多職種協働による重層的な連携支援体制の構築を図り、</w:t>
      </w:r>
      <w:r>
        <w:rPr>
          <w:rFonts w:hint="eastAsia" w:ascii="ＭＳ 明朝" w:hAnsi="ＭＳ 明朝" w:eastAsia="ＭＳ 明朝"/>
          <w:b w:val="0"/>
          <w:color w:val="auto"/>
          <w:sz w:val="24"/>
          <w:u w:val="none" w:color="auto"/>
        </w:rPr>
        <w:t>介護保険サービス等とも連携しながら、</w:t>
      </w:r>
      <w:r>
        <w:rPr>
          <w:rFonts w:hint="eastAsia" w:ascii="ＭＳ 明朝" w:hAnsi="ＭＳ 明朝" w:eastAsia="ＭＳ 明朝"/>
          <w:b w:val="0"/>
          <w:color w:val="000000" w:themeColor="text1"/>
          <w:sz w:val="24"/>
          <w:u w:val="none" w:color="auto"/>
        </w:rPr>
        <w:t>必要な支援を受けられる基盤整備を図ります。</w:t>
      </w:r>
    </w:p>
    <w:p>
      <w:pPr>
        <w:pStyle w:val="0"/>
        <w:spacing w:line="320" w:lineRule="exact"/>
        <w:ind w:left="480" w:leftChars="100" w:hanging="240" w:hangingChars="100"/>
        <w:rPr>
          <w:rFonts w:hint="default"/>
        </w:rPr>
      </w:pPr>
    </w:p>
    <w:p>
      <w:pPr>
        <w:pStyle w:val="19"/>
        <w:spacing w:line="320" w:lineRule="exact"/>
        <w:ind w:left="422" w:leftChars="100" w:right="-2" w:rightChars="0" w:hanging="182" w:hangingChars="76"/>
        <w:rPr>
          <w:rFonts w:hint="default" w:asciiTheme="minorEastAsia" w:hAnsiTheme="minorEastAsia"/>
        </w:rPr>
      </w:pPr>
      <w:r>
        <w:rPr>
          <w:rFonts w:hint="eastAsia" w:ascii="Century" w:hAnsi="Century" w:eastAsia="ＭＳ 明朝"/>
        </w:rPr>
        <w:t>○　</w:t>
      </w:r>
      <w:r>
        <w:rPr>
          <w:rFonts w:hint="eastAsia" w:ascii="ＭＳ 明朝" w:hAnsi="ＭＳ 明朝" w:eastAsia="ＭＳ 明朝"/>
          <w:b w:val="0"/>
          <w:color w:val="000000" w:themeColor="text1"/>
          <w:sz w:val="24"/>
          <w:u w:val="none" w:color="auto"/>
        </w:rPr>
        <w:t>精神障害のある人で、受診が途切れた人や入退院を繰り返す人、長期入院後の退院者等の地域生活を支援するため、多職種による訪問支援（アウトリーチ支援</w:t>
      </w:r>
      <w:r>
        <w:rPr>
          <w:rFonts w:hint="eastAsia" w:ascii="ＭＳ 明朝" w:hAnsi="ＭＳ 明朝" w:eastAsia="ＭＳ 明朝"/>
          <w:b w:val="0"/>
          <w:color w:val="000000" w:themeColor="text1"/>
          <w:sz w:val="24"/>
          <w:u w:val="none" w:color="auto"/>
          <w:vertAlign w:val="subscript"/>
        </w:rPr>
        <w:t>（※</w:t>
      </w:r>
      <w:r>
        <w:rPr>
          <w:rFonts w:hint="eastAsia" w:ascii="ＭＳ 明朝" w:hAnsi="ＭＳ 明朝" w:eastAsia="ＭＳ 明朝"/>
          <w:b w:val="0"/>
          <w:color w:val="000000" w:themeColor="text1"/>
          <w:sz w:val="24"/>
          <w:u w:val="none" w:color="auto"/>
          <w:vertAlign w:val="subscript"/>
        </w:rPr>
        <w:t>4</w:t>
      </w:r>
      <w:r>
        <w:rPr>
          <w:rFonts w:hint="eastAsia" w:ascii="ＭＳ 明朝" w:hAnsi="ＭＳ 明朝" w:eastAsia="ＭＳ 明朝"/>
          <w:b w:val="0"/>
          <w:color w:val="000000" w:themeColor="text1"/>
          <w:sz w:val="24"/>
          <w:u w:val="none" w:color="auto"/>
          <w:vertAlign w:val="subscript"/>
        </w:rPr>
        <w:t>）</w:t>
      </w:r>
      <w:r>
        <w:rPr>
          <w:rFonts w:hint="eastAsia" w:ascii="ＭＳ 明朝" w:hAnsi="ＭＳ 明朝" w:eastAsia="ＭＳ 明朝"/>
          <w:b w:val="0"/>
          <w:color w:val="000000" w:themeColor="text1"/>
          <w:sz w:val="24"/>
          <w:u w:val="none" w:color="auto"/>
        </w:rPr>
        <w:t>）を行い、支援対象者や家族等の状態に応じて必要な支援が適切に提供される体制の整備を行います。</w:t>
      </w:r>
    </w:p>
    <w:p>
      <w:pPr>
        <w:pStyle w:val="19"/>
        <w:spacing w:line="320" w:lineRule="exact"/>
        <w:ind w:left="422" w:leftChars="100" w:right="-2" w:rightChars="0" w:hanging="182" w:hangingChars="76"/>
        <w:rPr>
          <w:rFonts w:hint="default" w:asciiTheme="minorEastAsia" w:hAnsiTheme="minorEastAsia"/>
        </w:rPr>
      </w:pPr>
    </w:p>
    <w:p>
      <w:pPr>
        <w:pStyle w:val="19"/>
        <w:spacing w:line="320" w:lineRule="exact"/>
        <w:ind w:left="422" w:leftChars="100" w:right="-2" w:rightChars="0" w:hanging="182" w:hangingChars="76"/>
        <w:rPr>
          <w:rFonts w:hint="default" w:asciiTheme="minorEastAsia" w:hAnsiTheme="minorEastAsia"/>
        </w:rPr>
      </w:pPr>
      <w:r>
        <w:rPr>
          <w:rFonts w:hint="eastAsia" w:ascii="Century" w:hAnsi="Century" w:eastAsia="ＭＳ 明朝"/>
        </w:rPr>
        <w:t>○　</w:t>
      </w:r>
      <w:r>
        <w:rPr>
          <w:rFonts w:hint="eastAsia" w:ascii="ＭＳ 明朝" w:hAnsi="ＭＳ 明朝" w:eastAsia="ＭＳ 明朝"/>
          <w:b w:val="0"/>
          <w:color w:val="000000" w:themeColor="text1"/>
          <w:sz w:val="24"/>
          <w:u w:val="none" w:color="auto"/>
        </w:rPr>
        <w:t>自立した生活を目指す人が支援を受けながら生活するグループホームの充実を図るため、施設整備に対する助成を行いながら積極的に整備を進めます。（再掲）</w:t>
      </w:r>
    </w:p>
    <w:p>
      <w:pPr>
        <w:pStyle w:val="19"/>
        <w:spacing w:line="320" w:lineRule="exact"/>
        <w:ind w:left="422" w:leftChars="100" w:right="-2" w:rightChars="0" w:hanging="182" w:hangingChars="76"/>
        <w:rPr>
          <w:rFonts w:hint="default" w:asciiTheme="minorEastAsia" w:hAnsiTheme="minorEastAsia"/>
        </w:rPr>
      </w:pPr>
    </w:p>
    <w:tbl>
      <w:tblPr>
        <w:tblStyle w:val="27"/>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spacing w:line="320" w:lineRule="exact"/>
              <w:ind w:left="836" w:hanging="836" w:hangingChars="398"/>
              <w:rPr>
                <w:rFonts w:hint="default" w:ascii="ＭＳ 明朝" w:hAnsi="ＭＳ 明朝"/>
                <w:color w:val="auto"/>
                <w:sz w:val="21"/>
                <w:u w:val="none" w:color="auto"/>
              </w:rPr>
            </w:pPr>
            <w:r>
              <w:rPr>
                <w:rFonts w:hint="eastAsia" w:ascii="ＭＳ 明朝" w:hAnsi="ＭＳ 明朝"/>
                <w:color w:val="auto"/>
                <w:sz w:val="21"/>
                <w:u w:val="none" w:color="auto"/>
              </w:rPr>
              <w:t>※１</w:t>
            </w:r>
            <w:r>
              <w:rPr>
                <w:rFonts w:hint="eastAsia" w:ascii="ＭＳ 明朝" w:hAnsi="ＭＳ 明朝"/>
                <w:color w:val="auto"/>
                <w:sz w:val="21"/>
                <w:u w:val="none" w:color="auto"/>
              </w:rPr>
              <w:t xml:space="preserve">  </w:t>
            </w:r>
            <w:r>
              <w:rPr>
                <w:rFonts w:hint="eastAsia" w:ascii="ＭＳ 明朝" w:hAnsi="ＭＳ 明朝"/>
                <w:color w:val="auto"/>
                <w:sz w:val="21"/>
                <w:u w:val="none" w:color="auto"/>
              </w:rPr>
              <w:t>退院率の実績値については、国が平成</w:t>
            </w:r>
            <w:r>
              <w:rPr>
                <w:rFonts w:hint="eastAsia" w:ascii="ＭＳ 明朝" w:hAnsi="ＭＳ 明朝"/>
                <w:color w:val="auto"/>
                <w:sz w:val="21"/>
                <w:u w:val="none" w:color="auto"/>
              </w:rPr>
              <w:t>29</w:t>
            </w:r>
            <w:r>
              <w:rPr>
                <w:rFonts w:hint="eastAsia" w:ascii="ＭＳ 明朝" w:hAnsi="ＭＳ 明朝"/>
                <w:color w:val="auto"/>
                <w:sz w:val="21"/>
                <w:u w:val="none" w:color="auto"/>
              </w:rPr>
              <w:t>年度まで示しています。</w:t>
            </w:r>
          </w:p>
          <w:p>
            <w:pPr>
              <w:pStyle w:val="0"/>
              <w:spacing w:line="320" w:lineRule="exact"/>
              <w:ind w:left="0" w:leftChars="0" w:hanging="416" w:hangingChars="198"/>
              <w:rPr>
                <w:rFonts w:hint="default" w:ascii="ＭＳ 明朝" w:hAnsi="ＭＳ 明朝"/>
                <w:color w:val="auto"/>
                <w:sz w:val="21"/>
                <w:u w:val="none" w:color="auto"/>
              </w:rPr>
            </w:pPr>
            <w:r>
              <w:rPr>
                <w:rFonts w:hint="eastAsia" w:ascii="ＭＳ 明朝" w:hAnsi="ＭＳ 明朝"/>
                <w:color w:val="auto"/>
                <w:sz w:val="21"/>
                <w:u w:val="none" w:color="auto"/>
              </w:rPr>
              <w:t>※２　令和元年度　厚生労働科学研究費補助金「地域の実情に応じた医療提供体制の構築を推進するための政策研究」に基づき国から示された実績値です。</w:t>
            </w:r>
          </w:p>
          <w:p>
            <w:pPr>
              <w:pStyle w:val="0"/>
              <w:spacing w:line="320" w:lineRule="exact"/>
              <w:ind w:left="836" w:hanging="836" w:hangingChars="398"/>
              <w:rPr>
                <w:rFonts w:hint="default" w:ascii="ＭＳ 明朝" w:hAnsi="ＭＳ 明朝"/>
                <w:color w:val="auto"/>
                <w:sz w:val="21"/>
                <w:u w:val="none" w:color="auto"/>
              </w:rPr>
            </w:pPr>
            <w:r>
              <w:rPr>
                <w:rFonts w:hint="eastAsia" w:ascii="ＭＳ 明朝" w:hAnsi="ＭＳ 明朝"/>
                <w:color w:val="auto"/>
                <w:sz w:val="21"/>
                <w:u w:val="none" w:color="auto"/>
              </w:rPr>
              <w:t>※３　ピアサポーター</w:t>
            </w:r>
          </w:p>
          <w:p>
            <w:pPr>
              <w:pStyle w:val="0"/>
              <w:spacing w:line="320" w:lineRule="exact"/>
              <w:ind w:left="422" w:leftChars="176" w:firstLine="210" w:firstLineChars="100"/>
              <w:rPr>
                <w:rFonts w:hint="default" w:ascii="ＭＳ 明朝" w:hAnsi="ＭＳ 明朝"/>
                <w:color w:val="auto"/>
                <w:sz w:val="21"/>
                <w:u w:val="none" w:color="auto"/>
              </w:rPr>
            </w:pPr>
            <w:r>
              <w:rPr>
                <w:rFonts w:hint="eastAsia" w:ascii="ＭＳ 明朝" w:hAnsi="ＭＳ 明朝" w:eastAsia="ＭＳ 明朝"/>
                <w:b w:val="0"/>
                <w:color w:val="000000" w:themeColor="text1"/>
                <w:sz w:val="21"/>
                <w:u w:val="none" w:color="auto"/>
              </w:rPr>
              <w:t>精神障害者が地域の一員として安心して暮らすことができるよう、自らの経験等を踏まえたサポーターが、地域生活への移行に際し、有効なアドバイスや同行支援等を行います。</w:t>
            </w:r>
          </w:p>
          <w:p>
            <w:pPr>
              <w:pStyle w:val="0"/>
              <w:spacing w:line="320" w:lineRule="exact"/>
              <w:ind w:leftChars="0" w:firstLineChars="0"/>
              <w:rPr>
                <w:rFonts w:hint="default" w:ascii="ＭＳ 明朝" w:hAnsi="ＭＳ 明朝"/>
                <w:color w:val="auto"/>
                <w:sz w:val="21"/>
                <w:u w:val="none" w:color="auto"/>
              </w:rPr>
            </w:pPr>
            <w:r>
              <w:rPr>
                <w:rFonts w:hint="eastAsia" w:ascii="ＭＳ 明朝" w:hAnsi="ＭＳ 明朝"/>
                <w:color w:val="auto"/>
                <w:sz w:val="21"/>
                <w:u w:val="none" w:color="auto"/>
              </w:rPr>
              <w:t>※４　アウトリーチ支援</w:t>
            </w:r>
          </w:p>
          <w:p>
            <w:pPr>
              <w:pStyle w:val="0"/>
              <w:spacing w:line="320" w:lineRule="exact"/>
              <w:ind w:left="0" w:leftChars="0" w:hanging="420" w:hangingChars="200"/>
              <w:rPr>
                <w:rFonts w:hint="default" w:asciiTheme="minorEastAsia" w:hAnsiTheme="minorEastAsia"/>
              </w:rPr>
            </w:pPr>
            <w:r>
              <w:rPr>
                <w:rFonts w:hint="eastAsia" w:ascii="ＭＳ 明朝" w:hAnsi="ＭＳ 明朝"/>
                <w:color w:val="auto"/>
                <w:sz w:val="21"/>
                <w:u w:val="none" w:color="auto"/>
              </w:rPr>
              <w:t>　　　</w:t>
            </w:r>
            <w:r>
              <w:rPr>
                <w:rFonts w:hint="eastAsia" w:ascii="ＭＳ 明朝" w:hAnsi="ＭＳ 明朝" w:eastAsia="ＭＳ 明朝"/>
                <w:b w:val="0"/>
                <w:color w:val="000000" w:themeColor="text1"/>
                <w:sz w:val="21"/>
                <w:u w:val="none" w:color="auto"/>
              </w:rPr>
              <w:t>精神障害者の地域生活を支援するため、医療、福祉等の関係機関が連携した訪問等による支援をいいます。</w:t>
            </w:r>
          </w:p>
        </w:tc>
      </w:tr>
    </w:tbl>
    <w:p>
      <w:pPr>
        <w:pStyle w:val="19"/>
        <w:ind w:left="422" w:leftChars="0" w:hanging="422" w:hangingChars="176"/>
        <w:rPr>
          <w:rFonts w:hint="default"/>
        </w:rPr>
      </w:pPr>
    </w:p>
    <w:p>
      <w:pPr>
        <w:pStyle w:val="0"/>
        <w:ind w:leftChars="0" w:hanging="456" w:hangingChars="190"/>
        <w:rPr>
          <w:rFonts w:hint="eastAsia" w:ascii="ＭＳ 明朝" w:hAnsi="ＭＳ 明朝" w:eastAsia="ＭＳ 明朝"/>
          <w:color w:val="auto"/>
          <w:sz w:val="24"/>
          <w:u w:val="none" w:color="auto"/>
        </w:rPr>
      </w:pPr>
      <w:r>
        <w:rPr>
          <w:rFonts w:hint="eastAsia" w:ascii="ＭＳ 明朝" w:hAnsi="ＭＳ 明朝" w:eastAsia="ＭＳ 明朝"/>
        </w:rPr>
        <w:t>(4</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sz w:val="24"/>
          <w:u w:val="none" w:color="auto"/>
        </w:rPr>
        <w:t>活動指標</w:t>
      </w:r>
    </w:p>
    <w:p>
      <w:pPr>
        <w:pStyle w:val="0"/>
        <w:ind w:leftChars="0" w:hanging="456" w:hangingChars="190"/>
        <w:rPr>
          <w:rFonts w:hint="eastAsia" w:ascii="ＭＳ 明朝" w:hAnsi="ＭＳ 明朝" w:eastAsia="ＭＳ 明朝"/>
          <w:color w:val="auto"/>
          <w:sz w:val="24"/>
          <w:u w:val="none" w:color="auto"/>
        </w:rPr>
      </w:pPr>
    </w:p>
    <w:p>
      <w:pPr>
        <w:pStyle w:val="0"/>
        <w:ind w:left="456" w:leftChars="19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①　精神障害者の地域移行に係るサービス見込量</w:t>
      </w:r>
    </w:p>
    <w:p>
      <w:pPr>
        <w:pStyle w:val="0"/>
        <w:ind w:left="456" w:leftChars="190" w:firstLine="0" w:firstLineChars="0"/>
        <w:rPr>
          <w:rFonts w:hint="eastAsia" w:ascii="ＭＳ 明朝" w:hAnsi="ＭＳ 明朝" w:eastAsia="ＭＳ 明朝"/>
          <w:color w:val="auto"/>
          <w:sz w:val="24"/>
          <w:u w:val="none" w:color="auto"/>
        </w:rPr>
      </w:pPr>
    </w:p>
    <w:p>
      <w:pPr>
        <w:pStyle w:val="0"/>
        <w:ind w:left="456" w:leftChars="19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地域移行支援＜１月あたりの利用者数（人／月）＞</w:t>
      </w:r>
    </w:p>
    <w:tbl>
      <w:tblPr>
        <w:tblStyle w:val="11"/>
        <w:tblW w:w="850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610"/>
        <w:gridCol w:w="1680"/>
        <w:gridCol w:w="1320"/>
        <w:gridCol w:w="1320"/>
        <w:gridCol w:w="1320"/>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圏域</w:t>
            </w:r>
          </w:p>
        </w:tc>
        <w:tc>
          <w:tcPr>
            <w:tcW w:w="3290"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利用実績</w:t>
            </w:r>
          </w:p>
        </w:tc>
        <w:tc>
          <w:tcPr>
            <w:tcW w:w="39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6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22"/>
                <w:u w:val="none" w:color="auto"/>
              </w:rPr>
              <w:t>R1</w:t>
            </w:r>
            <w:r>
              <w:rPr>
                <w:rFonts w:hint="eastAsia" w:ascii="ＭＳ 明朝" w:hAnsi="ＭＳ 明朝" w:eastAsia="ＭＳ 明朝"/>
                <w:color w:val="auto"/>
                <w:sz w:val="22"/>
                <w:u w:val="none" w:color="auto"/>
              </w:rPr>
              <w:t>年度</w:t>
            </w:r>
          </w:p>
          <w:p>
            <w:pPr>
              <w:pStyle w:val="0"/>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w:t>
            </w:r>
            <w:r>
              <w:rPr>
                <w:rFonts w:hint="eastAsia" w:ascii="ＭＳ 明朝" w:hAnsi="ＭＳ 明朝" w:eastAsia="ＭＳ 明朝"/>
                <w:color w:val="auto"/>
                <w:sz w:val="22"/>
                <w:u w:val="none" w:color="auto"/>
              </w:rPr>
              <w:t>3</w:t>
            </w:r>
            <w:r>
              <w:rPr>
                <w:rFonts w:hint="eastAsia" w:ascii="ＭＳ 明朝" w:hAnsi="ＭＳ 明朝" w:eastAsia="ＭＳ 明朝"/>
                <w:color w:val="auto"/>
                <w:sz w:val="22"/>
                <w:u w:val="none" w:color="auto"/>
              </w:rPr>
              <w:t>月）</w:t>
            </w: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年度</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w:t>
            </w:r>
            <w:r>
              <w:rPr>
                <w:rFonts w:hint="eastAsia" w:ascii="ＭＳ 明朝" w:hAnsi="ＭＳ 明朝" w:eastAsia="ＭＳ 明朝"/>
                <w:color w:val="auto"/>
                <w:sz w:val="22"/>
                <w:u w:val="none" w:color="auto"/>
              </w:rPr>
              <w:t>7</w:t>
            </w:r>
            <w:r>
              <w:rPr>
                <w:rFonts w:hint="eastAsia" w:ascii="ＭＳ 明朝" w:hAnsi="ＭＳ 明朝" w:eastAsia="ＭＳ 明朝"/>
                <w:color w:val="auto"/>
                <w:sz w:val="22"/>
                <w:u w:val="none" w:color="auto"/>
              </w:rPr>
              <w:t>月）</w:t>
            </w:r>
          </w:p>
        </w:tc>
        <w:tc>
          <w:tcPr>
            <w:tcW w:w="132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３年度</w:t>
            </w:r>
          </w:p>
        </w:tc>
        <w:tc>
          <w:tcPr>
            <w:tcW w:w="1320"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４年度</w:t>
            </w:r>
          </w:p>
        </w:tc>
        <w:tc>
          <w:tcPr>
            <w:tcW w:w="13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５年度</w:t>
            </w:r>
          </w:p>
        </w:tc>
      </w:tr>
      <w:tr>
        <w:trPr>
          <w:cantSplit/>
          <w:trHeight w:val="539" w:hRule="atLeast"/>
        </w:trPr>
        <w:tc>
          <w:tcPr>
            <w:tcW w:w="125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安芸</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3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中央東</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中央西</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７</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８</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17</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22</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27</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高幡</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r>
      <w:tr>
        <w:trPr>
          <w:cantSplit/>
          <w:trHeight w:val="539" w:hRule="atLeast"/>
        </w:trPr>
        <w:tc>
          <w:tcPr>
            <w:tcW w:w="125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幡多</w:t>
            </w:r>
          </w:p>
        </w:tc>
        <w:tc>
          <w:tcPr>
            <w:tcW w:w="1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68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r>
      <w:tr>
        <w:trPr>
          <w:cantSplit/>
          <w:trHeight w:val="539" w:hRule="atLeast"/>
        </w:trPr>
        <w:tc>
          <w:tcPr>
            <w:tcW w:w="125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合計</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11</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10</w:t>
            </w:r>
          </w:p>
        </w:tc>
        <w:tc>
          <w:tcPr>
            <w:tcW w:w="1320" w:type="dxa"/>
            <w:tcBorders>
              <w:top w:val="doub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24</w:t>
            </w:r>
          </w:p>
        </w:tc>
        <w:tc>
          <w:tcPr>
            <w:tcW w:w="1320" w:type="dxa"/>
            <w:tcBorders>
              <w:top w:val="doub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30</w:t>
            </w:r>
          </w:p>
        </w:tc>
        <w:tc>
          <w:tcPr>
            <w:tcW w:w="13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33</w:t>
            </w:r>
          </w:p>
        </w:tc>
      </w:tr>
    </w:tbl>
    <w:p>
      <w:pPr>
        <w:pStyle w:val="0"/>
        <w:ind w:left="456" w:leftChars="190" w:firstLine="0" w:firstLineChars="0"/>
        <w:rPr>
          <w:rFonts w:hint="eastAsia" w:ascii="ＭＳ 明朝" w:hAnsi="ＭＳ 明朝" w:eastAsia="ＭＳ 明朝"/>
          <w:color w:val="FF0000"/>
          <w:sz w:val="24"/>
          <w:u w:val="single" w:color="auto"/>
        </w:rPr>
      </w:pPr>
      <w:r>
        <w:rPr>
          <w:rFonts w:hint="eastAsia" w:ascii="ＭＳ 明朝" w:hAnsi="ＭＳ 明朝" w:eastAsia="ＭＳ 明朝"/>
          <w:color w:val="FF0000"/>
          <w:sz w:val="24"/>
          <w:u w:val="none" w:color="auto"/>
        </w:rPr>
        <w:t>　</w:t>
      </w:r>
    </w:p>
    <w:p>
      <w:pPr>
        <w:pStyle w:val="0"/>
        <w:ind w:left="456" w:leftChars="190" w:firstLine="0" w:firstLineChars="0"/>
        <w:rPr>
          <w:rFonts w:hint="eastAsia" w:ascii="ＭＳ 明朝" w:hAnsi="ＭＳ 明朝" w:eastAsia="ＭＳ 明朝"/>
          <w:color w:val="FF0000"/>
          <w:sz w:val="24"/>
          <w:u w:val="single" w:color="auto"/>
        </w:rPr>
      </w:pPr>
    </w:p>
    <w:p>
      <w:pPr>
        <w:pStyle w:val="0"/>
        <w:ind w:left="456" w:leftChars="19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地域定着支援＜１月あたりの利用者数（人／月）＞</w:t>
      </w:r>
    </w:p>
    <w:tbl>
      <w:tblPr>
        <w:tblStyle w:val="11"/>
        <w:tblW w:w="850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610"/>
        <w:gridCol w:w="1680"/>
        <w:gridCol w:w="1320"/>
        <w:gridCol w:w="1320"/>
        <w:gridCol w:w="1320"/>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圏域</w:t>
            </w:r>
          </w:p>
        </w:tc>
        <w:tc>
          <w:tcPr>
            <w:tcW w:w="3290"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利用実績</w:t>
            </w:r>
          </w:p>
        </w:tc>
        <w:tc>
          <w:tcPr>
            <w:tcW w:w="39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6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22"/>
                <w:u w:val="none" w:color="auto"/>
              </w:rPr>
              <w:t>R1</w:t>
            </w:r>
            <w:r>
              <w:rPr>
                <w:rFonts w:hint="eastAsia" w:ascii="ＭＳ 明朝" w:hAnsi="ＭＳ 明朝" w:eastAsia="ＭＳ 明朝"/>
                <w:color w:val="auto"/>
                <w:sz w:val="22"/>
                <w:u w:val="none" w:color="auto"/>
              </w:rPr>
              <w:t>年度</w:t>
            </w:r>
          </w:p>
          <w:p>
            <w:pPr>
              <w:pStyle w:val="0"/>
              <w:jc w:val="center"/>
              <w:rPr>
                <w:rFonts w:hint="eastAsia" w:ascii="ＭＳ 明朝" w:hAnsi="ＭＳ 明朝" w:eastAsia="ＭＳ 明朝"/>
                <w:color w:val="auto"/>
                <w:sz w:val="18"/>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w:t>
            </w:r>
            <w:r>
              <w:rPr>
                <w:rFonts w:hint="eastAsia" w:ascii="ＭＳ 明朝" w:hAnsi="ＭＳ 明朝" w:eastAsia="ＭＳ 明朝"/>
                <w:color w:val="auto"/>
                <w:sz w:val="22"/>
                <w:u w:val="none" w:color="auto"/>
              </w:rPr>
              <w:t>3</w:t>
            </w:r>
            <w:r>
              <w:rPr>
                <w:rFonts w:hint="eastAsia" w:ascii="ＭＳ 明朝" w:hAnsi="ＭＳ 明朝" w:eastAsia="ＭＳ 明朝"/>
                <w:color w:val="auto"/>
                <w:sz w:val="22"/>
                <w:u w:val="none" w:color="auto"/>
              </w:rPr>
              <w:t>月）</w:t>
            </w: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年度</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R2</w:t>
            </w:r>
            <w:r>
              <w:rPr>
                <w:rFonts w:hint="eastAsia" w:ascii="ＭＳ 明朝" w:hAnsi="ＭＳ 明朝" w:eastAsia="ＭＳ 明朝"/>
                <w:color w:val="auto"/>
                <w:sz w:val="22"/>
                <w:u w:val="none" w:color="auto"/>
              </w:rPr>
              <w:t>年</w:t>
            </w:r>
            <w:r>
              <w:rPr>
                <w:rFonts w:hint="eastAsia" w:ascii="ＭＳ 明朝" w:hAnsi="ＭＳ 明朝" w:eastAsia="ＭＳ 明朝"/>
                <w:color w:val="auto"/>
                <w:sz w:val="22"/>
                <w:u w:val="none" w:color="auto"/>
              </w:rPr>
              <w:t>7</w:t>
            </w:r>
            <w:r>
              <w:rPr>
                <w:rFonts w:hint="eastAsia" w:ascii="ＭＳ 明朝" w:hAnsi="ＭＳ 明朝" w:eastAsia="ＭＳ 明朝"/>
                <w:color w:val="auto"/>
                <w:sz w:val="22"/>
                <w:u w:val="none" w:color="auto"/>
              </w:rPr>
              <w:t>月）</w:t>
            </w:r>
          </w:p>
        </w:tc>
        <w:tc>
          <w:tcPr>
            <w:tcW w:w="132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３年度</w:t>
            </w:r>
          </w:p>
        </w:tc>
        <w:tc>
          <w:tcPr>
            <w:tcW w:w="1320"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４年度</w:t>
            </w:r>
          </w:p>
        </w:tc>
        <w:tc>
          <w:tcPr>
            <w:tcW w:w="13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５年度</w:t>
            </w:r>
          </w:p>
        </w:tc>
      </w:tr>
      <w:tr>
        <w:trPr>
          <w:cantSplit/>
          <w:trHeight w:val="539" w:hRule="atLeast"/>
        </w:trPr>
        <w:tc>
          <w:tcPr>
            <w:tcW w:w="125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安芸</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c>
          <w:tcPr>
            <w:tcW w:w="13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中央東</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中央西</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７</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８</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11</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15</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19</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高幡</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r>
      <w:tr>
        <w:trPr>
          <w:cantSplit/>
          <w:trHeight w:val="539" w:hRule="atLeast"/>
        </w:trPr>
        <w:tc>
          <w:tcPr>
            <w:tcW w:w="125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幡多</w:t>
            </w:r>
          </w:p>
        </w:tc>
        <w:tc>
          <w:tcPr>
            <w:tcW w:w="1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68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w:t>
            </w:r>
          </w:p>
        </w:tc>
        <w:tc>
          <w:tcPr>
            <w:tcW w:w="1320" w:type="dxa"/>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c>
          <w:tcPr>
            <w:tcW w:w="132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w:t>
            </w:r>
          </w:p>
        </w:tc>
      </w:tr>
      <w:tr>
        <w:trPr>
          <w:cantSplit/>
          <w:trHeight w:val="539" w:hRule="atLeast"/>
        </w:trPr>
        <w:tc>
          <w:tcPr>
            <w:tcW w:w="125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７</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８</w:t>
            </w:r>
          </w:p>
        </w:tc>
        <w:tc>
          <w:tcPr>
            <w:tcW w:w="1320" w:type="dxa"/>
            <w:tcBorders>
              <w:top w:val="doub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15</w:t>
            </w:r>
          </w:p>
        </w:tc>
        <w:tc>
          <w:tcPr>
            <w:tcW w:w="1320" w:type="dxa"/>
            <w:tcBorders>
              <w:top w:val="doub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19</w:t>
            </w:r>
          </w:p>
        </w:tc>
        <w:tc>
          <w:tcPr>
            <w:tcW w:w="13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24</w:t>
            </w:r>
          </w:p>
        </w:tc>
      </w:tr>
    </w:tbl>
    <w:p>
      <w:pPr>
        <w:pStyle w:val="0"/>
        <w:ind w:left="456" w:leftChars="190" w:firstLine="0" w:firstLineChars="0"/>
        <w:rPr>
          <w:rFonts w:hint="eastAsia" w:ascii="ＭＳ 明朝" w:hAnsi="ＭＳ 明朝" w:eastAsia="ＭＳ 明朝"/>
          <w:color w:val="FF0000"/>
          <w:sz w:val="24"/>
          <w:u w:val="single" w:color="auto"/>
        </w:rPr>
      </w:pPr>
      <w:r>
        <w:rPr>
          <w:rFonts w:hint="eastAsia"/>
        </w:rPr>
        <w:br w:type="page"/>
      </w:r>
    </w:p>
    <w:p>
      <w:pPr>
        <w:pStyle w:val="0"/>
        <w:ind w:left="456" w:leftChars="19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グループホーム＜１月あたりの利用者数（人／月）＞</w:t>
      </w:r>
    </w:p>
    <w:tbl>
      <w:tblPr>
        <w:tblStyle w:val="11"/>
        <w:tblW w:w="850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610"/>
        <w:gridCol w:w="1680"/>
        <w:gridCol w:w="1320"/>
        <w:gridCol w:w="1320"/>
        <w:gridCol w:w="1320"/>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圏域</w:t>
            </w:r>
          </w:p>
        </w:tc>
        <w:tc>
          <w:tcPr>
            <w:tcW w:w="3290"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利用実績</w:t>
            </w:r>
          </w:p>
        </w:tc>
        <w:tc>
          <w:tcPr>
            <w:tcW w:w="39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6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18"/>
                <w:u w:val="none" w:color="auto"/>
              </w:rPr>
            </w:pPr>
            <w:r>
              <w:rPr>
                <w:rFonts w:hint="eastAsia" w:ascii="ＭＳ 明朝" w:hAnsi="ＭＳ 明朝"/>
                <w:color w:val="auto"/>
                <w:sz w:val="22"/>
                <w:u w:val="none" w:color="auto"/>
              </w:rPr>
              <w:t>R1</w:t>
            </w:r>
            <w:r>
              <w:rPr>
                <w:rFonts w:hint="eastAsia" w:ascii="ＭＳ 明朝" w:hAnsi="ＭＳ 明朝"/>
                <w:color w:val="auto"/>
                <w:sz w:val="22"/>
                <w:u w:val="none" w:color="auto"/>
              </w:rPr>
              <w:t>年度</w:t>
            </w:r>
          </w:p>
          <w:p>
            <w:pPr>
              <w:pStyle w:val="0"/>
              <w:jc w:val="center"/>
              <w:rPr>
                <w:rFonts w:hint="eastAsia" w:ascii="ＭＳ 明朝" w:hAnsi="ＭＳ 明朝"/>
                <w:color w:val="auto"/>
                <w:sz w:val="18"/>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R2</w:t>
            </w:r>
            <w:r>
              <w:rPr>
                <w:rFonts w:hint="eastAsia" w:ascii="ＭＳ 明朝" w:hAnsi="ＭＳ 明朝"/>
                <w:color w:val="auto"/>
                <w:sz w:val="22"/>
                <w:u w:val="none" w:color="auto"/>
              </w:rPr>
              <w:t>年</w:t>
            </w:r>
            <w:r>
              <w:rPr>
                <w:rFonts w:hint="eastAsia" w:ascii="ＭＳ 明朝" w:hAnsi="ＭＳ 明朝"/>
                <w:color w:val="auto"/>
                <w:sz w:val="22"/>
                <w:u w:val="none" w:color="auto"/>
              </w:rPr>
              <w:t>3</w:t>
            </w:r>
            <w:r>
              <w:rPr>
                <w:rFonts w:hint="eastAsia" w:ascii="ＭＳ 明朝" w:hAnsi="ＭＳ 明朝"/>
                <w:color w:val="auto"/>
                <w:sz w:val="22"/>
                <w:u w:val="none" w:color="auto"/>
              </w:rPr>
              <w:t>月）</w:t>
            </w: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R2</w:t>
            </w:r>
            <w:r>
              <w:rPr>
                <w:rFonts w:hint="eastAsia" w:ascii="ＭＳ 明朝" w:hAnsi="ＭＳ 明朝"/>
                <w:color w:val="auto"/>
                <w:sz w:val="22"/>
                <w:u w:val="none" w:color="auto"/>
              </w:rPr>
              <w:t>年度</w:t>
            </w:r>
          </w:p>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R2</w:t>
            </w:r>
            <w:r>
              <w:rPr>
                <w:rFonts w:hint="eastAsia" w:ascii="ＭＳ 明朝" w:hAnsi="ＭＳ 明朝"/>
                <w:color w:val="auto"/>
                <w:sz w:val="22"/>
                <w:u w:val="none" w:color="auto"/>
              </w:rPr>
              <w:t>年</w:t>
            </w:r>
            <w:r>
              <w:rPr>
                <w:rFonts w:hint="eastAsia" w:ascii="ＭＳ 明朝" w:hAnsi="ＭＳ 明朝"/>
                <w:color w:val="auto"/>
                <w:sz w:val="22"/>
                <w:u w:val="none" w:color="auto"/>
              </w:rPr>
              <w:t>7</w:t>
            </w:r>
            <w:r>
              <w:rPr>
                <w:rFonts w:hint="eastAsia" w:ascii="ＭＳ 明朝" w:hAnsi="ＭＳ 明朝"/>
                <w:color w:val="auto"/>
                <w:sz w:val="22"/>
                <w:u w:val="none" w:color="auto"/>
              </w:rPr>
              <w:t>月）</w:t>
            </w:r>
          </w:p>
        </w:tc>
        <w:tc>
          <w:tcPr>
            <w:tcW w:w="132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３年度</w:t>
            </w:r>
          </w:p>
        </w:tc>
        <w:tc>
          <w:tcPr>
            <w:tcW w:w="1320"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４年度</w:t>
            </w:r>
          </w:p>
        </w:tc>
        <w:tc>
          <w:tcPr>
            <w:tcW w:w="13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539" w:hRule="atLeast"/>
        </w:trPr>
        <w:tc>
          <w:tcPr>
            <w:tcW w:w="125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安芸</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中央東</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中央西</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６</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12</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10</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13</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16</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高幡</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０</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幡多</w:t>
            </w:r>
          </w:p>
        </w:tc>
        <w:tc>
          <w:tcPr>
            <w:tcW w:w="1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68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合計</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８</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15</w:t>
            </w:r>
          </w:p>
        </w:tc>
        <w:tc>
          <w:tcPr>
            <w:tcW w:w="1320" w:type="dxa"/>
            <w:tcBorders>
              <w:top w:val="doub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14</w:t>
            </w:r>
          </w:p>
        </w:tc>
        <w:tc>
          <w:tcPr>
            <w:tcW w:w="1320" w:type="dxa"/>
            <w:tcBorders>
              <w:top w:val="doub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17</w:t>
            </w:r>
          </w:p>
        </w:tc>
        <w:tc>
          <w:tcPr>
            <w:tcW w:w="13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23</w:t>
            </w:r>
          </w:p>
        </w:tc>
      </w:tr>
    </w:tbl>
    <w:p>
      <w:pPr>
        <w:pStyle w:val="0"/>
        <w:ind w:left="456" w:leftChars="100" w:hanging="216" w:hangingChars="90"/>
        <w:rPr>
          <w:rFonts w:hint="eastAsia" w:ascii="ＭＳ 明朝" w:hAnsi="ＭＳ 明朝" w:eastAsia="ＭＳ 明朝"/>
          <w:color w:val="FF0000"/>
          <w:sz w:val="24"/>
          <w:u w:val="single" w:color="auto"/>
        </w:rPr>
      </w:pPr>
    </w:p>
    <w:p>
      <w:pPr>
        <w:pStyle w:val="0"/>
        <w:ind w:left="456" w:leftChars="100" w:hanging="216" w:hangingChars="90"/>
        <w:rPr>
          <w:rFonts w:hint="eastAsia" w:ascii="ＭＳ 明朝" w:hAnsi="ＭＳ 明朝" w:eastAsia="ＭＳ 明朝"/>
          <w:color w:val="FF0000"/>
          <w:sz w:val="24"/>
          <w:u w:val="single" w:color="auto"/>
        </w:rPr>
      </w:pPr>
    </w:p>
    <w:p>
      <w:pPr>
        <w:pStyle w:val="0"/>
        <w:ind w:left="456" w:leftChars="19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自立生活援助＜１月あたりの利用者数（人／月）＞</w:t>
      </w:r>
    </w:p>
    <w:tbl>
      <w:tblPr>
        <w:tblStyle w:val="11"/>
        <w:tblW w:w="850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54"/>
        <w:gridCol w:w="1610"/>
        <w:gridCol w:w="1680"/>
        <w:gridCol w:w="1320"/>
        <w:gridCol w:w="1320"/>
        <w:gridCol w:w="1320"/>
      </w:tblGrid>
      <w:tr>
        <w:trPr>
          <w:cantSplit/>
          <w:trHeight w:val="345" w:hRule="atLeast"/>
        </w:trPr>
        <w:tc>
          <w:tcPr>
            <w:tcW w:w="1254"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圏域</w:t>
            </w:r>
          </w:p>
        </w:tc>
        <w:tc>
          <w:tcPr>
            <w:tcW w:w="3290" w:type="dxa"/>
            <w:gridSpan w:val="2"/>
            <w:tcBorders>
              <w:top w:val="single" w:color="auto" w:sz="2"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利用実績</w:t>
            </w:r>
          </w:p>
        </w:tc>
        <w:tc>
          <w:tcPr>
            <w:tcW w:w="3960"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利用見込</w:t>
            </w:r>
          </w:p>
        </w:tc>
      </w:tr>
      <w:tr>
        <w:trPr>
          <w:cantSplit/>
          <w:trHeight w:val="345" w:hRule="atLeast"/>
        </w:trPr>
        <w:tc>
          <w:tcPr>
            <w:tcW w:w="1254"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sz w:val="22"/>
              </w:rPr>
            </w:pPr>
          </w:p>
        </w:tc>
        <w:tc>
          <w:tcPr>
            <w:tcW w:w="16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18"/>
                <w:u w:val="none" w:color="auto"/>
              </w:rPr>
            </w:pPr>
            <w:r>
              <w:rPr>
                <w:rFonts w:hint="eastAsia" w:ascii="ＭＳ 明朝" w:hAnsi="ＭＳ 明朝"/>
                <w:color w:val="auto"/>
                <w:sz w:val="22"/>
                <w:u w:val="none" w:color="auto"/>
              </w:rPr>
              <w:t>R1</w:t>
            </w:r>
            <w:r>
              <w:rPr>
                <w:rFonts w:hint="eastAsia" w:ascii="ＭＳ 明朝" w:hAnsi="ＭＳ 明朝"/>
                <w:color w:val="auto"/>
                <w:sz w:val="22"/>
                <w:u w:val="none" w:color="auto"/>
              </w:rPr>
              <w:t>年度</w:t>
            </w:r>
          </w:p>
          <w:p>
            <w:pPr>
              <w:pStyle w:val="0"/>
              <w:jc w:val="center"/>
              <w:rPr>
                <w:rFonts w:hint="eastAsia" w:ascii="ＭＳ 明朝" w:hAnsi="ＭＳ 明朝"/>
                <w:color w:val="auto"/>
                <w:sz w:val="18"/>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R2</w:t>
            </w:r>
            <w:r>
              <w:rPr>
                <w:rFonts w:hint="eastAsia" w:ascii="ＭＳ 明朝" w:hAnsi="ＭＳ 明朝"/>
                <w:color w:val="auto"/>
                <w:sz w:val="22"/>
                <w:u w:val="none" w:color="auto"/>
              </w:rPr>
              <w:t>年</w:t>
            </w:r>
            <w:r>
              <w:rPr>
                <w:rFonts w:hint="eastAsia" w:ascii="ＭＳ 明朝" w:hAnsi="ＭＳ 明朝"/>
                <w:color w:val="auto"/>
                <w:sz w:val="22"/>
                <w:u w:val="none" w:color="auto"/>
              </w:rPr>
              <w:t>3</w:t>
            </w:r>
            <w:r>
              <w:rPr>
                <w:rFonts w:hint="eastAsia" w:ascii="ＭＳ 明朝" w:hAnsi="ＭＳ 明朝"/>
                <w:color w:val="auto"/>
                <w:sz w:val="22"/>
                <w:u w:val="none" w:color="auto"/>
              </w:rPr>
              <w:t>月）</w:t>
            </w: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R2</w:t>
            </w:r>
            <w:r>
              <w:rPr>
                <w:rFonts w:hint="eastAsia" w:ascii="ＭＳ 明朝" w:hAnsi="ＭＳ 明朝"/>
                <w:color w:val="auto"/>
                <w:sz w:val="22"/>
                <w:u w:val="none" w:color="auto"/>
              </w:rPr>
              <w:t>年度</w:t>
            </w:r>
          </w:p>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R2</w:t>
            </w:r>
            <w:r>
              <w:rPr>
                <w:rFonts w:hint="eastAsia" w:ascii="ＭＳ 明朝" w:hAnsi="ＭＳ 明朝"/>
                <w:color w:val="auto"/>
                <w:sz w:val="22"/>
                <w:u w:val="none" w:color="auto"/>
              </w:rPr>
              <w:t>年</w:t>
            </w:r>
            <w:r>
              <w:rPr>
                <w:rFonts w:hint="eastAsia" w:ascii="ＭＳ 明朝" w:hAnsi="ＭＳ 明朝"/>
                <w:color w:val="auto"/>
                <w:sz w:val="22"/>
                <w:u w:val="none" w:color="auto"/>
              </w:rPr>
              <w:t>7</w:t>
            </w:r>
            <w:r>
              <w:rPr>
                <w:rFonts w:hint="eastAsia" w:ascii="ＭＳ 明朝" w:hAnsi="ＭＳ 明朝"/>
                <w:color w:val="auto"/>
                <w:sz w:val="22"/>
                <w:u w:val="none" w:color="auto"/>
              </w:rPr>
              <w:t>月）</w:t>
            </w:r>
          </w:p>
        </w:tc>
        <w:tc>
          <w:tcPr>
            <w:tcW w:w="132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３年度</w:t>
            </w:r>
          </w:p>
        </w:tc>
        <w:tc>
          <w:tcPr>
            <w:tcW w:w="1320"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４年度</w:t>
            </w:r>
          </w:p>
        </w:tc>
        <w:tc>
          <w:tcPr>
            <w:tcW w:w="13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５年度</w:t>
            </w:r>
          </w:p>
        </w:tc>
      </w:tr>
      <w:tr>
        <w:trPr>
          <w:cantSplit/>
          <w:trHeight w:val="539" w:hRule="atLeast"/>
        </w:trPr>
        <w:tc>
          <w:tcPr>
            <w:tcW w:w="125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安芸</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中央東</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２</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中央西</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高幡</w:t>
            </w:r>
          </w:p>
        </w:tc>
        <w:tc>
          <w:tcPr>
            <w:tcW w:w="16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6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３</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r>
      <w:tr>
        <w:trPr>
          <w:cantSplit/>
          <w:trHeight w:val="539" w:hRule="atLeast"/>
        </w:trPr>
        <w:tc>
          <w:tcPr>
            <w:tcW w:w="125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幡多</w:t>
            </w:r>
          </w:p>
        </w:tc>
        <w:tc>
          <w:tcPr>
            <w:tcW w:w="16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68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320"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r>
      <w:tr>
        <w:trPr>
          <w:cantSplit/>
          <w:trHeight w:val="539" w:hRule="atLeast"/>
        </w:trPr>
        <w:tc>
          <w:tcPr>
            <w:tcW w:w="125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1"/>
                <w:u w:val="none" w:color="auto"/>
              </w:rPr>
            </w:pPr>
            <w:r>
              <w:rPr>
                <w:rFonts w:hint="eastAsia" w:ascii="ＭＳ 明朝" w:hAnsi="ＭＳ 明朝"/>
                <w:color w:val="auto"/>
                <w:sz w:val="21"/>
                <w:u w:val="none" w:color="auto"/>
              </w:rPr>
              <w:t>合計</w:t>
            </w:r>
          </w:p>
        </w:tc>
        <w:tc>
          <w:tcPr>
            <w:tcW w:w="161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１</w:t>
            </w:r>
          </w:p>
        </w:tc>
        <w:tc>
          <w:tcPr>
            <w:tcW w:w="168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w:t>
            </w:r>
          </w:p>
        </w:tc>
        <w:tc>
          <w:tcPr>
            <w:tcW w:w="1320" w:type="dxa"/>
            <w:tcBorders>
              <w:top w:val="doub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c>
          <w:tcPr>
            <w:tcW w:w="1320" w:type="dxa"/>
            <w:tcBorders>
              <w:top w:val="doub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３</w:t>
            </w:r>
          </w:p>
        </w:tc>
        <w:tc>
          <w:tcPr>
            <w:tcW w:w="13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color w:val="auto"/>
                <w:sz w:val="22"/>
                <w:u w:val="none" w:color="auto"/>
              </w:rPr>
            </w:pPr>
            <w:r>
              <w:rPr>
                <w:rFonts w:hint="eastAsia" w:ascii="ＭＳ 明朝" w:hAnsi="ＭＳ 明朝"/>
                <w:color w:val="auto"/>
                <w:sz w:val="22"/>
                <w:u w:val="none" w:color="auto"/>
              </w:rPr>
              <w:t>４</w:t>
            </w:r>
          </w:p>
        </w:tc>
      </w:tr>
    </w:tbl>
    <w:p>
      <w:pPr>
        <w:pStyle w:val="0"/>
        <w:ind w:left="456" w:leftChars="100" w:hanging="216" w:hangingChars="90"/>
        <w:rPr>
          <w:rFonts w:hint="eastAsia" w:ascii="ＭＳ 明朝" w:hAnsi="ＭＳ 明朝" w:eastAsia="ＭＳ 明朝"/>
          <w:color w:val="FF0000"/>
          <w:sz w:val="24"/>
          <w:u w:val="single" w:color="auto"/>
        </w:rPr>
      </w:pPr>
    </w:p>
    <w:p>
      <w:pPr>
        <w:pStyle w:val="0"/>
        <w:ind w:left="456" w:leftChars="100" w:hanging="216" w:hangingChars="90"/>
        <w:rPr>
          <w:rFonts w:hint="eastAsia" w:ascii="ＭＳ 明朝" w:hAnsi="ＭＳ 明朝" w:eastAsia="ＭＳ 明朝"/>
          <w:color w:val="FF0000"/>
          <w:sz w:val="24"/>
          <w:u w:val="single" w:color="auto"/>
        </w:rPr>
      </w:pPr>
    </w:p>
    <w:p>
      <w:pPr>
        <w:pStyle w:val="0"/>
        <w:ind w:leftChars="0" w:hanging="456" w:hangingChars="190"/>
        <w:rPr>
          <w:rFonts w:hint="eastAsia" w:ascii="ＭＳ 明朝" w:hAnsi="ＭＳ 明朝" w:eastAsia="ＭＳ 明朝"/>
          <w:color w:val="auto"/>
          <w:sz w:val="24"/>
          <w:u w:val="none" w:color="auto"/>
        </w:rPr>
      </w:pPr>
      <w:r>
        <w:rPr>
          <w:rFonts w:hint="eastAsia" w:ascii="ＭＳ 明朝" w:hAnsi="ＭＳ 明朝" w:eastAsia="ＭＳ 明朝"/>
          <w:color w:val="FF0000"/>
          <w:sz w:val="24"/>
          <w:u w:val="none" w:color="auto"/>
        </w:rPr>
        <w:t>　</w:t>
      </w:r>
      <w:r>
        <w:rPr>
          <w:rFonts w:hint="eastAsia" w:ascii="ＭＳ 明朝" w:hAnsi="ＭＳ 明朝" w:eastAsia="ＭＳ 明朝"/>
          <w:color w:val="auto"/>
          <w:sz w:val="24"/>
          <w:u w:val="none" w:color="auto"/>
        </w:rPr>
        <w:t>　②　精神病床における退院患者の退院後の主な行き先</w:t>
      </w:r>
    </w:p>
    <w:tbl>
      <w:tblPr>
        <w:tblStyle w:val="28"/>
        <w:tblW w:w="6840" w:type="dxa"/>
        <w:jc w:val="left"/>
        <w:tblInd w:w="475" w:type="dxa"/>
        <w:tblLayout w:type="fixed"/>
        <w:tblLook w:firstRow="1" w:lastRow="0" w:firstColumn="1" w:lastColumn="0" w:noHBand="0" w:noVBand="1" w:val="04A0"/>
      </w:tblPr>
      <w:tblGrid>
        <w:gridCol w:w="3480"/>
        <w:gridCol w:w="1680"/>
        <w:gridCol w:w="1680"/>
      </w:tblGrid>
      <w:tr>
        <w:trPr>
          <w:trHeight w:val="351" w:hRule="atLeast"/>
        </w:trPr>
        <w:tc>
          <w:tcPr>
            <w:tcW w:w="3480" w:type="dxa"/>
            <w:vMerge w:val="restart"/>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退院後の転帰先</w:t>
            </w:r>
          </w:p>
        </w:tc>
        <w:tc>
          <w:tcPr>
            <w:tcW w:w="33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令和５年</w:t>
            </w:r>
          </w:p>
        </w:tc>
      </w:tr>
      <w:tr>
        <w:trPr/>
        <w:tc>
          <w:tcPr>
            <w:tcW w:w="3480" w:type="dxa"/>
            <w:vMerge w:val="continue"/>
            <w:vAlign w:val="center"/>
          </w:tcPr>
          <w:p>
            <w:pPr>
              <w:pStyle w:val="0"/>
              <w:rPr>
                <w:rFonts w:hint="eastAsia"/>
              </w:rPr>
            </w:pPr>
          </w:p>
        </w:tc>
        <w:tc>
          <w:tcPr>
            <w:tcW w:w="168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入院期間</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1</w:t>
            </w:r>
            <w:r>
              <w:rPr>
                <w:rFonts w:hint="eastAsia" w:ascii="ＭＳ 明朝" w:hAnsi="ＭＳ 明朝" w:eastAsia="ＭＳ 明朝"/>
                <w:color w:val="auto"/>
                <w:sz w:val="24"/>
                <w:u w:val="none" w:color="auto"/>
              </w:rPr>
              <w:t>年未満</w:t>
            </w:r>
          </w:p>
        </w:tc>
        <w:tc>
          <w:tcPr>
            <w:tcW w:w="168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入院期間</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1</w:t>
            </w:r>
            <w:r>
              <w:rPr>
                <w:rFonts w:hint="eastAsia" w:ascii="ＭＳ 明朝" w:hAnsi="ＭＳ 明朝" w:eastAsia="ＭＳ 明朝"/>
                <w:color w:val="auto"/>
                <w:sz w:val="24"/>
                <w:u w:val="none" w:color="auto"/>
              </w:rPr>
              <w:t>年以上</w:t>
            </w:r>
          </w:p>
        </w:tc>
      </w:tr>
      <w:tr>
        <w:trPr/>
        <w:tc>
          <w:tcPr>
            <w:tcW w:w="3480"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在宅</w:t>
            </w:r>
          </w:p>
        </w:tc>
        <w:tc>
          <w:tcPr>
            <w:tcW w:w="1680" w:type="dxa"/>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280</w:t>
            </w:r>
          </w:p>
        </w:tc>
        <w:tc>
          <w:tcPr>
            <w:tcW w:w="1680" w:type="dxa"/>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12</w:t>
            </w:r>
          </w:p>
        </w:tc>
      </w:tr>
      <w:tr>
        <w:trPr/>
        <w:tc>
          <w:tcPr>
            <w:tcW w:w="3480"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障害福祉施設（</w:t>
            </w:r>
            <w:r>
              <w:rPr>
                <w:rFonts w:hint="eastAsia" w:ascii="ＭＳ 明朝" w:hAnsi="ＭＳ 明朝" w:eastAsia="ＭＳ 明朝"/>
                <w:color w:val="auto"/>
                <w:sz w:val="24"/>
                <w:u w:val="none" w:color="auto"/>
              </w:rPr>
              <w:t>GH</w:t>
            </w:r>
            <w:r>
              <w:rPr>
                <w:rFonts w:hint="eastAsia" w:ascii="ＭＳ 明朝" w:hAnsi="ＭＳ 明朝" w:eastAsia="ＭＳ 明朝"/>
                <w:color w:val="auto"/>
                <w:sz w:val="24"/>
                <w:u w:val="none" w:color="auto"/>
              </w:rPr>
              <w:t>等）</w:t>
            </w:r>
          </w:p>
        </w:tc>
        <w:tc>
          <w:tcPr>
            <w:tcW w:w="1680" w:type="dxa"/>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8</w:t>
            </w:r>
          </w:p>
        </w:tc>
        <w:tc>
          <w:tcPr>
            <w:tcW w:w="1680" w:type="dxa"/>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4</w:t>
            </w:r>
          </w:p>
        </w:tc>
      </w:tr>
      <w:tr>
        <w:trPr/>
        <w:tc>
          <w:tcPr>
            <w:tcW w:w="34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介護施設</w:t>
            </w:r>
          </w:p>
        </w:tc>
        <w:tc>
          <w:tcPr>
            <w:tcW w:w="16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13</w:t>
            </w:r>
          </w:p>
        </w:tc>
        <w:tc>
          <w:tcPr>
            <w:tcW w:w="16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5</w:t>
            </w:r>
          </w:p>
        </w:tc>
      </w:tr>
      <w:tr>
        <w:trPr/>
        <w:tc>
          <w:tcPr>
            <w:tcW w:w="34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合計</w:t>
            </w:r>
          </w:p>
        </w:tc>
        <w:tc>
          <w:tcPr>
            <w:tcW w:w="16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301</w:t>
            </w:r>
          </w:p>
        </w:tc>
        <w:tc>
          <w:tcPr>
            <w:tcW w:w="16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21</w:t>
            </w:r>
          </w:p>
        </w:tc>
      </w:tr>
    </w:tbl>
    <w:p>
      <w:pPr>
        <w:pStyle w:val="0"/>
        <w:rPr>
          <w:rFonts w:hint="default" w:ascii="ＭＳ ゴシック" w:hAnsi="ＭＳ ゴシック" w:eastAsia="ＭＳ ゴシック"/>
          <w:color w:val="auto"/>
          <w:sz w:val="28"/>
          <w:u w:val="none" w:color="auto"/>
        </w:rPr>
      </w:pPr>
      <w:r>
        <w:rPr>
          <w:rFonts w:hint="eastAsia"/>
        </w:rPr>
        <w:br w:type="page"/>
      </w:r>
      <w:r>
        <w:rPr>
          <w:rFonts w:hint="eastAsia" w:ascii="ＭＳ ゴシック" w:hAnsi="ＭＳ ゴシック" w:eastAsia="ＭＳ ゴシック"/>
          <w:sz w:val="28"/>
        </w:rPr>
        <w:t>３　地域生活支援拠点等</w:t>
      </w:r>
      <w:r>
        <w:rPr>
          <w:rFonts w:hint="eastAsia" w:ascii="ＭＳ ゴシック" w:hAnsi="ＭＳ ゴシック" w:eastAsia="ＭＳ ゴシック"/>
          <w:color w:val="auto"/>
          <w:sz w:val="28"/>
          <w:u w:val="none" w:color="auto"/>
        </w:rPr>
        <w:t>が有する機能の充実</w:t>
      </w:r>
    </w:p>
    <w:p>
      <w:pPr>
        <w:pStyle w:val="0"/>
        <w:rPr>
          <w:rFonts w:hint="default"/>
          <w:color w:val="auto"/>
          <w:u w:val="none" w:color="auto"/>
        </w:rPr>
      </w:pPr>
    </w:p>
    <w:tbl>
      <w:tblPr>
        <w:tblStyle w:val="11"/>
        <w:tblW w:w="888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80"/>
      </w:tblGrid>
      <w:tr>
        <w:trPr>
          <w:trHeight w:val="1080" w:hRule="atLeast"/>
        </w:trPr>
        <w:tc>
          <w:tcPr>
            <w:tcW w:w="8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left"/>
              <w:rPr>
                <w:rFonts w:hint="eastAsia"/>
                <w:color w:val="auto"/>
                <w:u w:val="none" w:color="auto"/>
              </w:rPr>
            </w:pPr>
            <w:r>
              <w:rPr>
                <w:rFonts w:hint="eastAsia" w:ascii="ＭＳ ゴシック" w:hAnsi="ＭＳ ゴシック" w:eastAsia="ＭＳ ゴシック"/>
                <w:color w:val="auto"/>
                <w:u w:val="none" w:color="auto"/>
              </w:rPr>
              <w:t>令和５年度末までに各市町村又は各圏域に１カ所以上設置</w:t>
            </w:r>
          </w:p>
        </w:tc>
      </w:tr>
      <w:tr>
        <w:trPr>
          <w:trHeight w:val="1040" w:hRule="atLeast"/>
        </w:trPr>
        <w:tc>
          <w:tcPr>
            <w:tcW w:w="8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ascii="ＭＳ ゴシック" w:hAnsi="ＭＳ ゴシック" w:eastAsia="ＭＳ ゴシック"/>
                <w:color w:val="auto"/>
                <w:u w:val="none" w:color="auto"/>
              </w:rPr>
              <w:t>地域生活支援拠点等が有する機能の充実に向け、年１回以上運用状況を検証、検討する体制を確保する</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これまでの実績</w:t>
      </w:r>
    </w:p>
    <w:p>
      <w:pPr>
        <w:pStyle w:val="0"/>
        <w:ind w:left="240" w:hanging="240" w:hangingChars="100"/>
        <w:rPr>
          <w:rFonts w:hint="default" w:asciiTheme="minorEastAsia" w:hAnsiTheme="minorEastAsia"/>
          <w:color w:val="auto"/>
          <w:u w:val="none" w:color="auto"/>
        </w:rPr>
      </w:pPr>
      <w:r>
        <w:rPr>
          <w:rFonts w:hint="eastAsia" w:asciiTheme="minorEastAsia" w:hAnsiTheme="minorEastAsia"/>
        </w:rPr>
        <w:t>　　</w:t>
      </w:r>
      <w:r>
        <w:rPr>
          <w:rFonts w:hint="eastAsia" w:asciiTheme="minorEastAsia" w:hAnsiTheme="minorEastAsia"/>
          <w:color w:val="auto"/>
          <w:u w:val="none" w:color="auto"/>
        </w:rPr>
        <w:t>令和２年</w:t>
      </w:r>
      <w:r>
        <w:rPr>
          <w:rFonts w:hint="eastAsia" w:asciiTheme="minorEastAsia" w:hAnsiTheme="minorEastAsia"/>
          <w:color w:val="auto"/>
          <w:u w:val="none" w:color="auto"/>
        </w:rPr>
        <w:t>10</w:t>
      </w:r>
      <w:r>
        <w:rPr>
          <w:rFonts w:hint="eastAsia" w:asciiTheme="minorEastAsia" w:hAnsiTheme="minorEastAsia"/>
          <w:color w:val="auto"/>
          <w:u w:val="none" w:color="auto"/>
        </w:rPr>
        <w:t>月末までに、</w:t>
      </w:r>
      <w:r>
        <w:rPr>
          <w:rFonts w:hint="eastAsia" w:asciiTheme="minorEastAsia" w:hAnsiTheme="minorEastAsia"/>
          <w:color w:val="auto"/>
          <w:u w:val="none" w:color="auto"/>
        </w:rPr>
        <w:t>11</w:t>
      </w:r>
      <w:r>
        <w:rPr>
          <w:rFonts w:hint="eastAsia" w:asciiTheme="minorEastAsia" w:hAnsiTheme="minorEastAsia"/>
          <w:color w:val="auto"/>
          <w:u w:val="none" w:color="auto"/>
        </w:rPr>
        <w:t>市町村が単独または広域で設置済みとなっています。</w:t>
      </w:r>
    </w:p>
    <w:p>
      <w:pPr>
        <w:pStyle w:val="0"/>
        <w:ind w:left="240" w:hanging="240" w:hangingChars="100"/>
        <w:rPr>
          <w:rFonts w:hint="default" w:asciiTheme="minorEastAsia" w:hAnsiTheme="minorEastAsia"/>
        </w:rPr>
      </w:pPr>
      <w:r>
        <w:rPr>
          <w:rFonts w:hint="eastAsia" w:asciiTheme="minorEastAsia" w:hAnsiTheme="minorEastAsia"/>
          <w:color w:val="auto"/>
          <w:u w:val="none" w:color="auto"/>
        </w:rPr>
        <w:t>　　未設置の市町村においても、緊急時の受入れ・対応の機能について圏域内の複数の施設で対応が可能になるよう、圏域単位で調整を進める等、整備に向けた準備が進んでいます。</w:t>
      </w:r>
    </w:p>
    <w:p>
      <w:pPr>
        <w:pStyle w:val="0"/>
        <w:ind w:left="240" w:hanging="240" w:hangingChars="100"/>
        <w:rPr>
          <w:rFonts w:hint="default" w:asciiTheme="minorEastAsia" w:hAnsiTheme="minorEastAsia"/>
        </w:rPr>
      </w:pPr>
    </w:p>
    <w:p>
      <w:pPr>
        <w:pStyle w:val="0"/>
        <w:jc w:val="center"/>
        <w:rPr>
          <w:rFonts w:hint="default" w:asciiTheme="minorEastAsia" w:hAnsiTheme="minor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3241040</wp:posOffset>
                </wp:positionH>
                <wp:positionV relativeFrom="paragraph">
                  <wp:posOffset>2459355</wp:posOffset>
                </wp:positionV>
                <wp:extent cx="2438400" cy="9334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438400" cy="9334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整備済み（令和２年</w:t>
                            </w:r>
                            <w:r>
                              <w:rPr>
                                <w:rFonts w:hint="eastAsia" w:ascii="ＭＳ ゴシック" w:hAnsi="ＭＳ ゴシック" w:eastAsia="ＭＳ ゴシック"/>
                                <w:sz w:val="20"/>
                              </w:rPr>
                              <w:t>10</w:t>
                            </w:r>
                            <w:r>
                              <w:rPr>
                                <w:rFonts w:hint="eastAsia" w:ascii="ＭＳ ゴシック" w:hAnsi="ＭＳ ゴシック" w:eastAsia="ＭＳ ゴシック"/>
                                <w:sz w:val="20"/>
                              </w:rPr>
                              <w:t>月末時点）</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・中芸広域連合　　・須崎市</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・嶺北４町村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・檮原町</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3.65pt;mso-position-vertical-relative:text;mso-position-horizontal-relative:text;position:absolute;height:73.5pt;mso-wrap-distance-top:0pt;width:192pt;mso-wrap-distance-left:16pt;margin-left:255.2pt;z-index:3;"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整備済み（令和２年</w:t>
                      </w:r>
                      <w:r>
                        <w:rPr>
                          <w:rFonts w:hint="eastAsia" w:ascii="ＭＳ ゴシック" w:hAnsi="ＭＳ ゴシック" w:eastAsia="ＭＳ ゴシック"/>
                          <w:sz w:val="20"/>
                        </w:rPr>
                        <w:t>10</w:t>
                      </w:r>
                      <w:r>
                        <w:rPr>
                          <w:rFonts w:hint="eastAsia" w:ascii="ＭＳ ゴシック" w:hAnsi="ＭＳ ゴシック" w:eastAsia="ＭＳ ゴシック"/>
                          <w:sz w:val="20"/>
                        </w:rPr>
                        <w:t>月末時点）</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・中芸広域連合　　・須崎市</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・嶺北４町村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・檮原町</w:t>
                      </w:r>
                    </w:p>
                    <w:p>
                      <w:pPr>
                        <w:pStyle w:val="0"/>
                        <w:rPr>
                          <w:rFonts w:hint="eastAsia"/>
                        </w:rPr>
                      </w:pPr>
                    </w:p>
                  </w:txbxContent>
                </v:textbox>
                <v:imagedata o:title=""/>
                <w10:wrap type="none" anchorx="text" anchory="text"/>
              </v:shape>
            </w:pict>
          </mc:Fallback>
        </mc:AlternateContent>
      </w:r>
      <w:r>
        <w:rPr>
          <w:rFonts w:hint="eastAsia"/>
        </w:rPr>
        <w:drawing>
          <wp:inline distT="0" distB="0" distL="203200" distR="203200">
            <wp:extent cx="4622800" cy="367220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622800" cy="3672205"/>
                    </a:xfrm>
                    <a:prstGeom prst="rect">
                      <a:avLst/>
                    </a:prstGeom>
                  </pic:spPr>
                </pic:pic>
              </a:graphicData>
            </a:graphic>
          </wp:inline>
        </w:drawing>
      </w:r>
    </w:p>
    <w:p>
      <w:pPr>
        <w:pStyle w:val="0"/>
        <w:jc w:val="center"/>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rPr>
        <w:br w:type="page"/>
      </w: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目標設定の考え方等</w:t>
      </w:r>
      <w:r>
        <w:rPr>
          <w:rFonts w:hint="default"/>
        </w:rPr>
        <w:t xml:space="preserve"> </w:t>
      </w:r>
    </w:p>
    <w:p>
      <w:pPr>
        <w:pStyle w:val="0"/>
        <w:ind w:left="240" w:leftChars="100" w:firstLine="240" w:firstLineChars="100"/>
        <w:rPr>
          <w:rFonts w:hint="default" w:asciiTheme="minorEastAsia" w:hAnsiTheme="minorEastAsia"/>
        </w:rPr>
      </w:pPr>
      <w:r>
        <w:rPr>
          <w:rFonts w:hint="eastAsia" w:asciiTheme="minorEastAsia" w:hAnsiTheme="minorEastAsia"/>
          <w:color w:val="auto"/>
          <w:u w:val="none" w:color="auto"/>
        </w:rPr>
        <w:t>障害のある人の重度化・高齢化や「親亡き後」を見据え、</w:t>
      </w:r>
      <w:r>
        <w:rPr>
          <w:rFonts w:hint="eastAsia" w:asciiTheme="minorEastAsia" w:hAnsiTheme="minorEastAsia"/>
        </w:rPr>
        <w:t>障害のある人の生活を地域全体で支えるサービス提供体制を地域の実情に応じた創意工夫により整備・構築することが求められています。</w:t>
      </w:r>
    </w:p>
    <w:p>
      <w:pPr>
        <w:pStyle w:val="0"/>
        <w:ind w:left="240" w:leftChars="100" w:firstLine="240" w:firstLineChars="100"/>
        <w:rPr>
          <w:rFonts w:hint="default" w:asciiTheme="minorEastAsia" w:hAnsiTheme="minorEastAsia"/>
          <w:highlight w:val="none"/>
        </w:rPr>
      </w:pPr>
      <w:r>
        <w:rPr>
          <w:rFonts w:hint="eastAsia" w:asciiTheme="minorEastAsia" w:hAnsiTheme="minorEastAsia"/>
          <w:color w:val="auto"/>
          <w:u w:val="none" w:color="auto"/>
        </w:rPr>
        <w:t>地域生活支援拠点等の機能として、</w:t>
      </w:r>
      <w:r>
        <w:rPr>
          <w:rFonts w:hint="eastAsia" w:asciiTheme="minorEastAsia" w:hAnsiTheme="minorEastAsia"/>
          <w:color w:val="auto"/>
          <w:highlight w:val="none"/>
          <w:u w:val="none" w:color="auto"/>
        </w:rPr>
        <w:t>次の</w:t>
      </w:r>
      <w:r>
        <w:rPr>
          <w:rFonts w:hint="eastAsia" w:asciiTheme="minorEastAsia" w:hAnsiTheme="minorEastAsia"/>
          <w:color w:val="auto"/>
          <w:highlight w:val="none"/>
          <w:u w:val="none" w:color="auto"/>
        </w:rPr>
        <w:t>5</w:t>
      </w:r>
      <w:r>
        <w:rPr>
          <w:rFonts w:hint="eastAsia" w:asciiTheme="minorEastAsia" w:hAnsiTheme="minorEastAsia"/>
          <w:color w:val="auto"/>
          <w:highlight w:val="none"/>
          <w:u w:val="none" w:color="auto"/>
        </w:rPr>
        <w:t>つが挙げられています。</w:t>
      </w:r>
    </w:p>
    <w:p>
      <w:pPr>
        <w:pStyle w:val="0"/>
        <w:ind w:left="240" w:leftChars="100" w:firstLine="480" w:firstLineChars="200"/>
        <w:rPr>
          <w:rFonts w:hint="default" w:asciiTheme="minorEastAsia" w:hAnsiTheme="minorEastAsia"/>
        </w:rPr>
      </w:pPr>
      <w:r>
        <w:rPr>
          <w:rFonts w:hint="eastAsia" w:asciiTheme="minorEastAsia" w:hAnsiTheme="minorEastAsia"/>
        </w:rPr>
        <w:t>①相談（施設からの退所、病院からの退院、親元からの自立等）、</w:t>
      </w:r>
    </w:p>
    <w:p>
      <w:pPr>
        <w:pStyle w:val="0"/>
        <w:ind w:left="240" w:leftChars="100" w:firstLine="480" w:firstLineChars="200"/>
        <w:rPr>
          <w:rFonts w:hint="default" w:asciiTheme="minorEastAsia" w:hAnsiTheme="minorEastAsia"/>
        </w:rPr>
      </w:pPr>
      <w:r>
        <w:rPr>
          <w:rFonts w:hint="eastAsia" w:asciiTheme="minorEastAsia" w:hAnsiTheme="minorEastAsia"/>
        </w:rPr>
        <w:t>②体験の機会・場（一人暮らし、グループホーム等）、</w:t>
      </w:r>
    </w:p>
    <w:p>
      <w:pPr>
        <w:pStyle w:val="0"/>
        <w:ind w:left="240" w:leftChars="100" w:firstLine="480" w:firstLineChars="200"/>
        <w:rPr>
          <w:rFonts w:hint="default" w:asciiTheme="minorEastAsia" w:hAnsiTheme="minorEastAsia"/>
        </w:rPr>
      </w:pPr>
      <w:r>
        <w:rPr>
          <w:rFonts w:hint="eastAsia" w:asciiTheme="minorEastAsia" w:hAnsiTheme="minorEastAsia"/>
        </w:rPr>
        <w:t>③緊急時の受け入れ・対応（短期入所の利便性・対応力の向上等）、</w:t>
      </w:r>
    </w:p>
    <w:p>
      <w:pPr>
        <w:pStyle w:val="0"/>
        <w:ind w:left="240" w:leftChars="100" w:firstLine="480" w:firstLineChars="200"/>
        <w:rPr>
          <w:rFonts w:hint="default" w:asciiTheme="minorEastAsia" w:hAnsiTheme="minorEastAsia"/>
        </w:rPr>
      </w:pPr>
      <w:r>
        <w:rPr>
          <w:rFonts w:hint="eastAsia" w:asciiTheme="minorEastAsia" w:hAnsiTheme="minorEastAsia"/>
        </w:rPr>
        <w:t>④専門性（人材の確保・養成、連携等）、</w:t>
      </w:r>
    </w:p>
    <w:p>
      <w:pPr>
        <w:pStyle w:val="0"/>
        <w:ind w:left="240" w:leftChars="100" w:firstLine="480" w:firstLineChars="200"/>
        <w:rPr>
          <w:rFonts w:hint="default" w:asciiTheme="minorEastAsia" w:hAnsiTheme="minorEastAsia"/>
        </w:rPr>
      </w:pPr>
      <w:r>
        <w:rPr>
          <w:rFonts w:hint="eastAsia" w:asciiTheme="minorEastAsia" w:hAnsiTheme="minorEastAsia"/>
        </w:rPr>
        <w:t>⑤地域の体制づくり（サービス拠点、コーディネーターの配置等）</w:t>
      </w:r>
    </w:p>
    <w:p>
      <w:pPr>
        <w:pStyle w:val="0"/>
        <w:ind w:left="240" w:leftChars="100" w:firstLine="240" w:firstLineChars="100"/>
        <w:rPr>
          <w:rFonts w:hint="default" w:asciiTheme="minorEastAsia" w:hAnsiTheme="minorEastAsia"/>
        </w:rPr>
      </w:pPr>
      <w:r>
        <w:rPr>
          <w:rFonts w:hint="eastAsia" w:asciiTheme="minorEastAsia" w:hAnsiTheme="minorEastAsia"/>
        </w:rPr>
        <w:t>これらの機能を、障害者支援施設やグループホームに付加する形の多機能拠点整備型や、複数の事業所等が分担する面的な体制があり、これらをあわせて「地域生活支援拠点等」といいます。</w:t>
      </w:r>
    </w:p>
    <w:p>
      <w:pPr>
        <w:pStyle w:val="0"/>
        <w:ind w:left="240" w:leftChars="100" w:firstLine="240" w:firstLineChars="100"/>
        <w:rPr>
          <w:rFonts w:hint="default" w:asciiTheme="minorEastAsia" w:hAnsiTheme="minorEastAsia"/>
        </w:rPr>
      </w:pPr>
    </w:p>
    <w:p>
      <w:pPr>
        <w:pStyle w:val="0"/>
        <w:ind w:left="240" w:leftChars="100" w:firstLine="240" w:firstLineChars="100"/>
        <w:rPr>
          <w:rFonts w:hint="default" w:asciiTheme="minorEastAsia" w:hAnsiTheme="minorEastAsia"/>
        </w:rPr>
      </w:pPr>
      <w:r>
        <w:rPr>
          <w:rFonts w:hint="eastAsia" w:asciiTheme="minorEastAsia" w:hAnsiTheme="minorEastAsia"/>
          <w:color w:val="auto"/>
          <w:u w:val="none" w:color="auto"/>
        </w:rPr>
        <w:t>県内においては、「地域生活支援拠点等」の整備が進んでいない状況を鑑み、第５期計画の目標を継続し、令和５年度末までに各市町村又は各圏域に一カ所以上整備するとともに、自立支援協議会等において地域生活支援拠点等の運用状況を年１回以上、検証・検討することを目標とします。</w:t>
      </w:r>
    </w:p>
    <w:p>
      <w:pPr>
        <w:pStyle w:val="0"/>
        <w:ind w:firstLine="240" w:firstLineChars="100"/>
        <w:rPr>
          <w:rFonts w:hint="default" w:asciiTheme="minorEastAsia" w:hAnsiTheme="minorEastAsia"/>
        </w:rPr>
      </w:pPr>
    </w:p>
    <w:p>
      <w:pPr>
        <w:pStyle w:val="0"/>
        <w:ind w:firstLine="240" w:firstLineChars="1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目標達成への取り組み</w:t>
      </w:r>
    </w:p>
    <w:p>
      <w:pPr>
        <w:pStyle w:val="0"/>
        <w:ind w:left="480" w:hanging="480" w:hangingChars="200"/>
        <w:rPr>
          <w:rFonts w:hint="default" w:asciiTheme="minorEastAsia" w:hAnsiTheme="minorEastAsia"/>
        </w:rPr>
      </w:pPr>
      <w:r>
        <w:rPr>
          <w:rFonts w:hint="eastAsia" w:asciiTheme="minorEastAsia" w:hAnsiTheme="minorEastAsia"/>
        </w:rPr>
        <w:t>　○　それぞれの地域における課題の把握や必要な機能等について活発に議論がされるよう、各市町村等の自立支援協議会を支援するとともに、圏域内の市町村や施設・事業所が課題意識を共有できるよう連携を図ります。</w:t>
      </w:r>
    </w:p>
    <w:p>
      <w:pPr>
        <w:pStyle w:val="0"/>
        <w:ind w:left="480" w:hanging="480" w:hangingChars="20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「地域移行支援」や「地域定着支援」を実施する指定一般相談支援事業所や基幹相談支援センターの設置を促進し、市町村や障害福祉サービス事業所と連携して相談支援体制の充実を図ります。（再掲）</w:t>
      </w:r>
    </w:p>
    <w:p>
      <w:pPr>
        <w:pStyle w:val="0"/>
        <w:ind w:left="480" w:leftChars="100" w:hanging="240" w:hangingChars="10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自立した生活を目指す人が支援を受けながら生活するグループホームの充実を図るため、施設整備に対する助成を行いながら積極的に整備を進めます。（再掲）</w:t>
      </w:r>
    </w:p>
    <w:p>
      <w:pPr>
        <w:pStyle w:val="0"/>
        <w:ind w:left="480" w:leftChars="100" w:hanging="240" w:hangingChars="100"/>
        <w:rPr>
          <w:rFonts w:hint="default" w:asciiTheme="minorEastAsia" w:hAnsiTheme="minorEastAsia"/>
        </w:rPr>
      </w:pPr>
    </w:p>
    <w:p>
      <w:pPr>
        <w:pStyle w:val="0"/>
        <w:ind w:left="480" w:leftChars="100" w:hanging="240" w:hangingChars="100"/>
        <w:rPr>
          <w:rFonts w:hint="default" w:asciiTheme="minorEastAsia" w:hAnsiTheme="minorEastAsia"/>
        </w:rPr>
      </w:pPr>
    </w:p>
    <w:p>
      <w:pPr>
        <w:pStyle w:val="0"/>
        <w:ind w:left="480" w:leftChars="100" w:hanging="240" w:hangingChars="100"/>
        <w:rPr>
          <w:rFonts w:hint="default" w:asciiTheme="minorEastAsia" w:hAnsiTheme="minorEastAsia"/>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r>
        <w:rPr>
          <w:rFonts w:hint="eastAsia"/>
        </w:rPr>
        <w:br w:type="page"/>
      </w:r>
    </w:p>
    <w:p>
      <w:pPr>
        <w:pStyle w:val="0"/>
        <w:rPr>
          <w:rFonts w:hint="default"/>
        </w:rPr>
      </w:pPr>
      <w:r>
        <w:rPr>
          <w:rFonts w:hint="eastAsia" w:ascii="ＭＳ ゴシック" w:hAnsi="ＭＳ ゴシック" w:eastAsia="ＭＳ ゴシック"/>
          <w:sz w:val="28"/>
        </w:rPr>
        <w:t>４　福祉施設から一般就労への移行等</w:t>
      </w:r>
    </w:p>
    <w:tbl>
      <w:tblPr>
        <w:tblStyle w:val="11"/>
        <w:tblW w:w="864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600"/>
        <w:gridCol w:w="2040"/>
      </w:tblGrid>
      <w:tr>
        <w:trPr>
          <w:trHeight w:val="1191" w:hRule="atLeast"/>
        </w:trPr>
        <w:tc>
          <w:tcPr>
            <w:tcW w:w="66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令和５年度における</w:t>
            </w:r>
          </w:p>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福祉施設から一般就労へ移行する人の目標</w:t>
            </w:r>
          </w:p>
        </w:tc>
        <w:tc>
          <w:tcPr>
            <w:tcW w:w="2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１００人　</w:t>
            </w:r>
          </w:p>
        </w:tc>
      </w:tr>
      <w:tr>
        <w:trPr>
          <w:trHeight w:val="1191" w:hRule="atLeast"/>
        </w:trPr>
        <w:tc>
          <w:tcPr>
            <w:tcW w:w="66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u w:val="none" w:color="auto"/>
              </w:rPr>
              <w:t>令和５年度における</w:t>
            </w:r>
          </w:p>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u w:val="none" w:color="auto"/>
              </w:rPr>
              <w:t>就労移行支援事業を利用して一般就労する人の数　</w:t>
            </w:r>
          </w:p>
        </w:tc>
        <w:tc>
          <w:tcPr>
            <w:tcW w:w="2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560" w:firstLineChars="200"/>
              <w:jc w:val="right"/>
              <w:rPr>
                <w:rFonts w:hint="eastAsia"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8"/>
                <w:u w:val="none" w:color="auto"/>
              </w:rPr>
              <w:t>５０人　</w:t>
            </w:r>
          </w:p>
        </w:tc>
      </w:tr>
      <w:tr>
        <w:trPr>
          <w:trHeight w:val="1191" w:hRule="atLeast"/>
        </w:trPr>
        <w:tc>
          <w:tcPr>
            <w:tcW w:w="66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u w:val="none" w:color="auto"/>
              </w:rPr>
              <w:t>令和５年度における</w:t>
            </w:r>
          </w:p>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u w:val="none" w:color="auto"/>
              </w:rPr>
              <w:t>就労継続支援Ａ型事業を利用して一般就労する人の数</w:t>
            </w:r>
          </w:p>
        </w:tc>
        <w:tc>
          <w:tcPr>
            <w:tcW w:w="2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560" w:firstLineChars="200"/>
              <w:jc w:val="right"/>
              <w:rPr>
                <w:rFonts w:hint="eastAsia"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8"/>
                <w:u w:val="none" w:color="auto"/>
              </w:rPr>
              <w:t>１７人　</w:t>
            </w:r>
          </w:p>
        </w:tc>
      </w:tr>
      <w:tr>
        <w:trPr>
          <w:trHeight w:val="1099" w:hRule="atLeast"/>
        </w:trPr>
        <w:tc>
          <w:tcPr>
            <w:tcW w:w="66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u w:val="none" w:color="auto"/>
              </w:rPr>
              <w:t>令和５年度における</w:t>
            </w:r>
          </w:p>
          <w:p>
            <w:pPr>
              <w:pStyle w:val="0"/>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sz w:val="24"/>
                <w:u w:val="none" w:color="auto"/>
              </w:rPr>
              <w:t>就労継続支援Ｂ型事業を利用して一般就労する人の数</w:t>
            </w:r>
          </w:p>
        </w:tc>
        <w:tc>
          <w:tcPr>
            <w:tcW w:w="2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560" w:firstLineChars="200"/>
              <w:jc w:val="right"/>
              <w:rPr>
                <w:rFonts w:hint="eastAsia" w:ascii="ＭＳ ゴシック" w:hAnsi="ＭＳ ゴシック" w:eastAsia="ＭＳ ゴシック"/>
                <w:b w:val="1"/>
                <w:color w:val="auto"/>
                <w:sz w:val="22"/>
                <w:u w:val="none" w:color="auto"/>
              </w:rPr>
            </w:pPr>
            <w:r>
              <w:rPr>
                <w:rFonts w:hint="eastAsia" w:ascii="ＭＳ ゴシック" w:hAnsi="ＭＳ ゴシック" w:eastAsia="ＭＳ ゴシック"/>
                <w:b w:val="1"/>
                <w:color w:val="auto"/>
                <w:sz w:val="28"/>
                <w:u w:val="none" w:color="auto"/>
              </w:rPr>
              <w:t>３３人　</w:t>
            </w:r>
          </w:p>
        </w:tc>
      </w:tr>
      <w:tr>
        <w:trPr>
          <w:trHeight w:val="1191" w:hRule="atLeast"/>
        </w:trPr>
        <w:tc>
          <w:tcPr>
            <w:tcW w:w="66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令和５年度における就労移行支援事業等を通じて一般就労に移行する者のうち、就労定着支援事業を利用する人の割合</w:t>
            </w:r>
          </w:p>
        </w:tc>
        <w:tc>
          <w:tcPr>
            <w:tcW w:w="2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right="240" w:rightChars="100"/>
              <w:jc w:val="right"/>
              <w:rPr>
                <w:rFonts w:hint="default" w:ascii="ＭＳ ゴシック" w:hAnsi="ＭＳ ゴシック" w:eastAsia="ＭＳ ゴシック"/>
                <w:b w:val="1"/>
                <w:color w:val="auto"/>
                <w:u w:val="none" w:color="auto"/>
              </w:rPr>
            </w:pPr>
            <w:r>
              <w:rPr>
                <w:rFonts w:hint="eastAsia" w:ascii="ＭＳ ゴシック" w:hAnsi="ＭＳ ゴシック" w:eastAsia="ＭＳ ゴシック"/>
                <w:b w:val="1"/>
                <w:color w:val="auto"/>
                <w:sz w:val="28"/>
                <w:u w:val="none" w:color="auto"/>
              </w:rPr>
              <w:t>５０％</w:t>
            </w:r>
          </w:p>
        </w:tc>
      </w:tr>
      <w:tr>
        <w:trPr>
          <w:trHeight w:val="1191" w:hRule="atLeast"/>
        </w:trPr>
        <w:tc>
          <w:tcPr>
            <w:tcW w:w="66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就労定着支援事業所のうち就労定着率が８割以上の事業所の割合（令和５年度末）</w:t>
            </w:r>
          </w:p>
        </w:tc>
        <w:tc>
          <w:tcPr>
            <w:tcW w:w="20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right="240" w:rightChars="100"/>
              <w:jc w:val="right"/>
              <w:rPr>
                <w:rFonts w:hint="default" w:ascii="ＭＳ ゴシック" w:hAnsi="ＭＳ ゴシック" w:eastAsia="ＭＳ ゴシック"/>
                <w:b w:val="1"/>
                <w:color w:val="auto"/>
                <w:u w:val="none" w:color="auto"/>
              </w:rPr>
            </w:pPr>
            <w:r>
              <w:rPr>
                <w:rFonts w:hint="eastAsia" w:ascii="ＭＳ ゴシック" w:hAnsi="ＭＳ ゴシック" w:eastAsia="ＭＳ ゴシック"/>
                <w:b w:val="1"/>
                <w:color w:val="auto"/>
                <w:sz w:val="28"/>
                <w:u w:val="none" w:color="auto"/>
              </w:rPr>
              <w:t>７０％</w:t>
            </w:r>
          </w:p>
        </w:tc>
      </w:tr>
      <w:tr>
        <w:trPr>
          <w:trHeight w:val="907" w:hRule="atLeast"/>
        </w:trPr>
        <w:tc>
          <w:tcPr>
            <w:tcW w:w="66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農福連携により、新規に農業に従事する人の数（年間）</w:t>
            </w:r>
          </w:p>
        </w:tc>
        <w:tc>
          <w:tcPr>
            <w:tcW w:w="2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240" w:rightChars="100"/>
              <w:jc w:val="right"/>
              <w:rPr>
                <w:rFonts w:hint="default" w:ascii="ＭＳ ゴシック" w:hAnsi="ＭＳ ゴシック" w:eastAsia="ＭＳ ゴシック"/>
                <w:b w:val="1"/>
                <w:color w:val="auto"/>
                <w:u w:val="none" w:color="auto"/>
              </w:rPr>
            </w:pPr>
            <w:r>
              <w:rPr>
                <w:rFonts w:hint="eastAsia" w:ascii="ＭＳ ゴシック" w:hAnsi="ＭＳ ゴシック" w:eastAsia="ＭＳ ゴシック"/>
                <w:b w:val="1"/>
                <w:color w:val="auto"/>
                <w:sz w:val="28"/>
                <w:u w:val="none" w:color="auto"/>
              </w:rPr>
              <w:t>７５人</w:t>
            </w:r>
          </w:p>
        </w:tc>
      </w:tr>
    </w:tbl>
    <w:p>
      <w:pPr>
        <w:pStyle w:val="0"/>
        <w:rPr>
          <w:rFonts w:hint="default"/>
        </w:rPr>
      </w:pPr>
    </w:p>
    <w:p>
      <w:pPr>
        <w:pStyle w:val="0"/>
        <w:rPr>
          <w:rFonts w:hint="default"/>
        </w:rPr>
      </w:pPr>
    </w:p>
    <w:p>
      <w:pPr>
        <w:pStyle w:val="0"/>
        <w:rPr>
          <w:rFonts w:hint="default"/>
        </w:rPr>
      </w:pPr>
      <w:r>
        <w:rPr>
          <w:rFonts w:hint="eastAsia" w:asciiTheme="minorEastAsia" w:hAnsiTheme="minorEastAsia"/>
        </w:rPr>
        <w:t>(1)</w:t>
      </w:r>
      <w:r>
        <w:rPr>
          <w:rFonts w:hint="eastAsia" w:asciiTheme="minorEastAsia" w:hAnsiTheme="minorEastAsia"/>
        </w:rPr>
        <w:t>　これまでの実績</w:t>
      </w:r>
    </w:p>
    <w:p>
      <w:pPr>
        <w:pStyle w:val="0"/>
        <w:ind w:left="480" w:leftChars="200" w:firstLine="240" w:firstLineChars="100"/>
        <w:rPr>
          <w:rFonts w:hint="default"/>
        </w:rPr>
      </w:pPr>
      <w:r>
        <w:rPr>
          <w:rFonts w:hint="eastAsia"/>
        </w:rPr>
        <w:t>福祉施設の利用から一般就労に移行した人は、就労移行支援事業や就労継続支援事業の利用者数の増加に伴って、増加が続きましたが、平成</w:t>
      </w:r>
      <w:r>
        <w:rPr>
          <w:rFonts w:hint="eastAsia"/>
        </w:rPr>
        <w:t>25</w:t>
      </w:r>
      <w:r>
        <w:rPr>
          <w:rFonts w:hint="eastAsia"/>
        </w:rPr>
        <w:t>年度は減少し</w:t>
      </w:r>
      <w:r>
        <w:rPr>
          <w:rFonts w:hint="eastAsia"/>
        </w:rPr>
        <w:t>53</w:t>
      </w:r>
      <w:r>
        <w:rPr>
          <w:rFonts w:hint="eastAsia"/>
        </w:rPr>
        <w:t>人でした。平成</w:t>
      </w:r>
      <w:r>
        <w:rPr>
          <w:rFonts w:hint="eastAsia"/>
        </w:rPr>
        <w:t>26</w:t>
      </w:r>
      <w:r>
        <w:rPr>
          <w:rFonts w:hint="eastAsia"/>
        </w:rPr>
        <w:t>年度</w:t>
      </w:r>
      <w:r>
        <w:rPr>
          <w:rFonts w:hint="eastAsia"/>
          <w:color w:val="auto"/>
          <w:u w:val="none" w:color="auto"/>
        </w:rPr>
        <w:t>から</w:t>
      </w:r>
      <w:r>
        <w:rPr>
          <w:rFonts w:hint="eastAsia"/>
          <w:color w:val="auto"/>
          <w:u w:val="none" w:color="auto"/>
        </w:rPr>
        <w:t>30</w:t>
      </w:r>
      <w:r>
        <w:rPr>
          <w:rFonts w:hint="eastAsia"/>
          <w:color w:val="auto"/>
          <w:u w:val="none" w:color="auto"/>
        </w:rPr>
        <w:t>年度にかけては再度増加傾向となったものの、令和元年度は減少し、</w:t>
      </w:r>
      <w:r>
        <w:rPr>
          <w:rFonts w:hint="eastAsia"/>
          <w:color w:val="auto"/>
          <w:u w:val="none" w:color="auto"/>
        </w:rPr>
        <w:t>74</w:t>
      </w:r>
      <w:r>
        <w:rPr>
          <w:rFonts w:hint="eastAsia"/>
          <w:color w:val="auto"/>
          <w:u w:val="none" w:color="auto"/>
        </w:rPr>
        <w:t>人でした。</w:t>
      </w:r>
      <w:r>
        <w:rPr>
          <w:rFonts w:hint="eastAsia"/>
        </w:rPr>
        <w:t>（図Ⅲ－４－１参照）</w:t>
      </w:r>
    </w:p>
    <w:p>
      <w:pPr>
        <w:pStyle w:val="0"/>
        <w:ind w:left="480" w:hanging="480" w:hangingChars="200"/>
        <w:rPr>
          <w:rFonts w:hint="default"/>
        </w:rPr>
      </w:pPr>
      <w:r>
        <w:rPr>
          <w:rFonts w:hint="eastAsia"/>
        </w:rPr>
        <w:t>　　　また、</w:t>
      </w:r>
      <w:r>
        <w:rPr>
          <w:rFonts w:hint="eastAsia"/>
          <w:color w:val="auto"/>
          <w:u w:val="none" w:color="auto"/>
        </w:rPr>
        <w:t>令和元年度の公共職業安定所（ハローワーク）における障害のある人の就職件数は</w:t>
      </w:r>
      <w:r>
        <w:rPr>
          <w:rFonts w:hint="eastAsia"/>
          <w:color w:val="auto"/>
          <w:u w:val="none" w:color="auto"/>
        </w:rPr>
        <w:t>617</w:t>
      </w:r>
      <w:r>
        <w:rPr>
          <w:rFonts w:hint="eastAsia"/>
          <w:color w:val="auto"/>
          <w:u w:val="none" w:color="auto"/>
        </w:rPr>
        <w:t>件と平成</w:t>
      </w:r>
      <w:r>
        <w:rPr>
          <w:rFonts w:hint="eastAsia"/>
          <w:color w:val="auto"/>
          <w:u w:val="none" w:color="auto"/>
        </w:rPr>
        <w:t>18</w:t>
      </w:r>
      <w:r>
        <w:rPr>
          <w:rFonts w:hint="eastAsia"/>
          <w:color w:val="auto"/>
          <w:u w:val="none" w:color="auto"/>
        </w:rPr>
        <w:t>年度以降で最高を記録するとともに、新規就職者に占める就職率は</w:t>
      </w:r>
      <w:r>
        <w:rPr>
          <w:rFonts w:hint="eastAsia"/>
          <w:color w:val="auto"/>
          <w:u w:val="none" w:color="auto"/>
        </w:rPr>
        <w:t>47.1</w:t>
      </w:r>
      <w:r>
        <w:rPr>
          <w:rFonts w:hint="eastAsia"/>
          <w:color w:val="auto"/>
          <w:u w:val="none" w:color="auto"/>
        </w:rPr>
        <w:t>％</w:t>
      </w:r>
      <w:r>
        <w:rPr>
          <w:rFonts w:hint="eastAsia"/>
        </w:rPr>
        <w:t>でした。（Ｐ</w:t>
      </w:r>
      <w:r>
        <w:rPr>
          <w:rFonts w:hint="eastAsia"/>
        </w:rPr>
        <w:t>16</w:t>
      </w:r>
      <w:r>
        <w:rPr>
          <w:rFonts w:hint="eastAsia"/>
        </w:rPr>
        <w:t>図Ⅱ－５－１参照）</w:t>
      </w:r>
    </w:p>
    <w:p>
      <w:pPr>
        <w:pStyle w:val="0"/>
        <w:ind w:left="480" w:hanging="480" w:hangingChars="200"/>
        <w:rPr>
          <w:rFonts w:hint="default"/>
          <w:color w:val="auto"/>
          <w:u w:val="none" w:color="auto"/>
        </w:rPr>
      </w:pPr>
      <w:r>
        <w:rPr>
          <w:rFonts w:hint="eastAsia"/>
        </w:rPr>
        <w:t>　　　</w:t>
      </w:r>
      <w:r>
        <w:rPr>
          <w:rFonts w:hint="eastAsia"/>
          <w:color w:val="auto"/>
          <w:u w:val="none" w:color="auto"/>
        </w:rPr>
        <w:t>障害者の多様な働き方の一つとして農業への就労を推進するため、福祉分野と農業分野が連携した農福連携の取組みにより、農業に就労する障害者は年々増加し、令和</w:t>
      </w:r>
      <w:r>
        <w:rPr>
          <w:rFonts w:hint="eastAsia"/>
          <w:color w:val="auto"/>
          <w:u w:val="none" w:color="auto"/>
        </w:rPr>
        <w:t>2</w:t>
      </w:r>
      <w:r>
        <w:rPr>
          <w:rFonts w:hint="eastAsia"/>
          <w:color w:val="auto"/>
          <w:u w:val="none" w:color="auto"/>
        </w:rPr>
        <w:t>年</w:t>
      </w:r>
      <w:r>
        <w:rPr>
          <w:rFonts w:hint="eastAsia"/>
          <w:color w:val="auto"/>
          <w:u w:val="none" w:color="auto"/>
        </w:rPr>
        <w:t>3</w:t>
      </w:r>
      <w:r>
        <w:rPr>
          <w:rFonts w:hint="eastAsia"/>
          <w:color w:val="auto"/>
          <w:u w:val="none" w:color="auto"/>
        </w:rPr>
        <w:t>月時点で</w:t>
      </w:r>
      <w:r>
        <w:rPr>
          <w:rFonts w:hint="eastAsia"/>
          <w:color w:val="auto"/>
          <w:u w:val="none" w:color="auto"/>
        </w:rPr>
        <w:t>400</w:t>
      </w:r>
      <w:r>
        <w:rPr>
          <w:rFonts w:hint="eastAsia"/>
          <w:color w:val="auto"/>
          <w:u w:val="none" w:color="auto"/>
        </w:rPr>
        <w:t>人でした。</w:t>
      </w:r>
    </w:p>
    <w:p>
      <w:pPr>
        <w:pStyle w:val="0"/>
        <w:ind w:left="480" w:leftChars="200" w:firstLine="240" w:firstLineChars="100"/>
        <w:rPr>
          <w:rFonts w:hint="default"/>
        </w:rPr>
      </w:pPr>
      <w:r>
        <w:rPr>
          <w:rFonts w:hint="eastAsia"/>
          <w:color w:val="auto"/>
          <w:u w:val="none" w:color="auto"/>
        </w:rPr>
        <w:t>他方、週の労働時間を</w:t>
      </w:r>
      <w:r>
        <w:rPr>
          <w:rFonts w:hint="eastAsia"/>
          <w:color w:val="auto"/>
          <w:u w:val="none" w:color="auto"/>
        </w:rPr>
        <w:t>20</w:t>
      </w:r>
      <w:r>
        <w:rPr>
          <w:rFonts w:hint="eastAsia"/>
          <w:color w:val="auto"/>
          <w:u w:val="none" w:color="auto"/>
        </w:rPr>
        <w:t>時間未満から始める短時間勤務の導入は、県内企業等ではまだこれからの状況です。</w:t>
      </w:r>
    </w:p>
    <w:p>
      <w:pPr>
        <w:pStyle w:val="0"/>
        <w:ind w:left="0" w:leftChars="0" w:firstLine="420" w:firstLineChars="200"/>
        <w:rPr>
          <w:rFonts w:hint="default" w:ascii="ＭＳ ゴシック" w:hAnsi="ＭＳ ゴシック" w:eastAsia="ＭＳ ゴシック"/>
        </w:rPr>
      </w:pPr>
    </w:p>
    <w:p>
      <w:pPr>
        <w:pStyle w:val="0"/>
        <w:ind w:left="0" w:leftChars="0" w:firstLine="420" w:firstLineChars="200"/>
        <w:rPr>
          <w:rFonts w:hint="default" w:ascii="ＭＳ ゴシック" w:hAnsi="ＭＳ ゴシック" w:eastAsia="ＭＳ ゴシック"/>
        </w:rPr>
      </w:pPr>
      <w:r>
        <w:rPr>
          <w:rFonts w:hint="eastAsia" w:ascii="ＭＳ ゴシック" w:hAnsi="ＭＳ ゴシック" w:eastAsia="ＭＳ ゴシック"/>
          <w:sz w:val="24"/>
        </w:rPr>
        <w:t>■図Ⅲ－４－１　</w:t>
      </w:r>
      <w:r>
        <w:rPr>
          <w:rFonts w:hint="eastAsia" w:ascii="ＭＳ 明朝" w:hAnsi="ＭＳ 明朝" w:eastAsia="ＭＳ 明朝"/>
          <w:sz w:val="24"/>
        </w:rPr>
        <w:t>福祉施設利用者の一般就労への移行実績</w:t>
      </w:r>
    </w:p>
    <w:p>
      <w:pPr>
        <w:pStyle w:val="0"/>
        <w:ind w:leftChars="0" w:firstLine="0" w:firstLineChars="0"/>
        <w:jc w:val="left"/>
        <w:rPr>
          <w:rFonts w:hint="default"/>
        </w:rPr>
      </w:pPr>
      <w:r>
        <w:rPr>
          <w:rFonts w:hint="eastAsia"/>
        </w:rPr>
        <w:t>　　</w:t>
      </w:r>
      <w:r>
        <w:rPr>
          <w:rFonts w:hint="eastAsia"/>
        </w:rPr>
        <w:drawing>
          <wp:inline distT="0" distB="0" distL="203200" distR="203200">
            <wp:extent cx="5161915" cy="220980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161915" cy="2209800"/>
                    </a:xfrm>
                    <a:prstGeom prst="rect">
                      <a:avLst/>
                    </a:prstGeom>
                  </pic:spPr>
                </pic:pic>
              </a:graphicData>
            </a:graphic>
          </wp:inline>
        </w:drawing>
      </w:r>
    </w:p>
    <w:p>
      <w:pPr>
        <w:pStyle w:val="0"/>
        <w:ind w:firstLine="240" w:firstLineChars="100"/>
        <w:rPr>
          <w:rFonts w:hint="default"/>
        </w:rPr>
      </w:pPr>
      <w:r>
        <w:rPr>
          <w:rFonts w:hint="eastAsia" w:asciiTheme="minorEastAsia" w:hAnsiTheme="minorEastAsia"/>
        </w:rPr>
        <w:t>(2)</w:t>
      </w:r>
      <w:r>
        <w:rPr>
          <w:rFonts w:hint="eastAsia" w:asciiTheme="minorEastAsia" w:hAnsiTheme="minorEastAsia"/>
        </w:rPr>
        <w:t>　目標設定の考え方等</w:t>
      </w:r>
    </w:p>
    <w:p>
      <w:pPr>
        <w:pStyle w:val="0"/>
        <w:ind w:left="480" w:leftChars="200" w:firstLine="240" w:firstLineChars="100"/>
        <w:rPr>
          <w:rFonts w:hint="default"/>
        </w:rPr>
      </w:pPr>
      <w:r>
        <w:rPr>
          <w:rFonts w:hint="eastAsia"/>
        </w:rPr>
        <w:t>地域のサービス提供基盤の整備状況等の他、計画策定にあたって県及び市町村が実施したアンケート調査の結果などを参考にしながら市町村が見込んだサービス利用量の算出結果</w:t>
      </w:r>
      <w:r>
        <w:rPr>
          <w:rFonts w:hint="eastAsia"/>
          <w:color w:val="auto"/>
          <w:u w:val="none" w:color="auto"/>
        </w:rPr>
        <w:t>により、福祉施設の利用から一般就労に移行する人の目標を</w:t>
      </w:r>
      <w:r>
        <w:rPr>
          <w:rFonts w:hint="eastAsia"/>
          <w:color w:val="auto"/>
          <w:u w:val="none" w:color="auto"/>
        </w:rPr>
        <w:t>100</w:t>
      </w:r>
      <w:r>
        <w:rPr>
          <w:rFonts w:hint="eastAsia"/>
        </w:rPr>
        <w:t>人と設定します。</w:t>
      </w:r>
    </w:p>
    <w:p>
      <w:pPr>
        <w:pStyle w:val="0"/>
        <w:rPr>
          <w:rFonts w:hint="default"/>
        </w:rPr>
      </w:pPr>
    </w:p>
    <w:p>
      <w:pPr>
        <w:pStyle w:val="0"/>
        <w:ind w:firstLine="240" w:firstLineChars="100"/>
        <w:rPr>
          <w:rFonts w:hint="default"/>
        </w:rPr>
      </w:pPr>
      <w:r>
        <w:rPr>
          <w:rFonts w:hint="eastAsia" w:asciiTheme="minorEastAsia" w:hAnsiTheme="minorEastAsia"/>
        </w:rPr>
        <w:t>(3)</w:t>
      </w:r>
      <w:r>
        <w:rPr>
          <w:rFonts w:hint="eastAsia" w:asciiTheme="minorEastAsia" w:hAnsiTheme="minorEastAsia"/>
        </w:rPr>
        <w:t>　目標達成への取り組み</w:t>
      </w:r>
    </w:p>
    <w:p>
      <w:pPr>
        <w:pStyle w:val="0"/>
        <w:ind w:left="720" w:leftChars="200" w:hanging="240" w:hangingChars="100"/>
        <w:rPr>
          <w:rFonts w:hint="default"/>
          <w:color w:val="auto"/>
          <w:u w:val="none" w:color="auto"/>
        </w:rPr>
      </w:pPr>
      <w:r>
        <w:rPr>
          <w:rFonts w:hint="eastAsia"/>
        </w:rPr>
        <w:t>○　障害のある人が生きがいを持って生活できるよう、就労移行支援や就労継続支援事業の充実を図り、職業訓練や</w:t>
      </w:r>
      <w:r>
        <w:rPr>
          <w:rFonts w:hint="eastAsia"/>
          <w:color w:val="auto"/>
          <w:u w:val="none" w:color="auto"/>
        </w:rPr>
        <w:t>施設外就労の推進</w:t>
      </w:r>
      <w:r>
        <w:rPr>
          <w:rFonts w:hint="eastAsia"/>
          <w:strike w:val="0"/>
          <w:dstrike w:val="0"/>
          <w:color w:val="auto"/>
          <w:u w:val="none" w:color="auto"/>
        </w:rPr>
        <w:t>を図ります。</w:t>
      </w:r>
    </w:p>
    <w:p>
      <w:pPr>
        <w:pStyle w:val="0"/>
        <w:ind w:left="720" w:leftChars="200" w:hanging="240" w:hangingChars="100"/>
        <w:rPr>
          <w:rFonts w:hint="default"/>
          <w:color w:val="auto"/>
          <w:u w:val="none" w:color="auto"/>
        </w:rPr>
      </w:pPr>
    </w:p>
    <w:p>
      <w:pPr>
        <w:pStyle w:val="0"/>
        <w:ind w:left="720" w:leftChars="200" w:hanging="240" w:hangingChars="100"/>
        <w:rPr>
          <w:rFonts w:hint="default"/>
        </w:rPr>
      </w:pPr>
      <w:r>
        <w:rPr>
          <w:rFonts w:hint="eastAsia"/>
          <w:strike w:val="0"/>
          <w:dstrike w:val="0"/>
          <w:color w:val="auto"/>
          <w:u w:val="none" w:color="auto"/>
        </w:rPr>
        <w:t>○　働きづらさを感じている障害のある人の就労や社会参加の機会を確保するため、福祉分野と農業分野が連携した農福連携の取組により、農業に従事したい障害者のニーズの把握から、農作業体験、受け入れる農家とのマッチング、定着支援までの一貫した支援体制を構築し、施設外就労や一般就労につながる環境整備を図ります。</w:t>
      </w:r>
    </w:p>
    <w:p>
      <w:pPr>
        <w:pStyle w:val="0"/>
        <w:ind w:left="720" w:leftChars="200" w:hanging="240" w:hangingChars="100"/>
        <w:rPr>
          <w:rFonts w:hint="default"/>
        </w:rPr>
      </w:pPr>
    </w:p>
    <w:p>
      <w:pPr>
        <w:pStyle w:val="0"/>
        <w:ind w:left="720" w:leftChars="200" w:hanging="240" w:hangingChars="100"/>
        <w:rPr>
          <w:rFonts w:hint="default"/>
        </w:rPr>
      </w:pPr>
      <w:r>
        <w:rPr>
          <w:rFonts w:hint="eastAsia"/>
        </w:rPr>
        <w:t>○　障害者の法定雇用義務がある企業（従業員</w:t>
      </w:r>
      <w:r>
        <w:rPr>
          <w:rFonts w:hint="eastAsia"/>
          <w:color w:val="auto"/>
          <w:u w:val="none" w:color="auto"/>
        </w:rPr>
        <w:t>43.5</w:t>
      </w:r>
      <w:r>
        <w:rPr>
          <w:rFonts w:hint="eastAsia"/>
        </w:rPr>
        <w:t>人以上）を中心に訪問活動を行い、障害者雇用について啓発するとともに、職場実習受入れ企業の開拓を行うなど、障害のある人の雇用促進を図ります。</w:t>
      </w:r>
    </w:p>
    <w:p>
      <w:pPr>
        <w:pStyle w:val="0"/>
        <w:ind w:left="780" w:leftChars="225" w:hanging="240" w:hangingChars="100"/>
        <w:rPr>
          <w:rFonts w:hint="default"/>
        </w:rPr>
      </w:pPr>
    </w:p>
    <w:p>
      <w:pPr>
        <w:pStyle w:val="0"/>
        <w:ind w:left="720" w:leftChars="200" w:hanging="240" w:hangingChars="100"/>
        <w:rPr>
          <w:rFonts w:hint="default"/>
        </w:rPr>
      </w:pPr>
      <w:r>
        <w:rPr>
          <w:rFonts w:hint="eastAsia"/>
        </w:rPr>
        <w:t>○　企業等への就職を希望する人などを対象に、必要な知識・技能の習得や企業等での職業訓練を行う障害者委託訓練事業</w:t>
      </w:r>
      <w:r>
        <w:rPr>
          <w:rFonts w:hint="eastAsia"/>
          <w:vertAlign w:val="subscript"/>
        </w:rPr>
        <w:t>（※１）</w:t>
      </w:r>
      <w:r>
        <w:rPr>
          <w:rFonts w:hint="eastAsia"/>
        </w:rPr>
        <w:t>を積極的に実施して、障害のある人の一般就労を促進します。</w:t>
      </w:r>
    </w:p>
    <w:p>
      <w:pPr>
        <w:pStyle w:val="0"/>
        <w:ind w:left="540" w:leftChars="225" w:firstLine="0" w:firstLineChars="0"/>
        <w:rPr>
          <w:rFonts w:hint="default"/>
          <w:strike w:val="0"/>
          <w:dstrike w:val="1"/>
          <w:color w:val="FF0000"/>
        </w:rPr>
      </w:pPr>
    </w:p>
    <w:p>
      <w:pPr>
        <w:pStyle w:val="0"/>
        <w:ind w:left="780" w:leftChars="225" w:hanging="240" w:hangingChars="100"/>
        <w:rPr>
          <w:rFonts w:hint="default"/>
          <w:strike w:val="0"/>
          <w:dstrike w:val="1"/>
          <w:color w:val="auto"/>
          <w:u w:val="none" w:color="auto"/>
        </w:rPr>
      </w:pPr>
      <w:r>
        <w:rPr>
          <w:rFonts w:hint="eastAsia"/>
          <w:color w:val="auto"/>
          <w:u w:val="none" w:color="auto"/>
        </w:rPr>
        <w:t>○　障害のある人の就労の希望や障害特性等に応じて、ＩＣＴを活用した場所や時間を選ばない柔軟な働き方であるテレワークによる雇用促進を図ります。</w:t>
      </w:r>
    </w:p>
    <w:p>
      <w:pPr>
        <w:pStyle w:val="0"/>
        <w:ind w:left="780" w:leftChars="225" w:hanging="240" w:hangingChars="100"/>
        <w:rPr>
          <w:rFonts w:hint="default"/>
          <w:strike w:val="0"/>
          <w:dstrike w:val="1"/>
          <w:color w:val="auto"/>
          <w:u w:val="none" w:color="auto"/>
        </w:rPr>
      </w:pPr>
    </w:p>
    <w:p>
      <w:pPr>
        <w:pStyle w:val="0"/>
        <w:ind w:left="780" w:leftChars="225" w:hanging="240" w:hangingChars="100"/>
        <w:rPr>
          <w:rFonts w:hint="default"/>
          <w:strike w:val="0"/>
          <w:dstrike w:val="1"/>
          <w:color w:val="FF0000"/>
        </w:rPr>
      </w:pPr>
      <w:r>
        <w:rPr>
          <w:rFonts w:hint="eastAsia"/>
          <w:color w:val="auto"/>
          <w:u w:val="none" w:color="auto"/>
        </w:rPr>
        <w:t>○　企業等における週の労働時間が</w:t>
      </w:r>
      <w:r>
        <w:rPr>
          <w:rFonts w:hint="eastAsia"/>
          <w:color w:val="auto"/>
          <w:u w:val="none" w:color="auto"/>
        </w:rPr>
        <w:t>10</w:t>
      </w:r>
      <w:r>
        <w:rPr>
          <w:rFonts w:hint="eastAsia"/>
          <w:color w:val="auto"/>
          <w:u w:val="none" w:color="auto"/>
        </w:rPr>
        <w:t>時間以上</w:t>
      </w:r>
      <w:r>
        <w:rPr>
          <w:rFonts w:hint="eastAsia"/>
          <w:color w:val="auto"/>
          <w:u w:val="none" w:color="auto"/>
        </w:rPr>
        <w:t>20</w:t>
      </w:r>
      <w:r>
        <w:rPr>
          <w:rFonts w:hint="eastAsia"/>
          <w:color w:val="auto"/>
          <w:u w:val="none" w:color="auto"/>
        </w:rPr>
        <w:t>時間未満の勤務の導入を支援し、</w:t>
      </w:r>
      <w:r>
        <w:rPr>
          <w:rFonts w:hint="eastAsia"/>
          <w:color w:val="auto"/>
          <w:u w:val="none" w:color="auto"/>
        </w:rPr>
        <w:t>20</w:t>
      </w:r>
      <w:r>
        <w:rPr>
          <w:rFonts w:hint="eastAsia"/>
          <w:color w:val="auto"/>
          <w:u w:val="none" w:color="auto"/>
        </w:rPr>
        <w:t>時間以上の勤務への移行も見据え、フルタイムの勤務に自信が持てず、負担が大きいと感じている障害のある人の、働き方の選択肢の確保を図ります。</w:t>
      </w:r>
    </w:p>
    <w:p>
      <w:pPr>
        <w:pStyle w:val="0"/>
        <w:ind w:left="240" w:hanging="240" w:hangingChars="100"/>
        <w:rPr>
          <w:rFonts w:hint="default"/>
        </w:rPr>
      </w:pPr>
      <w:r>
        <w:rPr>
          <w:rFonts w:hint="eastAsia" w:asciiTheme="minorEastAsia" w:hAnsiTheme="minorEastAsia"/>
        </w:rPr>
        <w:t>(4)</w:t>
      </w:r>
      <w:r>
        <w:rPr>
          <w:rFonts w:hint="eastAsia" w:asciiTheme="minorEastAsia" w:hAnsiTheme="minorEastAsia"/>
        </w:rPr>
        <w:t>　</w:t>
      </w:r>
      <w:r>
        <w:rPr>
          <w:rFonts w:hint="eastAsia"/>
        </w:rPr>
        <w:t>活動指標</w:t>
      </w:r>
    </w:p>
    <w:p>
      <w:pPr>
        <w:pStyle w:val="0"/>
        <w:rPr>
          <w:rFonts w:hint="default"/>
        </w:rPr>
      </w:pPr>
    </w:p>
    <w:tbl>
      <w:tblPr>
        <w:tblStyle w:val="11"/>
        <w:tblW w:w="8640" w:type="dxa"/>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eastAsia"/>
                <w:color w:val="auto"/>
                <w:u w:val="none" w:color="auto"/>
              </w:rPr>
            </w:pPr>
            <w:r>
              <w:rPr>
                <w:rFonts w:hint="eastAsia" w:ascii="ＭＳ ゴシック" w:hAnsi="ＭＳ ゴシック" w:eastAsia="ＭＳ ゴシック"/>
                <w:color w:val="auto"/>
                <w:u w:val="none" w:color="auto"/>
              </w:rPr>
              <w:t>①令和５年度において、就労移行支援事業及び就労継続支援事業の利用から一般就労へ移行する人の数</w:t>
            </w:r>
          </w:p>
        </w:tc>
        <w:tc>
          <w:tcPr>
            <w:tcW w:w="1800" w:type="dxa"/>
            <w:vAlign w:val="center"/>
          </w:tcPr>
          <w:p>
            <w:pPr>
              <w:pStyle w:val="0"/>
              <w:rPr>
                <w:rFonts w:hint="eastAsia"/>
                <w:color w:val="auto"/>
                <w:u w:val="none" w:color="auto"/>
              </w:rPr>
            </w:pPr>
            <w:r>
              <w:rPr>
                <w:rFonts w:hint="eastAsia"/>
                <w:color w:val="auto"/>
                <w:u w:val="none" w:color="auto"/>
              </w:rPr>
              <w:t>　</w:t>
            </w:r>
            <w:r>
              <w:rPr>
                <w:rFonts w:hint="eastAsia" w:ascii="ＭＳ ゴシック" w:hAnsi="ＭＳ ゴシック" w:eastAsia="ＭＳ ゴシック"/>
                <w:b w:val="1"/>
                <w:color w:val="auto"/>
                <w:sz w:val="28"/>
                <w:u w:val="none" w:color="auto"/>
              </w:rPr>
              <w:t>１００人</w:t>
            </w:r>
          </w:p>
        </w:tc>
      </w:tr>
      <w:tr>
        <w:trPr>
          <w:trHeight w:val="1080" w:hRule="atLeast"/>
        </w:trPr>
        <w:tc>
          <w:tcPr>
            <w:tcW w:w="6840" w:type="dxa"/>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②令和５年度において、福祉施設から一般就労へ移行する人のうち、職業訓練を受講する人の数</w:t>
            </w:r>
          </w:p>
        </w:tc>
        <w:tc>
          <w:tcPr>
            <w:tcW w:w="1800" w:type="dxa"/>
            <w:vAlign w:val="center"/>
          </w:tcPr>
          <w:p>
            <w:pPr>
              <w:pStyle w:val="0"/>
              <w:wordWrap w:val="0"/>
              <w:jc w:val="right"/>
              <w:rPr>
                <w:rFonts w:hint="default" w:ascii="ＭＳ ゴシック" w:hAnsi="ＭＳ ゴシック" w:eastAsia="ＭＳ ゴシック"/>
                <w:b w:val="1"/>
                <w:color w:val="auto"/>
                <w:highlight w:val="none"/>
                <w:u w:val="none" w:color="auto"/>
              </w:rPr>
            </w:pPr>
            <w:r>
              <w:rPr>
                <w:rFonts w:hint="eastAsia" w:ascii="ＭＳ ゴシック" w:hAnsi="ＭＳ ゴシック" w:eastAsia="ＭＳ ゴシック"/>
                <w:b w:val="1"/>
                <w:color w:val="auto"/>
                <w:sz w:val="28"/>
                <w:highlight w:val="none"/>
                <w:u w:val="none" w:color="auto"/>
              </w:rPr>
              <w:t>３４人</w:t>
            </w:r>
            <w:r>
              <w:rPr>
                <w:rFonts w:hint="eastAsia" w:ascii="ＭＳ ゴシック" w:hAnsi="ＭＳ ゴシック" w:eastAsia="ＭＳ ゴシック"/>
                <w:b w:val="1"/>
                <w:color w:val="auto"/>
                <w:highlight w:val="none"/>
                <w:u w:val="none" w:color="auto"/>
              </w:rPr>
              <w:t>　</w:t>
            </w:r>
          </w:p>
        </w:tc>
      </w:tr>
      <w:tr>
        <w:trPr>
          <w:trHeight w:val="1080" w:hRule="atLeast"/>
        </w:trPr>
        <w:tc>
          <w:tcPr>
            <w:tcW w:w="6840" w:type="dxa"/>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③令和５年度において、福祉施設の利用者のうち、公共職業安定所へ誘導する人の数</w:t>
            </w:r>
          </w:p>
        </w:tc>
        <w:tc>
          <w:tcPr>
            <w:tcW w:w="1800" w:type="dxa"/>
            <w:vAlign w:val="center"/>
          </w:tcPr>
          <w:p>
            <w:pPr>
              <w:pStyle w:val="0"/>
              <w:wordWrap w:val="0"/>
              <w:jc w:val="right"/>
              <w:rPr>
                <w:rFonts w:hint="default" w:ascii="ＭＳ ゴシック" w:hAnsi="ＭＳ ゴシック" w:eastAsia="ＭＳ ゴシック"/>
                <w:b w:val="1"/>
                <w:color w:val="auto"/>
                <w:highlight w:val="none"/>
                <w:u w:val="none" w:color="auto"/>
              </w:rPr>
            </w:pPr>
            <w:r>
              <w:rPr>
                <w:rFonts w:hint="eastAsia" w:ascii="ＭＳ ゴシック" w:hAnsi="ＭＳ ゴシック" w:eastAsia="ＭＳ ゴシック"/>
                <w:b w:val="1"/>
                <w:color w:val="auto"/>
                <w:sz w:val="28"/>
                <w:highlight w:val="none"/>
                <w:u w:val="none" w:color="auto"/>
              </w:rPr>
              <w:t>２５６人</w:t>
            </w:r>
            <w:r>
              <w:rPr>
                <w:rFonts w:hint="eastAsia" w:ascii="ＭＳ ゴシック" w:hAnsi="ＭＳ ゴシック" w:eastAsia="ＭＳ ゴシック"/>
                <w:b w:val="1"/>
                <w:color w:val="auto"/>
                <w:highlight w:val="none"/>
                <w:u w:val="none" w:color="auto"/>
              </w:rPr>
              <w:t>　</w:t>
            </w:r>
          </w:p>
        </w:tc>
      </w:tr>
      <w:tr>
        <w:trPr>
          <w:trHeight w:val="1080" w:hRule="atLeast"/>
        </w:trPr>
        <w:tc>
          <w:tcPr>
            <w:tcW w:w="6840" w:type="dxa"/>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④令和５年度において、福祉施設から一般就労へ移行する人のうち、障害者就業・生活支援センター</w:t>
            </w:r>
            <w:r>
              <w:rPr>
                <w:rFonts w:hint="eastAsia"/>
                <w:color w:val="auto"/>
                <w:u w:val="none" w:color="auto"/>
                <w:vertAlign w:val="subscript"/>
              </w:rPr>
              <w:t>（※</w:t>
            </w:r>
            <w:r>
              <w:rPr>
                <w:rFonts w:hint="eastAsia"/>
                <w:color w:val="auto"/>
                <w:u w:val="none" w:color="auto"/>
                <w:vertAlign w:val="subscript"/>
              </w:rPr>
              <w:t>2</w:t>
            </w:r>
            <w:r>
              <w:rPr>
                <w:rFonts w:hint="eastAsia"/>
                <w:color w:val="auto"/>
                <w:u w:val="none" w:color="auto"/>
                <w:vertAlign w:val="subscript"/>
              </w:rPr>
              <w:t>）</w:t>
            </w:r>
            <w:r>
              <w:rPr>
                <w:rFonts w:hint="eastAsia" w:ascii="ＭＳ ゴシック" w:hAnsi="ＭＳ ゴシック" w:eastAsia="ＭＳ ゴシック"/>
                <w:color w:val="auto"/>
                <w:u w:val="none" w:color="auto"/>
              </w:rPr>
              <w:t>へ誘導する人の数</w:t>
            </w:r>
          </w:p>
        </w:tc>
        <w:tc>
          <w:tcPr>
            <w:tcW w:w="1800" w:type="dxa"/>
            <w:vAlign w:val="center"/>
          </w:tcPr>
          <w:p>
            <w:pPr>
              <w:pStyle w:val="0"/>
              <w:wordWrap w:val="0"/>
              <w:jc w:val="center"/>
              <w:rPr>
                <w:rFonts w:hint="default" w:ascii="ＭＳ ゴシック" w:hAnsi="ＭＳ ゴシック" w:eastAsia="ＭＳ ゴシック"/>
                <w:b w:val="1"/>
                <w:color w:val="auto"/>
                <w:highlight w:val="none"/>
                <w:u w:val="none" w:color="auto"/>
              </w:rPr>
            </w:pPr>
            <w:r>
              <w:rPr>
                <w:rFonts w:hint="eastAsia" w:ascii="ＭＳ ゴシック" w:hAnsi="ＭＳ ゴシック" w:eastAsia="ＭＳ ゴシック"/>
                <w:b w:val="1"/>
                <w:color w:val="auto"/>
                <w:sz w:val="28"/>
                <w:highlight w:val="none"/>
                <w:u w:val="none" w:color="auto"/>
              </w:rPr>
              <w:t xml:space="preserve">  </w:t>
            </w:r>
            <w:r>
              <w:rPr>
                <w:rFonts w:hint="eastAsia" w:ascii="ＭＳ ゴシック" w:hAnsi="ＭＳ ゴシック" w:eastAsia="ＭＳ ゴシック"/>
                <w:b w:val="1"/>
                <w:color w:val="auto"/>
                <w:sz w:val="28"/>
                <w:highlight w:val="none"/>
                <w:u w:val="none" w:color="auto"/>
              </w:rPr>
              <w:t>４６人</w:t>
            </w:r>
          </w:p>
        </w:tc>
      </w:tr>
      <w:tr>
        <w:trPr>
          <w:trHeight w:val="1080" w:hRule="atLeast"/>
        </w:trPr>
        <w:tc>
          <w:tcPr>
            <w:tcW w:w="6840" w:type="dxa"/>
            <w:vAlign w:val="center"/>
          </w:tcPr>
          <w:p>
            <w:pPr>
              <w:pStyle w:val="0"/>
              <w:rPr>
                <w:rFonts w:hint="default"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⑤令和５年度において、福祉施設の利用者のうち、公共職業安定所の支援を受けて就職する人の数</w:t>
            </w:r>
          </w:p>
        </w:tc>
        <w:tc>
          <w:tcPr>
            <w:tcW w:w="1800" w:type="dxa"/>
            <w:vAlign w:val="center"/>
          </w:tcPr>
          <w:p>
            <w:pPr>
              <w:pStyle w:val="0"/>
              <w:wordWrap w:val="0"/>
              <w:jc w:val="right"/>
              <w:rPr>
                <w:rFonts w:hint="default" w:ascii="ＭＳ ゴシック" w:hAnsi="ＭＳ ゴシック" w:eastAsia="ＭＳ ゴシック"/>
                <w:b w:val="1"/>
                <w:color w:val="auto"/>
                <w:highlight w:val="none"/>
                <w:u w:val="none" w:color="auto"/>
              </w:rPr>
            </w:pPr>
            <w:r>
              <w:rPr>
                <w:rFonts w:hint="eastAsia" w:ascii="ＭＳ ゴシック" w:hAnsi="ＭＳ ゴシック" w:eastAsia="ＭＳ ゴシック"/>
                <w:b w:val="1"/>
                <w:color w:val="auto"/>
                <w:sz w:val="28"/>
                <w:highlight w:val="none"/>
                <w:u w:val="none" w:color="auto"/>
              </w:rPr>
              <w:t>１００人</w:t>
            </w:r>
            <w:r>
              <w:rPr>
                <w:rFonts w:hint="eastAsia" w:ascii="ＭＳ ゴシック" w:hAnsi="ＭＳ ゴシック" w:eastAsia="ＭＳ ゴシック"/>
                <w:b w:val="1"/>
                <w:color w:val="auto"/>
                <w:highlight w:val="none"/>
                <w:u w:val="none" w:color="auto"/>
              </w:rPr>
              <w:t>　</w:t>
            </w:r>
          </w:p>
        </w:tc>
      </w:tr>
    </w:tbl>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tbl>
      <w:tblPr>
        <w:tblStyle w:val="27"/>
        <w:tblW w:w="9639" w:type="dxa"/>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tcBorders>
              <w:top w:val="threeDEngrave" w:color="auto" w:sz="18" w:space="0"/>
              <w:left w:val="nil"/>
              <w:bottom w:val="nil"/>
              <w:right w:val="nil"/>
              <w:tl2br w:val="none" w:color="auto" w:sz="0" w:space="0"/>
              <w:tr2bl w:val="none" w:color="auto" w:sz="0" w:space="0"/>
            </w:tcBorders>
            <w:vAlign w:val="top"/>
          </w:tcPr>
          <w:p>
            <w:pPr>
              <w:pStyle w:val="0"/>
              <w:rPr>
                <w:rFonts w:hint="default" w:ascii="Century" w:hAnsi="Century" w:eastAsia="ＭＳ 明朝"/>
                <w:sz w:val="21"/>
              </w:rPr>
            </w:pPr>
          </w:p>
          <w:p>
            <w:pPr>
              <w:pStyle w:val="0"/>
              <w:rPr>
                <w:rFonts w:hint="default" w:ascii="Century" w:hAnsi="Century" w:eastAsia="ＭＳ 明朝"/>
                <w:sz w:val="21"/>
              </w:rPr>
            </w:pPr>
            <w:r>
              <w:rPr>
                <w:rFonts w:hint="eastAsia" w:ascii="Century" w:hAnsi="Century" w:eastAsia="ＭＳ 明朝"/>
                <w:sz w:val="21"/>
              </w:rPr>
              <w:t>※１　障害者委託訓練事業</w:t>
            </w:r>
          </w:p>
          <w:p>
            <w:pPr>
              <w:pStyle w:val="0"/>
              <w:ind w:left="422" w:leftChars="176" w:firstLine="204" w:firstLineChars="97"/>
              <w:rPr>
                <w:rFonts w:hint="default" w:ascii="Century" w:hAnsi="Century" w:eastAsia="ＭＳ 明朝"/>
                <w:sz w:val="21"/>
              </w:rPr>
            </w:pPr>
            <w:r>
              <w:rPr>
                <w:rFonts w:hint="eastAsia" w:ascii="Century" w:hAnsi="Century" w:eastAsia="ＭＳ 明朝"/>
                <w:sz w:val="21"/>
              </w:rPr>
              <w:t>就職に必要な知識や技能を習得するため、企業や民間教育訓練機関等において、</w:t>
            </w:r>
            <w:r>
              <w:rPr>
                <w:rFonts w:hint="eastAsia" w:ascii="ＭＳ 明朝" w:hAnsi="ＭＳ 明朝" w:eastAsia="ＭＳ 明朝"/>
                <w:sz w:val="21"/>
              </w:rPr>
              <w:t>OA</w:t>
            </w:r>
            <w:r>
              <w:rPr>
                <w:rFonts w:hint="eastAsia" w:ascii="ＭＳ 明朝" w:hAnsi="ＭＳ 明朝" w:eastAsia="ＭＳ 明朝"/>
                <w:sz w:val="21"/>
              </w:rPr>
              <w:t>事務</w:t>
            </w:r>
            <w:r>
              <w:rPr>
                <w:rFonts w:hint="eastAsia" w:ascii="Century" w:hAnsi="Century" w:eastAsia="ＭＳ 明朝"/>
                <w:sz w:val="21"/>
              </w:rPr>
              <w:t>講習や職場体験などの職業訓練を行う事業をいいます。</w:t>
            </w:r>
          </w:p>
          <w:p>
            <w:pPr>
              <w:pStyle w:val="0"/>
              <w:rPr>
                <w:rFonts w:hint="default" w:ascii="Century" w:hAnsi="Century" w:eastAsia="ＭＳ 明朝"/>
                <w:sz w:val="21"/>
              </w:rPr>
            </w:pPr>
          </w:p>
          <w:p>
            <w:pPr>
              <w:pStyle w:val="0"/>
              <w:rPr>
                <w:rFonts w:hint="default" w:ascii="Century" w:hAnsi="Century" w:eastAsia="ＭＳ 明朝"/>
                <w:sz w:val="21"/>
              </w:rPr>
            </w:pPr>
            <w:r>
              <w:rPr>
                <w:rFonts w:hint="eastAsia" w:ascii="Century" w:hAnsi="Century" w:eastAsia="ＭＳ 明朝"/>
                <w:sz w:val="21"/>
              </w:rPr>
              <w:t>※２　障害者就業・生活支援センター</w:t>
            </w:r>
          </w:p>
          <w:p>
            <w:pPr>
              <w:pStyle w:val="0"/>
              <w:ind w:left="422" w:leftChars="176" w:firstLine="204" w:firstLineChars="97"/>
              <w:rPr>
                <w:rFonts w:hint="default" w:ascii="Century" w:hAnsi="Century" w:eastAsia="ＭＳ 明朝"/>
                <w:sz w:val="21"/>
              </w:rPr>
            </w:pPr>
            <w:r>
              <w:rPr>
                <w:rFonts w:hint="eastAsia" w:ascii="Century" w:hAnsi="Century" w:eastAsia="ＭＳ 明朝"/>
                <w:sz w:val="21"/>
              </w:rPr>
              <w:t>障害のある人が就労し、経済的に自立していくため、身近な地域で就職面の支援と生活面の支援を一体的に行う機関です。</w:t>
            </w:r>
          </w:p>
        </w:tc>
      </w:tr>
    </w:tbl>
    <w:p>
      <w:pPr>
        <w:pStyle w:val="0"/>
        <w:rPr>
          <w:rFonts w:hint="default" w:ascii="ＭＳ ゴシック" w:hAnsi="ＭＳ ゴシック" w:eastAsia="ＭＳ ゴシック"/>
          <w:color w:val="FF0000"/>
          <w:sz w:val="28"/>
          <w:u w:val="single" w:color="auto"/>
        </w:rPr>
      </w:pPr>
      <w:r>
        <w:rPr>
          <w:rFonts w:hint="eastAsia"/>
        </w:rPr>
        <w:br w:type="page"/>
      </w:r>
    </w:p>
    <w:p>
      <w:pPr>
        <w:pStyle w:val="0"/>
        <w:rPr>
          <w:rFonts w:hint="default" w:asciiTheme="minorEastAsia" w:hAnsiTheme="minorEastAsia"/>
          <w:color w:val="auto"/>
          <w:u w:val="none" w:color="auto"/>
        </w:rPr>
      </w:pPr>
      <w:r>
        <w:rPr>
          <w:rFonts w:hint="eastAsia" w:ascii="ＭＳ ゴシック" w:hAnsi="ＭＳ ゴシック" w:eastAsia="ＭＳ ゴシック"/>
          <w:color w:val="auto"/>
          <w:sz w:val="28"/>
          <w:u w:val="none" w:color="auto"/>
        </w:rPr>
        <w:t>５　相談支援体制の充実・強化</w:t>
      </w:r>
    </w:p>
    <w:p>
      <w:pPr>
        <w:pStyle w:val="0"/>
        <w:rPr>
          <w:rFonts w:hint="default" w:ascii="ＭＳ ゴシック" w:hAnsi="ＭＳ ゴシック" w:eastAsia="ＭＳ ゴシック"/>
          <w:color w:val="auto"/>
          <w:sz w:val="24"/>
          <w:u w:val="none" w:color="auto"/>
        </w:rPr>
      </w:pP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62"/>
      </w:tblGrid>
      <w:tr>
        <w:trPr>
          <w:trHeight w:val="737" w:hRule="atLeast"/>
        </w:trPr>
        <w:tc>
          <w:tcPr>
            <w:tcW w:w="88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相談支援体制の充実・強化に向けた体制を確保する</w:t>
            </w:r>
          </w:p>
        </w:tc>
      </w:tr>
    </w:tbl>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1</w:t>
      </w:r>
      <w:r>
        <w:rPr>
          <w:rFonts w:hint="eastAsia" w:asciiTheme="minorEastAsia" w:hAnsiTheme="minorEastAsia"/>
          <w:color w:val="auto"/>
          <w:u w:val="none" w:color="auto"/>
        </w:rPr>
        <w:t>）これまでの実績</w:t>
      </w:r>
    </w:p>
    <w:p>
      <w:pPr>
        <w:pStyle w:val="0"/>
        <w:ind w:left="360" w:hanging="360" w:hangingChars="150"/>
        <w:rPr>
          <w:rFonts w:hint="default" w:asciiTheme="minorEastAsia" w:hAnsiTheme="minorEastAsia"/>
          <w:color w:val="auto"/>
          <w:u w:val="none" w:color="auto"/>
        </w:rPr>
      </w:pPr>
      <w:r>
        <w:rPr>
          <w:rFonts w:hint="eastAsia" w:asciiTheme="minorEastAsia" w:hAnsiTheme="minorEastAsia"/>
          <w:color w:val="auto"/>
          <w:u w:val="none" w:color="auto"/>
        </w:rPr>
        <w:t>　　</w:t>
      </w:r>
      <w:r>
        <w:rPr>
          <w:rFonts w:hint="eastAsia" w:asciiTheme="minorEastAsia" w:hAnsiTheme="minorEastAsia"/>
          <w:color w:val="auto"/>
          <w:u w:val="none" w:color="auto"/>
        </w:rPr>
        <w:t xml:space="preserve"> </w:t>
      </w:r>
      <w:r>
        <w:rPr>
          <w:rFonts w:hint="eastAsia" w:asciiTheme="minorEastAsia" w:hAnsiTheme="minorEastAsia"/>
          <w:color w:val="auto"/>
          <w:u w:val="none" w:color="auto"/>
        </w:rPr>
        <w:t>基幹相談支援センターは、平成</w:t>
      </w:r>
      <w:r>
        <w:rPr>
          <w:rFonts w:hint="eastAsia" w:asciiTheme="minorEastAsia" w:hAnsiTheme="minorEastAsia"/>
          <w:color w:val="auto"/>
          <w:u w:val="none" w:color="auto"/>
        </w:rPr>
        <w:t>31</w:t>
      </w:r>
      <w:r>
        <w:rPr>
          <w:rFonts w:hint="eastAsia" w:asciiTheme="minorEastAsia" w:hAnsiTheme="minorEastAsia"/>
          <w:color w:val="auto"/>
          <w:u w:val="none" w:color="auto"/>
        </w:rPr>
        <w:t>年度に３ヶ所（安芸圏域１、中央西圏域２）設置され、令和２年</w:t>
      </w:r>
      <w:r>
        <w:rPr>
          <w:rFonts w:hint="eastAsia" w:asciiTheme="minorEastAsia" w:hAnsiTheme="minorEastAsia"/>
          <w:color w:val="auto"/>
          <w:u w:val="none" w:color="auto"/>
        </w:rPr>
        <w:t>11</w:t>
      </w:r>
      <w:r>
        <w:rPr>
          <w:rFonts w:hint="eastAsia" w:asciiTheme="minorEastAsia" w:hAnsiTheme="minorEastAsia"/>
          <w:color w:val="auto"/>
          <w:u w:val="none" w:color="auto"/>
        </w:rPr>
        <w:t>月末現在、４ヶ所（安芸圏域１、中央西圏域３）設置されています。</w:t>
      </w:r>
    </w:p>
    <w:p>
      <w:pPr>
        <w:pStyle w:val="0"/>
        <w:ind w:left="360" w:hanging="360" w:hangingChars="150"/>
        <w:rPr>
          <w:rFonts w:hint="default" w:asciiTheme="minorEastAsia" w:hAnsiTheme="minorEastAsia"/>
          <w:color w:val="auto"/>
          <w:u w:val="none" w:color="auto"/>
        </w:rPr>
      </w:pPr>
      <w:r>
        <w:rPr>
          <w:rFonts w:hint="eastAsia" w:asciiTheme="minorEastAsia" w:hAnsiTheme="minorEastAsia"/>
          <w:color w:val="auto"/>
          <w:u w:val="none" w:color="auto"/>
        </w:rPr>
        <w:t>　　</w:t>
      </w:r>
      <w:r>
        <w:rPr>
          <w:rFonts w:hint="eastAsia" w:asciiTheme="minorEastAsia" w:hAnsiTheme="minorEastAsia"/>
          <w:color w:val="auto"/>
          <w:u w:val="none" w:color="auto"/>
        </w:rPr>
        <w:t xml:space="preserve"> </w:t>
      </w:r>
      <w:r>
        <w:rPr>
          <w:rFonts w:hint="eastAsia" w:asciiTheme="minorEastAsia" w:hAnsiTheme="minorEastAsia"/>
          <w:color w:val="auto"/>
          <w:u w:val="none" w:color="auto"/>
        </w:rPr>
        <w:t>主任相談支援専門員は、平成</w:t>
      </w:r>
      <w:r>
        <w:rPr>
          <w:rFonts w:hint="eastAsia" w:asciiTheme="minorEastAsia" w:hAnsiTheme="minorEastAsia"/>
          <w:color w:val="auto"/>
          <w:u w:val="none" w:color="auto"/>
        </w:rPr>
        <w:t>30</w:t>
      </w:r>
      <w:r>
        <w:rPr>
          <w:rFonts w:hint="eastAsia" w:asciiTheme="minorEastAsia" w:hAnsiTheme="minorEastAsia"/>
          <w:color w:val="auto"/>
          <w:u w:val="none" w:color="auto"/>
        </w:rPr>
        <w:t>年度から国による養成研修が実施され、４名（安芸圏域１、中央東圏域１、中央西圏域１、幡多圏域１）の主任相談支援専門員が配置されています。</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　</w:t>
      </w:r>
      <w:r>
        <w:rPr>
          <w:rFonts w:hint="eastAsia" w:asciiTheme="minorEastAsia" w:hAnsiTheme="minorEastAsia"/>
          <w:color w:val="auto"/>
          <w:u w:val="none" w:color="auto"/>
        </w:rPr>
        <w:t xml:space="preserve"> </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xml:space="preserve">(2) </w:t>
      </w:r>
      <w:r>
        <w:rPr>
          <w:rFonts w:hint="eastAsia" w:asciiTheme="minorEastAsia" w:hAnsiTheme="minorEastAsia"/>
          <w:color w:val="auto"/>
          <w:u w:val="none" w:color="auto"/>
        </w:rPr>
        <w:t>目標設定の考え方等</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地域の相談支援体制を充実させる機能として、次のものが挙げられます。</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・総合的及び専門的な相談支援の実施</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・地域の相談支援の強化の取り組み（相談支援事業者への助言、相談機関の連携等）</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・地域移行や地域定着の促進</w:t>
      </w:r>
    </w:p>
    <w:p>
      <w:pPr>
        <w:pStyle w:val="0"/>
        <w:ind w:firstLine="120" w:firstLineChars="50"/>
        <w:rPr>
          <w:rFonts w:hint="default" w:asciiTheme="minorEastAsia" w:hAnsiTheme="minorEastAsia"/>
          <w:color w:val="auto"/>
          <w:u w:val="none" w:color="auto"/>
        </w:rPr>
      </w:pPr>
      <w:r>
        <w:rPr>
          <w:rFonts w:hint="eastAsia" w:asciiTheme="minorEastAsia" w:hAnsiTheme="minorEastAsia"/>
          <w:color w:val="auto"/>
          <w:u w:val="none" w:color="auto"/>
        </w:rPr>
        <w:t>　　・障害者の権利擁護及び虐待防止の推進</w:t>
      </w:r>
    </w:p>
    <w:p>
      <w:pPr>
        <w:pStyle w:val="0"/>
        <w:ind w:left="240" w:leftChars="100"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これらの機能を地域の実情に応じた創意工夫により整備し、障害のある人の生活を地</w:t>
      </w:r>
    </w:p>
    <w:p>
      <w:pPr>
        <w:pStyle w:val="0"/>
        <w:ind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域全体で支える相談支援体制を各市町村または圏域で整備することが求められており、</w:t>
      </w:r>
    </w:p>
    <w:p>
      <w:pPr>
        <w:pStyle w:val="0"/>
        <w:ind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これらの機能を担うものが基幹相談支援センターといいます。</w:t>
      </w:r>
    </w:p>
    <w:p>
      <w:pPr>
        <w:pStyle w:val="0"/>
        <w:ind w:firstLine="120" w:firstLineChars="50"/>
        <w:rPr>
          <w:rFonts w:hint="default" w:asciiTheme="minorEastAsia" w:hAnsiTheme="minorEastAsia"/>
          <w:color w:val="auto"/>
          <w:u w:val="none" w:color="auto"/>
        </w:rPr>
      </w:pPr>
    </w:p>
    <w:p>
      <w:pPr>
        <w:pStyle w:val="0"/>
        <w:ind w:left="360" w:leftChars="5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　　基幹相談支援センターを担う人材として、一定の実務経験と専門的な能力を持つ主任相談支援専門員の育成が重要となります。</w:t>
      </w:r>
    </w:p>
    <w:p>
      <w:pPr>
        <w:pStyle w:val="0"/>
        <w:ind w:left="360" w:leftChars="150" w:firstLine="0" w:firstLineChars="0"/>
        <w:rPr>
          <w:rFonts w:hint="default" w:asciiTheme="minorEastAsia" w:hAnsiTheme="minorEastAsia"/>
          <w:color w:val="auto"/>
          <w:u w:val="none" w:color="auto"/>
        </w:rPr>
      </w:pPr>
      <w:r>
        <w:rPr>
          <w:rFonts w:hint="eastAsia" w:asciiTheme="minorEastAsia" w:hAnsiTheme="minorEastAsia"/>
          <w:color w:val="auto"/>
          <w:u w:val="none" w:color="auto"/>
        </w:rPr>
        <w:t>　市町村における基幹相談支援センターの設置を積極的に働きかけながら、主任相談支援専門員の養成に取り組みます。</w:t>
      </w:r>
    </w:p>
    <w:p>
      <w:pPr>
        <w:pStyle w:val="0"/>
        <w:ind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　</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3</w:t>
      </w:r>
      <w:r>
        <w:rPr>
          <w:rFonts w:hint="eastAsia" w:asciiTheme="minorEastAsia" w:hAnsiTheme="minorEastAsia"/>
          <w:color w:val="auto"/>
          <w:u w:val="none" w:color="auto"/>
        </w:rPr>
        <w:t>）目標達成への取り組み</w:t>
      </w:r>
    </w:p>
    <w:p>
      <w:pPr>
        <w:pStyle w:val="0"/>
        <w:ind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○令和３年度から主任相談支援専門員研修を実施し、人材育成の強化を図ります。</w:t>
      </w:r>
    </w:p>
    <w:p>
      <w:pPr>
        <w:pStyle w:val="0"/>
        <w:ind w:firstLine="600" w:firstLineChars="250"/>
        <w:rPr>
          <w:rFonts w:hint="default" w:asciiTheme="minorEastAsia" w:hAnsiTheme="minorEastAsia"/>
          <w:color w:val="auto"/>
          <w:u w:val="none" w:color="auto"/>
        </w:rPr>
      </w:pPr>
    </w:p>
    <w:p>
      <w:pPr>
        <w:pStyle w:val="0"/>
        <w:ind w:firstLine="360" w:firstLineChars="150"/>
        <w:rPr>
          <w:rFonts w:hint="default" w:asciiTheme="minorEastAsia" w:hAnsiTheme="minorEastAsia"/>
          <w:color w:val="auto"/>
          <w:u w:val="none" w:color="auto"/>
        </w:rPr>
      </w:pPr>
      <w:r>
        <w:rPr>
          <w:rFonts w:hint="eastAsia" w:asciiTheme="minorEastAsia" w:hAnsiTheme="minorEastAsia"/>
          <w:color w:val="auto"/>
          <w:u w:val="none" w:color="auto"/>
        </w:rPr>
        <w:t>○高知県自立支援協議会及び相談支援アドバイザーと連携しながら、既存の基幹相談支</w:t>
      </w:r>
    </w:p>
    <w:p>
      <w:pPr>
        <w:pStyle w:val="0"/>
        <w:ind w:firstLine="600" w:firstLineChars="250"/>
        <w:rPr>
          <w:rFonts w:hint="default" w:asciiTheme="minorEastAsia" w:hAnsiTheme="minorEastAsia"/>
          <w:color w:val="auto"/>
          <w:u w:val="none" w:color="auto"/>
        </w:rPr>
      </w:pPr>
      <w:r>
        <w:rPr>
          <w:rFonts w:hint="eastAsia" w:asciiTheme="minorEastAsia" w:hAnsiTheme="minorEastAsia"/>
          <w:color w:val="auto"/>
          <w:u w:val="none" w:color="auto"/>
        </w:rPr>
        <w:t>援センターの検証及びモデル化に取り組み、未設置の市町村に対する助言等を行いま</w:t>
      </w:r>
    </w:p>
    <w:p>
      <w:pPr>
        <w:pStyle w:val="0"/>
        <w:ind w:firstLine="600" w:firstLineChars="250"/>
        <w:rPr>
          <w:rFonts w:hint="default" w:asciiTheme="minorEastAsia" w:hAnsiTheme="minorEastAsia"/>
          <w:color w:val="auto"/>
          <w:u w:val="none" w:color="auto"/>
        </w:rPr>
      </w:pPr>
      <w:r>
        <w:rPr>
          <w:rFonts w:hint="eastAsia" w:asciiTheme="minorEastAsia" w:hAnsiTheme="minorEastAsia"/>
          <w:color w:val="auto"/>
          <w:u w:val="none" w:color="auto"/>
        </w:rPr>
        <w:t>す。</w:t>
      </w:r>
    </w:p>
    <w:p>
      <w:pPr>
        <w:pStyle w:val="0"/>
        <w:rPr>
          <w:rFonts w:hint="default" w:asciiTheme="minorEastAsia" w:hAnsiTheme="minorEastAsia"/>
          <w:color w:val="FF0000"/>
          <w:u w:val="single" w:color="auto"/>
        </w:rPr>
      </w:pPr>
    </w:p>
    <w:p>
      <w:pPr>
        <w:pStyle w:val="0"/>
        <w:ind w:firstLine="120" w:firstLineChars="50"/>
        <w:rPr>
          <w:rFonts w:hint="default" w:asciiTheme="minorEastAsia" w:hAnsiTheme="minorEastAsia"/>
          <w:color w:val="FF0000"/>
          <w:u w:val="single" w:color="auto"/>
        </w:rPr>
      </w:pPr>
      <w:r>
        <w:rPr>
          <w:rFonts w:hint="eastAsia" w:asciiTheme="minorEastAsia" w:hAnsiTheme="minorEastAsia"/>
          <w:color w:val="FF0000"/>
        </w:rPr>
        <w:t>　</w:t>
      </w:r>
    </w:p>
    <w:p>
      <w:pPr>
        <w:pStyle w:val="0"/>
        <w:ind w:firstLine="600" w:firstLineChars="250"/>
        <w:rPr>
          <w:rFonts w:hint="default" w:asciiTheme="minorEastAsia" w:hAnsiTheme="minorEastAsia"/>
          <w:color w:val="FF0000"/>
        </w:rPr>
      </w:pPr>
    </w:p>
    <w:p>
      <w:pPr>
        <w:pStyle w:val="0"/>
        <w:rPr>
          <w:rFonts w:hint="default" w:asciiTheme="minorEastAsia" w:hAnsiTheme="minorEastAsia"/>
          <w:color w:val="FF0000"/>
          <w:u w:val="single" w:color="auto"/>
        </w:rPr>
      </w:pPr>
      <w:r>
        <w:rPr>
          <w:rFonts w:hint="eastAsia"/>
        </w:rPr>
        <w:br w:type="page"/>
      </w:r>
    </w:p>
    <w:p>
      <w:pPr>
        <w:pStyle w:val="0"/>
        <w:rPr>
          <w:rFonts w:hint="default" w:asciiTheme="minorEastAsia" w:hAnsiTheme="minorEastAsia"/>
          <w:color w:val="auto"/>
          <w:u w:val="none" w:color="auto"/>
        </w:rPr>
      </w:pPr>
      <w:r>
        <w:rPr>
          <w:rFonts w:hint="eastAsia" w:ascii="ＭＳ ゴシック" w:hAnsi="ＭＳ ゴシック" w:eastAsia="ＭＳ ゴシック"/>
          <w:color w:val="auto"/>
          <w:sz w:val="28"/>
          <w:u w:val="none" w:color="auto"/>
        </w:rPr>
        <w:t>６　障害福祉サービス等の質を向上するための取組に係る体制の構築</w:t>
      </w:r>
    </w:p>
    <w:p>
      <w:pPr>
        <w:pStyle w:val="0"/>
        <w:rPr>
          <w:rFonts w:hint="default" w:asciiTheme="minorEastAsia" w:hAnsiTheme="minorEastAsia"/>
          <w:color w:val="auto"/>
          <w:u w:val="none" w:color="auto"/>
        </w:rPr>
      </w:pPr>
    </w:p>
    <w:tbl>
      <w:tblPr>
        <w:tblStyle w:val="11"/>
        <w:tblW w:w="0" w:type="auto"/>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46"/>
      </w:tblGrid>
      <w:tr>
        <w:trPr>
          <w:trHeight w:val="870" w:hRule="atLeast"/>
        </w:trPr>
        <w:tc>
          <w:tcPr>
            <w:tcW w:w="9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b w:val="0"/>
                <w:color w:val="auto"/>
                <w:sz w:val="24"/>
                <w:u w:val="none" w:color="auto"/>
              </w:rPr>
            </w:pPr>
            <w:r>
              <w:rPr>
                <w:rFonts w:hint="eastAsia" w:ascii="ＭＳ ゴシック" w:hAnsi="ＭＳ ゴシック" w:eastAsia="ＭＳ ゴシック"/>
                <w:b w:val="0"/>
                <w:color w:val="auto"/>
                <w:sz w:val="24"/>
                <w:u w:val="none" w:color="auto"/>
              </w:rPr>
              <w:t>障害福祉サービス等の質を向上するための体制を構築する。</w:t>
            </w:r>
          </w:p>
        </w:tc>
      </w:tr>
    </w:tbl>
    <w:p>
      <w:pPr>
        <w:pStyle w:val="0"/>
        <w:rPr>
          <w:rFonts w:hint="default" w:asciiTheme="minorEastAsia" w:hAnsiTheme="minorEastAsia"/>
          <w:color w:val="auto"/>
          <w:u w:val="none" w:color="auto"/>
        </w:rPr>
      </w:pP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xml:space="preserve">(1) </w:t>
      </w:r>
      <w:r>
        <w:rPr>
          <w:rFonts w:hint="eastAsia" w:asciiTheme="minorEastAsia" w:hAnsiTheme="minorEastAsia"/>
          <w:color w:val="auto"/>
          <w:u w:val="none" w:color="auto"/>
        </w:rPr>
        <w:t>目標設定の考え方等</w:t>
      </w:r>
    </w:p>
    <w:p>
      <w:pPr>
        <w:pStyle w:val="0"/>
        <w:ind w:left="240" w:leftChars="100" w:firstLine="240" w:firstLineChars="100"/>
        <w:rPr>
          <w:rFonts w:hint="default" w:asciiTheme="minorEastAsia" w:hAnsiTheme="minorEastAsia"/>
          <w:color w:val="auto"/>
          <w:highlight w:val="yellow"/>
          <w:u w:val="none" w:color="auto"/>
        </w:rPr>
      </w:pPr>
      <w:r>
        <w:rPr>
          <w:rFonts w:hint="eastAsia" w:asciiTheme="minorEastAsia" w:hAnsiTheme="minorEastAsia"/>
          <w:color w:val="auto"/>
          <w:highlight w:val="none"/>
          <w:u w:val="none" w:color="auto"/>
        </w:rPr>
        <w:t>障害福祉サービス等の目的を果たすには、利用者が真に必要とする障害福祉サービス等の提供を行うことが重要であり、都道府県及び市町村は、障害福祉サービス等の利用状況を把握し、障害者等が真に必要とする障害福祉サービス等が提供できているのか検証を行う必要があります。</w:t>
      </w:r>
    </w:p>
    <w:p>
      <w:pPr>
        <w:pStyle w:val="0"/>
        <w:ind w:leftChars="0" w:firstLineChars="0"/>
        <w:rPr>
          <w:rFonts w:hint="default" w:asciiTheme="minorEastAsia" w:hAnsiTheme="minorEastAsia"/>
          <w:color w:val="auto"/>
          <w:u w:val="none" w:color="auto"/>
        </w:rPr>
      </w:pPr>
    </w:p>
    <w:p>
      <w:pPr>
        <w:pStyle w:val="0"/>
        <w:ind w:left="-235" w:leftChars="-98" w:firstLine="118" w:firstLineChars="49"/>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2</w:t>
      </w:r>
      <w:r>
        <w:rPr>
          <w:rFonts w:hint="eastAsia" w:asciiTheme="minorEastAsia" w:hAnsiTheme="minorEastAsia"/>
          <w:color w:val="auto"/>
          <w:u w:val="none" w:color="auto"/>
        </w:rPr>
        <w:t>）目標達成への取り組み（活動指標）</w:t>
      </w:r>
    </w:p>
    <w:p>
      <w:pPr>
        <w:pStyle w:val="0"/>
        <w:ind w:leftChars="0" w:hanging="480" w:hangingChars="200"/>
        <w:rPr>
          <w:rFonts w:hint="default" w:asciiTheme="minorEastAsia" w:hAnsiTheme="minorEastAsia"/>
          <w:color w:val="FF0000"/>
        </w:rPr>
      </w:pPr>
      <w:r>
        <w:rPr>
          <w:rFonts w:hint="eastAsia" w:asciiTheme="minorEastAsia" w:hAnsiTheme="minorEastAsia"/>
          <w:color w:val="auto"/>
          <w:u w:val="none" w:color="auto"/>
        </w:rPr>
        <w:t>　○</w:t>
      </w:r>
      <w:r>
        <w:rPr>
          <w:rFonts w:hint="eastAsia" w:asciiTheme="minorEastAsia" w:hAnsiTheme="minorEastAsia"/>
          <w:color w:val="auto"/>
          <w:highlight w:val="none"/>
          <w:u w:val="none" w:color="auto"/>
        </w:rPr>
        <w:t>毎年度、実施している指定障害福祉サービス事業者及び指定障害児通所支援事業者等に対する実地指導の結果を事業者が所在する市町村に通知するととともに、事業者及び市町村に対する指導において、実地指導の状況を共有します。</w:t>
      </w:r>
    </w:p>
    <w:sectPr>
      <w:footerReference r:id="rId6" w:type="default"/>
      <w:pgSz w:w="11906" w:h="16838"/>
      <w:pgMar w:top="1134" w:right="1134" w:bottom="1134" w:left="1134" w:header="851" w:footer="340" w:gutter="0"/>
      <w:pgNumType w:fmt="numberInDash" w:start="17"/>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- 19 -</w:t>
        </w:r>
        <w:r>
          <w:rPr>
            <w:rFonts w:hint="eastAsia"/>
          </w:rPr>
          <w:fldChar w:fldCharType="end"/>
        </w:r>
      </w:p>
    </w:sdtContent>
  </w:sdt>
  <w:p>
    <w:pPr>
      <w:pStyle w:val="0"/>
      <w:tabs>
        <w:tab w:val="left" w:leader="none" w:pos="3347"/>
      </w:tabs>
      <w:rPr>
        <w:rFonts w:hint="default"/>
      </w:rPr>
    </w:pPr>
    <w:r>
      <w:rPr>
        <w:rFonts w:hint="eastAsia"/>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A4AA3BC"/>
    <w:lvl w:ilvl="0" w:tplc="C442B9E4">
      <w:numFmt w:val="bullet"/>
      <w:lvlText w:val="○"/>
      <w:lvlJc w:val="left"/>
      <w:pPr>
        <w:ind w:left="585" w:hanging="360"/>
      </w:pPr>
      <w:rPr>
        <w:rFonts w:hint="eastAsia" w:ascii="ＭＳ 明朝" w:hAnsi="ＭＳ 明朝" w:eastAsia="ＭＳ 明朝"/>
      </w:rPr>
    </w:lvl>
    <w:lvl w:ilvl="1" w:tplc="0409000B">
      <w:numFmt w:val="bullet"/>
      <w:lvlText w:val=""/>
      <w:lvlJc w:val="left"/>
      <w:pPr>
        <w:ind w:left="1065" w:hanging="420"/>
      </w:pPr>
      <w:rPr>
        <w:rFonts w:hint="default" w:ascii="Wingdings" w:hAnsi="Wingdings"/>
      </w:rPr>
    </w:lvl>
    <w:lvl w:ilvl="2" w:tplc="0409000D">
      <w:numFmt w:val="bullet"/>
      <w:lvlText w:val=""/>
      <w:lvlJc w:val="left"/>
      <w:pPr>
        <w:ind w:left="1485" w:hanging="420"/>
      </w:pPr>
      <w:rPr>
        <w:rFonts w:hint="default" w:ascii="Wingdings" w:hAnsi="Wingdings"/>
      </w:rPr>
    </w:lvl>
    <w:lvl w:ilvl="3" w:tplc="04090001">
      <w:numFmt w:val="bullet"/>
      <w:lvlText w:val=""/>
      <w:lvlJc w:val="left"/>
      <w:pPr>
        <w:ind w:left="1905" w:hanging="420"/>
      </w:pPr>
      <w:rPr>
        <w:rFonts w:hint="default" w:ascii="Wingdings" w:hAnsi="Wingdings"/>
      </w:rPr>
    </w:lvl>
    <w:lvl w:ilvl="4" w:tplc="0409000B">
      <w:numFmt w:val="bullet"/>
      <w:lvlText w:val=""/>
      <w:lvlJc w:val="left"/>
      <w:pPr>
        <w:ind w:left="2325" w:hanging="420"/>
      </w:pPr>
      <w:rPr>
        <w:rFonts w:hint="default" w:ascii="Wingdings" w:hAnsi="Wingdings"/>
      </w:rPr>
    </w:lvl>
    <w:lvl w:ilvl="5" w:tplc="0409000D">
      <w:numFmt w:val="bullet"/>
      <w:lvlText w:val=""/>
      <w:lvlJc w:val="left"/>
      <w:pPr>
        <w:ind w:left="2745" w:hanging="420"/>
      </w:pPr>
      <w:rPr>
        <w:rFonts w:hint="default" w:ascii="Wingdings" w:hAnsi="Wingdings"/>
      </w:rPr>
    </w:lvl>
    <w:lvl w:ilvl="6" w:tplc="04090001">
      <w:numFmt w:val="bullet"/>
      <w:lvlText w:val=""/>
      <w:lvlJc w:val="left"/>
      <w:pPr>
        <w:ind w:left="3165" w:hanging="420"/>
      </w:pPr>
      <w:rPr>
        <w:rFonts w:hint="default" w:ascii="Wingdings" w:hAnsi="Wingdings"/>
      </w:rPr>
    </w:lvl>
    <w:lvl w:ilvl="7" w:tplc="0409000B">
      <w:numFmt w:val="bullet"/>
      <w:lvlText w:val=""/>
      <w:lvlJc w:val="left"/>
      <w:pPr>
        <w:ind w:left="3585" w:hanging="420"/>
      </w:pPr>
      <w:rPr>
        <w:rFonts w:hint="default" w:ascii="Wingdings" w:hAnsi="Wingdings"/>
      </w:rPr>
    </w:lvl>
    <w:lvl w:ilvl="8" w:tplc="0409000D">
      <w:numFmt w:val="bullet"/>
      <w:lvlText w:val=""/>
      <w:lvlJc w:val="left"/>
      <w:pPr>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efaultTableStyle w:val="28"/>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lock Text"/>
    <w:basedOn w:val="0"/>
    <w:next w:val="19"/>
    <w:link w:val="0"/>
    <w:uiPriority w:val="0"/>
    <w:pPr>
      <w:ind w:left="723" w:leftChars="200" w:right="-2" w:hanging="241" w:hangingChars="100"/>
      <w:jc w:val="left"/>
    </w:pPr>
    <w:rPr>
      <w:rFonts w:ascii="ＭＳ 明朝" w:hAnsi="ＭＳ 明朝"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ind w:left="840" w:leftChars="400"/>
    </w:p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chart" Target="charts/chart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nas2013\intra\060801\F_&#31934;&#31070;&#20445;&#20581;&#31119;&#31049;&#25285;&#24403;\F101_&#12481;&#12540;&#12512;&#12398;&#32207;&#25324;&#12395;&#38306;&#12377;&#12427;&#12371;&#12392;\&#38556;&#23475;&#31119;&#31049;&#35336;&#30011;\R2\&#38556;&#23475;&#31119;&#31049;&#35336;&#30011;&#12288;&#36864;&#38498;&#29575;&#12464;&#12521;&#12501;.xlsx" TargetMode="External" /><Relationship Id="rId2" Type="http://schemas.microsoft.com/office/2011/relationships/chartColorStyle" Target="colors1.xml" /><Relationship Id="rId3" Type="http://schemas.microsoft.com/office/2011/relationships/chartStyle" Target="style1.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Sheet1!$A$4</c:f>
              <c:strCache>
                <c:ptCount val="1"/>
                <c:pt idx="0">
                  <c:v>３か月時点</c:v>
                </c:pt>
              </c:strCache>
            </c:strRef>
          </c:tx>
          <c:spPr>
            <a:noFill/>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i="0" u="none" strike="noStrike" kern="1200" baseline="0">
                    <a:solidFill>
                      <a:schemeClr val="tx1">
                        <a:lumMod val="50000"/>
                        <a:lumOff val="50000"/>
                      </a:schemeClr>
                    </a:solidFill>
                    <a:latin typeface="Meiryo UI"/>
                    <a:ea typeface="Meiryo UI"/>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a:solidFill>
                        <a:schemeClr val="tx1">
                          <a:lumMod val="35000"/>
                          <a:lumOff val="65000"/>
                        </a:schemeClr>
                      </a:solidFill>
                    </a:ln>
                    <a:effectLst/>
                  </c:spPr>
                </c15:leaderLines>
              </c:ext>
            </c:extLst>
          </c:dLbls>
          <c:cat>
            <c:strRef>
              <c:f>Sheet1!$B$3:$L$3</c:f>
              <c:strCache>
                <c:ptCount val="11"/>
                <c:pt idx="0">
                  <c:v>H19</c:v>
                </c:pt>
                <c:pt idx="1">
                  <c:v>H20</c:v>
                </c:pt>
                <c:pt idx="2">
                  <c:v>H21</c:v>
                </c:pt>
                <c:pt idx="3">
                  <c:v>H22</c:v>
                </c:pt>
                <c:pt idx="4">
                  <c:v>H23</c:v>
                </c:pt>
                <c:pt idx="5">
                  <c:v>H24</c:v>
                </c:pt>
                <c:pt idx="6">
                  <c:v>H25</c:v>
                </c:pt>
                <c:pt idx="7">
                  <c:v>H26</c:v>
                </c:pt>
                <c:pt idx="8">
                  <c:v>H27</c:v>
                </c:pt>
                <c:pt idx="9">
                  <c:v>H28</c:v>
                </c:pt>
                <c:pt idx="10">
                  <c:v>H29</c:v>
                </c:pt>
              </c:strCache>
            </c:strRef>
          </c:cat>
          <c:val>
            <c:numRef>
              <c:f>[障害福祉計画　退院率グラフ.xlsx]Sheet1!$B$4:$L$4</c:f>
              <c:numCache>
                <c:formatCode>0.0%</c:formatCode>
                <c:ptCount val="11"/>
                <c:pt idx="0">
                  <c:v>0.68100000000000005</c:v>
                </c:pt>
                <c:pt idx="1">
                  <c:v>0.70799999999999996</c:v>
                </c:pt>
                <c:pt idx="2">
                  <c:v>0.69899999999999995</c:v>
                </c:pt>
                <c:pt idx="3">
                  <c:v>0.64400000000000002</c:v>
                </c:pt>
                <c:pt idx="4">
                  <c:v>0.621</c:v>
                </c:pt>
                <c:pt idx="5">
                  <c:v>0.65800000000000003</c:v>
                </c:pt>
                <c:pt idx="6">
                  <c:v>0.68500000000000005</c:v>
                </c:pt>
                <c:pt idx="7">
                  <c:v>0.66400000000000003</c:v>
                </c:pt>
                <c:pt idx="8">
                  <c:v>0.69</c:v>
                </c:pt>
                <c:pt idx="9">
                  <c:v>0.61599999999999999</c:v>
                </c:pt>
                <c:pt idx="10">
                  <c:v>0.64</c:v>
                </c:pt>
              </c:numCache>
            </c:numRef>
          </c:val>
          <c:smooth val="0"/>
        </c:ser>
        <c:ser>
          <c:idx val="1"/>
          <c:order val="1"/>
          <c:tx>
            <c:strRef>
              <c:f>Sheet1!$A$5</c:f>
              <c:strCache>
                <c:ptCount val="1"/>
                <c:pt idx="0">
                  <c:v>６か月時点</c:v>
                </c:pt>
              </c:strCache>
            </c:strRef>
          </c:tx>
          <c:spPr>
            <a:noFill/>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i="0" u="none" strike="noStrike" kern="1200" baseline="0">
                    <a:solidFill>
                      <a:schemeClr val="tx1">
                        <a:lumMod val="50000"/>
                        <a:lumOff val="50000"/>
                      </a:schemeClr>
                    </a:solidFill>
                    <a:latin typeface="Meiryo UI"/>
                    <a:ea typeface="Meiryo UI"/>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a:solidFill>
                        <a:schemeClr val="tx1">
                          <a:lumMod val="35000"/>
                          <a:lumOff val="65000"/>
                        </a:schemeClr>
                      </a:solidFill>
                    </a:ln>
                    <a:effectLst/>
                  </c:spPr>
                </c15:leaderLines>
              </c:ext>
            </c:extLst>
          </c:dLbls>
          <c:cat>
            <c:strRef>
              <c:f>Sheet1!$B$3:$L$3</c:f>
              <c:strCache>
                <c:ptCount val="11"/>
                <c:pt idx="0">
                  <c:v>H19</c:v>
                </c:pt>
                <c:pt idx="1">
                  <c:v>H20</c:v>
                </c:pt>
                <c:pt idx="2">
                  <c:v>H21</c:v>
                </c:pt>
                <c:pt idx="3">
                  <c:v>H22</c:v>
                </c:pt>
                <c:pt idx="4">
                  <c:v>H23</c:v>
                </c:pt>
                <c:pt idx="5">
                  <c:v>H24</c:v>
                </c:pt>
                <c:pt idx="6">
                  <c:v>H25</c:v>
                </c:pt>
                <c:pt idx="7">
                  <c:v>H26</c:v>
                </c:pt>
                <c:pt idx="8">
                  <c:v>H27</c:v>
                </c:pt>
                <c:pt idx="9">
                  <c:v>H28</c:v>
                </c:pt>
                <c:pt idx="10">
                  <c:v>H29</c:v>
                </c:pt>
              </c:strCache>
            </c:strRef>
          </c:cat>
          <c:val>
            <c:numRef>
              <c:f>[障害福祉計画　退院率グラフ.xlsx]Sheet1!$B$5:$L$5</c:f>
              <c:numCache>
                <c:formatCode>0.0%</c:formatCode>
                <c:ptCount val="11"/>
                <c:pt idx="0">
                  <c:v>0.82499999999999984</c:v>
                </c:pt>
                <c:pt idx="1">
                  <c:v>0.879</c:v>
                </c:pt>
                <c:pt idx="2">
                  <c:v>0.85299999999999998</c:v>
                </c:pt>
                <c:pt idx="3">
                  <c:v>0.83199999999999985</c:v>
                </c:pt>
                <c:pt idx="4">
                  <c:v>0.79500000000000004</c:v>
                </c:pt>
                <c:pt idx="5">
                  <c:v>0.85</c:v>
                </c:pt>
                <c:pt idx="6">
                  <c:v>0.86899999999999999</c:v>
                </c:pt>
                <c:pt idx="7">
                  <c:v>0.86699999999999999</c:v>
                </c:pt>
                <c:pt idx="8">
                  <c:v>0.879</c:v>
                </c:pt>
                <c:pt idx="9">
                  <c:v>0.80300000000000005</c:v>
                </c:pt>
                <c:pt idx="10">
                  <c:v>0.83</c:v>
                </c:pt>
              </c:numCache>
            </c:numRef>
          </c:val>
          <c:smooth val="0"/>
        </c:ser>
        <c:ser>
          <c:idx val="2"/>
          <c:order val="2"/>
          <c:tx>
            <c:strRef>
              <c:f>Sheet1!$A$6</c:f>
              <c:strCache>
                <c:ptCount val="1"/>
                <c:pt idx="0">
                  <c:v>１年時点</c:v>
                </c:pt>
              </c:strCache>
            </c:strRef>
          </c:tx>
          <c:spPr>
            <a:noFill/>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i="0" u="none" strike="noStrike" kern="1200" baseline="0">
                    <a:solidFill>
                      <a:schemeClr val="tx1">
                        <a:lumMod val="50000"/>
                        <a:lumOff val="50000"/>
                      </a:schemeClr>
                    </a:solidFill>
                    <a:latin typeface="Meiryo UI"/>
                    <a:ea typeface="Meiryo UI"/>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a:solidFill>
                        <a:schemeClr val="tx1">
                          <a:lumMod val="35000"/>
                          <a:lumOff val="65000"/>
                        </a:schemeClr>
                      </a:solidFill>
                    </a:ln>
                    <a:effectLst/>
                  </c:spPr>
                </c15:leaderLines>
              </c:ext>
            </c:extLst>
          </c:dLbls>
          <c:cat>
            <c:strRef>
              <c:f>Sheet1!$B$3:$L$3</c:f>
              <c:strCache>
                <c:ptCount val="11"/>
                <c:pt idx="0">
                  <c:v>H19</c:v>
                </c:pt>
                <c:pt idx="1">
                  <c:v>H20</c:v>
                </c:pt>
                <c:pt idx="2">
                  <c:v>H21</c:v>
                </c:pt>
                <c:pt idx="3">
                  <c:v>H22</c:v>
                </c:pt>
                <c:pt idx="4">
                  <c:v>H23</c:v>
                </c:pt>
                <c:pt idx="5">
                  <c:v>H24</c:v>
                </c:pt>
                <c:pt idx="6">
                  <c:v>H25</c:v>
                </c:pt>
                <c:pt idx="7">
                  <c:v>H26</c:v>
                </c:pt>
                <c:pt idx="8">
                  <c:v>H27</c:v>
                </c:pt>
                <c:pt idx="9">
                  <c:v>H28</c:v>
                </c:pt>
                <c:pt idx="10">
                  <c:v>H29</c:v>
                </c:pt>
              </c:strCache>
            </c:strRef>
          </c:cat>
          <c:val>
            <c:numRef>
              <c:f>[障害福祉計画　退院率グラフ.xlsx]Sheet1!$B$6:$L$6</c:f>
              <c:numCache>
                <c:formatCode>0.0%</c:formatCode>
                <c:ptCount val="11"/>
                <c:pt idx="0">
                  <c:v>0.86899999999999999</c:v>
                </c:pt>
                <c:pt idx="1">
                  <c:v>0.92600000000000005</c:v>
                </c:pt>
                <c:pt idx="2">
                  <c:v>0.92400000000000004</c:v>
                </c:pt>
                <c:pt idx="3">
                  <c:v>0.91300000000000003</c:v>
                </c:pt>
                <c:pt idx="4">
                  <c:v>0.89400000000000002</c:v>
                </c:pt>
                <c:pt idx="5">
                  <c:v>0.91500000000000004</c:v>
                </c:pt>
                <c:pt idx="6">
                  <c:v>0.91800000000000004</c:v>
                </c:pt>
                <c:pt idx="7">
                  <c:v>0.92400000000000004</c:v>
                </c:pt>
                <c:pt idx="8">
                  <c:v>0.93200000000000005</c:v>
                </c:pt>
                <c:pt idx="9">
                  <c:v>0.86599999999999999</c:v>
                </c:pt>
                <c:pt idx="10">
                  <c:v>0.91</c:v>
                </c:pt>
              </c:numCache>
            </c:numRef>
          </c:val>
          <c:smooth val="0"/>
        </c:ser>
        <c:dLbls>
          <c:txPr>
            <a:bodyPr rot="0" spcFirstLastPara="1" vertOverflow="ellipsis" horzOverflow="overflow" wrap="square" anchor="ctr" anchorCtr="1">
              <a:spAutoFit/>
            </a:bodyPr>
            <a:lstStyle/>
            <a:p>
              <a:pPr algn="ctr" rtl="0">
                <a:defRPr lang="ja-JP" altLang="en-US"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100" kern="1200" cap="all" spc="120" normalizeH="0" baseline="0">
                <a:solidFill>
                  <a:schemeClr val="tx1">
                    <a:lumMod val="65000"/>
                    <a:lumOff val="35000"/>
                  </a:schemeClr>
                </a:solidFill>
                <a:latin typeface="Meiryo UI"/>
                <a:ea typeface="Meiryo UI"/>
                <a:cs typeface="+mn-cs"/>
              </a:defRPr>
            </a:pPr>
            <a:endParaRPr lang="ja-JP" altLang="en-US"/>
          </a:p>
        </c:txPr>
        <c:crossAx val="2"/>
        <c:crosses val="autoZero"/>
        <c:auto val="1"/>
        <c:lblAlgn val="ctr"/>
        <c:lblOffset val="100"/>
        <c:noMultiLvlLbl val="0"/>
      </c:catAx>
      <c:valAx>
        <c:axId val="2"/>
        <c:scaling>
          <c:orientation val="minMax"/>
          <c:min val="0.5"/>
        </c:scaling>
        <c:delete val="0"/>
        <c:axPos val="l"/>
        <c:majorGridlines>
          <c:spPr>
            <a:noFill/>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1" kern="1200">
                <a:solidFill>
                  <a:schemeClr val="tx1">
                    <a:lumMod val="65000"/>
                    <a:lumOff val="35000"/>
                  </a:schemeClr>
                </a:solidFill>
                <a:latin typeface="+mn-lt"/>
                <a:ea typeface="+mn-ea"/>
                <a:cs typeface="+mn-cs"/>
              </a:defRPr>
            </a:pPr>
            <a:endParaRPr lang="ja-JP" altLang="en-US"/>
          </a:p>
        </c:txPr>
        <c:crossAx val="1"/>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1826</TotalTime>
  <Pages>14</Pages>
  <Words>156</Words>
  <Characters>7778</Characters>
  <Application>Microsoft Office Word</Application>
  <Lines>2382</Lines>
  <Paragraphs>384</Paragraphs>
  <CharactersWithSpaces>7937</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449131</cp:lastModifiedBy>
  <cp:lastPrinted>2021-02-18T04:50:25Z</cp:lastPrinted>
  <dcterms:created xsi:type="dcterms:W3CDTF">2018-01-21T02:16:00Z</dcterms:created>
  <dcterms:modified xsi:type="dcterms:W3CDTF">2021-02-18T04:48:39Z</dcterms:modified>
  <cp:revision>141</cp:revision>
</cp:coreProperties>
</file>