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新旧対照表</w:t>
      </w:r>
    </w:p>
    <w:tbl>
      <w:tblPr>
        <w:tblStyle w:val="23"/>
        <w:tblW w:w="0" w:type="auto"/>
        <w:jc w:val="left"/>
        <w:tblInd w:w="0" w:type="dxa"/>
        <w:tblLayout w:type="fixed"/>
        <w:tblLook w:firstRow="1" w:lastRow="0" w:firstColumn="1" w:lastColumn="0" w:noHBand="0" w:noVBand="1" w:val="04A0"/>
      </w:tblPr>
      <w:tblGrid>
        <w:gridCol w:w="7143"/>
        <w:gridCol w:w="7140"/>
      </w:tblGrid>
      <w:tr>
        <w:trPr/>
        <w:tc>
          <w:tcPr>
            <w:tcW w:w="7143" w:type="dxa"/>
            <w:vAlign w:val="top"/>
          </w:tcPr>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新</w:t>
            </w:r>
          </w:p>
        </w:tc>
        <w:tc>
          <w:tcPr>
            <w:tcW w:w="7140" w:type="dxa"/>
            <w:vAlign w:val="top"/>
          </w:tcPr>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旧</w:t>
            </w:r>
          </w:p>
        </w:tc>
      </w:tr>
      <w:tr>
        <w:trPr/>
        <w:tc>
          <w:tcPr>
            <w:tcW w:w="7143" w:type="dxa"/>
            <w:vAlign w:val="top"/>
          </w:tcPr>
          <w:p>
            <w:pPr>
              <w:pStyle w:val="0"/>
              <w:spacing w:line="240" w:lineRule="auto"/>
              <w:ind w:left="0" w:leftChars="0" w:firstLine="420" w:firstLineChars="2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令和２年度高知県地域医療情報ネットワークシステム構築事業費</w:t>
            </w:r>
          </w:p>
          <w:p>
            <w:pPr>
              <w:pStyle w:val="0"/>
              <w:spacing w:line="240" w:lineRule="auto"/>
              <w:ind w:left="0" w:leftChars="0" w:firstLine="420" w:firstLineChars="2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補助金交付要綱</w:t>
            </w:r>
            <w:bookmarkStart w:id="0" w:name="_GoBack"/>
            <w:bookmarkEnd w:id="0"/>
          </w:p>
          <w:p>
            <w:pPr>
              <w:pStyle w:val="0"/>
              <w:spacing w:line="240" w:lineRule="auto"/>
              <w:ind w:left="342" w:hanging="342" w:hangingChars="163"/>
              <w:rPr>
                <w:rFonts w:hint="eastAsia" w:asciiTheme="minorEastAsia" w:hAnsiTheme="minorEastAsia" w:eastAsiaTheme="minorEastAsia"/>
                <w:color w:val="000000" w:themeColor="text1"/>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sz w:val="21"/>
                <w:u w:val="none" w:color="auto"/>
              </w:rPr>
              <w:t>第１条～第９条（略）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（繰越承認申請）</w:t>
            </w:r>
          </w:p>
          <w:p>
            <w:pPr>
              <w:pStyle w:val="0"/>
              <w:ind w:left="240" w:hanging="240" w:hangingChars="1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第</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条　補助事業者は、補助事業が年度内に完了し難いと認められ、補助事業を繰り越す必要がある場合は、事前に別記第６号様式による繰越承認申請書を提出して知事の承認を受けなければならない。</w:t>
            </w:r>
          </w:p>
          <w:p>
            <w:pPr>
              <w:pStyle w:val="0"/>
              <w:spacing w:line="240" w:lineRule="auto"/>
              <w:ind w:leftChars="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sz w:val="21"/>
                <w:u w:val="none" w:color="auto"/>
              </w:rPr>
              <w:t>２　補助事業者は、前項の規定により知事の承認を得た場合は、翌年度の４月</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日までに、別記第７号様式による年度終了実績報告書を知事に提出しなければならない。</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条ただし書の規定に基づき補助金の概算払の請求をしようとするときは、別記第８号様式による請求書を知事に提出しなければならない。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　補助事業又は補助事業者に関して、高知県情報公開条例（平成</w:t>
            </w:r>
          </w:p>
        </w:tc>
        <w:tc>
          <w:tcPr>
            <w:tcW w:w="7140" w:type="dxa"/>
            <w:vAlign w:val="top"/>
          </w:tcPr>
          <w:p>
            <w:pPr>
              <w:pStyle w:val="0"/>
              <w:spacing w:line="240" w:lineRule="auto"/>
              <w:ind w:left="0" w:leftChars="0" w:firstLine="420" w:firstLineChars="2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令和２年度高知県地域医療情報ネットワークシステム構築事業費</w:t>
            </w:r>
          </w:p>
          <w:p>
            <w:pPr>
              <w:pStyle w:val="0"/>
              <w:spacing w:line="240" w:lineRule="auto"/>
              <w:ind w:left="0" w:leftChars="0" w:firstLine="420" w:firstLineChars="2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補助金交付要綱</w:t>
            </w:r>
          </w:p>
          <w:p>
            <w:pPr>
              <w:pStyle w:val="0"/>
              <w:spacing w:line="240" w:lineRule="auto"/>
              <w:ind w:left="342" w:hanging="342" w:hangingChars="163"/>
              <w:rPr>
                <w:rFonts w:hint="eastAsia" w:asciiTheme="minorEastAsia" w:hAnsiTheme="minorEastAsia" w:eastAsiaTheme="minorEastAsia"/>
                <w:color w:val="000000" w:themeColor="text1"/>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sz w:val="21"/>
                <w:u w:val="none" w:color="auto"/>
              </w:rPr>
              <w:t>第１条～第９条（略）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条ただし書の規定に基づき補助金の概算払の請求をしようとするときは、別記第６号様式による請求書を知事に提出しなければならない。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補助事業又は補助事業者に関して、高知県情報公開条例（平成</w:t>
            </w:r>
          </w:p>
        </w:tc>
      </w:tr>
      <w:tr>
        <w:trPr/>
        <w:tc>
          <w:tcPr>
            <w:tcW w:w="714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rPr>
              <w:t>新</w:t>
            </w:r>
          </w:p>
        </w:tc>
        <w:tc>
          <w:tcPr>
            <w:tcW w:w="7140"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rPr>
              <w:t>旧</w:t>
            </w:r>
          </w:p>
        </w:tc>
      </w:tr>
      <w:tr>
        <w:trPr>
          <w:trHeight w:val="9079" w:hRule="atLeast"/>
        </w:trPr>
        <w:tc>
          <w:tcPr>
            <w:tcW w:w="7143" w:type="dxa"/>
            <w:tcBorders>
              <w:top w:val="none" w:color="auto" w:sz="0" w:space="0"/>
              <w:left w:val="none" w:color="auto" w:sz="0" w:space="0"/>
              <w:bottom w:val="none" w:color="auto" w:sz="0" w:space="0"/>
              <w:right w:val="none" w:color="auto" w:sz="0" w:space="0"/>
              <w:tl2br w:val="nil"/>
              <w:tr2bl w:val="nil"/>
            </w:tcBorders>
            <w:vAlign w:val="top"/>
          </w:tcPr>
          <w:p>
            <w:pPr>
              <w:pStyle w:val="0"/>
              <w:spacing w:line="240" w:lineRule="auto"/>
              <w:ind w:left="342" w:leftChars="163" w:firstLine="0" w:firstLineChars="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２年高知県条例第１号）に基づく開示請求があった場合は、同条例第６条第１項の規定による非開示項目以外の項目は、原則として開示するものとする。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附則</w:t>
            </w:r>
          </w:p>
          <w:p>
            <w:pPr>
              <w:pStyle w:val="0"/>
              <w:ind w:leftChars="0" w:hanging="218" w:hangingChars="104"/>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u w:val="none" w:color="auto"/>
              </w:rPr>
              <w:t>１　この要綱は、令和２年９月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日から施行する。</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２　この要綱は、令和４年５月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条の規定は、同日以降もなおその効力を有する。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u w:val="none" w:color="auto"/>
              </w:rPr>
              <w:t>附則</w:t>
            </w:r>
          </w:p>
          <w:p>
            <w:pPr>
              <w:pStyle w:val="0"/>
              <w:spacing w:line="240" w:lineRule="auto"/>
              <w:ind w:left="0" w:leftChars="0" w:firstLine="210" w:firstLine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この要綱は、令和３年２月</w:t>
            </w:r>
            <w:r>
              <w:rPr>
                <w:rFonts w:hint="eastAsia" w:asciiTheme="minorEastAsia" w:hAnsiTheme="minorEastAsia" w:eastAsiaTheme="minorEastAsia"/>
                <w:color w:val="000000" w:themeColor="text1"/>
                <w:u w:val="none" w:color="auto"/>
              </w:rPr>
              <w:t>19</w:t>
            </w:r>
            <w:r>
              <w:rPr>
                <w:rFonts w:hint="eastAsia" w:asciiTheme="minorEastAsia" w:hAnsiTheme="minorEastAsia" w:eastAsiaTheme="minorEastAsia"/>
                <w:color w:val="000000" w:themeColor="text1"/>
                <w:u w:val="none" w:color="auto"/>
              </w:rPr>
              <w:t>日から施行し、令和２年９月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日から適用する。</w:t>
            </w:r>
          </w:p>
          <w:p>
            <w:pPr>
              <w:pStyle w:val="0"/>
              <w:spacing w:line="240" w:lineRule="auto"/>
              <w:ind w:left="0" w:leftChars="0" w:firstLine="210" w:firstLineChars="100"/>
              <w:rPr>
                <w:rFonts w:hint="eastAsia" w:asciiTheme="minorEastAsia" w:hAnsiTheme="minorEastAsia" w:eastAsiaTheme="minorEastAsia"/>
                <w:color w:val="auto"/>
                <w:sz w:val="21"/>
                <w:u w:val="none" w:color="auto"/>
              </w:rPr>
            </w:pPr>
          </w:p>
          <w:p>
            <w:pPr>
              <w:pStyle w:val="0"/>
              <w:spacing w:line="240" w:lineRule="auto"/>
              <w:ind w:left="0" w:leftChars="0" w:firstLine="0" w:firstLineChars="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附則</w:t>
            </w:r>
          </w:p>
          <w:p>
            <w:pPr>
              <w:pStyle w:val="0"/>
              <w:rPr>
                <w:rFonts w:hint="eastAsia"/>
                <w:color w:val="000000" w:themeColor="text1"/>
              </w:rPr>
            </w:pPr>
            <w:r>
              <w:rPr>
                <w:rFonts w:hint="eastAsia" w:asciiTheme="minorEastAsia" w:hAnsiTheme="minorEastAsia" w:eastAsiaTheme="minorEastAsia"/>
                <w:color w:val="000000" w:themeColor="text1"/>
                <w:sz w:val="21"/>
                <w:u w:val="none" w:color="auto"/>
              </w:rPr>
              <w:t>　この要綱は、令和３年３月</w:t>
            </w:r>
            <w:r>
              <w:rPr>
                <w:rFonts w:hint="eastAsia" w:asciiTheme="minorEastAsia" w:hAnsiTheme="minorEastAsia" w:eastAsiaTheme="minorEastAsia"/>
                <w:color w:val="000000" w:themeColor="text1"/>
                <w:sz w:val="21"/>
                <w:u w:val="none" w:color="auto"/>
              </w:rPr>
              <w:t>22</w:t>
            </w:r>
            <w:r>
              <w:rPr>
                <w:rFonts w:hint="eastAsia" w:asciiTheme="minorEastAsia" w:hAnsiTheme="minorEastAsia" w:eastAsiaTheme="minorEastAsia"/>
                <w:color w:val="000000" w:themeColor="text1"/>
                <w:sz w:val="21"/>
                <w:u w:val="none" w:color="auto"/>
              </w:rPr>
              <w:t>日から施行する。</w:t>
            </w:r>
          </w:p>
          <w:p>
            <w:pPr>
              <w:pStyle w:val="0"/>
              <w:rPr>
                <w:rFonts w:hint="eastAsia"/>
                <w:color w:val="000000" w:themeColor="text1"/>
              </w:rPr>
            </w:pPr>
          </w:p>
          <w:p>
            <w:pPr>
              <w:pStyle w:val="0"/>
              <w:rPr>
                <w:rFonts w:hint="eastAsia"/>
                <w:color w:val="000000" w:themeColor="text1"/>
              </w:rPr>
            </w:pPr>
            <w:r>
              <w:rPr>
                <w:rFonts w:hint="eastAsia"/>
                <w:color w:val="000000" w:themeColor="text1"/>
              </w:rPr>
              <w:t>別表第１、第２（略）</w:t>
            </w:r>
          </w:p>
          <w:p>
            <w:pPr>
              <w:pStyle w:val="0"/>
              <w:rPr>
                <w:rFonts w:hint="eastAsia"/>
              </w:rPr>
            </w:pPr>
          </w:p>
        </w:tc>
        <w:tc>
          <w:tcPr>
            <w:tcW w:w="71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240" w:lineRule="auto"/>
              <w:ind w:left="342" w:leftChars="163" w:firstLine="0" w:firstLineChars="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２年高知県条例第１号）に基づく開示請求があった場合は、同条例第６条第１項の規定による非開示項目以外の項目は、原則として開示するものとする。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附則</w:t>
            </w:r>
          </w:p>
          <w:p>
            <w:pPr>
              <w:pStyle w:val="0"/>
              <w:ind w:leftChars="0" w:hanging="218" w:hangingChars="104"/>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u w:val="none" w:color="auto"/>
              </w:rPr>
              <w:t>１　この要綱は、令和２年９月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日から施行する。</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２　この要綱は、令和３年５月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条の規定は、同日以降もなおその効力を有する。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000000" w:themeColor="text1"/>
                <w:u w:val="none" w:color="auto"/>
              </w:rPr>
              <w:t>附則</w:t>
            </w:r>
          </w:p>
          <w:p>
            <w:pPr>
              <w:pStyle w:val="0"/>
              <w:rPr>
                <w:rFonts w:hint="eastAsia"/>
                <w:color w:val="000000" w:themeColor="text1"/>
              </w:rPr>
            </w:pPr>
            <w:r>
              <w:rPr>
                <w:rFonts w:hint="eastAsia" w:asciiTheme="minorEastAsia" w:hAnsiTheme="minorEastAsia" w:eastAsiaTheme="minorEastAsia"/>
                <w:color w:val="000000" w:themeColor="text1"/>
                <w:u w:val="none" w:color="auto"/>
              </w:rPr>
              <w:t>この要綱は、令和３年２月</w:t>
            </w:r>
            <w:r>
              <w:rPr>
                <w:rFonts w:hint="eastAsia" w:asciiTheme="minorEastAsia" w:hAnsiTheme="minorEastAsia" w:eastAsiaTheme="minorEastAsia"/>
                <w:color w:val="000000" w:themeColor="text1"/>
                <w:u w:val="none" w:color="auto"/>
              </w:rPr>
              <w:t>19</w:t>
            </w:r>
            <w:r>
              <w:rPr>
                <w:rFonts w:hint="eastAsia" w:asciiTheme="minorEastAsia" w:hAnsiTheme="minorEastAsia" w:eastAsiaTheme="minorEastAsia"/>
                <w:color w:val="000000" w:themeColor="text1"/>
                <w:u w:val="none" w:color="auto"/>
              </w:rPr>
              <w:t>日から施行し、令和２年９月</w:t>
            </w:r>
            <w:r>
              <w:rPr>
                <w:rFonts w:hint="eastAsia" w:asciiTheme="minorEastAsia" w:hAnsiTheme="minorEastAsia" w:eastAsiaTheme="minorEastAsia"/>
                <w:color w:val="000000" w:themeColor="text1"/>
                <w:u w:val="none" w:color="auto"/>
              </w:rPr>
              <w:t>23</w:t>
            </w:r>
            <w:r>
              <w:rPr>
                <w:rFonts w:hint="eastAsia" w:asciiTheme="minorEastAsia" w:hAnsiTheme="minorEastAsia" w:eastAsiaTheme="minorEastAsia"/>
                <w:color w:val="000000" w:themeColor="text1"/>
                <w:u w:val="none" w:color="auto"/>
              </w:rPr>
              <w:t>日から適用する。</w:t>
            </w: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r>
              <w:rPr>
                <w:rFonts w:hint="eastAsia"/>
                <w:color w:val="000000" w:themeColor="text1"/>
              </w:rPr>
              <w:t>別表第１、第２（略）</w:t>
            </w:r>
          </w:p>
          <w:p>
            <w:pPr>
              <w:pStyle w:val="0"/>
              <w:rPr>
                <w:rFonts w:hint="eastAsia"/>
              </w:rPr>
            </w:pPr>
          </w:p>
        </w:tc>
      </w:tr>
    </w:tbl>
    <w:p>
      <w:pPr>
        <w:pStyle w:val="0"/>
        <w:spacing w:line="20" w:lineRule="exact"/>
        <w:rPr>
          <w:rFonts w:hint="eastAsia" w:asciiTheme="minorEastAsia" w:hAnsiTheme="minorEastAsia" w:eastAsiaTheme="minorEastAsia"/>
          <w:color w:val="auto"/>
          <w:sz w:val="21"/>
          <w:u w:val="none" w:color="auto"/>
        </w:rPr>
      </w:pPr>
    </w:p>
    <w:sectPr>
      <w:pgSz w:w="16838" w:h="11906" w:orient="landscape"/>
      <w:pgMar w:top="1134" w:right="1418" w:bottom="1134" w:left="1418" w:header="851"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2741</TotalTime>
  <Pages>2</Pages>
  <Words>23</Words>
  <Characters>1208</Characters>
  <Application>JUST Note</Application>
  <Lines>95</Lines>
  <Paragraphs>42</Paragraphs>
  <CharactersWithSpaces>1223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476876</cp:lastModifiedBy>
  <cp:lastPrinted>2021-02-25T08:09:36Z</cp:lastPrinted>
  <dcterms:created xsi:type="dcterms:W3CDTF">2013-03-08T05:36:00Z</dcterms:created>
  <dcterms:modified xsi:type="dcterms:W3CDTF">2021-02-26T00:19:26Z</dcterms:modified>
  <cp:revision>50</cp:revision>
</cp:coreProperties>
</file>