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様式第２号（第３条関係）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（１）（補助金名）補助金交付審査のため、全ての県</w:t>
      </w:r>
      <w:bookmarkStart w:id="0" w:name="_GoBack"/>
      <w:bookmarkEnd w:id="0"/>
      <w:r>
        <w:rPr>
          <w:rFonts w:hint="eastAsia"/>
          <w:u w:val="none" w:color="auto"/>
        </w:rPr>
        <w:t>税（個人県民税および地方消費税を除く。）及びこれに付随する延滞金等の納付又は納入の状況に関して、税務課から（所属名）に県税の完納情報の提供を行うこと。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（３）県税の完納情報の提供に当たり、（所属名）の指示及び指導がある場合は、その内容に従うこと。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459981</cp:lastModifiedBy>
  <cp:lastPrinted>2022-01-25T05:56:26Z</cp:lastPrinted>
  <dcterms:created xsi:type="dcterms:W3CDTF">2021-02-08T06:18:00Z</dcterms:created>
  <dcterms:modified xsi:type="dcterms:W3CDTF">2022-04-26T10:09:14Z</dcterms:modified>
  <cp:revision>43</cp:revision>
</cp:coreProperties>
</file>