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5"/>
        <w:shd w:val="clear" w:color="auto" w:fill="auto"/>
        <w:wordWrap w:val="0"/>
        <w:spacing w:after="160" w:afterLines="0" w:afterAutospacing="0"/>
        <w:rPr>
          <w:rFonts w:hint="default" w:eastAsia="ＭＳ ゴシック"/>
          <w:b w:val="1"/>
        </w:rPr>
      </w:pPr>
      <w:bookmarkStart w:id="0" w:name="bookmark3"/>
    </w:p>
    <w:p>
      <w:pPr>
        <w:pStyle w:val="25"/>
        <w:shd w:val="clear" w:color="auto" w:fill="auto"/>
        <w:wordWrap w:val="0"/>
        <w:spacing w:after="160" w:afterLines="0" w:afterAutospacing="0"/>
        <w:ind w:right="240" w:rightChars="100"/>
        <w:jc w:val="center"/>
        <w:rPr>
          <w:rFonts w:hint="default" w:eastAsia="ＭＳ ゴシック"/>
          <w:b w:val="1"/>
        </w:rPr>
      </w:pPr>
      <w:r>
        <w:rPr>
          <w:rFonts w:hint="default" w:eastAsia="ＭＳ ゴシック"/>
          <w:b w:val="1"/>
        </w:rPr>
        <w:t>漁業生産力の発展に関する計画</w:t>
      </w:r>
      <w:r>
        <w:rPr>
          <w:rFonts w:hint="eastAsia" w:eastAsia="ＭＳ ゴシック"/>
          <w:b w:val="1"/>
        </w:rPr>
        <w:t>（</w:t>
      </w:r>
      <w:r>
        <w:rPr>
          <w:rFonts w:hint="eastAsia" w:eastAsia="ＭＳ ゴシック"/>
          <w:b w:val="1"/>
          <w:sz w:val="28"/>
        </w:rPr>
        <w:t>第５種共同</w:t>
      </w:r>
      <w:r>
        <w:rPr>
          <w:rFonts w:hint="default" w:eastAsia="ＭＳ ゴシック"/>
          <w:b w:val="1"/>
          <w:sz w:val="28"/>
        </w:rPr>
        <w:t>漁業権</w:t>
      </w:r>
      <w:r>
        <w:rPr>
          <w:rFonts w:hint="eastAsia" w:eastAsia="ＭＳ ゴシック"/>
          <w:b w:val="1"/>
        </w:rPr>
        <w:t>）</w:t>
      </w:r>
      <w:bookmarkEnd w:id="0"/>
    </w:p>
    <w:p>
      <w:pPr>
        <w:pStyle w:val="33"/>
        <w:jc w:val="center"/>
        <w:rPr>
          <w:rFonts w:hint="default" w:eastAsia="ＭＳ ゴシック"/>
          <w:b w:val="1"/>
        </w:rPr>
      </w:pPr>
    </w:p>
    <w:p>
      <w:pPr>
        <w:pStyle w:val="33"/>
        <w:jc w:val="center"/>
        <w:rPr>
          <w:rFonts w:hint="default"/>
          <w:b w:val="1"/>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5256530</wp:posOffset>
                </wp:positionH>
                <wp:positionV relativeFrom="paragraph">
                  <wp:posOffset>72390</wp:posOffset>
                </wp:positionV>
                <wp:extent cx="1295400" cy="476250"/>
                <wp:effectExtent l="635" t="635" r="29845" b="10795"/>
                <wp:wrapNone/>
                <wp:docPr id="1026" name="テキスト ボックス 6"/>
                <a:graphic xmlns:a="http://schemas.openxmlformats.org/drawingml/2006/main">
                  <a:graphicData uri="http://schemas.microsoft.com/office/word/2010/wordprocessingShape">
                    <wps:wsp>
                      <wps:cNvPr id="1026" name="テキスト ボックス 6"/>
                      <wps:cNvSpPr txBox="1"/>
                      <wps:spPr>
                        <a:xfrm>
                          <a:off x="0" y="0"/>
                          <a:ext cx="1295400" cy="476250"/>
                        </a:xfrm>
                        <a:prstGeom prst="rect">
                          <a:avLst/>
                        </a:prstGeom>
                        <a:solidFill>
                          <a:schemeClr val="lt1"/>
                        </a:solidFill>
                        <a:ln w="6350">
                          <a:solidFill>
                            <a:prstClr val="black"/>
                          </a:solidFill>
                        </a:ln>
                      </wps:spPr>
                      <wps:txbx>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どちらかで名称を</w:t>
                            </w:r>
                          </w:p>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決める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5.7pt;mso-position-vertical-relative:text;mso-position-horizontal-relative:margin;v-text-anchor:top;position:absolute;height:37.5pt;mso-wrap-distance-top:0pt;width:102pt;mso-wrap-distance-left:9pt;margin-left:413.9pt;z-index:4;" o:spid="_x0000_s1026" o:allowincell="t" o:allowoverlap="t" filled="t" fillcolor="#ffffff [3201]" stroked="t" strokecolor="#000000" strokeweight="0.5pt" o:spt="202" type="#_x0000_t202">
                <v:fill/>
                <v:stroke filltype="solid"/>
                <v:textbox style="layout-flow:horizontal;">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どちらかで名称を</w:t>
                      </w:r>
                    </w:p>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決める</w:t>
                      </w:r>
                    </w:p>
                  </w:txbxContent>
                </v:textbox>
                <v:imagedata o:title=""/>
                <w10:wrap type="none" anchorx="margin" anchory="text"/>
              </v:shape>
            </w:pict>
          </mc:Fallback>
        </mc:AlternateContent>
      </w:r>
    </w:p>
    <w:p>
      <w:pPr>
        <w:pStyle w:val="28"/>
        <w:shd w:val="clear" w:color="auto" w:fill="auto"/>
        <w:spacing w:after="60" w:afterLines="0" w:afterAutospacing="0"/>
        <w:ind w:left="0"/>
        <w:rPr>
          <w:rFonts w:hint="default"/>
        </w:rPr>
      </w:pPr>
      <w:r>
        <w:rPr>
          <w:rFonts w:hint="default"/>
          <w:b w:val="1"/>
        </w:rPr>
        <w:t>第１</w:t>
      </w:r>
      <w:r>
        <w:rPr>
          <w:rFonts w:hint="default"/>
          <w:b w:val="1"/>
        </w:rPr>
        <w:t xml:space="preserve"> </w:t>
      </w:r>
      <w:r>
        <w:rPr>
          <w:rFonts w:hint="default"/>
          <w:b w:val="1"/>
        </w:rPr>
        <w:t>漁業生産力の発展に関する計画の名称</w:t>
      </w:r>
    </w:p>
    <w:p>
      <w:pPr>
        <w:pStyle w:val="28"/>
        <w:shd w:val="clear" w:color="auto" w:fill="auto"/>
        <w:spacing w:after="60" w:afterLines="0" w:afterAutospacing="0"/>
        <w:ind w:left="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5728335</wp:posOffset>
                </wp:positionH>
                <wp:positionV relativeFrom="paragraph">
                  <wp:posOffset>137160</wp:posOffset>
                </wp:positionV>
                <wp:extent cx="446405" cy="202565"/>
                <wp:effectExtent l="635" t="635" r="29845" b="13335"/>
                <wp:wrapNone/>
                <wp:docPr id="1027" name="直線矢印コネクタ 2"/>
                <a:graphic xmlns:a="http://schemas.openxmlformats.org/drawingml/2006/main">
                  <a:graphicData uri="http://schemas.microsoft.com/office/word/2010/wordprocessingShape">
                    <wps:wsp>
                      <wps:cNvPr id="1027" name="直線矢印コネクタ 2"/>
                      <wps:cNvCnPr/>
                      <wps:spPr>
                        <a:xfrm flipH="1">
                          <a:off x="0" y="0"/>
                          <a:ext cx="446405" cy="202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x;mso-wrap-distance-right:9pt;mso-wrap-distance-bottom:0pt;margin-top:10.8pt;mso-position-vertical-relative:text;mso-position-horizontal-relative:margin;position:absolute;height:15.95pt;mso-wrap-distance-top:0pt;width:35.15pt;mso-wrap-distance-left:9pt;margin-left:451.05pt;z-index:2;" o:spid="_x0000_s1027" o:allowincell="t" o:allowoverlap="t" filled="f" stroked="t" strokecolor="#000000 [3200]" strokeweight="0.5pt" o:spt="32" type="#_x0000_t32">
                <v:fill/>
                <v:stroke linestyle="single" miterlimit="8" endcap="flat" dashstyle="solid" filltype="solid" endarrow="block"/>
                <v:imagedata o:title=""/>
                <w10:wrap type="none" anchorx="margin"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6108700</wp:posOffset>
                </wp:positionH>
                <wp:positionV relativeFrom="paragraph">
                  <wp:posOffset>137160</wp:posOffset>
                </wp:positionV>
                <wp:extent cx="49530" cy="516890"/>
                <wp:effectExtent l="29210" t="635" r="29845" b="10160"/>
                <wp:wrapNone/>
                <wp:docPr id="1028" name="直線矢印コネクタ 4"/>
                <a:graphic xmlns:a="http://schemas.openxmlformats.org/drawingml/2006/main">
                  <a:graphicData uri="http://schemas.microsoft.com/office/word/2010/wordprocessingShape">
                    <wps:wsp>
                      <wps:cNvPr id="1028" name="直線矢印コネクタ 4"/>
                      <wps:cNvCnPr/>
                      <wps:spPr>
                        <a:xfrm flipH="1">
                          <a:off x="0" y="0"/>
                          <a:ext cx="49530" cy="516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x;mso-wrap-distance-right:9pt;mso-wrap-distance-bottom:0pt;margin-top:10.8pt;mso-position-vertical-relative:text;mso-position-horizontal-relative:text;position:absolute;height:40.700000000000003pt;mso-wrap-distance-top:0pt;width:3.9pt;mso-wrap-distance-left:9pt;margin-left:481pt;z-index:3;" o:spid="_x0000_s1028"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default"/>
          <w:b w:val="1"/>
        </w:rPr>
        <w:t>(</w:t>
      </w:r>
      <w:r>
        <w:rPr>
          <w:rFonts w:hint="default"/>
          <w:b w:val="1"/>
        </w:rPr>
        <w:t>１</w:t>
      </w:r>
      <w:r>
        <w:rPr>
          <w:rFonts w:hint="default"/>
          <w:b w:val="1"/>
        </w:rPr>
        <w:t>)</w:t>
      </w:r>
      <w:r>
        <w:rPr>
          <w:rFonts w:hint="default"/>
          <w:b w:val="1"/>
        </w:rPr>
        <w:t>名称</w:t>
      </w:r>
    </w:p>
    <w:p>
      <w:pPr>
        <w:pStyle w:val="25"/>
        <w:shd w:val="clear" w:color="auto" w:fill="auto"/>
        <w:spacing w:after="60" w:afterLines="0" w:afterAutospacing="0"/>
        <w:ind w:left="220" w:firstLine="240" w:firstLineChars="100"/>
        <w:jc w:val="left"/>
        <w:rPr>
          <w:rFonts w:hint="default"/>
        </w:rPr>
      </w:pPr>
      <w:r>
        <w:rPr>
          <w:rFonts w:hint="default"/>
        </w:rPr>
        <w:t>○○</w:t>
      </w:r>
      <w:r>
        <w:rPr>
          <w:rFonts w:hint="default"/>
        </w:rPr>
        <w:t>漁業協同組合</w:t>
      </w:r>
      <w:r>
        <w:rPr>
          <w:rFonts w:hint="eastAsia"/>
        </w:rPr>
        <w:t>共同</w:t>
      </w:r>
      <w:r>
        <w:rPr>
          <w:rFonts w:hint="default"/>
        </w:rPr>
        <w:t>漁業権に関する</w:t>
      </w:r>
      <w:r>
        <w:rPr>
          <w:rFonts w:hint="eastAsia"/>
        </w:rPr>
        <w:t>増殖及び</w:t>
      </w:r>
      <w:r>
        <w:rPr>
          <w:rFonts w:hint="default"/>
        </w:rPr>
        <w:t>漁業生産力の発展に関する計画</w:t>
      </w:r>
    </w:p>
    <w:p>
      <w:pPr>
        <w:pStyle w:val="25"/>
        <w:shd w:val="clear" w:color="auto" w:fill="auto"/>
        <w:spacing w:after="60" w:afterLines="0" w:afterAutospacing="0"/>
        <w:ind w:left="220" w:firstLine="20"/>
        <w:jc w:val="left"/>
        <w:rPr>
          <w:rFonts w:hint="default"/>
          <w:u w:val="double" w:color="auto"/>
        </w:rPr>
      </w:pPr>
      <w:r>
        <w:rPr>
          <w:rFonts w:hint="default"/>
          <w:u w:val="double" w:color="auto"/>
        </w:rPr>
        <w:t>又は</w:t>
      </w:r>
    </w:p>
    <w:p>
      <w:pPr>
        <w:pStyle w:val="25"/>
        <w:shd w:val="clear" w:color="auto" w:fill="auto"/>
        <w:spacing w:after="60" w:afterLines="0" w:afterAutospacing="0"/>
        <w:ind w:left="220" w:firstLine="240" w:firstLineChars="100"/>
        <w:jc w:val="left"/>
        <w:rPr>
          <w:rFonts w:hint="default"/>
        </w:rPr>
      </w:pPr>
      <w:r>
        <w:rPr>
          <w:rFonts w:hint="default"/>
        </w:rPr>
        <w:t>○○</w:t>
      </w:r>
      <w:r>
        <w:rPr>
          <w:rFonts w:hint="default"/>
        </w:rPr>
        <w:t>漁業協同組合が有する</w:t>
      </w:r>
      <w:r>
        <w:rPr>
          <w:rFonts w:hint="eastAsia"/>
        </w:rPr>
        <w:t>共同</w:t>
      </w:r>
      <w:r>
        <w:rPr>
          <w:rFonts w:hint="default"/>
        </w:rPr>
        <w:t>漁業権に関する</w:t>
      </w:r>
      <w:r>
        <w:rPr>
          <w:rFonts w:hint="eastAsia"/>
        </w:rPr>
        <w:t>増殖及び</w:t>
      </w:r>
      <w:r>
        <w:rPr>
          <w:rFonts w:hint="default"/>
        </w:rPr>
        <w:t>漁業生産力の発展に関する計画</w:t>
      </w:r>
    </w:p>
    <w:p>
      <w:pPr>
        <w:pStyle w:val="25"/>
        <w:shd w:val="clear" w:color="auto" w:fill="auto"/>
        <w:spacing w:after="60" w:afterLines="0" w:afterAutospacing="0"/>
        <w:ind w:left="220" w:firstLine="20"/>
        <w:jc w:val="left"/>
        <w:rPr>
          <w:rFonts w:hint="default"/>
        </w:rPr>
      </w:pPr>
    </w:p>
    <w:p>
      <w:pPr>
        <w:pStyle w:val="28"/>
        <w:shd w:val="clear" w:color="auto" w:fill="auto"/>
        <w:spacing w:after="60" w:afterLines="0" w:afterAutospacing="0"/>
        <w:ind w:left="0"/>
        <w:rPr>
          <w:rFonts w:hint="default"/>
          <w:b w:val="1"/>
        </w:rPr>
      </w:pPr>
      <w:r>
        <w:rPr>
          <w:rFonts w:hint="default"/>
          <w:b w:val="1"/>
        </w:rPr>
        <w:t>(</w:t>
      </w:r>
      <w:r>
        <w:rPr>
          <w:rFonts w:hint="default"/>
          <w:b w:val="1"/>
        </w:rPr>
        <w:t>２</w:t>
      </w:r>
      <w:r>
        <w:rPr>
          <w:rFonts w:hint="default"/>
          <w:b w:val="1"/>
        </w:rPr>
        <w:t>)</w:t>
      </w:r>
      <w:r>
        <w:rPr>
          <w:rFonts w:hint="default"/>
          <w:b w:val="1"/>
        </w:rPr>
        <w:t>対象となる漁業権</w:t>
      </w:r>
    </w:p>
    <w:p>
      <w:pPr>
        <w:pStyle w:val="33"/>
        <w:ind w:firstLine="480" w:firstLineChars="200"/>
        <w:rPr>
          <w:rFonts w:hint="default" w:ascii="ＭＳ 明朝" w:hAnsi="ＭＳ 明朝" w:eastAsia="ＭＳ 明朝"/>
        </w:rPr>
      </w:pPr>
      <w:r>
        <w:rPr>
          <w:rFonts w:hint="eastAsia" w:ascii="ＭＳ 明朝" w:hAnsi="ＭＳ 明朝" w:eastAsia="ＭＳ 明朝"/>
        </w:rPr>
        <w:t>第５〇〇号第５種共同漁業</w:t>
      </w:r>
    </w:p>
    <w:p>
      <w:pPr>
        <w:pStyle w:val="33"/>
        <w:ind w:firstLine="480" w:firstLineChars="200"/>
        <w:rPr>
          <w:rFonts w:hint="default"/>
        </w:rPr>
      </w:pPr>
    </w:p>
    <w:p>
      <w:pPr>
        <w:pStyle w:val="28"/>
        <w:shd w:val="clear" w:color="auto" w:fill="auto"/>
        <w:spacing w:after="60" w:afterLines="0" w:afterAutospacing="0"/>
        <w:ind w:left="0"/>
        <w:rPr>
          <w:rFonts w:hint="default"/>
        </w:rPr>
      </w:pPr>
      <w:r>
        <w:rPr>
          <w:rFonts w:hint="default"/>
          <w:b w:val="1"/>
        </w:rPr>
        <w:t>第２</w:t>
      </w:r>
      <w:r>
        <w:rPr>
          <w:rFonts w:hint="default"/>
          <w:b w:val="1"/>
        </w:rPr>
        <w:t xml:space="preserve"> </w:t>
      </w:r>
      <w:r>
        <w:rPr>
          <w:rFonts w:hint="default"/>
          <w:b w:val="1"/>
        </w:rPr>
        <w:t>漁業生産力の発展に関する計画の目標及び方法</w:t>
      </w:r>
      <w:r>
        <w:rPr>
          <w:rFonts w:hint="default"/>
          <w:b w:val="1"/>
        </w:rPr>
        <w:t>(</w:t>
      </w:r>
      <w:r>
        <w:rPr>
          <w:rFonts w:hint="default"/>
          <w:b w:val="1"/>
        </w:rPr>
        <w:t>生産の合理化、法人の設立等</w:t>
      </w:r>
      <w:r>
        <w:rPr>
          <w:rFonts w:hint="default"/>
          <w:b w:val="1"/>
        </w:rPr>
        <w:t>)</w:t>
      </w:r>
    </w:p>
    <w:p>
      <w:pPr>
        <w:pStyle w:val="25"/>
        <w:shd w:val="clear" w:color="auto" w:fill="auto"/>
        <w:spacing w:after="60" w:afterLines="0" w:afterAutospacing="0"/>
        <w:ind w:left="680" w:firstLine="20"/>
        <w:jc w:val="left"/>
        <w:rPr>
          <w:rFonts w:hint="default"/>
        </w:rPr>
      </w:pPr>
      <w:r>
        <w:rPr>
          <w:rFonts w:hint="default"/>
        </w:rPr>
        <w:t>以下の項目を実施する。</w:t>
      </w:r>
    </w:p>
    <w:p>
      <w:pPr>
        <w:pStyle w:val="25"/>
        <w:shd w:val="clear" w:color="auto" w:fill="auto"/>
        <w:spacing w:after="60" w:afterLines="0" w:afterAutospacing="0"/>
        <w:ind w:firstLine="360" w:firstLineChars="150"/>
        <w:jc w:val="left"/>
        <w:rPr>
          <w:rFonts w:hint="default"/>
        </w:rPr>
      </w:pPr>
      <w:r>
        <w:rPr>
          <w:rFonts w:hint="default"/>
        </w:rPr>
        <w:t>・</w:t>
      </w:r>
      <w:r>
        <w:rPr>
          <w:rFonts w:hint="default"/>
        </w:rPr>
        <w:t xml:space="preserve"> </w:t>
      </w:r>
      <w:r>
        <w:rPr>
          <w:rFonts w:hint="eastAsia"/>
        </w:rPr>
        <w:t>毎年度、内水面漁場管理委員会から示される目標増殖量に基づく増殖事業を行う</w:t>
      </w:r>
    </w:p>
    <w:p>
      <w:pPr>
        <w:pStyle w:val="25"/>
        <w:shd w:val="clear" w:color="auto" w:fill="auto"/>
        <w:spacing w:after="60" w:afterLines="0" w:afterAutospacing="0"/>
        <w:ind w:firstLine="360" w:firstLineChars="150"/>
        <w:jc w:val="left"/>
        <w:rPr>
          <w:rFonts w:hint="default"/>
        </w:rPr>
      </w:pPr>
      <w:r>
        <w:rPr>
          <w:rFonts w:hint="default"/>
        </w:rPr>
        <w:t>・</w:t>
      </w:r>
      <w:r>
        <w:rPr>
          <w:rFonts w:hint="default"/>
        </w:rPr>
        <w:t xml:space="preserve"> </w:t>
      </w:r>
      <w:r>
        <w:rPr>
          <w:rFonts w:hint="eastAsia"/>
        </w:rPr>
        <w:t>漁場管理の徹底、遊漁料収入の確保等のため、効率的な漁場巡回指導を行う</w:t>
      </w:r>
    </w:p>
    <w:p>
      <w:pPr>
        <w:pStyle w:val="25"/>
        <w:shd w:val="clear" w:color="auto" w:fill="auto"/>
        <w:spacing w:after="60" w:afterLines="0" w:afterAutospacing="0"/>
        <w:ind w:firstLine="360" w:firstLineChars="150"/>
        <w:jc w:val="left"/>
        <w:rPr>
          <w:rFonts w:hint="default"/>
        </w:rPr>
      </w:pPr>
      <w:r>
        <w:rPr>
          <w:rFonts w:hint="eastAsia"/>
        </w:rPr>
        <w:t>・</w:t>
      </w:r>
      <w:r>
        <w:rPr>
          <w:rFonts w:hint="eastAsia"/>
        </w:rPr>
        <w:t xml:space="preserve"> </w:t>
      </w:r>
      <w:r>
        <w:rPr>
          <w:rFonts w:hint="eastAsia"/>
        </w:rPr>
        <w:t>将来の組合員や遊漁者の増加につながるよう、子どもを対象につり教室等を実施し、</w:t>
      </w:r>
    </w:p>
    <w:p>
      <w:pPr>
        <w:pStyle w:val="25"/>
        <w:shd w:val="clear" w:color="auto" w:fill="auto"/>
        <w:spacing w:after="60" w:afterLines="0" w:afterAutospacing="0"/>
        <w:ind w:left="0" w:leftChars="0" w:firstLine="720" w:firstLineChars="300"/>
        <w:jc w:val="left"/>
        <w:rPr>
          <w:rFonts w:hint="default"/>
        </w:rPr>
      </w:pPr>
      <w:r>
        <w:rPr>
          <w:rFonts w:hint="eastAsia"/>
        </w:rPr>
        <w:t>川に親しむ機会を作る</w:t>
      </w:r>
    </w:p>
    <w:p>
      <w:pPr>
        <w:pStyle w:val="25"/>
        <w:shd w:val="clear" w:color="auto" w:fill="auto"/>
        <w:spacing w:after="60" w:afterLines="0" w:afterAutospacing="0"/>
        <w:ind w:left="0" w:leftChars="0" w:firstLine="720" w:firstLineChars="300"/>
        <w:jc w:val="left"/>
        <w:rPr>
          <w:rFonts w:hint="default"/>
        </w:rPr>
      </w:pPr>
    </w:p>
    <w:p>
      <w:pPr>
        <w:pStyle w:val="28"/>
        <w:shd w:val="clear" w:color="auto" w:fill="auto"/>
        <w:spacing w:after="60" w:afterLines="0" w:afterAutospacing="0"/>
        <w:ind w:left="0"/>
        <w:rPr>
          <w:rFonts w:hint="default"/>
        </w:rPr>
      </w:pPr>
      <w:r>
        <w:rPr>
          <w:rFonts w:hint="default"/>
          <w:b w:val="1"/>
        </w:rPr>
        <w:t>第３</w:t>
      </w:r>
      <w:r>
        <w:rPr>
          <w:rFonts w:hint="default"/>
          <w:b w:val="1"/>
        </w:rPr>
        <w:t xml:space="preserve"> </w:t>
      </w:r>
      <w:r>
        <w:rPr>
          <w:rFonts w:hint="default"/>
          <w:b w:val="1"/>
        </w:rPr>
        <w:t>漁業生産力の発展に関する計画の実施予定期間</w:t>
      </w:r>
    </w:p>
    <w:p>
      <w:pPr>
        <w:pStyle w:val="25"/>
        <w:shd w:val="clear" w:color="auto" w:fill="auto"/>
        <w:spacing w:after="360" w:afterLines="0" w:afterAutospacing="0"/>
        <w:ind w:left="680" w:firstLine="20"/>
        <w:jc w:val="left"/>
        <w:rPr>
          <w:rFonts w:hint="default"/>
        </w:rPr>
      </w:pPr>
      <w:r>
        <w:rPr>
          <w:rFonts w:hint="default" w:eastAsia="ＭＳ ゴシック"/>
          <w:b w:val="1"/>
        </w:rPr>
        <mc:AlternateContent>
          <mc:Choice Requires="wps">
            <w:drawing>
              <wp:anchor distT="0" distB="0" distL="114300" distR="114300" simplePos="0" relativeHeight="5" behindDoc="0" locked="0" layoutInCell="1" hidden="0" allowOverlap="1">
                <wp:simplePos x="0" y="0"/>
                <wp:positionH relativeFrom="margin">
                  <wp:posOffset>1565275</wp:posOffset>
                </wp:positionH>
                <wp:positionV relativeFrom="paragraph">
                  <wp:posOffset>410845</wp:posOffset>
                </wp:positionV>
                <wp:extent cx="4543425" cy="581025"/>
                <wp:effectExtent l="342900" t="162560" r="29845" b="10795"/>
                <wp:wrapNone/>
                <wp:docPr id="1029" name="角丸四角形吹き出し 1"/>
                <a:graphic xmlns:a="http://schemas.openxmlformats.org/drawingml/2006/main">
                  <a:graphicData uri="http://schemas.microsoft.com/office/word/2010/wordprocessingShape">
                    <wps:wsp>
                      <wps:cNvPr id="1029" name="角丸四角形吹き出し 1"/>
                      <wps:cNvSpPr/>
                      <wps:spPr>
                        <a:xfrm>
                          <a:off x="0" y="0"/>
                          <a:ext cx="4543425" cy="581025"/>
                        </a:xfrm>
                        <a:prstGeom prst="wedgeRoundRectCallout">
                          <a:avLst>
                            <a:gd name="adj1" fmla="val -57485"/>
                            <a:gd name="adj2" fmla="val -7779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初回の</w:t>
                            </w:r>
                            <w:r>
                              <w:rPr>
                                <w:rFonts w:hint="default" w:ascii="ＭＳ ゴシック" w:hAnsi="ＭＳ ゴシック" w:eastAsia="ＭＳ ゴシック"/>
                                <w:b w:val="1"/>
                                <w:sz w:val="21"/>
                              </w:rPr>
                              <w:t>始期は、</w:t>
                            </w:r>
                            <w:r>
                              <w:rPr>
                                <w:rFonts w:hint="eastAsia" w:ascii="ＭＳ ゴシック" w:hAnsi="ＭＳ ゴシック" w:eastAsia="ＭＳ ゴシック"/>
                                <w:b w:val="1"/>
                                <w:sz w:val="21"/>
                              </w:rPr>
                              <w:t>「当</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を総会</w:t>
                            </w:r>
                            <w:r>
                              <w:rPr>
                                <w:rFonts w:hint="default" w:ascii="ＭＳ ゴシック" w:hAnsi="ＭＳ ゴシック" w:eastAsia="ＭＳ ゴシック"/>
                                <w:b w:val="1"/>
                                <w:sz w:val="21"/>
                              </w:rPr>
                              <w:t>等で決議</w:t>
                            </w:r>
                            <w:r>
                              <w:rPr>
                                <w:rFonts w:hint="eastAsia" w:ascii="ＭＳ ゴシック" w:hAnsi="ＭＳ ゴシック" w:eastAsia="ＭＳ ゴシック"/>
                                <w:b w:val="1"/>
                                <w:sz w:val="21"/>
                              </w:rPr>
                              <w:t>した日」</w:t>
                            </w:r>
                            <w:r>
                              <w:rPr>
                                <w:rFonts w:hint="default" w:ascii="ＭＳ ゴシック" w:hAnsi="ＭＳ ゴシック" w:eastAsia="ＭＳ ゴシック"/>
                                <w:b w:val="1"/>
                                <w:sz w:val="21"/>
                              </w:rPr>
                              <w:t>以降の日付になる。</w:t>
                            </w:r>
                          </w:p>
                          <w:p>
                            <w:pPr>
                              <w:pStyle w:val="0"/>
                              <w:rPr>
                                <w:rFonts w:hint="default"/>
                              </w:rPr>
                            </w:pPr>
                            <w:r>
                              <w:rPr>
                                <w:rFonts w:hint="eastAsia" w:ascii="ＭＳ ゴシック" w:hAnsi="ＭＳ ゴシック" w:eastAsia="ＭＳ ゴシック"/>
                                <w:b w:val="1"/>
                                <w:sz w:val="21"/>
                              </w:rPr>
                              <w:t>その次の</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の</w:t>
                            </w:r>
                            <w:r>
                              <w:rPr>
                                <w:rFonts w:hint="default" w:ascii="ＭＳ ゴシック" w:hAnsi="ＭＳ ゴシック" w:eastAsia="ＭＳ ゴシック"/>
                                <w:b w:val="1"/>
                                <w:sz w:val="21"/>
                              </w:rPr>
                              <w:t>始期は、「令和５年９月１日」</w:t>
                            </w:r>
                            <w:r>
                              <w:rPr>
                                <w:rFonts w:hint="eastAsia" w:ascii="ＭＳ ゴシック" w:hAnsi="ＭＳ ゴシック" w:eastAsia="ＭＳ ゴシック"/>
                                <w:b w:val="1"/>
                                <w:sz w:val="2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style="mso-wrap-distance-right:9pt;mso-wrap-distance-bottom:0pt;margin-top:32.35pt;mso-position-vertical-relative:text;mso-position-horizontal-relative:margin;v-text-anchor:middle;position:absolute;height:45.75pt;mso-wrap-distance-top:0pt;width:357.75pt;mso-wrap-distance-left:9pt;margin-left:123.25pt;z-index:5;" o:spid="_x0000_s1029" o:allowincell="t" o:allowoverlap="t" filled="t" fillcolor="#ffffff [3201]" stroked="t" strokecolor="#000000 [3213]" strokeweight="1pt" o:spt="62" type="#_x0000_t62" adj="-1617,-6004">
                <v:fill/>
                <v:stroke linestyle="single" miterlimit="8" endcap="flat" dashstyle="solid" filltype="solid"/>
                <v:textbox style="layout-flow:horizontal;">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初回の</w:t>
                      </w:r>
                      <w:r>
                        <w:rPr>
                          <w:rFonts w:hint="default" w:ascii="ＭＳ ゴシック" w:hAnsi="ＭＳ ゴシック" w:eastAsia="ＭＳ ゴシック"/>
                          <w:b w:val="1"/>
                          <w:sz w:val="21"/>
                        </w:rPr>
                        <w:t>始期は、</w:t>
                      </w:r>
                      <w:r>
                        <w:rPr>
                          <w:rFonts w:hint="eastAsia" w:ascii="ＭＳ ゴシック" w:hAnsi="ＭＳ ゴシック" w:eastAsia="ＭＳ ゴシック"/>
                          <w:b w:val="1"/>
                          <w:sz w:val="21"/>
                        </w:rPr>
                        <w:t>「当</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を総会</w:t>
                      </w:r>
                      <w:r>
                        <w:rPr>
                          <w:rFonts w:hint="default" w:ascii="ＭＳ ゴシック" w:hAnsi="ＭＳ ゴシック" w:eastAsia="ＭＳ ゴシック"/>
                          <w:b w:val="1"/>
                          <w:sz w:val="21"/>
                        </w:rPr>
                        <w:t>等で決議</w:t>
                      </w:r>
                      <w:r>
                        <w:rPr>
                          <w:rFonts w:hint="eastAsia" w:ascii="ＭＳ ゴシック" w:hAnsi="ＭＳ ゴシック" w:eastAsia="ＭＳ ゴシック"/>
                          <w:b w:val="1"/>
                          <w:sz w:val="21"/>
                        </w:rPr>
                        <w:t>した日」</w:t>
                      </w:r>
                      <w:r>
                        <w:rPr>
                          <w:rFonts w:hint="default" w:ascii="ＭＳ ゴシック" w:hAnsi="ＭＳ ゴシック" w:eastAsia="ＭＳ ゴシック"/>
                          <w:b w:val="1"/>
                          <w:sz w:val="21"/>
                        </w:rPr>
                        <w:t>以降の日付になる。</w:t>
                      </w:r>
                    </w:p>
                    <w:p>
                      <w:pPr>
                        <w:pStyle w:val="0"/>
                        <w:rPr>
                          <w:rFonts w:hint="default"/>
                        </w:rPr>
                      </w:pPr>
                      <w:r>
                        <w:rPr>
                          <w:rFonts w:hint="eastAsia" w:ascii="ＭＳ ゴシック" w:hAnsi="ＭＳ ゴシック" w:eastAsia="ＭＳ ゴシック"/>
                          <w:b w:val="1"/>
                          <w:sz w:val="21"/>
                        </w:rPr>
                        <w:t>その次の</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の</w:t>
                      </w:r>
                      <w:r>
                        <w:rPr>
                          <w:rFonts w:hint="default" w:ascii="ＭＳ ゴシック" w:hAnsi="ＭＳ ゴシック" w:eastAsia="ＭＳ ゴシック"/>
                          <w:b w:val="1"/>
                          <w:sz w:val="21"/>
                        </w:rPr>
                        <w:t>始期は、「令和５年９月１日」</w:t>
                      </w:r>
                      <w:r>
                        <w:rPr>
                          <w:rFonts w:hint="eastAsia" w:ascii="ＭＳ ゴシック" w:hAnsi="ＭＳ ゴシック" w:eastAsia="ＭＳ ゴシック"/>
                          <w:b w:val="1"/>
                          <w:sz w:val="21"/>
                        </w:rPr>
                        <w:t>。</w:t>
                      </w:r>
                    </w:p>
                  </w:txbxContent>
                </v:textbox>
                <v:imagedata o:title=""/>
                <w10:wrap type="none" anchorx="margin" anchory="text"/>
              </v:shape>
            </w:pict>
          </mc:Fallback>
        </mc:AlternateContent>
      </w:r>
      <w:r>
        <w:rPr>
          <w:rFonts w:hint="eastAsia"/>
        </w:rPr>
        <w:t>令和〇</w:t>
      </w:r>
      <w:r>
        <w:rPr>
          <w:rFonts w:hint="default"/>
        </w:rPr>
        <w:t>年</w:t>
      </w:r>
      <w:r>
        <w:rPr>
          <w:rFonts w:hint="default"/>
        </w:rPr>
        <w:t>○</w:t>
      </w:r>
      <w:r>
        <w:rPr>
          <w:rFonts w:hint="default"/>
        </w:rPr>
        <w:t>月</w:t>
      </w:r>
      <w:r>
        <w:rPr>
          <w:rFonts w:hint="default"/>
        </w:rPr>
        <w:t>○</w:t>
      </w:r>
      <w:r>
        <w:rPr>
          <w:rFonts w:hint="default"/>
        </w:rPr>
        <w:t>日～</w:t>
      </w:r>
      <w:r>
        <w:rPr>
          <w:rFonts w:hint="eastAsia"/>
        </w:rPr>
        <w:t>令和５</w:t>
      </w:r>
      <w:r>
        <w:rPr>
          <w:rFonts w:hint="default"/>
        </w:rPr>
        <w:t>年</w:t>
      </w:r>
      <w:r>
        <w:rPr>
          <w:rFonts w:hint="eastAsia"/>
        </w:rPr>
        <w:t>８</w:t>
      </w:r>
      <w:r>
        <w:rPr>
          <w:rFonts w:hint="default"/>
        </w:rPr>
        <w:t>月</w:t>
      </w:r>
      <w:r>
        <w:rPr>
          <w:rFonts w:hint="eastAsia"/>
        </w:rPr>
        <w:t>３１</w:t>
      </w:r>
      <w:r>
        <w:rPr>
          <w:rFonts w:hint="default"/>
        </w:rPr>
        <w:t>日</w:t>
      </w:r>
      <w:r>
        <w:rPr>
          <w:rFonts w:hint="default"/>
        </w:rPr>
        <w:t>(</w:t>
      </w:r>
      <w:r>
        <w:rPr>
          <w:rFonts w:hint="default"/>
        </w:rPr>
        <w:t>免許期間</w:t>
      </w:r>
      <w:r>
        <w:rPr>
          <w:rFonts w:hint="default"/>
        </w:rPr>
        <w:t>)</w:t>
      </w:r>
    </w:p>
    <w:p>
      <w:pPr>
        <w:pStyle w:val="25"/>
        <w:shd w:val="clear" w:color="auto" w:fill="auto"/>
        <w:spacing w:after="360" w:afterLines="0" w:afterAutospacing="0"/>
        <w:ind w:left="680" w:firstLine="20"/>
        <w:jc w:val="left"/>
        <w:rPr>
          <w:rFonts w:hint="default"/>
        </w:rPr>
      </w:pPr>
      <w:r>
        <w:rPr>
          <w:rFonts w:hint="eastAsia"/>
        </w:rPr>
        <w:t>　　　　</w:t>
      </w:r>
    </w:p>
    <w:p>
      <w:pPr>
        <w:pStyle w:val="28"/>
        <w:shd w:val="clear" w:color="auto" w:fill="auto"/>
        <w:spacing w:after="60" w:afterLines="0" w:afterAutospacing="0"/>
        <w:ind w:left="0"/>
        <w:rPr>
          <w:rFonts w:hint="default"/>
        </w:rPr>
      </w:pPr>
      <w:r>
        <w:rPr>
          <w:rFonts w:hint="default"/>
          <w:b w:val="1"/>
        </w:rPr>
        <w:t>第４</w:t>
      </w:r>
      <w:r>
        <w:rPr>
          <w:rFonts w:hint="default"/>
          <w:b w:val="1"/>
        </w:rPr>
        <w:t xml:space="preserve"> </w:t>
      </w:r>
      <w:r>
        <w:rPr>
          <w:rFonts w:hint="default"/>
          <w:b w:val="1"/>
        </w:rPr>
        <w:t>その他</w:t>
      </w:r>
    </w:p>
    <w:p>
      <w:pPr>
        <w:pStyle w:val="28"/>
        <w:shd w:val="clear" w:color="auto" w:fill="auto"/>
        <w:spacing w:after="60" w:afterLines="0" w:afterAutospacing="0"/>
        <w:ind w:left="0"/>
        <w:rPr>
          <w:rFonts w:hint="default"/>
        </w:rPr>
      </w:pPr>
      <w:r>
        <w:rPr>
          <w:rFonts w:hint="default"/>
          <w:b w:val="1"/>
        </w:rPr>
        <w:t>(</w:t>
      </w:r>
      <w:r>
        <w:rPr>
          <w:rFonts w:hint="default"/>
          <w:b w:val="1"/>
        </w:rPr>
        <w:t>１</w:t>
      </w:r>
      <w:r>
        <w:rPr>
          <w:rFonts w:hint="default"/>
          <w:b w:val="1"/>
        </w:rPr>
        <w:t>)</w:t>
      </w:r>
      <w:r>
        <w:rPr>
          <w:rFonts w:hint="default"/>
          <w:b w:val="1"/>
        </w:rPr>
        <w:t>計画の点検</w:t>
      </w:r>
    </w:p>
    <w:p>
      <w:pPr>
        <w:pStyle w:val="25"/>
        <w:shd w:val="clear" w:color="auto" w:fill="auto"/>
        <w:spacing w:after="60" w:afterLines="0" w:afterAutospacing="0"/>
        <w:ind w:left="240" w:leftChars="100" w:firstLine="240" w:firstLineChars="100"/>
        <w:jc w:val="left"/>
        <w:rPr>
          <w:rFonts w:hint="default"/>
        </w:rPr>
      </w:pPr>
      <w:r>
        <w:rPr>
          <w:rFonts w:hint="default"/>
        </w:rPr>
        <w:t>総会</w:t>
      </w:r>
      <w:r>
        <w:rPr>
          <w:rFonts w:hint="default"/>
        </w:rPr>
        <w:t>(</w:t>
      </w:r>
      <w:r>
        <w:rPr>
          <w:rFonts w:hint="default"/>
        </w:rPr>
        <w:t>総代会、部会、理事会その他これに準ずる意思決定機関でも可</w:t>
      </w:r>
      <w:r>
        <w:rPr>
          <w:rFonts w:hint="default"/>
        </w:rPr>
        <w:t>)</w:t>
      </w:r>
      <w:r>
        <w:rPr>
          <w:rFonts w:hint="default"/>
        </w:rPr>
        <w:t>において、１回／年以上、当該計画の履行状況の確認や妥当性の評価を行うとともに、必要に応じて見直しを行う。</w:t>
      </w:r>
    </w:p>
    <w:p>
      <w:pPr>
        <w:pStyle w:val="28"/>
        <w:shd w:val="clear" w:color="auto" w:fill="auto"/>
        <w:spacing w:after="60" w:afterLines="0" w:afterAutospacing="0"/>
        <w:ind w:left="0"/>
        <w:rPr>
          <w:rFonts w:hint="default"/>
        </w:rPr>
      </w:pPr>
      <w:r>
        <w:rPr>
          <w:rFonts w:hint="default"/>
          <w:b w:val="1"/>
        </w:rPr>
        <w:t>(</w:t>
      </w:r>
      <w:r>
        <w:rPr>
          <w:rFonts w:hint="default"/>
          <w:b w:val="1"/>
        </w:rPr>
        <w:t>２</w:t>
      </w:r>
      <w:r>
        <w:rPr>
          <w:rFonts w:hint="default"/>
          <w:b w:val="1"/>
        </w:rPr>
        <w:t>)</w:t>
      </w:r>
      <w:r>
        <w:rPr>
          <w:rFonts w:hint="eastAsia"/>
          <w:b w:val="1"/>
        </w:rPr>
        <w:t>高知</w:t>
      </w:r>
      <w:r>
        <w:rPr>
          <w:rFonts w:hint="default"/>
          <w:b w:val="1"/>
        </w:rPr>
        <w:t>県との連携</w:t>
      </w:r>
    </w:p>
    <w:p>
      <w:pPr>
        <w:pStyle w:val="25"/>
        <w:shd w:val="clear" w:color="auto" w:fill="auto"/>
        <w:spacing w:after="60" w:afterLines="0" w:afterAutospacing="0"/>
        <w:ind w:firstLine="480" w:firstLineChars="200"/>
        <w:jc w:val="left"/>
        <w:rPr>
          <w:rFonts w:hint="default"/>
        </w:rPr>
      </w:pPr>
      <w:r>
        <w:rPr>
          <w:rFonts w:hint="default"/>
        </w:rPr>
        <w:t>(</w:t>
      </w:r>
      <w:r>
        <w:rPr>
          <w:rFonts w:hint="default"/>
        </w:rPr>
        <w:t>１</w:t>
      </w:r>
      <w:r>
        <w:rPr>
          <w:rFonts w:hint="default"/>
        </w:rPr>
        <w:t>)</w:t>
      </w:r>
      <w:r>
        <w:rPr>
          <w:rFonts w:hint="default"/>
        </w:rPr>
        <w:t>の点検結果については、１回／年以上</w:t>
      </w:r>
      <w:r>
        <w:rPr>
          <w:rFonts w:hint="eastAsia"/>
        </w:rPr>
        <w:t>、高知</w:t>
      </w:r>
      <w:r>
        <w:rPr>
          <w:rFonts w:hint="default"/>
        </w:rPr>
        <w:t>県知事に提出する。</w:t>
      </w:r>
    </w:p>
    <w:p>
      <w:pPr>
        <w:pStyle w:val="28"/>
        <w:shd w:val="clear" w:color="auto" w:fill="auto"/>
        <w:spacing w:after="60" w:afterLines="0" w:afterAutospacing="0"/>
        <w:ind w:left="0"/>
        <w:rPr>
          <w:rFonts w:hint="default"/>
          <w:b w:val="1"/>
        </w:rPr>
      </w:pPr>
      <w:r>
        <w:rPr>
          <w:rFonts w:hint="default"/>
          <w:b w:val="1"/>
        </w:rPr>
        <w:t>(</w:t>
      </w:r>
      <w:r>
        <w:rPr>
          <w:rFonts w:hint="default"/>
          <w:b w:val="1"/>
        </w:rPr>
        <w:t>３</w:t>
      </w:r>
      <w:r>
        <w:rPr>
          <w:rFonts w:hint="default"/>
          <w:b w:val="1"/>
        </w:rPr>
        <w:t>)</w:t>
      </w:r>
      <w:r>
        <w:rPr>
          <w:rFonts w:hint="default"/>
          <w:b w:val="1"/>
        </w:rPr>
        <w:t>関係機関等との連携</w:t>
      </w:r>
    </w:p>
    <w:p>
      <w:pPr>
        <w:pStyle w:val="28"/>
        <w:shd w:val="clear" w:color="auto" w:fill="auto"/>
        <w:spacing w:after="60" w:afterLines="0" w:afterAutospacing="0"/>
        <w:ind w:left="0"/>
        <w:rPr>
          <w:rFonts w:hint="default"/>
        </w:rPr>
      </w:pPr>
      <w:r>
        <w:rPr>
          <w:rFonts w:hint="eastAsia"/>
          <w:b w:val="1"/>
        </w:rPr>
        <w:t>　　</w:t>
      </w:r>
      <w:r>
        <w:rPr>
          <w:rFonts w:hint="eastAsia"/>
        </w:rPr>
        <w:t>当該計画については、地方公共団体、漁業関係団体等に助言等を求めることがで</w:t>
      </w:r>
    </w:p>
    <w:p>
      <w:pPr>
        <w:pStyle w:val="28"/>
        <w:shd w:val="clear" w:color="auto" w:fill="auto"/>
        <w:spacing w:after="60" w:afterLines="0" w:afterAutospacing="0"/>
        <w:ind w:left="0" w:firstLine="240" w:firstLineChars="100"/>
        <w:rPr>
          <w:rFonts w:hint="default"/>
        </w:rPr>
      </w:pPr>
      <w:r>
        <w:rPr>
          <w:rFonts w:hint="eastAsia"/>
        </w:rPr>
        <w:t>きる。</w:t>
      </w:r>
    </w:p>
    <w:p>
      <w:pPr>
        <w:pStyle w:val="0"/>
        <w:rPr>
          <w:rFonts w:hint="default" w:ascii="ＭＳ 明朝" w:hAnsi="ＭＳ 明朝" w:eastAsia="ＭＳ 明朝"/>
        </w:rPr>
      </w:pPr>
      <w:r>
        <w:rPr>
          <w:rFonts w:hint="default"/>
        </w:rPr>
        <w:br w:type="page"/>
      </w:r>
    </w:p>
    <w:p>
      <w:pPr>
        <w:rPr>
          <w:rFonts w:hint="default"/>
        </w:rPr>
        <w:sectPr>
          <w:headerReference r:id="rId6" w:type="even"/>
          <w:headerReference r:id="rId7" w:type="default"/>
          <w:footerReference r:id="rId9" w:type="even"/>
          <w:footerReference r:id="rId10" w:type="default"/>
          <w:headerReference r:id="rId5" w:type="first"/>
          <w:footerReference r:id="rId8" w:type="first"/>
          <w:pgSz w:w="11900" w:h="16840"/>
          <w:pgMar w:top="1134" w:right="1020" w:bottom="851" w:left="1020" w:header="0" w:footer="6" w:gutter="0"/>
          <w:pgNumType w:start="1"/>
          <w:cols w:space="720"/>
          <w:noEndnote w:val="1"/>
          <w:titlePg w:val="1"/>
          <w:textDirection w:val="lrTb"/>
          <w:docGrid w:linePitch="360"/>
        </w:sectPr>
      </w:pPr>
    </w:p>
    <w:p>
      <w:pPr>
        <w:pStyle w:val="33"/>
        <w:jc w:val="center"/>
        <w:rPr>
          <w:rFonts w:hint="default" w:eastAsia="ＭＳ ゴシック"/>
          <w:b w:val="1"/>
        </w:rPr>
      </w:pPr>
    </w:p>
    <w:p>
      <w:pPr>
        <w:pStyle w:val="33"/>
        <w:jc w:val="center"/>
        <w:rPr>
          <w:rFonts w:hint="default" w:eastAsia="ＭＳ ゴシック"/>
          <w:b w:val="1"/>
        </w:rPr>
      </w:pPr>
    </w:p>
    <w:p>
      <w:pPr>
        <w:pStyle w:val="33"/>
        <w:jc w:val="center"/>
        <w:rPr>
          <w:rFonts w:hint="default" w:eastAsia="ＭＳ ゴシック"/>
          <w:b w:val="1"/>
        </w:rPr>
      </w:pPr>
      <w:r>
        <w:rPr>
          <w:rFonts w:hint="default" w:eastAsia="ＭＳ ゴシック"/>
          <w:b w:val="1"/>
        </w:rPr>
        <w:t>漁業生産力の発展に関する計画</w:t>
      </w:r>
      <w:r>
        <w:rPr>
          <w:rFonts w:hint="eastAsia" w:eastAsia="ＭＳ ゴシック"/>
          <w:b w:val="1"/>
        </w:rPr>
        <w:t>（</w:t>
      </w:r>
      <w:r>
        <w:rPr>
          <w:rFonts w:hint="default" w:eastAsia="ＭＳ ゴシック"/>
          <w:b w:val="1"/>
          <w:sz w:val="28"/>
        </w:rPr>
        <w:t>区画漁業権</w:t>
      </w:r>
      <w:r>
        <w:rPr>
          <w:rFonts w:hint="eastAsia" w:eastAsia="ＭＳ ゴシック"/>
          <w:b w:val="1"/>
        </w:rPr>
        <w:t>）</w:t>
      </w:r>
      <w:bookmarkStart w:id="1" w:name="_GoBack"/>
      <w:bookmarkEnd w:id="1"/>
    </w:p>
    <w:p>
      <w:pPr>
        <w:pStyle w:val="33"/>
        <w:jc w:val="center"/>
        <w:rPr>
          <w:rFonts w:hint="default" w:eastAsia="ＭＳ ゴシック"/>
          <w:b w:val="1"/>
        </w:rPr>
      </w:pPr>
    </w:p>
    <w:p>
      <w:pPr>
        <w:pStyle w:val="33"/>
        <w:jc w:val="center"/>
        <w:rPr>
          <w:rFonts w:hint="default"/>
          <w:b w:val="1"/>
        </w:rPr>
      </w:pPr>
      <w:r>
        <w:rPr>
          <w:rFonts w:hint="default" w:eastAsia="ＭＳ ゴシック"/>
          <w:b w:val="1"/>
        </w:rPr>
        <mc:AlternateContent>
          <mc:Choice Requires="wps">
            <w:drawing>
              <wp:anchor distT="0" distB="0" distL="114300" distR="114300" simplePos="0" relativeHeight="10" behindDoc="0" locked="0" layoutInCell="1" hidden="0" allowOverlap="1">
                <wp:simplePos x="0" y="0"/>
                <wp:positionH relativeFrom="margin">
                  <wp:posOffset>4926330</wp:posOffset>
                </wp:positionH>
                <wp:positionV relativeFrom="paragraph">
                  <wp:posOffset>72390</wp:posOffset>
                </wp:positionV>
                <wp:extent cx="1295400" cy="476250"/>
                <wp:effectExtent l="635" t="635" r="29845" b="1079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1295400" cy="476250"/>
                        </a:xfrm>
                        <a:prstGeom prst="rect">
                          <a:avLst/>
                        </a:prstGeom>
                        <a:solidFill>
                          <a:schemeClr val="lt1"/>
                        </a:solidFill>
                        <a:ln w="6350">
                          <a:solidFill>
                            <a:prstClr val="black"/>
                          </a:solidFill>
                        </a:ln>
                      </wps:spPr>
                      <wps:txbx>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どちらかで名称を</w:t>
                            </w:r>
                          </w:p>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決める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5.7pt;mso-position-vertical-relative:text;mso-position-horizontal-relative:margin;v-text-anchor:top;position:absolute;height:37.5pt;mso-wrap-distance-top:0pt;width:102pt;mso-wrap-distance-left:9pt;margin-left:387.9pt;z-index:10;" o:spid="_x0000_s1030" o:allowincell="t" o:allowoverlap="t" filled="t" fillcolor="#ffffff [3201]" stroked="t" strokecolor="#000000" strokeweight="0.5pt" o:spt="202" type="#_x0000_t202">
                <v:fill/>
                <v:stroke filltype="solid"/>
                <v:textbox style="layout-flow:horizontal;">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どちらかで名称を</w:t>
                      </w:r>
                    </w:p>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決める</w:t>
                      </w:r>
                    </w:p>
                  </w:txbxContent>
                </v:textbox>
                <v:imagedata o:title=""/>
                <w10:wrap type="none" anchorx="margin" anchory="text"/>
              </v:shape>
            </w:pict>
          </mc:Fallback>
        </mc:AlternateContent>
      </w:r>
    </w:p>
    <w:p>
      <w:pPr>
        <w:pStyle w:val="28"/>
        <w:shd w:val="clear" w:color="auto" w:fill="auto"/>
        <w:spacing w:after="60" w:afterLines="0" w:afterAutospacing="0"/>
        <w:ind w:left="0"/>
        <w:rPr>
          <w:rFonts w:hint="default"/>
        </w:rPr>
      </w:pPr>
      <w:r>
        <w:rPr>
          <w:rFonts w:hint="default"/>
          <w:b w:val="1"/>
        </w:rPr>
        <w:t>第１</w:t>
      </w:r>
      <w:r>
        <w:rPr>
          <w:rFonts w:hint="default"/>
          <w:b w:val="1"/>
        </w:rPr>
        <w:t xml:space="preserve"> </w:t>
      </w:r>
      <w:r>
        <w:rPr>
          <w:rFonts w:hint="default"/>
          <w:b w:val="1"/>
        </w:rPr>
        <w:t>漁業生産力の発展に関する計画の名称</w:t>
      </w:r>
    </w:p>
    <w:p>
      <w:pPr>
        <w:pStyle w:val="28"/>
        <w:shd w:val="clear" w:color="auto" w:fill="auto"/>
        <w:spacing w:after="60" w:afterLines="0" w:afterAutospacing="0"/>
        <w:ind w:left="0"/>
        <w:rPr>
          <w:rFonts w:hint="default"/>
        </w:rPr>
      </w:pPr>
      <w:r>
        <w:rPr>
          <w:rFonts w:hint="default"/>
          <w:b w:val="1"/>
        </w:rPr>
        <mc:AlternateContent>
          <mc:Choice Requires="wps">
            <w:drawing>
              <wp:anchor distT="0" distB="0" distL="114300" distR="114300" simplePos="0" relativeHeight="8" behindDoc="0" locked="0" layoutInCell="1" hidden="0" allowOverlap="1">
                <wp:simplePos x="0" y="0"/>
                <wp:positionH relativeFrom="margin">
                  <wp:posOffset>4557395</wp:posOffset>
                </wp:positionH>
                <wp:positionV relativeFrom="paragraph">
                  <wp:posOffset>177800</wp:posOffset>
                </wp:positionV>
                <wp:extent cx="1352550" cy="161925"/>
                <wp:effectExtent l="635" t="635" r="29845" b="37465"/>
                <wp:wrapNone/>
                <wp:docPr id="1031" name="直線矢印コネクタ 2"/>
                <a:graphic xmlns:a="http://schemas.openxmlformats.org/drawingml/2006/main">
                  <a:graphicData uri="http://schemas.microsoft.com/office/word/2010/wordprocessingShape">
                    <wps:wsp>
                      <wps:cNvPr id="1031" name="直線矢印コネクタ 2"/>
                      <wps:cNvCnPr/>
                      <wps:spPr>
                        <a:xfrm flipH="1">
                          <a:off x="0" y="0"/>
                          <a:ext cx="13525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x;mso-wrap-distance-right:9pt;mso-wrap-distance-bottom:0pt;margin-top:14pt;mso-position-vertical-relative:text;mso-position-horizontal-relative:margin;position:absolute;height:12.75pt;mso-wrap-distance-top:0pt;width:106.5pt;mso-wrap-distance-left:9pt;margin-left:358.85pt;z-index:8;" o:spid="_x0000_s1031" o:allowincell="t" o:allowoverlap="t" filled="f" stroked="t" strokecolor="#000000 [3200]" strokeweight="0.5pt" o:spt="32" type="#_x0000_t32">
                <v:fill/>
                <v:stroke linestyle="single" miterlimit="8" endcap="flat" dashstyle="solid" filltype="solid" endarrow="block"/>
                <v:imagedata o:title=""/>
                <w10:wrap type="none" anchorx="margin" anchory="text"/>
              </v:shape>
            </w:pict>
          </mc:Fallback>
        </mc:AlternateContent>
      </w:r>
      <w:r>
        <w:rPr>
          <w:rFonts w:hint="default"/>
          <w:b w:val="1"/>
        </w:rPr>
        <mc:AlternateContent>
          <mc:Choice Requires="wps">
            <w:drawing>
              <wp:anchor distT="0" distB="0" distL="114300" distR="114300" simplePos="0" relativeHeight="9" behindDoc="0" locked="0" layoutInCell="1" hidden="0" allowOverlap="1">
                <wp:simplePos x="0" y="0"/>
                <wp:positionH relativeFrom="column">
                  <wp:posOffset>5728335</wp:posOffset>
                </wp:positionH>
                <wp:positionV relativeFrom="paragraph">
                  <wp:posOffset>158750</wp:posOffset>
                </wp:positionV>
                <wp:extent cx="238125" cy="628650"/>
                <wp:effectExtent l="8255" t="635" r="29845" b="10160"/>
                <wp:wrapNone/>
                <wp:docPr id="1032" name="直線矢印コネクタ 4"/>
                <a:graphic xmlns:a="http://schemas.openxmlformats.org/drawingml/2006/main">
                  <a:graphicData uri="http://schemas.microsoft.com/office/word/2010/wordprocessingShape">
                    <wps:wsp>
                      <wps:cNvPr id="1032" name="直線矢印コネクタ 4"/>
                      <wps:cNvCnPr/>
                      <wps:spPr>
                        <a:xfrm flipH="1">
                          <a:off x="0" y="0"/>
                          <a:ext cx="2381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x;mso-wrap-distance-right:9pt;mso-wrap-distance-bottom:0pt;margin-top:12.5pt;mso-position-vertical-relative:text;mso-position-horizontal-relative:text;position:absolute;height:49.5pt;mso-wrap-distance-top:0pt;width:18.75pt;mso-wrap-distance-left:9pt;margin-left:451.05pt;z-index:9;" o:spid="_x0000_s1032" o:allowincell="t" o:allowoverlap="t" filled="f" stroked="t" strokecolor="#000000 [3200]" strokeweight="0.5pt" o:spt="32" type="#_x0000_t32">
                <v:fill/>
                <v:stroke linestyle="single" miterlimit="8" endcap="flat" dashstyle="solid" filltype="solid" endarrow="block"/>
                <v:imagedata o:title=""/>
                <w10:wrap type="none" anchorx="text" anchory="text"/>
              </v:shape>
            </w:pict>
          </mc:Fallback>
        </mc:AlternateContent>
      </w:r>
      <w:r>
        <w:rPr>
          <w:rFonts w:hint="default"/>
          <w:b w:val="1"/>
        </w:rPr>
        <w:t>(</w:t>
      </w:r>
      <w:r>
        <w:rPr>
          <w:rFonts w:hint="default"/>
          <w:b w:val="1"/>
        </w:rPr>
        <w:t>１</w:t>
      </w:r>
      <w:r>
        <w:rPr>
          <w:rFonts w:hint="default"/>
          <w:b w:val="1"/>
        </w:rPr>
        <w:t>)</w:t>
      </w:r>
      <w:r>
        <w:rPr>
          <w:rFonts w:hint="default"/>
          <w:b w:val="1"/>
        </w:rPr>
        <w:t>名称</w:t>
      </w:r>
    </w:p>
    <w:p>
      <w:pPr>
        <w:pStyle w:val="25"/>
        <w:shd w:val="clear" w:color="auto" w:fill="auto"/>
        <w:spacing w:after="60" w:afterLines="0" w:afterAutospacing="0"/>
        <w:ind w:left="220" w:firstLine="240" w:firstLineChars="100"/>
        <w:jc w:val="left"/>
        <w:rPr>
          <w:rFonts w:hint="default"/>
        </w:rPr>
      </w:pPr>
      <w:r>
        <w:rPr>
          <w:rFonts w:hint="default"/>
        </w:rPr>
        <w:t>○○</w:t>
      </w:r>
      <w:r>
        <w:rPr>
          <w:rFonts w:hint="default"/>
        </w:rPr>
        <w:t>漁業協同組合区画漁業権漁業生産力の発展に関する計画</w:t>
      </w:r>
      <w:r>
        <w:rPr>
          <w:rFonts w:hint="default"/>
        </w:rPr>
        <w:t xml:space="preserve"> </w:t>
      </w:r>
    </w:p>
    <w:p>
      <w:pPr>
        <w:pStyle w:val="25"/>
        <w:shd w:val="clear" w:color="auto" w:fill="auto"/>
        <w:spacing w:after="60" w:afterLines="0" w:afterAutospacing="0"/>
        <w:ind w:left="220" w:firstLine="20"/>
        <w:jc w:val="left"/>
        <w:rPr>
          <w:rFonts w:hint="default"/>
          <w:u w:val="double" w:color="auto"/>
        </w:rPr>
      </w:pPr>
      <w:r>
        <w:rPr>
          <w:rFonts w:hint="default"/>
          <w:u w:val="double" w:color="auto"/>
        </w:rPr>
        <w:t>又は</w:t>
      </w:r>
    </w:p>
    <w:p>
      <w:pPr>
        <w:pStyle w:val="25"/>
        <w:shd w:val="clear" w:color="auto" w:fill="auto"/>
        <w:spacing w:after="60" w:afterLines="0" w:afterAutospacing="0"/>
        <w:ind w:left="220" w:firstLine="240" w:firstLineChars="100"/>
        <w:jc w:val="left"/>
        <w:rPr>
          <w:rFonts w:hint="default"/>
        </w:rPr>
      </w:pPr>
      <w:r>
        <w:rPr>
          <w:rFonts w:hint="default"/>
        </w:rPr>
        <w:t>○○</w:t>
      </w:r>
      <w:r>
        <w:rPr>
          <w:rFonts w:hint="default"/>
        </w:rPr>
        <w:t>漁業協同組合が有する区画漁業権に関する漁業生産力の発展に関する計画</w:t>
      </w:r>
    </w:p>
    <w:p>
      <w:pPr>
        <w:pStyle w:val="25"/>
        <w:shd w:val="clear" w:color="auto" w:fill="auto"/>
        <w:spacing w:after="60" w:afterLines="0" w:afterAutospacing="0"/>
        <w:ind w:left="220" w:firstLine="20"/>
        <w:jc w:val="left"/>
        <w:rPr>
          <w:rFonts w:hint="default"/>
        </w:rPr>
      </w:pPr>
    </w:p>
    <w:p>
      <w:pPr>
        <w:pStyle w:val="28"/>
        <w:shd w:val="clear" w:color="auto" w:fill="auto"/>
        <w:spacing w:after="60" w:afterLines="0" w:afterAutospacing="0"/>
        <w:ind w:left="0"/>
        <w:rPr>
          <w:rFonts w:hint="default"/>
          <w:b w:val="1"/>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2698750</wp:posOffset>
                </wp:positionH>
                <wp:positionV relativeFrom="paragraph">
                  <wp:posOffset>22860</wp:posOffset>
                </wp:positionV>
                <wp:extent cx="3600450" cy="542925"/>
                <wp:effectExtent l="530860" t="635" r="29845" b="10795"/>
                <wp:wrapNone/>
                <wp:docPr id="1033" name="角丸四角形吹き出し 7"/>
                <a:graphic xmlns:a="http://schemas.openxmlformats.org/drawingml/2006/main">
                  <a:graphicData uri="http://schemas.microsoft.com/office/word/2010/wordprocessingShape">
                    <wps:wsp>
                      <wps:cNvPr id="1033" name="角丸四角形吹き出し 7"/>
                      <wps:cNvSpPr/>
                      <wps:spPr>
                        <a:xfrm>
                          <a:off x="0" y="0"/>
                          <a:ext cx="3600450" cy="542925"/>
                        </a:xfrm>
                        <a:prstGeom prst="wedgeRoundRectCallout">
                          <a:avLst>
                            <a:gd name="adj1" fmla="val -64673"/>
                            <a:gd name="adj2" fmla="val 2571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漁業権を</w:t>
                            </w:r>
                            <w:r>
                              <w:rPr>
                                <w:rFonts w:hint="default" w:ascii="ＭＳ ゴシック" w:hAnsi="ＭＳ ゴシック" w:eastAsia="ＭＳ ゴシック"/>
                                <w:b w:val="1"/>
                                <w:sz w:val="21"/>
                              </w:rPr>
                              <w:t>複数</w:t>
                            </w:r>
                            <w:r>
                              <w:rPr>
                                <w:rFonts w:hint="eastAsia" w:ascii="ＭＳ ゴシック" w:hAnsi="ＭＳ ゴシック" w:eastAsia="ＭＳ ゴシック"/>
                                <w:b w:val="1"/>
                                <w:sz w:val="21"/>
                              </w:rPr>
                              <w:t>取得</w:t>
                            </w:r>
                            <w:r>
                              <w:rPr>
                                <w:rFonts w:hint="default" w:ascii="ＭＳ ゴシック" w:hAnsi="ＭＳ ゴシック" w:eastAsia="ＭＳ ゴシック"/>
                                <w:b w:val="1"/>
                                <w:sz w:val="21"/>
                              </w:rPr>
                              <w:t>している場合は、</w:t>
                            </w:r>
                            <w:r>
                              <w:rPr>
                                <w:rFonts w:hint="eastAsia" w:ascii="ＭＳ ゴシック" w:hAnsi="ＭＳ ゴシック" w:eastAsia="ＭＳ ゴシック"/>
                                <w:b w:val="1"/>
                                <w:sz w:val="21"/>
                              </w:rPr>
                              <w:t>こちらの例のようにまとめてもよい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1.8pt;mso-position-vertical-relative:text;mso-position-horizontal-relative:margin;v-text-anchor:middle;position:absolute;height:42.75pt;mso-wrap-distance-top:0pt;width:283.5pt;mso-wrap-distance-left:9pt;margin-left:212.5pt;z-index:11;" o:spid="_x0000_s1033" o:allowincell="t" o:allowoverlap="t" filled="t" fillcolor="#ffffff [3201]" stroked="t" strokecolor="#000000 [3213]" strokeweight="1pt" o:spt="62" type="#_x0000_t62" adj="-3169,16354">
                <v:fill/>
                <v:stroke linestyle="single" miterlimit="8" endcap="flat" dashstyle="solid" filltype="solid"/>
                <v:textbox style="layout-flow:horizontal;">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漁業権を</w:t>
                      </w:r>
                      <w:r>
                        <w:rPr>
                          <w:rFonts w:hint="default" w:ascii="ＭＳ ゴシック" w:hAnsi="ＭＳ ゴシック" w:eastAsia="ＭＳ ゴシック"/>
                          <w:b w:val="1"/>
                          <w:sz w:val="21"/>
                        </w:rPr>
                        <w:t>複数</w:t>
                      </w:r>
                      <w:r>
                        <w:rPr>
                          <w:rFonts w:hint="eastAsia" w:ascii="ＭＳ ゴシック" w:hAnsi="ＭＳ ゴシック" w:eastAsia="ＭＳ ゴシック"/>
                          <w:b w:val="1"/>
                          <w:sz w:val="21"/>
                        </w:rPr>
                        <w:t>取得</w:t>
                      </w:r>
                      <w:r>
                        <w:rPr>
                          <w:rFonts w:hint="default" w:ascii="ＭＳ ゴシック" w:hAnsi="ＭＳ ゴシック" w:eastAsia="ＭＳ ゴシック"/>
                          <w:b w:val="1"/>
                          <w:sz w:val="21"/>
                        </w:rPr>
                        <w:t>している場合は、</w:t>
                      </w:r>
                      <w:r>
                        <w:rPr>
                          <w:rFonts w:hint="eastAsia" w:ascii="ＭＳ ゴシック" w:hAnsi="ＭＳ ゴシック" w:eastAsia="ＭＳ ゴシック"/>
                          <w:b w:val="1"/>
                          <w:sz w:val="21"/>
                        </w:rPr>
                        <w:t>こちらの例のようにまとめてもよい</w:t>
                      </w:r>
                    </w:p>
                  </w:txbxContent>
                </v:textbox>
                <v:imagedata o:title=""/>
                <w10:wrap type="none" anchorx="margin" anchory="text"/>
              </v:shape>
            </w:pict>
          </mc:Fallback>
        </mc:AlternateContent>
      </w:r>
      <w:r>
        <w:rPr>
          <w:rFonts w:hint="default"/>
          <w:b w:val="1"/>
        </w:rPr>
        <w:t>(</w:t>
      </w:r>
      <w:r>
        <w:rPr>
          <w:rFonts w:hint="default"/>
          <w:b w:val="1"/>
        </w:rPr>
        <w:t>２</w:t>
      </w:r>
      <w:r>
        <w:rPr>
          <w:rFonts w:hint="default"/>
          <w:b w:val="1"/>
        </w:rPr>
        <w:t>)</w:t>
      </w:r>
      <w:r>
        <w:rPr>
          <w:rFonts w:hint="default"/>
          <w:b w:val="1"/>
        </w:rPr>
        <w:t>対象となる漁業権</w:t>
      </w:r>
    </w:p>
    <w:p>
      <w:pPr>
        <w:pStyle w:val="33"/>
        <w:ind w:firstLine="480" w:firstLineChars="200"/>
        <w:rPr>
          <w:rFonts w:hint="default" w:ascii="ＭＳ 明朝" w:hAnsi="ＭＳ 明朝" w:eastAsia="ＭＳ 明朝"/>
        </w:rPr>
      </w:pPr>
      <w:r>
        <w:rPr>
          <w:rFonts w:hint="eastAsia" w:ascii="ＭＳ 明朝" w:hAnsi="ＭＳ 明朝" w:eastAsia="ＭＳ 明朝"/>
        </w:rPr>
        <w:t>第一種区画漁業</w:t>
      </w:r>
    </w:p>
    <w:p>
      <w:pPr>
        <w:pStyle w:val="33"/>
        <w:ind w:firstLine="480" w:firstLineChars="200"/>
        <w:rPr>
          <w:rFonts w:hint="default" w:ascii="ＭＳ 明朝" w:hAnsi="ＭＳ 明朝" w:eastAsia="ＭＳ 明朝"/>
        </w:rPr>
      </w:pPr>
      <w:r>
        <w:rPr>
          <w:rFonts w:hint="eastAsia" w:ascii="ＭＳ 明朝" w:hAnsi="ＭＳ 明朝" w:eastAsia="ＭＳ 明朝"/>
        </w:rPr>
        <w:t>　第〇〇１号、第〇〇２号</w:t>
      </w:r>
    </w:p>
    <w:p>
      <w:pPr>
        <w:pStyle w:val="33"/>
        <w:rPr>
          <w:rFonts w:hint="default"/>
        </w:rPr>
      </w:pPr>
      <w:r>
        <w:rPr>
          <w:rFonts w:hint="eastAsia" w:ascii="ＭＳ 明朝" w:hAnsi="ＭＳ 明朝" w:eastAsia="ＭＳ 明朝"/>
        </w:rPr>
        <w:t>　</w:t>
      </w:r>
    </w:p>
    <w:p>
      <w:pPr>
        <w:pStyle w:val="28"/>
        <w:shd w:val="clear" w:color="auto" w:fill="auto"/>
        <w:spacing w:after="60" w:afterLines="0" w:afterAutospacing="0"/>
        <w:ind w:left="0"/>
        <w:rPr>
          <w:rFonts w:hint="default"/>
        </w:rPr>
      </w:pPr>
      <w:r>
        <w:rPr>
          <w:rFonts w:hint="default"/>
          <w:b w:val="1"/>
        </w:rPr>
        <w:t>第２</w:t>
      </w:r>
      <w:r>
        <w:rPr>
          <w:rFonts w:hint="default"/>
          <w:b w:val="1"/>
        </w:rPr>
        <w:t xml:space="preserve"> </w:t>
      </w:r>
      <w:r>
        <w:rPr>
          <w:rFonts w:hint="default"/>
          <w:b w:val="1"/>
        </w:rPr>
        <w:t>漁業生産力の発展に関する計画の目標及び方法</w:t>
      </w:r>
      <w:r>
        <w:rPr>
          <w:rFonts w:hint="default"/>
          <w:b w:val="1"/>
        </w:rPr>
        <w:t>(</w:t>
      </w:r>
      <w:r>
        <w:rPr>
          <w:rFonts w:hint="default"/>
          <w:b w:val="1"/>
        </w:rPr>
        <w:t>生産の合理化、法人の設立等</w:t>
      </w:r>
      <w:r>
        <w:rPr>
          <w:rFonts w:hint="default"/>
          <w:b w:val="1"/>
        </w:rPr>
        <w:t>)</w:t>
      </w:r>
    </w:p>
    <w:p>
      <w:pPr>
        <w:pStyle w:val="25"/>
        <w:shd w:val="clear" w:color="auto" w:fill="auto"/>
        <w:spacing w:after="60" w:afterLines="0" w:afterAutospacing="0"/>
        <w:ind w:left="680" w:firstLine="20"/>
        <w:jc w:val="left"/>
        <w:rPr>
          <w:rFonts w:hint="default"/>
        </w:rPr>
      </w:pPr>
      <w:r>
        <w:rPr>
          <w:rFonts w:hint="default"/>
        </w:rPr>
        <w:t>以下の項目を実施する。</w:t>
      </w:r>
    </w:p>
    <w:p>
      <w:pPr>
        <w:pStyle w:val="25"/>
        <w:shd w:val="clear" w:color="auto" w:fill="auto"/>
        <w:spacing w:after="60" w:afterLines="0" w:afterAutospacing="0"/>
        <w:ind w:firstLine="360" w:firstLineChars="150"/>
        <w:jc w:val="left"/>
        <w:rPr>
          <w:rFonts w:hint="default"/>
        </w:rPr>
      </w:pPr>
      <w:r>
        <w:rPr>
          <w:rFonts w:hint="default"/>
        </w:rPr>
        <w:t>・</w:t>
      </w:r>
      <w:r>
        <w:rPr>
          <w:rFonts w:hint="default"/>
        </w:rPr>
        <w:t xml:space="preserve"> </w:t>
      </w:r>
      <w:r>
        <w:rPr>
          <w:rFonts w:hint="default"/>
        </w:rPr>
        <w:t>生産能力を強化するとともに、内部留保等を可能とするため、組合員又は組合</w:t>
      </w:r>
    </w:p>
    <w:p>
      <w:pPr>
        <w:pStyle w:val="25"/>
        <w:shd w:val="clear" w:color="auto" w:fill="auto"/>
        <w:spacing w:after="60" w:afterLines="0" w:afterAutospacing="0"/>
        <w:ind w:firstLine="720" w:firstLineChars="300"/>
        <w:jc w:val="left"/>
        <w:rPr>
          <w:rFonts w:hint="default"/>
        </w:rPr>
      </w:pPr>
      <w:r>
        <w:rPr>
          <w:rFonts w:hint="default"/>
        </w:rPr>
        <w:t>員行使権者間で新たな法人の設立を検討する。</w:t>
      </w:r>
    </w:p>
    <w:p>
      <w:pPr>
        <w:pStyle w:val="25"/>
        <w:shd w:val="clear" w:color="auto" w:fill="auto"/>
        <w:spacing w:after="60" w:afterLines="0" w:afterAutospacing="0"/>
        <w:ind w:firstLine="360" w:firstLineChars="150"/>
        <w:jc w:val="left"/>
        <w:rPr>
          <w:rFonts w:hint="default"/>
        </w:rPr>
      </w:pPr>
      <w:r>
        <w:rPr>
          <w:rFonts w:hint="default"/>
        </w:rPr>
        <w:t>・</w:t>
      </w:r>
      <w:r>
        <w:rPr>
          <w:rFonts w:hint="default"/>
        </w:rPr>
        <w:t xml:space="preserve"> </w:t>
      </w:r>
      <w:r>
        <w:rPr>
          <w:rFonts w:hint="default"/>
        </w:rPr>
        <w:t>生産物の付加価値向上を図るため、組合員が共同で利用する加工施設を整備す</w:t>
      </w:r>
    </w:p>
    <w:p>
      <w:pPr>
        <w:pStyle w:val="25"/>
        <w:shd w:val="clear" w:color="auto" w:fill="auto"/>
        <w:spacing w:after="60" w:afterLines="0" w:afterAutospacing="0"/>
        <w:ind w:firstLine="720" w:firstLineChars="300"/>
        <w:jc w:val="left"/>
        <w:rPr>
          <w:rFonts w:hint="default"/>
        </w:rPr>
      </w:pPr>
      <w:r>
        <w:rPr>
          <w:rFonts w:hint="default"/>
        </w:rPr>
        <w:t>る。</w:t>
      </w:r>
    </w:p>
    <w:p>
      <w:pPr>
        <w:pStyle w:val="25"/>
        <w:shd w:val="clear" w:color="auto" w:fill="auto"/>
        <w:spacing w:after="60" w:afterLines="0" w:afterAutospacing="0"/>
        <w:ind w:firstLine="360" w:firstLineChars="150"/>
        <w:jc w:val="left"/>
        <w:rPr>
          <w:rFonts w:hint="default"/>
        </w:rPr>
      </w:pPr>
      <w:r>
        <w:rPr>
          <w:rFonts w:hint="default"/>
        </w:rPr>
        <w:t>・</w:t>
      </w:r>
      <w:r>
        <w:rPr>
          <w:rFonts w:hint="default"/>
        </w:rPr>
        <w:t xml:space="preserve"> </w:t>
      </w:r>
      <w:r>
        <w:rPr>
          <w:rFonts w:hint="default"/>
        </w:rPr>
        <w:t>組合員又は組合員行使権者の所得増加を図るため、地元水産物の直販所の設置</w:t>
      </w:r>
    </w:p>
    <w:p>
      <w:pPr>
        <w:pStyle w:val="25"/>
        <w:shd w:val="clear" w:color="auto" w:fill="auto"/>
        <w:spacing w:after="60" w:afterLines="0" w:afterAutospacing="0"/>
        <w:ind w:firstLine="720" w:firstLineChars="300"/>
        <w:jc w:val="left"/>
        <w:rPr>
          <w:rFonts w:hint="default"/>
        </w:rPr>
      </w:pPr>
      <w:r>
        <w:rPr>
          <w:rFonts w:hint="default"/>
        </w:rPr>
        <w:t>又は運営を行い、新たな販路拡大に努める。</w:t>
      </w:r>
    </w:p>
    <w:p>
      <w:pPr>
        <w:pStyle w:val="25"/>
        <w:shd w:val="clear" w:color="auto" w:fill="auto"/>
        <w:spacing w:after="60" w:afterLines="0" w:afterAutospacing="0"/>
        <w:ind w:left="440"/>
        <w:jc w:val="left"/>
        <w:rPr>
          <w:rFonts w:hint="default"/>
        </w:rPr>
      </w:pPr>
      <w:r>
        <w:rPr>
          <w:rFonts w:hint="default"/>
        </w:rPr>
        <w:t>・</w:t>
      </w:r>
      <w:r>
        <w:rPr>
          <w:rFonts w:hint="default"/>
        </w:rPr>
        <w:t xml:space="preserve"> </w:t>
      </w:r>
      <w:r>
        <w:rPr>
          <w:rFonts w:hint="default"/>
        </w:rPr>
        <w:t>水産資源の持続的及び効率的な利用に資するため、研究機関が実施する資源調</w:t>
      </w:r>
    </w:p>
    <w:p>
      <w:pPr>
        <w:pStyle w:val="25"/>
        <w:shd w:val="clear" w:color="auto" w:fill="auto"/>
        <w:spacing w:after="60" w:afterLines="0" w:afterAutospacing="0"/>
        <w:ind w:left="440" w:firstLine="360" w:firstLineChars="150"/>
        <w:jc w:val="left"/>
        <w:rPr>
          <w:rFonts w:hint="default"/>
        </w:rPr>
      </w:pPr>
      <w:r>
        <w:rPr>
          <w:rFonts w:hint="default"/>
        </w:rPr>
        <w:t>査に協力するとともに、組合員行使権者の科学的根拠に基づく資源管理への協</w:t>
      </w:r>
    </w:p>
    <w:p>
      <w:pPr>
        <w:pStyle w:val="25"/>
        <w:shd w:val="clear" w:color="auto" w:fill="auto"/>
        <w:spacing w:after="60" w:afterLines="0" w:afterAutospacing="0"/>
        <w:ind w:left="440" w:firstLine="360" w:firstLineChars="150"/>
        <w:jc w:val="left"/>
        <w:rPr>
          <w:rFonts w:hint="default"/>
        </w:rPr>
      </w:pPr>
      <w:r>
        <w:rPr>
          <w:rFonts w:hint="default"/>
        </w:rPr>
        <w:t>力を促す。</w:t>
      </w:r>
    </w:p>
    <w:p>
      <w:pPr>
        <w:pStyle w:val="25"/>
        <w:shd w:val="clear" w:color="auto" w:fill="auto"/>
        <w:spacing w:after="60" w:afterLines="0" w:afterAutospacing="0"/>
        <w:ind w:left="440" w:firstLine="360" w:firstLineChars="150"/>
        <w:jc w:val="left"/>
        <w:rPr>
          <w:rFonts w:hint="default"/>
        </w:rPr>
      </w:pPr>
    </w:p>
    <w:p>
      <w:pPr>
        <w:pStyle w:val="28"/>
        <w:shd w:val="clear" w:color="auto" w:fill="auto"/>
        <w:spacing w:after="60" w:afterLines="0" w:afterAutospacing="0"/>
        <w:ind w:left="0"/>
        <w:rPr>
          <w:rFonts w:hint="default"/>
        </w:rPr>
      </w:pPr>
      <w:r>
        <w:rPr>
          <w:rFonts w:hint="default"/>
          <w:b w:val="1"/>
        </w:rPr>
        <w:t>第３</w:t>
      </w:r>
      <w:r>
        <w:rPr>
          <w:rFonts w:hint="default"/>
          <w:b w:val="1"/>
        </w:rPr>
        <w:t xml:space="preserve"> </w:t>
      </w:r>
      <w:r>
        <w:rPr>
          <w:rFonts w:hint="default"/>
          <w:b w:val="1"/>
        </w:rPr>
        <w:t>漁業生産力の発展に関する計画の実施予定期間</w:t>
      </w:r>
    </w:p>
    <w:p>
      <w:pPr>
        <w:pStyle w:val="25"/>
        <w:shd w:val="clear" w:color="auto" w:fill="auto"/>
        <w:spacing w:after="360" w:afterLines="0" w:afterAutospacing="0"/>
        <w:ind w:left="680" w:firstLine="20"/>
        <w:jc w:val="left"/>
        <w:rPr>
          <w:rFonts w:hint="default"/>
        </w:rPr>
      </w:pPr>
      <w:r>
        <w:rPr>
          <w:rFonts w:hint="default" w:eastAsia="ＭＳ ゴシック"/>
          <w:b w:val="1"/>
        </w:rPr>
        <mc:AlternateContent>
          <mc:Choice Requires="wps">
            <w:drawing>
              <wp:anchor distT="0" distB="0" distL="114300" distR="114300" simplePos="0" relativeHeight="12" behindDoc="0" locked="0" layoutInCell="1" hidden="0" allowOverlap="1">
                <wp:simplePos x="0" y="0"/>
                <wp:positionH relativeFrom="margin">
                  <wp:posOffset>1565275</wp:posOffset>
                </wp:positionH>
                <wp:positionV relativeFrom="paragraph">
                  <wp:posOffset>410845</wp:posOffset>
                </wp:positionV>
                <wp:extent cx="4543425" cy="581025"/>
                <wp:effectExtent l="342900" t="162560" r="29845" b="10795"/>
                <wp:wrapNone/>
                <wp:docPr id="1034" name="角丸四角形吹き出し 1"/>
                <a:graphic xmlns:a="http://schemas.openxmlformats.org/drawingml/2006/main">
                  <a:graphicData uri="http://schemas.microsoft.com/office/word/2010/wordprocessingShape">
                    <wps:wsp>
                      <wps:cNvPr id="1034" name="角丸四角形吹き出し 1"/>
                      <wps:cNvSpPr/>
                      <wps:spPr>
                        <a:xfrm>
                          <a:off x="0" y="0"/>
                          <a:ext cx="4543425" cy="581025"/>
                        </a:xfrm>
                        <a:prstGeom prst="wedgeRoundRectCallout">
                          <a:avLst>
                            <a:gd name="adj1" fmla="val -57485"/>
                            <a:gd name="adj2" fmla="val -7779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初回の</w:t>
                            </w:r>
                            <w:r>
                              <w:rPr>
                                <w:rFonts w:hint="default" w:ascii="ＭＳ ゴシック" w:hAnsi="ＭＳ ゴシック" w:eastAsia="ＭＳ ゴシック"/>
                                <w:b w:val="1"/>
                                <w:sz w:val="21"/>
                              </w:rPr>
                              <w:t>始期は、</w:t>
                            </w:r>
                            <w:r>
                              <w:rPr>
                                <w:rFonts w:hint="eastAsia" w:ascii="ＭＳ ゴシック" w:hAnsi="ＭＳ ゴシック" w:eastAsia="ＭＳ ゴシック"/>
                                <w:b w:val="1"/>
                                <w:sz w:val="21"/>
                              </w:rPr>
                              <w:t>「当</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を総会</w:t>
                            </w:r>
                            <w:r>
                              <w:rPr>
                                <w:rFonts w:hint="default" w:ascii="ＭＳ ゴシック" w:hAnsi="ＭＳ ゴシック" w:eastAsia="ＭＳ ゴシック"/>
                                <w:b w:val="1"/>
                                <w:sz w:val="21"/>
                              </w:rPr>
                              <w:t>等で決議</w:t>
                            </w:r>
                            <w:r>
                              <w:rPr>
                                <w:rFonts w:hint="eastAsia" w:ascii="ＭＳ ゴシック" w:hAnsi="ＭＳ ゴシック" w:eastAsia="ＭＳ ゴシック"/>
                                <w:b w:val="1"/>
                                <w:sz w:val="21"/>
                              </w:rPr>
                              <w:t>した日」</w:t>
                            </w:r>
                            <w:r>
                              <w:rPr>
                                <w:rFonts w:hint="default" w:ascii="ＭＳ ゴシック" w:hAnsi="ＭＳ ゴシック" w:eastAsia="ＭＳ ゴシック"/>
                                <w:b w:val="1"/>
                                <w:sz w:val="21"/>
                              </w:rPr>
                              <w:t>以降の日付になる。</w:t>
                            </w:r>
                          </w:p>
                          <w:p>
                            <w:pPr>
                              <w:pStyle w:val="0"/>
                              <w:rPr>
                                <w:rFonts w:hint="default"/>
                              </w:rPr>
                            </w:pPr>
                            <w:r>
                              <w:rPr>
                                <w:rFonts w:hint="eastAsia" w:ascii="ＭＳ ゴシック" w:hAnsi="ＭＳ ゴシック" w:eastAsia="ＭＳ ゴシック"/>
                                <w:b w:val="1"/>
                                <w:sz w:val="21"/>
                              </w:rPr>
                              <w:t>その次の</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の</w:t>
                            </w:r>
                            <w:r>
                              <w:rPr>
                                <w:rFonts w:hint="default" w:ascii="ＭＳ ゴシック" w:hAnsi="ＭＳ ゴシック" w:eastAsia="ＭＳ ゴシック"/>
                                <w:b w:val="1"/>
                                <w:sz w:val="21"/>
                              </w:rPr>
                              <w:t>始期は、「令和５年９月１日」</w:t>
                            </w:r>
                            <w:r>
                              <w:rPr>
                                <w:rFonts w:hint="eastAsia" w:ascii="ＭＳ ゴシック" w:hAnsi="ＭＳ ゴシック" w:eastAsia="ＭＳ ゴシック"/>
                                <w:b w:val="1"/>
                                <w:sz w:val="21"/>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style="mso-wrap-distance-right:9pt;mso-wrap-distance-bottom:0pt;margin-top:32.35pt;mso-position-vertical-relative:text;mso-position-horizontal-relative:margin;v-text-anchor:middle;position:absolute;height:45.75pt;mso-wrap-distance-top:0pt;width:357.75pt;mso-wrap-distance-left:9pt;margin-left:123.25pt;z-index:12;" o:spid="_x0000_s1034" o:allowincell="t" o:allowoverlap="t" filled="t" fillcolor="#ffffff [3201]" stroked="t" strokecolor="#000000 [3213]" strokeweight="1pt" o:spt="62" type="#_x0000_t62" adj="-1617,-6004">
                <v:fill/>
                <v:stroke linestyle="single" miterlimit="8" endcap="flat" dashstyle="solid" filltype="solid"/>
                <v:textbox style="layout-flow:horizontal;">
                  <w:txbxContent>
                    <w:p>
                      <w:pPr>
                        <w:pStyle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初回の</w:t>
                      </w:r>
                      <w:r>
                        <w:rPr>
                          <w:rFonts w:hint="default" w:ascii="ＭＳ ゴシック" w:hAnsi="ＭＳ ゴシック" w:eastAsia="ＭＳ ゴシック"/>
                          <w:b w:val="1"/>
                          <w:sz w:val="21"/>
                        </w:rPr>
                        <w:t>始期は、</w:t>
                      </w:r>
                      <w:r>
                        <w:rPr>
                          <w:rFonts w:hint="eastAsia" w:ascii="ＭＳ ゴシック" w:hAnsi="ＭＳ ゴシック" w:eastAsia="ＭＳ ゴシック"/>
                          <w:b w:val="1"/>
                          <w:sz w:val="21"/>
                        </w:rPr>
                        <w:t>「当</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を総会</w:t>
                      </w:r>
                      <w:r>
                        <w:rPr>
                          <w:rFonts w:hint="default" w:ascii="ＭＳ ゴシック" w:hAnsi="ＭＳ ゴシック" w:eastAsia="ＭＳ ゴシック"/>
                          <w:b w:val="1"/>
                          <w:sz w:val="21"/>
                        </w:rPr>
                        <w:t>等で決議</w:t>
                      </w:r>
                      <w:r>
                        <w:rPr>
                          <w:rFonts w:hint="eastAsia" w:ascii="ＭＳ ゴシック" w:hAnsi="ＭＳ ゴシック" w:eastAsia="ＭＳ ゴシック"/>
                          <w:b w:val="1"/>
                          <w:sz w:val="21"/>
                        </w:rPr>
                        <w:t>した日」</w:t>
                      </w:r>
                      <w:r>
                        <w:rPr>
                          <w:rFonts w:hint="default" w:ascii="ＭＳ ゴシック" w:hAnsi="ＭＳ ゴシック" w:eastAsia="ＭＳ ゴシック"/>
                          <w:b w:val="1"/>
                          <w:sz w:val="21"/>
                        </w:rPr>
                        <w:t>以降の日付になる。</w:t>
                      </w:r>
                    </w:p>
                    <w:p>
                      <w:pPr>
                        <w:pStyle w:val="0"/>
                        <w:rPr>
                          <w:rFonts w:hint="default"/>
                        </w:rPr>
                      </w:pPr>
                      <w:r>
                        <w:rPr>
                          <w:rFonts w:hint="eastAsia" w:ascii="ＭＳ ゴシック" w:hAnsi="ＭＳ ゴシック" w:eastAsia="ＭＳ ゴシック"/>
                          <w:b w:val="1"/>
                          <w:sz w:val="21"/>
                        </w:rPr>
                        <w:t>その次の</w:t>
                      </w:r>
                      <w:r>
                        <w:rPr>
                          <w:rFonts w:hint="default" w:ascii="ＭＳ ゴシック" w:hAnsi="ＭＳ ゴシック" w:eastAsia="ＭＳ ゴシック"/>
                          <w:b w:val="1"/>
                          <w:sz w:val="21"/>
                        </w:rPr>
                        <w:t>計画</w:t>
                      </w:r>
                      <w:r>
                        <w:rPr>
                          <w:rFonts w:hint="eastAsia" w:ascii="ＭＳ ゴシック" w:hAnsi="ＭＳ ゴシック" w:eastAsia="ＭＳ ゴシック"/>
                          <w:b w:val="1"/>
                          <w:sz w:val="21"/>
                        </w:rPr>
                        <w:t>の</w:t>
                      </w:r>
                      <w:r>
                        <w:rPr>
                          <w:rFonts w:hint="default" w:ascii="ＭＳ ゴシック" w:hAnsi="ＭＳ ゴシック" w:eastAsia="ＭＳ ゴシック"/>
                          <w:b w:val="1"/>
                          <w:sz w:val="21"/>
                        </w:rPr>
                        <w:t>始期は、「令和５年９月１日」</w:t>
                      </w:r>
                      <w:r>
                        <w:rPr>
                          <w:rFonts w:hint="eastAsia" w:ascii="ＭＳ ゴシック" w:hAnsi="ＭＳ ゴシック" w:eastAsia="ＭＳ ゴシック"/>
                          <w:b w:val="1"/>
                          <w:sz w:val="21"/>
                        </w:rPr>
                        <w:t>。</w:t>
                      </w:r>
                    </w:p>
                  </w:txbxContent>
                </v:textbox>
                <v:imagedata o:title=""/>
                <w10:wrap type="none" anchorx="margin" anchory="text"/>
              </v:shape>
            </w:pict>
          </mc:Fallback>
        </mc:AlternateContent>
      </w:r>
      <w:r>
        <w:rPr>
          <w:rFonts w:hint="eastAsia"/>
        </w:rPr>
        <w:t>令和〇</w:t>
      </w:r>
      <w:r>
        <w:rPr>
          <w:rFonts w:hint="default"/>
        </w:rPr>
        <w:t>年</w:t>
      </w:r>
      <w:r>
        <w:rPr>
          <w:rFonts w:hint="default"/>
        </w:rPr>
        <w:t>○</w:t>
      </w:r>
      <w:r>
        <w:rPr>
          <w:rFonts w:hint="default"/>
        </w:rPr>
        <w:t>月</w:t>
      </w:r>
      <w:r>
        <w:rPr>
          <w:rFonts w:hint="default"/>
        </w:rPr>
        <w:t>○</w:t>
      </w:r>
      <w:r>
        <w:rPr>
          <w:rFonts w:hint="default"/>
        </w:rPr>
        <w:t>日～</w:t>
      </w:r>
      <w:r>
        <w:rPr>
          <w:rFonts w:hint="eastAsia"/>
        </w:rPr>
        <w:t>令和５</w:t>
      </w:r>
      <w:r>
        <w:rPr>
          <w:rFonts w:hint="default"/>
        </w:rPr>
        <w:t>年</w:t>
      </w:r>
      <w:r>
        <w:rPr>
          <w:rFonts w:hint="eastAsia"/>
        </w:rPr>
        <w:t>８</w:t>
      </w:r>
      <w:r>
        <w:rPr>
          <w:rFonts w:hint="default"/>
        </w:rPr>
        <w:t>月</w:t>
      </w:r>
      <w:r>
        <w:rPr>
          <w:rFonts w:hint="eastAsia"/>
        </w:rPr>
        <w:t>３１</w:t>
      </w:r>
      <w:r>
        <w:rPr>
          <w:rFonts w:hint="default"/>
        </w:rPr>
        <w:t>日</w:t>
      </w:r>
      <w:r>
        <w:rPr>
          <w:rFonts w:hint="default"/>
        </w:rPr>
        <w:t>(</w:t>
      </w:r>
      <w:r>
        <w:rPr>
          <w:rFonts w:hint="default"/>
        </w:rPr>
        <w:t>免許期間</w:t>
      </w:r>
      <w:r>
        <w:rPr>
          <w:rFonts w:hint="default"/>
        </w:rPr>
        <w:t>)</w:t>
      </w:r>
    </w:p>
    <w:p>
      <w:pPr>
        <w:pStyle w:val="25"/>
        <w:shd w:val="clear" w:color="auto" w:fill="auto"/>
        <w:spacing w:after="360" w:afterLines="0" w:afterAutospacing="0"/>
        <w:ind w:left="680" w:firstLine="20"/>
        <w:jc w:val="left"/>
        <w:rPr>
          <w:rFonts w:hint="default"/>
        </w:rPr>
      </w:pPr>
      <w:r>
        <w:rPr>
          <w:rFonts w:hint="eastAsia"/>
        </w:rPr>
        <w:t>　　　　</w:t>
      </w:r>
    </w:p>
    <w:p>
      <w:pPr>
        <w:pStyle w:val="28"/>
        <w:shd w:val="clear" w:color="auto" w:fill="auto"/>
        <w:spacing w:after="60" w:afterLines="0" w:afterAutospacing="0"/>
        <w:ind w:left="0"/>
        <w:rPr>
          <w:rFonts w:hint="default"/>
        </w:rPr>
      </w:pPr>
      <w:r>
        <w:rPr>
          <w:rFonts w:hint="default"/>
          <w:b w:val="1"/>
        </w:rPr>
        <w:t>第４</w:t>
      </w:r>
      <w:r>
        <w:rPr>
          <w:rFonts w:hint="default"/>
          <w:b w:val="1"/>
        </w:rPr>
        <w:t xml:space="preserve"> </w:t>
      </w:r>
      <w:r>
        <w:rPr>
          <w:rFonts w:hint="default"/>
          <w:b w:val="1"/>
        </w:rPr>
        <w:t>その他</w:t>
      </w:r>
    </w:p>
    <w:p>
      <w:pPr>
        <w:pStyle w:val="28"/>
        <w:shd w:val="clear" w:color="auto" w:fill="auto"/>
        <w:spacing w:after="60" w:afterLines="0" w:afterAutospacing="0"/>
        <w:ind w:left="0"/>
        <w:rPr>
          <w:rFonts w:hint="default"/>
        </w:rPr>
      </w:pPr>
      <w:r>
        <w:rPr>
          <w:rFonts w:hint="default"/>
          <w:b w:val="1"/>
        </w:rPr>
        <w:t>(</w:t>
      </w:r>
      <w:r>
        <w:rPr>
          <w:rFonts w:hint="default"/>
          <w:b w:val="1"/>
        </w:rPr>
        <w:t>１</w:t>
      </w:r>
      <w:r>
        <w:rPr>
          <w:rFonts w:hint="default"/>
          <w:b w:val="1"/>
        </w:rPr>
        <w:t>)</w:t>
      </w:r>
      <w:r>
        <w:rPr>
          <w:rFonts w:hint="default"/>
          <w:b w:val="1"/>
        </w:rPr>
        <w:t>計画の点検</w:t>
      </w:r>
    </w:p>
    <w:p>
      <w:pPr>
        <w:pStyle w:val="25"/>
        <w:shd w:val="clear" w:color="auto" w:fill="auto"/>
        <w:spacing w:after="60" w:afterLines="0" w:afterAutospacing="0"/>
        <w:ind w:left="240" w:leftChars="100" w:firstLine="240" w:firstLineChars="100"/>
        <w:jc w:val="left"/>
        <w:rPr>
          <w:rFonts w:hint="default"/>
        </w:rPr>
      </w:pPr>
      <w:r>
        <w:rPr>
          <w:rFonts w:hint="default"/>
        </w:rPr>
        <w:t>総会</w:t>
      </w:r>
      <w:r>
        <w:rPr>
          <w:rFonts w:hint="default"/>
        </w:rPr>
        <w:t>(</w:t>
      </w:r>
      <w:r>
        <w:rPr>
          <w:rFonts w:hint="default"/>
        </w:rPr>
        <w:t>総代会、部会、理事会その他これに準ずる意思決定機関でも可</w:t>
      </w:r>
      <w:r>
        <w:rPr>
          <w:rFonts w:hint="default"/>
        </w:rPr>
        <w:t>)</w:t>
      </w:r>
      <w:r>
        <w:rPr>
          <w:rFonts w:hint="default"/>
        </w:rPr>
        <w:t>において、１回／年以上、当該計画の履行状況の確認や妥当性の評価を行うとともに、必要に応じて見直しを行う。</w:t>
      </w:r>
    </w:p>
    <w:p>
      <w:pPr>
        <w:pStyle w:val="28"/>
        <w:shd w:val="clear" w:color="auto" w:fill="auto"/>
        <w:spacing w:after="60" w:afterLines="0" w:afterAutospacing="0"/>
        <w:ind w:left="0"/>
        <w:rPr>
          <w:rFonts w:hint="default"/>
        </w:rPr>
      </w:pPr>
      <w:r>
        <w:rPr>
          <w:rFonts w:hint="default"/>
          <w:b w:val="1"/>
        </w:rPr>
        <w:t>(</w:t>
      </w:r>
      <w:r>
        <w:rPr>
          <w:rFonts w:hint="default"/>
          <w:b w:val="1"/>
        </w:rPr>
        <w:t>２</w:t>
      </w:r>
      <w:r>
        <w:rPr>
          <w:rFonts w:hint="default"/>
          <w:b w:val="1"/>
        </w:rPr>
        <w:t>)</w:t>
      </w:r>
      <w:r>
        <w:rPr>
          <w:rFonts w:hint="eastAsia"/>
          <w:b w:val="1"/>
        </w:rPr>
        <w:t>高知</w:t>
      </w:r>
      <w:r>
        <w:rPr>
          <w:rFonts w:hint="default"/>
          <w:b w:val="1"/>
        </w:rPr>
        <w:t>県との連携</w:t>
      </w:r>
    </w:p>
    <w:p>
      <w:pPr>
        <w:pStyle w:val="25"/>
        <w:shd w:val="clear" w:color="auto" w:fill="auto"/>
        <w:spacing w:after="60" w:afterLines="0" w:afterAutospacing="0"/>
        <w:ind w:firstLine="480" w:firstLineChars="200"/>
        <w:jc w:val="left"/>
        <w:rPr>
          <w:rFonts w:hint="default"/>
        </w:rPr>
      </w:pPr>
      <w:r>
        <w:rPr>
          <w:rFonts w:hint="default"/>
        </w:rPr>
        <w:t>(</w:t>
      </w:r>
      <w:r>
        <w:rPr>
          <w:rFonts w:hint="default"/>
        </w:rPr>
        <w:t>１</w:t>
      </w:r>
      <w:r>
        <w:rPr>
          <w:rFonts w:hint="default"/>
        </w:rPr>
        <w:t>)</w:t>
      </w:r>
      <w:r>
        <w:rPr>
          <w:rFonts w:hint="default"/>
        </w:rPr>
        <w:t>の点検結果については、１回／年以上</w:t>
      </w:r>
      <w:r>
        <w:rPr>
          <w:rFonts w:hint="eastAsia"/>
        </w:rPr>
        <w:t>、高知</w:t>
      </w:r>
      <w:r>
        <w:rPr>
          <w:rFonts w:hint="default"/>
        </w:rPr>
        <w:t>県知事に提出する。</w:t>
      </w:r>
    </w:p>
    <w:p>
      <w:pPr>
        <w:pStyle w:val="28"/>
        <w:shd w:val="clear" w:color="auto" w:fill="auto"/>
        <w:spacing w:after="60" w:afterLines="0" w:afterAutospacing="0"/>
        <w:ind w:left="0"/>
        <w:rPr>
          <w:rFonts w:hint="default"/>
          <w:b w:val="1"/>
        </w:rPr>
      </w:pPr>
      <w:r>
        <w:rPr>
          <w:rFonts w:hint="default"/>
          <w:b w:val="1"/>
        </w:rPr>
        <w:t>(</w:t>
      </w:r>
      <w:r>
        <w:rPr>
          <w:rFonts w:hint="default"/>
          <w:b w:val="1"/>
        </w:rPr>
        <w:t>３</w:t>
      </w:r>
      <w:r>
        <w:rPr>
          <w:rFonts w:hint="default"/>
          <w:b w:val="1"/>
        </w:rPr>
        <w:t>)</w:t>
      </w:r>
      <w:r>
        <w:rPr>
          <w:rFonts w:hint="default"/>
          <w:b w:val="1"/>
        </w:rPr>
        <w:t>関係機関等との連携</w:t>
      </w:r>
    </w:p>
    <w:p>
      <w:pPr>
        <w:pStyle w:val="28"/>
        <w:shd w:val="clear" w:color="auto" w:fill="auto"/>
        <w:spacing w:after="60" w:afterLines="0" w:afterAutospacing="0"/>
        <w:ind w:left="0" w:leftChars="0" w:hanging="240" w:hangingChars="100"/>
        <w:rPr>
          <w:rFonts w:hint="default" w:ascii="ＭＳ 明朝" w:hAnsi="ＭＳ 明朝" w:eastAsia="ＭＳ 明朝"/>
        </w:rPr>
      </w:pPr>
      <w:r>
        <w:rPr>
          <w:rFonts w:hint="eastAsia"/>
          <w:b w:val="1"/>
        </w:rPr>
        <w:t>　　</w:t>
      </w:r>
      <w:r>
        <w:rPr>
          <w:rFonts w:hint="eastAsia"/>
          <w:sz w:val="24"/>
        </w:rPr>
        <w:t>当該計画については、地方公共団体、漁業関係団体等に助言等を求めることができる。</w:t>
      </w:r>
    </w:p>
    <w:sectPr>
      <w:footerReference r:id="rId11" w:type="even"/>
      <w:footerReference r:id="rId12" w:type="default"/>
      <w:pgSz w:w="11900" w:h="16840"/>
      <w:pgMar w:top="1134" w:right="1134" w:bottom="851" w:left="1418" w:header="0" w:footer="6"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itka Heading">
    <w:panose1 w:val="00000000000000000000"/>
    <w:charset w:val="00"/>
    <w:family w:val="auto"/>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1" w:lineRule="exac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1" w:lineRule="exact"/>
      <w:rPr>
        <w:rFonts w:hint="default"/>
      </w:rPr>
    </w:pPr>
    <w:r>
      <w:rPr>
        <w:rFonts w:hint="default"/>
      </w:rPr>
      <mc:AlternateContent>
        <mc:Choice Requires="wps">
          <w:drawing>
            <wp:anchor distT="0" distB="0" distL="0" distR="0" simplePos="0" relativeHeight="3" behindDoc="1" locked="0" layoutInCell="1" hidden="0" allowOverlap="1">
              <wp:simplePos x="0" y="0"/>
              <wp:positionH relativeFrom="page">
                <wp:posOffset>3700145</wp:posOffset>
              </wp:positionH>
              <wp:positionV relativeFrom="page">
                <wp:posOffset>10424160</wp:posOffset>
              </wp:positionV>
              <wp:extent cx="152400" cy="152400"/>
              <wp:effectExtent l="0" t="0" r="0" b="0"/>
              <wp:wrapNone/>
              <wp:docPr id="2049" name="Shape 69"/>
              <a:graphic xmlns:a="http://schemas.openxmlformats.org/drawingml/2006/main">
                <a:graphicData uri="http://schemas.microsoft.com/office/word/2010/wordprocessingShape">
                  <wps:wsp>
                    <wps:cNvPr id="2049" name="Shape 69"/>
                    <wps:cNvSpPr txBox="1"/>
                    <wps:spPr>
                      <a:xfrm>
                        <a:off x="0" y="0"/>
                        <a:ext cx="152400" cy="152400"/>
                      </a:xfrm>
                      <a:prstGeom prst="rect">
                        <a:avLst/>
                      </a:prstGeom>
                      <a:noFill/>
                    </wps:spPr>
                    <wps:txbx>
                      <w:txbxContent>
                        <w:p>
                          <w:pPr>
                            <w:pStyle w:val="26"/>
                            <w:shd w:val="clear" w:color="auto" w:fill="auto"/>
                            <w:rPr>
                              <w:rFonts w:hint="default"/>
                            </w:rPr>
                          </w:pP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style="mso-wrap-distance-right:0pt;mso-wrap-distance-bottom:0pt;margin-top:820.8pt;mso-position-vertical-relative:page;mso-position-horizontal-relative:page;position:absolute;height:12pt;mso-wrap-distance-top:0pt;width:12pt;mso-wrap-style:none;mso-wrap-distance-left:0pt;margin-left:291.35000000000002pt;z-index:-503316477;" o:spid="_x0000_s2049" o:allowincell="t" o:allowoverlap="t" filled="f" stroked="f" o:spt="202" type="#_x0000_t202">
              <v:fill/>
              <v:textbox style="layout-flow:horizontal;mso-fit-shape-to-text:t;" inset="0mm,0mm,0mm,0mm">
                <w:txbxContent>
                  <w:p>
                    <w:pPr>
                      <w:pStyle w:val="26"/>
                      <w:shd w:val="clear" w:color="auto" w:fill="auto"/>
                      <w:rPr>
                        <w:rFonts w:hint="default"/>
                      </w:rPr>
                    </w:pPr>
                  </w:p>
                </w:txbxContent>
              </v:textbox>
              <v:imagedata o:title=""/>
              <w10:wrap type="none" anchorx="page" anchory="page"/>
            </v:shape>
          </w:pict>
        </mc:Fallback>
      </mc:AlternateConten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1" w:lineRule="exact"/>
      <w:rPr>
        <w:rFonts w:hint="default"/>
      </w:rPr>
    </w:pPr>
    <w:r>
      <w:rPr>
        <w:rFonts w:hint="default"/>
      </w:rPr>
      <mc:AlternateContent>
        <mc:Choice Requires="wps">
          <w:drawing>
            <wp:anchor distT="0" distB="0" distL="0" distR="0" simplePos="0" relativeHeight="2" behindDoc="1" locked="0" layoutInCell="1" hidden="0" allowOverlap="1">
              <wp:simplePos x="0" y="0"/>
              <wp:positionH relativeFrom="page">
                <wp:posOffset>3700145</wp:posOffset>
              </wp:positionH>
              <wp:positionV relativeFrom="page">
                <wp:posOffset>10424160</wp:posOffset>
              </wp:positionV>
              <wp:extent cx="152400" cy="152400"/>
              <wp:effectExtent l="0" t="0" r="0" b="0"/>
              <wp:wrapNone/>
              <wp:docPr id="2050" name="Shape 67"/>
              <a:graphic xmlns:a="http://schemas.openxmlformats.org/drawingml/2006/main">
                <a:graphicData uri="http://schemas.microsoft.com/office/word/2010/wordprocessingShape">
                  <wps:wsp>
                    <wps:cNvPr id="2050" name="Shape 67"/>
                    <wps:cNvSpPr txBox="1"/>
                    <wps:spPr>
                      <a:xfrm>
                        <a:off x="0" y="0"/>
                        <a:ext cx="152400" cy="152400"/>
                      </a:xfrm>
                      <a:prstGeom prst="rect">
                        <a:avLst/>
                      </a:prstGeom>
                      <a:noFill/>
                    </wps:spPr>
                    <wps:txbx>
                      <w:txbxContent>
                        <w:p>
                          <w:pPr>
                            <w:pStyle w:val="26"/>
                            <w:shd w:val="clear" w:color="auto" w:fill="auto"/>
                            <w:rPr>
                              <w:rFonts w:hint="default"/>
                            </w:rPr>
                          </w:pPr>
                          <w:r>
                            <w:rPr>
                              <w:rFonts w:hint="default"/>
                            </w:rPr>
                            <w:t>22</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style="mso-wrap-distance-right:0pt;mso-wrap-distance-bottom:0pt;margin-top:820.8pt;mso-position-vertical-relative:page;mso-position-horizontal-relative:page;position:absolute;height:12pt;mso-wrap-distance-top:0pt;width:12pt;mso-wrap-style:none;mso-wrap-distance-left:0pt;margin-left:291.35000000000002pt;z-index:-503316478;" o:spid="_x0000_s2050" o:allowincell="t" o:allowoverlap="t" filled="f" stroked="f" o:spt="202" type="#_x0000_t202">
              <v:fill/>
              <v:textbox style="layout-flow:horizontal;mso-fit-shape-to-text:t;" inset="0mm,0mm,0mm,0mm">
                <w:txbxContent>
                  <w:p>
                    <w:pPr>
                      <w:pStyle w:val="26"/>
                      <w:shd w:val="clear" w:color="auto" w:fill="auto"/>
                      <w:rPr>
                        <w:rFonts w:hint="default"/>
                      </w:rPr>
                    </w:pPr>
                    <w:r>
                      <w:rPr>
                        <w:rFonts w:hint="default"/>
                      </w:rPr>
                      <w:t>22</w:t>
                    </w:r>
                  </w:p>
                </w:txbxContent>
              </v:textbox>
              <v:imagedata o:title=""/>
              <w10:wrap type="none" anchorx="page" anchory="page"/>
            </v:shape>
          </w:pict>
        </mc:Fallback>
      </mc:AlternateContent>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1" w:lineRule="exac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1" w:lineRule="exac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AR Pゴシック体M" w:hAnsi="AR Pゴシック体M" w:eastAsia="AR Pゴシック体M"/>
        <w:sz w:val="36"/>
      </w:rPr>
    </w:pPr>
  </w:p>
  <w:p>
    <w:pPr>
      <w:pStyle w:val="0"/>
      <w:jc w:val="center"/>
      <w:rPr>
        <w:rFonts w:hint="eastAsia" w:ascii="AR Pゴシック体M" w:hAnsi="AR Pゴシック体M" w:eastAsia="AR Pゴシック体M"/>
        <w:sz w:val="36"/>
      </w:rPr>
    </w:pPr>
    <w:r>
      <w:rPr>
        <w:rFonts w:hint="eastAsia" w:ascii="AR Pゴシック体M" w:hAnsi="AR Pゴシック体M" w:eastAsia="AR Pゴシック体M"/>
        <w:sz w:val="36"/>
      </w:rPr>
      <w:t>計画例</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jc w:val="center"/>
      <w:rPr>
        <w:rFonts w:hint="eastAsia"/>
      </w:rPr>
    </w:pPr>
  </w:p>
  <w:p>
    <w:pPr>
      <w:pStyle w:val="0"/>
      <w:jc w:val="center"/>
      <w:rPr>
        <w:rFonts w:hint="eastAsia"/>
      </w:rPr>
    </w:pPr>
    <w:r>
      <w:rPr>
        <w:rFonts w:hint="eastAsia" w:ascii="AR Pゴシック体M" w:hAnsi="AR Pゴシック体M" w:eastAsia="AR Pゴシック体M"/>
        <w:sz w:val="36"/>
      </w:rPr>
      <w:t>計画例</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31">
          <o:proxy start="" idref="#_x0000_s0" connectloc="-1"/>
          <o:proxy end="" idref="#_x0000_s0" connectloc="-1"/>
        </o:r>
        <o:r id="V:Rule6" type="connector" idref="#_x0000_s1027">
          <o:proxy start="" idref="#_x0000_s0" connectloc="-1"/>
          <o:proxy end="" idref="#_x0000_s0" connectloc="-1"/>
        </o:r>
        <o:r id="V:Rule16" type="connector" idref="#_x0000_s1032">
          <o:proxy start="" idref="#_x0000_s0" connectloc="-1"/>
          <o:proxy end="" idref="#_x0000_s0" connectloc="-1"/>
        </o:r>
        <o:r id="V:Rule18"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4"/>
      </w:rPr>
    </w:rPrDefault>
  </w:docDefaults>
  <w:style w:type="paragraph" w:styleId="0" w:default="1">
    <w:name w:val="Normal"/>
    <w:next w:val="0"/>
    <w:link w:val="0"/>
    <w:uiPriority w:val="0"/>
    <w:rPr>
      <w:rFonts w:eastAsia="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2_"/>
    <w:basedOn w:val="10"/>
    <w:next w:val="15"/>
    <w:link w:val="24"/>
    <w:uiPriority w:val="0"/>
    <w:rPr>
      <w:rFonts w:ascii="ＭＳ 明朝" w:hAnsi="ＭＳ 明朝" w:eastAsia="ＭＳ 明朝"/>
      <w:u w:val="none" w:color="auto"/>
    </w:rPr>
  </w:style>
  <w:style w:type="character" w:styleId="16" w:customStyle="1">
    <w:name w:val="本文|4_"/>
    <w:basedOn w:val="10"/>
    <w:next w:val="16"/>
    <w:link w:val="25"/>
    <w:uiPriority w:val="0"/>
    <w:rPr>
      <w:rFonts w:ascii="ＭＳ 明朝" w:hAnsi="ＭＳ 明朝" w:eastAsia="ＭＳ 明朝"/>
      <w:u w:val="none" w:color="auto"/>
    </w:rPr>
  </w:style>
  <w:style w:type="character" w:styleId="17" w:customStyle="1">
    <w:name w:val="ヘッダーまたはフッター|1_"/>
    <w:basedOn w:val="10"/>
    <w:next w:val="17"/>
    <w:link w:val="26"/>
    <w:uiPriority w:val="0"/>
    <w:rPr>
      <w:rFonts w:ascii="ＭＳ Ｐゴシック" w:hAnsi="ＭＳ Ｐゴシック" w:eastAsia="ＭＳ Ｐゴシック"/>
      <w:u w:val="none" w:color="auto"/>
    </w:rPr>
  </w:style>
  <w:style w:type="character" w:styleId="18" w:customStyle="1">
    <w:name w:val="見出し #1|1_"/>
    <w:basedOn w:val="10"/>
    <w:next w:val="18"/>
    <w:link w:val="27"/>
    <w:uiPriority w:val="0"/>
    <w:rPr>
      <w:sz w:val="20"/>
      <w:u w:val="none" w:color="auto"/>
    </w:rPr>
  </w:style>
  <w:style w:type="character" w:styleId="19" w:customStyle="1">
    <w:name w:val="本文|7_"/>
    <w:basedOn w:val="10"/>
    <w:next w:val="19"/>
    <w:link w:val="28"/>
    <w:uiPriority w:val="0"/>
    <w:rPr>
      <w:rFonts w:ascii="ＭＳ ゴシック" w:hAnsi="ＭＳ ゴシック" w:eastAsia="ＭＳ ゴシック"/>
      <w:u w:val="none" w:color="auto"/>
    </w:rPr>
  </w:style>
  <w:style w:type="character" w:styleId="20" w:customStyle="1">
    <w:name w:val="テーブルのキャプション|1_"/>
    <w:basedOn w:val="10"/>
    <w:next w:val="20"/>
    <w:link w:val="29"/>
    <w:uiPriority w:val="0"/>
    <w:rPr>
      <w:rFonts w:ascii="ＭＳ ゴシック" w:hAnsi="ＭＳ ゴシック" w:eastAsia="ＭＳ ゴシック"/>
      <w:u w:val="none" w:color="auto"/>
    </w:rPr>
  </w:style>
  <w:style w:type="character" w:styleId="21" w:customStyle="1">
    <w:name w:val="その他|1_"/>
    <w:basedOn w:val="10"/>
    <w:next w:val="21"/>
    <w:link w:val="30"/>
    <w:uiPriority w:val="0"/>
    <w:rPr>
      <w:rFonts w:ascii="ＭＳ ゴシック" w:hAnsi="ＭＳ ゴシック" w:eastAsia="ＭＳ ゴシック"/>
      <w:u w:val="none" w:color="auto"/>
    </w:rPr>
  </w:style>
  <w:style w:type="character" w:styleId="22" w:customStyle="1">
    <w:name w:val="本文|3_"/>
    <w:basedOn w:val="10"/>
    <w:next w:val="22"/>
    <w:link w:val="31"/>
    <w:uiPriority w:val="0"/>
    <w:rPr>
      <w:rFonts w:ascii="ＭＳ Ｐゴシック" w:hAnsi="ＭＳ Ｐゴシック" w:eastAsia="ＭＳ Ｐゴシック"/>
      <w:u w:val="none" w:color="auto"/>
    </w:rPr>
  </w:style>
  <w:style w:type="character" w:styleId="23" w:customStyle="1">
    <w:name w:val="本文|6_"/>
    <w:basedOn w:val="10"/>
    <w:next w:val="23"/>
    <w:link w:val="32"/>
    <w:uiPriority w:val="0"/>
    <w:rPr>
      <w:rFonts w:ascii="ＭＳ 明朝" w:hAnsi="ＭＳ 明朝" w:eastAsia="ＭＳ 明朝"/>
      <w:sz w:val="20"/>
      <w:u w:val="none" w:color="auto"/>
    </w:rPr>
  </w:style>
  <w:style w:type="paragraph" w:styleId="24" w:customStyle="1">
    <w:name w:val="本文|2"/>
    <w:basedOn w:val="0"/>
    <w:next w:val="24"/>
    <w:link w:val="15"/>
    <w:uiPriority w:val="0"/>
    <w:pPr>
      <w:shd w:val="clear" w:color="auto" w:fill="FFFFFF"/>
    </w:pPr>
    <w:rPr>
      <w:rFonts w:ascii="ＭＳ 明朝" w:hAnsi="ＭＳ 明朝" w:eastAsia="ＭＳ 明朝"/>
    </w:rPr>
  </w:style>
  <w:style w:type="paragraph" w:styleId="25" w:customStyle="1">
    <w:name w:val="本文|4"/>
    <w:basedOn w:val="0"/>
    <w:next w:val="25"/>
    <w:link w:val="16"/>
    <w:uiPriority w:val="0"/>
    <w:pPr>
      <w:shd w:val="clear" w:color="auto" w:fill="FFFFFF"/>
      <w:spacing w:after="120" w:afterLines="0" w:afterAutospacing="0"/>
      <w:jc w:val="right"/>
    </w:pPr>
    <w:rPr>
      <w:rFonts w:ascii="ＭＳ 明朝" w:hAnsi="ＭＳ 明朝" w:eastAsia="ＭＳ 明朝"/>
    </w:rPr>
  </w:style>
  <w:style w:type="paragraph" w:styleId="26" w:customStyle="1">
    <w:name w:val="ヘッダーまたはフッター|1"/>
    <w:basedOn w:val="0"/>
    <w:next w:val="26"/>
    <w:link w:val="17"/>
    <w:uiPriority w:val="0"/>
    <w:pPr>
      <w:shd w:val="clear" w:color="auto" w:fill="FFFFFF"/>
    </w:pPr>
    <w:rPr>
      <w:rFonts w:ascii="ＭＳ Ｐゴシック" w:hAnsi="ＭＳ Ｐゴシック" w:eastAsia="ＭＳ Ｐゴシック"/>
    </w:rPr>
  </w:style>
  <w:style w:type="paragraph" w:styleId="27" w:customStyle="1">
    <w:name w:val="見出し #1|1"/>
    <w:basedOn w:val="0"/>
    <w:next w:val="27"/>
    <w:link w:val="18"/>
    <w:uiPriority w:val="0"/>
    <w:pPr>
      <w:shd w:val="clear" w:color="auto" w:fill="FFFFFF"/>
      <w:outlineLvl w:val="0"/>
    </w:pPr>
    <w:rPr>
      <w:sz w:val="20"/>
    </w:rPr>
  </w:style>
  <w:style w:type="paragraph" w:styleId="28" w:customStyle="1">
    <w:name w:val="本文|7"/>
    <w:basedOn w:val="0"/>
    <w:next w:val="28"/>
    <w:link w:val="19"/>
    <w:uiPriority w:val="0"/>
    <w:pPr>
      <w:shd w:val="clear" w:color="auto" w:fill="FFFFFF"/>
      <w:spacing w:after="130" w:afterLines="0" w:afterAutospacing="0"/>
      <w:ind w:left="3890"/>
    </w:pPr>
    <w:rPr>
      <w:rFonts w:ascii="ＭＳ ゴシック" w:hAnsi="ＭＳ ゴシック" w:eastAsia="ＭＳ ゴシック"/>
    </w:rPr>
  </w:style>
  <w:style w:type="paragraph" w:styleId="29" w:customStyle="1">
    <w:name w:val="テーブルのキャプション|1"/>
    <w:basedOn w:val="0"/>
    <w:next w:val="29"/>
    <w:link w:val="20"/>
    <w:uiPriority w:val="0"/>
    <w:pPr>
      <w:shd w:val="clear" w:color="auto" w:fill="FFFFFF"/>
    </w:pPr>
    <w:rPr>
      <w:rFonts w:ascii="ＭＳ ゴシック" w:hAnsi="ＭＳ ゴシック" w:eastAsia="ＭＳ ゴシック"/>
    </w:rPr>
  </w:style>
  <w:style w:type="paragraph" w:styleId="30" w:customStyle="1">
    <w:name w:val="その他|1"/>
    <w:basedOn w:val="0"/>
    <w:next w:val="30"/>
    <w:link w:val="21"/>
    <w:uiPriority w:val="0"/>
    <w:pPr>
      <w:shd w:val="clear" w:color="auto" w:fill="FFFFFF"/>
      <w:ind w:left="220"/>
    </w:pPr>
    <w:rPr>
      <w:rFonts w:ascii="ＭＳ ゴシック" w:hAnsi="ＭＳ ゴシック" w:eastAsia="ＭＳ ゴシック"/>
    </w:rPr>
  </w:style>
  <w:style w:type="paragraph" w:styleId="31" w:customStyle="1">
    <w:name w:val="本文|3"/>
    <w:basedOn w:val="0"/>
    <w:next w:val="31"/>
    <w:link w:val="22"/>
    <w:uiPriority w:val="0"/>
    <w:pPr>
      <w:shd w:val="clear" w:color="auto" w:fill="FFFFFF"/>
    </w:pPr>
    <w:rPr>
      <w:rFonts w:ascii="ＭＳ Ｐゴシック" w:hAnsi="ＭＳ Ｐゴシック" w:eastAsia="ＭＳ Ｐゴシック"/>
    </w:rPr>
  </w:style>
  <w:style w:type="paragraph" w:styleId="32" w:customStyle="1">
    <w:name w:val="本文|6"/>
    <w:basedOn w:val="0"/>
    <w:next w:val="32"/>
    <w:link w:val="23"/>
    <w:uiPriority w:val="0"/>
    <w:pPr>
      <w:shd w:val="clear" w:color="auto" w:fill="FFFFFF"/>
      <w:spacing w:after="120" w:afterLines="0" w:afterAutospacing="0"/>
      <w:ind w:left="240" w:firstLine="280"/>
    </w:pPr>
    <w:rPr>
      <w:rFonts w:ascii="ＭＳ 明朝" w:hAnsi="ＭＳ 明朝" w:eastAsia="ＭＳ 明朝"/>
      <w:sz w:val="20"/>
    </w:rPr>
  </w:style>
  <w:style w:type="paragraph" w:styleId="33">
    <w:name w:val="No Spacing"/>
    <w:next w:val="33"/>
    <w:link w:val="0"/>
    <w:uiPriority w:val="0"/>
    <w:qFormat/>
    <w:rPr>
      <w:rFonts w:eastAsia="Times New Roman"/>
      <w:color w:val="000000"/>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color w:val="000000"/>
      <w:sz w:val="18"/>
    </w:rPr>
  </w:style>
  <w:style w:type="paragraph" w:styleId="36">
    <w:name w:val="header"/>
    <w:basedOn w:val="0"/>
    <w:next w:val="36"/>
    <w:link w:val="37"/>
    <w:uiPriority w:val="0"/>
    <w:pPr>
      <w:tabs>
        <w:tab w:val="center" w:leader="none" w:pos="4252"/>
        <w:tab w:val="right" w:leader="none" w:pos="8504"/>
      </w:tabs>
      <w:snapToGrid w:val="0"/>
    </w:pPr>
  </w:style>
  <w:style w:type="character" w:styleId="37" w:customStyle="1">
    <w:name w:val="ヘッダー (文字)"/>
    <w:basedOn w:val="10"/>
    <w:next w:val="37"/>
    <w:link w:val="36"/>
    <w:uiPriority w:val="0"/>
    <w:rPr>
      <w:rFonts w:eastAsia="Times New Roman"/>
      <w:color w:val="000000"/>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TotalTime>
  <Pages>2</Pages>
  <Words>0</Words>
  <Characters>627</Characters>
  <Application>JUST Note</Application>
  <Lines>42</Lines>
  <Paragraphs>31</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429290</dc:creator>
  <cp:lastModifiedBy>422312</cp:lastModifiedBy>
  <cp:lastPrinted>2020-11-05T00:43:00Z</cp:lastPrinted>
  <dcterms:created xsi:type="dcterms:W3CDTF">2020-10-28T07:25:00Z</dcterms:created>
  <dcterms:modified xsi:type="dcterms:W3CDTF">2020-11-18T09:27:12Z</dcterms:modified>
  <cp:revision>15</cp:revision>
</cp:coreProperties>
</file>