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rPr>
        <mc:AlternateContent>
          <mc:Choice Requires="wps">
            <w:drawing>
              <wp:anchor distT="0" distB="0" distL="114300" distR="114300" simplePos="0" relativeHeight="71" behindDoc="0" locked="0" layoutInCell="1" hidden="0" allowOverlap="1">
                <wp:simplePos x="0" y="0"/>
                <wp:positionH relativeFrom="column">
                  <wp:posOffset>5842000</wp:posOffset>
                </wp:positionH>
                <wp:positionV relativeFrom="paragraph">
                  <wp:posOffset>-108585</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5500000000000007pt;mso-position-vertical-relative:text;mso-position-horizontal-relative:text;v-text-anchor:middle;position:absolute;height:23.4pt;mso-wrap-distance-top:0pt;width:54.6pt;mso-wrap-distance-left:9pt;margin-left:460pt;z-index:71;" o:spid="_x0000_s1026" o:allowincell="t" o:allowoverlap="t" filled="t" fillcolor="#ffffff" stroked="t" strokecolor="#000000" strokeweight="1pt" o:spt="1">
                <v:fill/>
                <v:stroke linestyle="single" miterlimit="8" endcap="flat" dashstyle="solid" filltype="solid"/>
                <v:textbox style="layout-flow:horizontal;">
                  <w:txbxContent>
                    <w:p>
                      <w:pPr>
                        <w:pStyle w:val="0"/>
                        <w:jc w:val="center"/>
                        <w:rPr>
                          <w:rFonts w:hint="default"/>
                        </w:rPr>
                      </w:pPr>
                      <w:r>
                        <w:rPr>
                          <w:rFonts w:hint="eastAsia"/>
                        </w:rPr>
                        <w:t>様式１</w:t>
                      </w:r>
                    </w:p>
                  </w:txbxContent>
                </v:textbox>
                <v:imagedata o:title=""/>
                <w10:wrap type="none" anchorx="text" anchory="text"/>
              </v:rect>
            </w:pict>
          </mc:Fallback>
        </mc:AlternateContent>
      </w:r>
      <w:r>
        <w:rPr>
          <w:rFonts w:hint="eastAsia" w:ascii="ＭＳ ゴシック" w:hAnsi="ＭＳ ゴシック" w:eastAsia="ＭＳ ゴシック"/>
          <w:sz w:val="44"/>
        </w:rPr>
        <w:t>感染防止安全計画</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１</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開催概要　</w:t>
      </w: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※「感染防止策チェックリスト」の開催概要の添付でも可</w:t>
      </w:r>
    </w:p>
    <w:tbl>
      <w:tblPr>
        <w:tblStyle w:val="25"/>
        <w:tblpPr w:leftFromText="142" w:rightFromText="142" w:topFromText="0" w:bottomFromText="0" w:vertAnchor="text" w:horzAnchor="text" w:tblpXSpec="left" w:tblpY="1"/>
        <w:tblOverlap w:val="never"/>
        <w:tblW w:w="9743" w:type="dxa"/>
        <w:tblLayout w:type="fixed"/>
        <w:tblLook w:firstRow="1" w:lastRow="0" w:firstColumn="1" w:lastColumn="0" w:noHBand="0" w:noVBand="1" w:val="04A0"/>
      </w:tblPr>
      <w:tblGrid>
        <w:gridCol w:w="236"/>
        <w:gridCol w:w="1319"/>
        <w:gridCol w:w="425"/>
        <w:gridCol w:w="2835"/>
        <w:gridCol w:w="567"/>
        <w:gridCol w:w="4361"/>
      </w:tblGrid>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イベント名</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（開催案内等のＵＲＬがあれば記載）</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出演者・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チーム等</w:t>
            </w:r>
          </w:p>
        </w:tc>
        <w:tc>
          <w:tcPr>
            <w:tcW w:w="8188" w:type="dxa"/>
            <w:gridSpan w:val="4"/>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（多数のため収まらない場合　→　別途、一覧をご提出ください。）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開催日時</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　　（　　時　　分　～　　　時　　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※複数回開催の場合　→　別途、開催する日時の一覧をご提出ください。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開催会場</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（会場のＵＲＬ等があれば記載）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会場所在地</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155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主催者</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dark1"/>
                <w:kern w:val="24"/>
                <w:sz w:val="24"/>
              </w:rPr>
              <w:t>所在地</w:t>
            </w:r>
          </w:p>
        </w:tc>
        <w:tc>
          <w:tcPr>
            <w:tcW w:w="8188" w:type="dxa"/>
            <w:gridSpan w:val="4"/>
            <w:vAlign w:val="center"/>
          </w:tcPr>
          <w:p>
            <w:pPr>
              <w:pStyle w:val="0"/>
              <w:widowControl w:val="1"/>
              <w:rPr>
                <w:rFonts w:hint="default" w:ascii="ＭＳ ゴシック" w:hAnsi="ＭＳ ゴシック" w:eastAsia="ＭＳ ゴシック"/>
                <w:kern w:val="0"/>
                <w:sz w:val="24"/>
              </w:rPr>
            </w:pPr>
          </w:p>
        </w:tc>
      </w:tr>
      <w:tr>
        <w:trPr>
          <w:trHeight w:val="5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連絡先</w:t>
            </w:r>
          </w:p>
        </w:tc>
        <w:tc>
          <w:tcPr>
            <w:tcW w:w="8188"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（電話番号、メールアドレス）</w:t>
            </w:r>
          </w:p>
        </w:tc>
      </w:tr>
      <w:tr>
        <w:trPr>
          <w:trHeight w:val="820"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収容率</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（上限）</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いずれかを</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0"/>
              </w:rPr>
              <w:t>選択</w:t>
            </w:r>
          </w:p>
        </w:tc>
        <w:tc>
          <w:tcPr>
            <w:tcW w:w="425" w:type="dxa"/>
            <w:tcBorders>
              <w:top w:val="single" w:color="000000" w:themeColor="text1" w:sz="4" w:space="0"/>
              <w:left w:val="single" w:color="000000" w:themeColor="text1" w:sz="4" w:space="0"/>
              <w:bottom w:val="dashed"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2835" w:type="dxa"/>
            <w:tcBorders>
              <w:top w:val="single" w:color="000000" w:themeColor="text1" w:sz="4" w:space="0"/>
              <w:left w:val="single" w:color="FFFFFF" w:themeColor="background1"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収容定員あり</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100%</w:t>
            </w:r>
          </w:p>
        </w:tc>
        <w:tc>
          <w:tcPr>
            <w:tcW w:w="567" w:type="dxa"/>
            <w:tcBorders>
              <w:top w:val="single" w:color="000000" w:themeColor="text1" w:sz="4" w:space="0"/>
              <w:left w:val="single" w:color="auto" w:sz="4" w:space="0"/>
              <w:bottom w:val="single" w:color="000000" w:themeColor="text1" w:sz="4" w:space="0"/>
              <w:right w:val="single" w:color="FFFFFF" w:sz="4" w:space="0"/>
              <w:tl2br w:val="none" w:color="auto" w:sz="0" w:space="0"/>
              <w:tr2bl w:val="none" w:color="auto" w:sz="0" w:space="0"/>
            </w:tcBorders>
            <w:shd w:val="clear" w:color="auto" w:fill="auto"/>
            <w:vAlign w:val="center"/>
          </w:tcPr>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4361" w:type="dxa"/>
            <w:tcBorders>
              <w:top w:val="single" w:color="000000" w:themeColor="text1" w:sz="4" w:space="0"/>
              <w:left w:val="single" w:color="FFFFFF"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収容定員なし</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人と人が触れ合わない程度の間隔</w:t>
            </w:r>
          </w:p>
        </w:tc>
      </w:tr>
      <w:tr>
        <w:trPr>
          <w:trHeight w:val="567"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収容定員</w:t>
            </w:r>
          </w:p>
        </w:tc>
        <w:tc>
          <w:tcPr>
            <w:tcW w:w="8188" w:type="dxa"/>
            <w:gridSpan w:val="4"/>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○○○人（収容定員ありの場合記載）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参加人数</w:t>
            </w:r>
          </w:p>
        </w:tc>
        <w:tc>
          <w:tcPr>
            <w:tcW w:w="8188" w:type="dxa"/>
            <w:gridSpan w:val="4"/>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対象者</w:t>
            </w:r>
            <w:r>
              <w:rPr>
                <w:rFonts w:hint="default" w:ascii="ＭＳ ゴシック" w:hAnsi="ＭＳ ゴシック" w:eastAsia="ＭＳ ゴシック"/>
                <w:sz w:val="24"/>
              </w:rPr>
              <w:t>全員検査</w:t>
            </w:r>
            <w:r>
              <w:rPr>
                <w:rFonts w:hint="eastAsia" w:ascii="ＭＳ ゴシック" w:hAnsi="ＭＳ ゴシック" w:eastAsia="ＭＳ ゴシック"/>
                <w:sz w:val="24"/>
              </w:rPr>
              <w:t>の</w:t>
            </w:r>
            <w:r>
              <w:rPr>
                <w:rFonts w:hint="default" w:ascii="ＭＳ ゴシック" w:hAnsi="ＭＳ ゴシック" w:eastAsia="ＭＳ ゴシック"/>
                <w:sz w:val="24"/>
              </w:rPr>
              <w:t>実施</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8"/>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緊急事態</w:t>
            </w:r>
            <w:r>
              <w:rPr>
                <w:rFonts w:hint="eastAsia" w:ascii="ＭＳ ゴシック" w:hAnsi="ＭＳ ゴシック" w:eastAsia="ＭＳ ゴシック"/>
                <w:sz w:val="24"/>
              </w:rPr>
              <w:t>措置区域：</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10,00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特記事項</w:t>
            </w:r>
          </w:p>
        </w:tc>
        <w:tc>
          <w:tcPr>
            <w:tcW w:w="8188" w:type="dxa"/>
            <w:gridSpan w:val="4"/>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２</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具体的な対策　</w:t>
      </w: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１．イベント参加者の感染対策</w:t>
      </w: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（１）感染経路に応じた感染対策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①飛沫感染対策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イベント会場（客席、入退場口やトイレ等の共用部）におけるイベント参加者間の適切な距離の確保</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975"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入場ゲートの増設、開場時間の前倒し、時間差・分散退場の実施、密集を回避するための人員配置や動線確保等の体制構築、交通機関との連携（駅付近の混雑度データを踏まえた増便等）による誘導</w:t>
            </w:r>
          </w:p>
          <w:p>
            <w:pPr>
              <w:pStyle w:val="19"/>
              <w:numPr>
                <w:ilvl w:val="0"/>
                <w:numId w:val="3"/>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密になりやすい場所での二酸化炭素濃度測定器等を活用した混雑状況の把握・管理、マーキング、誘導員等の配置による誘導</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rPr>
      </w:pPr>
      <w:r>
        <w:rPr>
          <w:rFonts w:hint="default" w:ascii="ＭＳ ゴシック" w:hAnsi="ＭＳ ゴシック" w:eastAsia="ＭＳ ゴシック"/>
          <w:sz w:val="28"/>
        </w:rPr>
        <w:br w:type="column"/>
      </w:r>
      <w:r>
        <w:rPr>
          <w:rFonts w:hint="eastAsia" w:ascii="ＭＳ ゴシック" w:hAnsi="ＭＳ ゴシック" w:eastAsia="ＭＳ ゴシック"/>
          <w:sz w:val="28"/>
          <w:highlight w:val="yellow"/>
        </w:rPr>
        <w:t>②エアロゾル感染対策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機械換気による常時換気又は窓開け換気</w:t>
      </w:r>
    </w:p>
    <w:p>
      <w:pPr>
        <w:pStyle w:val="19"/>
        <w:numPr>
          <w:ilvl w:val="1"/>
          <w:numId w:val="4"/>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必要な換気量（一人当たり換気量</w:t>
      </w:r>
      <w:r>
        <w:rPr>
          <w:rFonts w:hint="default" w:ascii="ＭＳ ゴシック" w:hAnsi="ＭＳ ゴシック" w:eastAsia="ＭＳ ゴシック"/>
          <w:sz w:val="28"/>
        </w:rPr>
        <w:t>30</w:t>
      </w:r>
      <w:r>
        <w:rPr>
          <w:rFonts w:hint="eastAsia" w:ascii="ＭＳ ゴシック" w:hAnsi="ＭＳ ゴシック" w:eastAsia="ＭＳ ゴシック"/>
          <w:sz w:val="28"/>
        </w:rPr>
        <w:t>㎥</w:t>
      </w:r>
      <w:r>
        <w:rPr>
          <w:rFonts w:hint="default" w:ascii="ＭＳ ゴシック" w:hAnsi="ＭＳ ゴシック" w:eastAsia="ＭＳ ゴシック"/>
          <w:sz w:val="28"/>
        </w:rPr>
        <w:t>/</w:t>
      </w:r>
      <w:r>
        <w:rPr>
          <w:rFonts w:hint="default" w:ascii="ＭＳ ゴシック" w:hAnsi="ＭＳ ゴシック" w:eastAsia="ＭＳ ゴシック"/>
          <w:sz w:val="28"/>
        </w:rPr>
        <w:t>時を目安）を確保するため、二酸化炭素濃度を概ね</w:t>
      </w:r>
      <w:r>
        <w:rPr>
          <w:rFonts w:hint="default" w:ascii="ＭＳ ゴシック" w:hAnsi="ＭＳ ゴシック" w:eastAsia="ＭＳ ゴシック"/>
          <w:sz w:val="28"/>
        </w:rPr>
        <w:t>1,000ppm</w:t>
      </w:r>
      <w:r>
        <w:rPr>
          <w:rFonts w:hint="default" w:ascii="ＭＳ ゴシック" w:hAnsi="ＭＳ ゴシック" w:eastAsia="ＭＳ ゴシック"/>
          <w:sz w:val="28"/>
        </w:rPr>
        <w:t>以下を目安（二酸化炭素濃度測定器の活用が効果的）</w:t>
      </w:r>
    </w:p>
    <w:p>
      <w:pPr>
        <w:pStyle w:val="19"/>
        <w:numPr>
          <w:ilvl w:val="1"/>
          <w:numId w:val="4"/>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機械換気が設置されていない場合の窓開け換気は、可能な範囲で２方向の窓開け</w:t>
      </w:r>
    </w:p>
    <w:p>
      <w:pPr>
        <w:pStyle w:val="19"/>
        <w:numPr>
          <w:ilvl w:val="1"/>
          <w:numId w:val="4"/>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機械換気、窓開け換気ともに、相対湿度の目安は</w:t>
      </w:r>
      <w:r>
        <w:rPr>
          <w:rFonts w:hint="default" w:ascii="ＭＳ ゴシック" w:hAnsi="ＭＳ ゴシック" w:eastAsia="ＭＳ ゴシック"/>
          <w:sz w:val="28"/>
        </w:rPr>
        <w:t>40-70%</w:t>
      </w:r>
    </w:p>
    <w:p>
      <w:pPr>
        <w:pStyle w:val="19"/>
        <w:numPr>
          <w:ilvl w:val="1"/>
          <w:numId w:val="4"/>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屋外開催は除く</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w:t>
      </w:r>
      <w:r>
        <w:rPr>
          <w:rFonts w:hint="default" w:ascii="ＭＳ ゴシック" w:hAnsi="ＭＳ ゴシック" w:eastAsia="ＭＳ ゴシック"/>
          <w:sz w:val="28"/>
        </w:rPr>
        <w:t>(</w:t>
      </w:r>
      <w:r>
        <w:rPr>
          <w:rFonts w:hint="default" w:ascii="ＭＳ ゴシック" w:hAnsi="ＭＳ ゴシック" w:eastAsia="ＭＳ ゴシック"/>
          <w:sz w:val="28"/>
        </w:rPr>
        <w:t>客席、入退場口やトイレ等の共用部）</w:t>
      </w:r>
      <w:r>
        <w:rPr>
          <w:rFonts w:hint="eastAsia" w:ascii="ＭＳ ゴシック" w:hAnsi="ＭＳ ゴシック" w:eastAsia="ＭＳ ゴシック"/>
          <w:sz w:val="28"/>
        </w:rPr>
        <w:t>に</w:t>
      </w:r>
      <w:r>
        <w:rPr>
          <w:rFonts w:hint="default" w:ascii="ＭＳ ゴシック" w:hAnsi="ＭＳ ゴシック" w:eastAsia="ＭＳ ゴシック"/>
          <w:sz w:val="28"/>
        </w:rPr>
        <w:t>おけるイベント参加者間の適切な距離の確保【</w:t>
      </w:r>
      <w:r>
        <w:rPr>
          <w:rFonts w:hint="default" w:ascii="ＭＳ ゴシック" w:hAnsi="ＭＳ ゴシック" w:eastAsia="ＭＳ ゴシック"/>
          <w:sz w:val="28"/>
        </w:rPr>
        <w:t>①</w:t>
      </w:r>
      <w:r>
        <w:rPr>
          <w:rFonts w:hint="default" w:ascii="ＭＳ ゴシック" w:hAnsi="ＭＳ ゴシック" w:eastAsia="ＭＳ ゴシック"/>
          <w:sz w:val="28"/>
        </w:rPr>
        <w:t>と同様】</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912"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各施設の設備に応じた換気</w:t>
            </w:r>
          </w:p>
          <w:p>
            <w:pPr>
              <w:pStyle w:val="19"/>
              <w:numPr>
                <w:ilvl w:val="0"/>
                <w:numId w:val="5"/>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施設に備わっている換気設備の確認、その仕様を踏まえた適切な換気</w:t>
            </w:r>
          </w:p>
          <w:p>
            <w:pPr>
              <w:pStyle w:val="19"/>
              <w:numPr>
                <w:ilvl w:val="0"/>
                <w:numId w:val="5"/>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二酸化炭素濃度測定器による常時モニターや映像解析を活用した換気状況を確認するための手法の検討</w:t>
            </w:r>
            <w:r>
              <w:rPr>
                <w:rFonts w:hint="default" w:ascii="ＭＳ ゴシック" w:hAnsi="ＭＳ ゴシック" w:eastAsia="ＭＳ ゴシック"/>
                <w:sz w:val="28"/>
              </w:rPr>
              <w:t>・実施</w:t>
            </w:r>
          </w:p>
          <w:p>
            <w:pPr>
              <w:pStyle w:val="19"/>
              <w:numPr>
                <w:ilvl w:val="0"/>
                <w:numId w:val="5"/>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換気能力維持のための定期的な検査・メンテナンス</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距離の確保については、①飛沫感染対策の対策例を参照</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eastAsia"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③接触感染対策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イベント参加者によるこまめな手洗・手指消毒の徹底や、主催者側によるイベント会場（客席、入退場口やトイレ等の共用部）の消毒の実施</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イベント会場（客席、入退場口やトイレ等の共用部）におけるイベント参加者間の適切な距離の確保【①と同様】</w:t>
      </w:r>
    </w:p>
    <w:p>
      <w:pPr>
        <w:pStyle w:val="0"/>
        <w:adjustRightInd w:val="0"/>
        <w:snapToGrid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399"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具体的な手洗場、アルコール等の手指消毒液の設置場所、準備個数等の検討・実施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アナウンス等による手洗・手指消毒の呼びかけ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距離の確保については、①飛沫感染対策の対策例を参照</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highlight w:val="yellow"/>
        </w:rPr>
      </w:pPr>
      <w:r>
        <w:rPr>
          <w:rFonts w:hint="default" w:ascii="ＭＳ ゴシック" w:hAnsi="ＭＳ ゴシック" w:eastAsia="ＭＳ ゴシック"/>
          <w:sz w:val="28"/>
        </w:rPr>
        <w:br w:type="column"/>
      </w:r>
      <w:r>
        <w:rPr>
          <w:rFonts w:hint="eastAsia" w:ascii="ＭＳ ゴシック" w:hAnsi="ＭＳ ゴシック" w:eastAsia="ＭＳ ゴシック"/>
          <w:sz w:val="28"/>
          <w:highlight w:val="yellow"/>
        </w:rPr>
        <w:t>（２）その他の感染対策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④飲食時の感染対策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上記（１）感染経路に応じた感染対策と併せて、飲食時の感染対策の周知</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829"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アナウンス等による飲食時の感染対策の呼びかけ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飲食専用エリアの設置及び当該エリアでの飲食の推奨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飲食店に求められる感染対策等を踏まえた飲食専用エリアでの感染対策（身体的距離の確保等）</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rPr>
          <w:rFonts w:hint="default" w:ascii="ＭＳ ゴシック" w:hAnsi="ＭＳ ゴシック" w:eastAsia="ＭＳ ゴシック"/>
          <w:sz w:val="28"/>
        </w:rPr>
        <w:sectPr>
          <w:pgSz w:w="11906" w:h="16838"/>
          <w:pgMar w:top="1440" w:right="1077" w:bottom="1440" w:left="1077" w:header="851" w:footer="992" w:gutter="0"/>
          <w:cols w:space="720"/>
          <w:textDirection w:val="lrTb"/>
          <w:docGrid w:type="lines" w:linePitch="360"/>
        </w:sect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⑤イベント前の感染対策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発熱等の症状がある者のイベント参加の自粛の呼びかけ</w:t>
      </w:r>
    </w:p>
    <w:p>
      <w:pPr>
        <w:pStyle w:val="0"/>
        <w:rPr>
          <w:rFonts w:hint="default"/>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080"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体制構築の上、検温・検査の実施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発熱等の症状がある者の参加自粛を促すことができるキャンセルポリシーの整備</w:t>
            </w:r>
          </w:p>
          <w:p>
            <w:pPr>
              <w:pStyle w:val="0"/>
              <w:rPr>
                <w:rFonts w:hint="default"/>
              </w:rPr>
            </w:pP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snapToGrid w:val="0"/>
        <w:rPr>
          <w:rFonts w:hint="default" w:ascii="ＭＳ ゴシック" w:hAnsi="ＭＳ ゴシック" w:eastAsia="ＭＳ ゴシック"/>
          <w:sz w:val="28"/>
          <w:highlight w:val="yellow"/>
        </w:rPr>
      </w:pPr>
      <w:r>
        <w:rPr>
          <w:rFonts w:hint="default" w:ascii="ＭＳ ゴシック" w:hAnsi="ＭＳ ゴシック" w:eastAsia="ＭＳ ゴシック"/>
          <w:strike w:val="1"/>
          <w:sz w:val="28"/>
        </w:rPr>
        <w:br w:type="column"/>
      </w:r>
      <w:r>
        <w:rPr>
          <w:rFonts w:hint="eastAsia" w:ascii="ＭＳ ゴシック" w:hAnsi="ＭＳ ゴシック" w:eastAsia="ＭＳ ゴシック"/>
          <w:sz w:val="28"/>
          <w:highlight w:val="yellow"/>
        </w:rPr>
        <w:t>２．出演者やスタッフの感染対策</w:t>
      </w:r>
    </w:p>
    <w:p>
      <w:pPr>
        <w:pStyle w:val="0"/>
        <w:snapToGrid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⑥出演者やスタッフの感染対策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出演者やスタッフによる、練習時・本番等における上記（１）感染経路に応じた感染対策に加え、健康管理や必要に応じた検査等の実施</w:t>
      </w:r>
    </w:p>
    <w:p>
      <w:pPr>
        <w:pStyle w:val="19"/>
        <w:numPr>
          <w:ilvl w:val="1"/>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舞台と客席との適切な距離の確保など、出演者やスタッフから参加者に感染させないための対策の実施</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731"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日常から行う出演者やスタッフの感染対策の実施</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健康アプリの活用等による健康管理</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出演者やスタッフの必要に応じた検査の実施</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発熱等の症状がある者は出演・練習を控える</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練習時やその前後の活動等における出演者やスタッフの関係者間の適切な距離確保、換気等</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本番及びその前後の活動における出演者やスタッフの感染対策の実施</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控室等における換気の徹底、三密の回避</w:t>
            </w:r>
          </w:p>
          <w:p>
            <w:pPr>
              <w:pStyle w:val="19"/>
              <w:numPr>
                <w:ilvl w:val="0"/>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イベント前後を含めた１．（２）④飲食時の感染対策の徹底の呼びかけ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ステージと観客席間の適切な距離の確保、出演者やスタッフ及び観客双方への感染対策の周知</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jc w:val="left"/>
        <w:rPr>
          <w:rFonts w:hint="default" w:ascii="ＭＳ ゴシック" w:hAnsi="ＭＳ ゴシック" w:eastAsia="ＭＳ ゴシック"/>
          <w:sz w:val="28"/>
        </w:rPr>
      </w:pPr>
    </w:p>
    <w:p>
      <w:pPr>
        <w:pStyle w:val="0"/>
        <w:adjustRightInd w:val="0"/>
        <w:snapToGrid w:val="0"/>
        <w:ind w:left="560" w:hanging="560" w:hangingChars="200"/>
        <w:jc w:val="left"/>
        <w:rPr>
          <w:rFonts w:hint="default" w:ascii="ＭＳ ゴシック" w:hAnsi="ＭＳ ゴシック" w:eastAsia="ＭＳ ゴシック"/>
          <w:i w:val="1"/>
          <w:sz w:val="28"/>
        </w:rPr>
      </w:pP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※提出時には、イベントのチラシや計画書等（既存資料）、参考とした業種</w:t>
      </w:r>
      <w:bookmarkStart w:id="0" w:name="_GoBack"/>
      <w:bookmarkEnd w:id="0"/>
      <w:r>
        <w:rPr>
          <w:rFonts w:hint="eastAsia" w:ascii="ＭＳ ゴシック" w:hAnsi="ＭＳ ゴシック" w:eastAsia="ＭＳ ゴシック"/>
          <w:sz w:val="28"/>
          <w:highlight w:val="yellow"/>
        </w:rPr>
        <w:t>別ガイドライン等も添付してください。</w:t>
      </w:r>
      <w:r>
        <w:rPr>
          <w:rFonts w:hint="default" w:ascii="ＭＳ ゴシック" w:hAnsi="ＭＳ ゴシック" w:eastAsia="ＭＳ ゴシック"/>
          <w:i w:val="1"/>
          <w:sz w:val="28"/>
        </w:rPr>
        <w:br w:type="page"/>
      </w:r>
    </w:p>
    <w:p>
      <w:pPr>
        <w:pStyle w:val="0"/>
        <w:snapToGrid w:val="0"/>
        <w:jc w:val="left"/>
        <w:rPr>
          <w:rFonts w:hint="default" w:ascii="ＭＳ ゴシック" w:hAnsi="ＭＳ ゴシック" w:eastAsia="ＭＳ ゴシック"/>
          <w:i w:val="1"/>
          <w:sz w:val="28"/>
        </w:rPr>
      </w:pPr>
      <w:r>
        <w:rPr>
          <w:rFonts w:hint="eastAsia" w:ascii="ＭＳ ゴシック" w:hAnsi="ＭＳ ゴシック" w:eastAsia="ＭＳ ゴシック"/>
          <w:i w:val="1"/>
          <w:sz w:val="28"/>
          <w:highlight w:val="yellow"/>
        </w:rPr>
        <w:t>３～４は、該当する</w:t>
      </w:r>
      <w:r>
        <w:rPr>
          <w:rFonts w:hint="default" w:ascii="ＭＳ ゴシック" w:hAnsi="ＭＳ ゴシック" w:eastAsia="ＭＳ ゴシック"/>
          <w:i w:val="1"/>
          <w:sz w:val="28"/>
          <w:highlight w:val="yellow"/>
        </w:rPr>
        <w:t>場合のみ記載してください</w:t>
      </w:r>
      <w:r>
        <w:rPr>
          <w:rFonts w:hint="eastAsia" w:ascii="ＭＳ ゴシック" w:hAnsi="ＭＳ ゴシック" w:eastAsia="ＭＳ ゴシック"/>
          <w:i w:val="1"/>
          <w:sz w:val="28"/>
          <w:highlight w:val="yellow"/>
        </w:rPr>
        <w:t>。</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３</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対象者全員検査の実施に関する実施計画　</w:t>
      </w: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rPr>
        <w:t>※緊急事態措置の発令時に、人数上限を超えて、収容率１００％での開催を</w:t>
      </w:r>
    </w:p>
    <w:p>
      <w:pPr>
        <w:pStyle w:val="0"/>
        <w:snapToGrid w:val="0"/>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しようとする場合に記載</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※「新型</w:t>
      </w:r>
      <w:r>
        <w:rPr>
          <w:rFonts w:hint="default" w:ascii="ＭＳ ゴシック" w:hAnsi="ＭＳ ゴシック" w:eastAsia="ＭＳ ゴシック"/>
          <w:sz w:val="28"/>
        </w:rPr>
        <w:t>コロナウイルス感染症対策の基本的</w:t>
      </w:r>
      <w:r>
        <w:rPr>
          <w:rFonts w:hint="eastAsia" w:ascii="ＭＳ ゴシック" w:hAnsi="ＭＳ ゴシック" w:eastAsia="ＭＳ ゴシック"/>
          <w:sz w:val="28"/>
        </w:rPr>
        <w:t>対処方針</w:t>
      </w:r>
      <w:r>
        <w:rPr>
          <w:rFonts w:hint="default" w:ascii="ＭＳ ゴシック" w:hAnsi="ＭＳ ゴシック" w:eastAsia="ＭＳ ゴシック"/>
          <w:sz w:val="28"/>
        </w:rPr>
        <w:t>（</w:t>
      </w:r>
      <w:r>
        <w:rPr>
          <w:rFonts w:hint="eastAsia" w:ascii="ＭＳ ゴシック" w:hAnsi="ＭＳ ゴシック" w:eastAsia="ＭＳ ゴシック"/>
          <w:sz w:val="28"/>
        </w:rPr>
        <w:t>令和４</w:t>
      </w:r>
      <w:r>
        <w:rPr>
          <w:rFonts w:hint="default" w:ascii="ＭＳ ゴシック" w:hAnsi="ＭＳ ゴシック" w:eastAsia="ＭＳ ゴシック"/>
          <w:sz w:val="28"/>
        </w:rPr>
        <w:t>年１月７日変更）</w:t>
      </w:r>
      <w:r>
        <w:rPr>
          <w:rFonts w:hint="eastAsia" w:ascii="ＭＳ ゴシック" w:hAnsi="ＭＳ ゴシック" w:eastAsia="ＭＳ ゴシック"/>
          <w:sz w:val="28"/>
        </w:rPr>
        <w:t>に</w:t>
      </w:r>
      <w:r>
        <w:rPr>
          <w:rFonts w:hint="default" w:ascii="ＭＳ ゴシック" w:hAnsi="ＭＳ ゴシック" w:eastAsia="ＭＳ ゴシック"/>
          <w:sz w:val="28"/>
        </w:rPr>
        <w:t>おける「</w:t>
      </w:r>
      <w:r>
        <w:rPr>
          <w:rFonts w:hint="eastAsia" w:ascii="ＭＳ ゴシック" w:hAnsi="ＭＳ ゴシック" w:eastAsia="ＭＳ ゴシック"/>
          <w:sz w:val="28"/>
        </w:rPr>
        <w:t>対象者</w:t>
      </w:r>
      <w:r>
        <w:rPr>
          <w:rFonts w:hint="default" w:ascii="ＭＳ ゴシック" w:hAnsi="ＭＳ ゴシック" w:eastAsia="ＭＳ ゴシック"/>
          <w:sz w:val="28"/>
        </w:rPr>
        <w:t>に対する</w:t>
      </w:r>
      <w:r>
        <w:rPr>
          <w:rFonts w:hint="eastAsia" w:ascii="ＭＳ ゴシック" w:hAnsi="ＭＳ ゴシック" w:eastAsia="ＭＳ ゴシック"/>
          <w:sz w:val="28"/>
        </w:rPr>
        <w:t>全員検査</w:t>
      </w:r>
      <w:r>
        <w:rPr>
          <w:rFonts w:hint="default" w:ascii="ＭＳ ゴシック" w:hAnsi="ＭＳ ゴシック" w:eastAsia="ＭＳ ゴシック"/>
          <w:sz w:val="28"/>
        </w:rPr>
        <w:t>」</w:t>
      </w:r>
      <w:r>
        <w:rPr>
          <w:rFonts w:hint="eastAsia" w:ascii="ＭＳ ゴシック" w:hAnsi="ＭＳ ゴシック" w:eastAsia="ＭＳ ゴシック"/>
          <w:sz w:val="28"/>
        </w:rPr>
        <w:t>の</w:t>
      </w:r>
      <w:r>
        <w:rPr>
          <w:rFonts w:hint="default" w:ascii="ＭＳ ゴシック" w:hAnsi="ＭＳ ゴシック" w:eastAsia="ＭＳ ゴシック"/>
          <w:sz w:val="28"/>
        </w:rPr>
        <w:t>取扱いについて</w:t>
      </w:r>
      <w:r>
        <w:rPr>
          <w:rFonts w:hint="eastAsia" w:ascii="ＭＳ ゴシック" w:hAnsi="ＭＳ ゴシック" w:eastAsia="ＭＳ ゴシック"/>
          <w:sz w:val="28"/>
        </w:rPr>
        <w:t>」（令和４年１</w:t>
      </w:r>
      <w:r>
        <w:rPr>
          <w:rFonts w:hint="default" w:ascii="ＭＳ ゴシック" w:hAnsi="ＭＳ ゴシック" w:eastAsia="ＭＳ ゴシック"/>
          <w:sz w:val="28"/>
        </w:rPr>
        <w:t>月</w:t>
      </w:r>
      <w:r>
        <w:rPr>
          <w:rFonts w:hint="eastAsia" w:ascii="ＭＳ ゴシック" w:hAnsi="ＭＳ ゴシック" w:eastAsia="ＭＳ ゴシック"/>
          <w:sz w:val="28"/>
        </w:rPr>
        <w:t>７</w:t>
      </w:r>
      <w:r>
        <w:rPr>
          <w:rFonts w:hint="default" w:ascii="ＭＳ ゴシック" w:hAnsi="ＭＳ ゴシック" w:eastAsia="ＭＳ ゴシック"/>
          <w:sz w:val="28"/>
        </w:rPr>
        <w:t>日付け事務</w:t>
      </w:r>
      <w:r>
        <w:rPr>
          <w:rFonts w:hint="eastAsia" w:ascii="ＭＳ ゴシック" w:hAnsi="ＭＳ ゴシック" w:eastAsia="ＭＳ ゴシック"/>
          <w:sz w:val="28"/>
        </w:rPr>
        <w:t>連絡）等を確認の上、下記の項目について、実施の有無をチェックしてください。</w:t>
      </w:r>
    </w:p>
    <w:p>
      <w:pPr>
        <w:pStyle w:val="0"/>
        <w:snapToGrid w:val="0"/>
        <w:jc w:val="left"/>
        <w:rPr>
          <w:rFonts w:hint="default" w:ascii="ＭＳ ゴシック" w:hAnsi="ＭＳ ゴシック" w:eastAsia="ＭＳ ゴシック"/>
          <w:sz w:val="28"/>
        </w:rPr>
      </w:pPr>
    </w:p>
    <w:p>
      <w:pPr>
        <w:pStyle w:val="19"/>
        <w:numPr>
          <w:ilvl w:val="0"/>
          <w:numId w:val="8"/>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「検査結果」のいずれも対象としている。</w:t>
      </w:r>
    </w:p>
    <w:p>
      <w:pPr>
        <w:pStyle w:val="0"/>
        <w:snapToGrid w:val="0"/>
        <w:jc w:val="left"/>
        <w:rPr>
          <w:rFonts w:hint="default" w:ascii="ＭＳ ゴシック" w:hAnsi="ＭＳ ゴシック" w:eastAsia="ＭＳ ゴシック"/>
          <w:sz w:val="28"/>
        </w:rPr>
      </w:pPr>
    </w:p>
    <w:p>
      <w:pPr>
        <w:pStyle w:val="19"/>
        <w:numPr>
          <w:ilvl w:val="0"/>
          <w:numId w:val="8"/>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実施を予定している検査の内容について具体的に記載してください。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8"/>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「検査結果」の確認方法について具体的に記載してください。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8"/>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抗原定性検査を実施する場合には、「ワクチン・検査パッケージにおける抗原定性検査の実施要綱」（令和３年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default" w:ascii="ＭＳ ゴシック" w:hAnsi="ＭＳ ゴシック" w:eastAsia="ＭＳ ゴシック"/>
          <w:sz w:val="28"/>
        </w:rPr>
        <w:t>19</w:t>
      </w:r>
      <w:r>
        <w:rPr>
          <w:rFonts w:hint="default" w:ascii="ＭＳ ゴシック" w:hAnsi="ＭＳ ゴシック" w:eastAsia="ＭＳ ゴシック"/>
          <w:sz w:val="28"/>
        </w:rPr>
        <w:t>日付け事務連絡）</w:t>
      </w:r>
      <w:r>
        <w:rPr>
          <w:rFonts w:hint="eastAsia" w:ascii="ＭＳ ゴシック" w:hAnsi="ＭＳ ゴシック" w:eastAsia="ＭＳ ゴシック"/>
          <w:sz w:val="28"/>
        </w:rPr>
        <w:t>に従い、適切に実施している。</w:t>
      </w:r>
    </w:p>
    <w:p>
      <w:pPr>
        <w:pStyle w:val="19"/>
        <w:snapToGrid w:val="0"/>
        <w:ind w:left="420" w:leftChars="0"/>
        <w:jc w:val="left"/>
        <w:rPr>
          <w:rFonts w:hint="default" w:ascii="ＭＳ ゴシック" w:hAnsi="ＭＳ ゴシック" w:eastAsia="ＭＳ ゴシック"/>
          <w:sz w:val="28"/>
        </w:rPr>
      </w:pPr>
    </w:p>
    <w:p>
      <w:pPr>
        <w:pStyle w:val="19"/>
        <w:numPr>
          <w:ilvl w:val="0"/>
          <w:numId w:val="8"/>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sz w:val="28"/>
        </w:rPr>
      </w:pP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４</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専門家との調整状況　</w:t>
      </w:r>
      <w:r>
        <w:rPr>
          <w:rFonts w:hint="eastAsia" w:ascii="ＭＳ ゴシック" w:hAnsi="ＭＳ ゴシック" w:eastAsia="ＭＳ ゴシック"/>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助言を受けた専門家：（所属）</w:t>
      </w:r>
      <w:r>
        <w:rPr>
          <w:rFonts w:hint="default" w:ascii="ＭＳ ゴシック" w:hAnsi="ＭＳ ゴシック" w:eastAsia="ＭＳ ゴシック"/>
          <w:sz w:val="28"/>
        </w:rPr>
        <w:br w:type="textWrapping" w:clear="none"/>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（氏名）</w:t>
      </w:r>
      <w:r>
        <w:rPr>
          <w:rFonts w:hint="default" w:ascii="ＭＳ ゴシック" w:hAnsi="ＭＳ ゴシック" w:eastAsia="ＭＳ ゴシック"/>
          <w:sz w:val="28"/>
        </w:rPr>
        <w:br w:type="textWrapping" w:clear="none"/>
      </w:r>
      <w:r>
        <w:rPr>
          <w:rFonts w:hint="default" w:ascii="ＭＳ ゴシック" w:hAnsi="ＭＳ ゴシック" w:eastAsia="ＭＳ ゴシック"/>
          <w:sz w:val="28"/>
        </w:rPr>
        <w:t xml:space="preserve">    </w:t>
      </w:r>
      <w:r>
        <w:rPr>
          <w:rFonts w:hint="eastAsia" w:ascii="ＭＳ ゴシック" w:hAnsi="ＭＳ ゴシック" w:eastAsia="ＭＳ ゴシック"/>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462170"/>
    <w:lvl w:ilvl="0" w:tplc="0E42531E">
      <w:numFmt w:val="bullet"/>
      <w:lvlText w:val=""/>
      <w:lvlJc w:val="left"/>
      <w:pPr>
        <w:ind w:left="705" w:hanging="420"/>
      </w:pPr>
      <w:rPr>
        <w:rFonts w:hint="default" w:ascii="Wingdings" w:hAnsi="Wingdings"/>
      </w:rPr>
    </w:lvl>
    <w:lvl w:ilvl="1" w:tplc="0E42531E">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EB7473CE"/>
    <w:lvl w:ilvl="0" w:tplc="0409000B">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6074B520"/>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D066236"/>
    <w:lvl w:ilvl="0" w:tplc="0E42531E">
      <w:numFmt w:val="bullet"/>
      <w:lvlText w:val=""/>
      <w:lvlJc w:val="left"/>
      <w:pPr>
        <w:ind w:left="705" w:hanging="420"/>
      </w:pPr>
      <w:rPr>
        <w:rFonts w:hint="default" w:ascii="Wingdings" w:hAnsi="Wingdings"/>
      </w:rPr>
    </w:lvl>
    <w:lvl w:ilvl="1" w:tplc="04090001">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533212C6"/>
    <w:lvl w:ilvl="0" w:tplc="04090001">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F3326F34"/>
    <w:lvl w:ilvl="0" w:tplc="0E42531E">
      <w:numFmt w:val="bullet"/>
      <w:lvlText w:val=""/>
      <w:lvlJc w:val="left"/>
      <w:pPr>
        <w:ind w:left="705" w:hanging="420"/>
      </w:pPr>
      <w:rPr>
        <w:rFonts w:hint="default" w:ascii="Wingdings" w:hAnsi="Wingdings"/>
      </w:rPr>
    </w:lvl>
    <w:lvl w:ilvl="1" w:tplc="0E42531E">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D116DC4E"/>
    <w:lvl w:ilvl="0" w:tplc="04090001">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7">
    <w:nsid w:val="00000008"/>
    <w:multiLevelType w:val="hybridMultilevel"/>
    <w:tmpl w:val="480A0AAA"/>
    <w:lvl w:ilvl="0" w:tplc="3108527E">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8</Pages>
  <Words>9</Words>
  <Characters>3378</Characters>
  <Application>JUST Note</Application>
  <Lines>379</Lines>
  <Paragraphs>160</Paragraphs>
  <Company>内閣府</Company>
  <CharactersWithSpaces>3529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高知県</cp:lastModifiedBy>
  <cp:lastPrinted>2022-07-08T11:01:00Z</cp:lastPrinted>
  <dcterms:created xsi:type="dcterms:W3CDTF">2023-01-17T02:39:00Z</dcterms:created>
  <dcterms:modified xsi:type="dcterms:W3CDTF">2023-02-13T01:41:41Z</dcterms:modified>
  <cp:revision>8</cp:revision>
</cp:coreProperties>
</file>