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exact"/>
        <w:ind w:right="1171" w:rightChars="650"/>
        <w:jc w:val="center"/>
        <w:outlineLvl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高知県木材加工流通施設整備事業費補助金</w:t>
      </w:r>
      <w:r>
        <w:rPr>
          <w:rFonts w:hint="eastAsia" w:ascii="ＭＳ 明朝" w:hAnsi="ＭＳ 明朝"/>
          <w:kern w:val="0"/>
          <w:sz w:val="24"/>
        </w:rPr>
        <w:t>交付要綱（</w:t>
      </w:r>
      <w:r>
        <w:rPr>
          <w:rFonts w:hint="eastAsia" w:ascii="ＭＳ 明朝" w:hAnsi="ＭＳ 明朝"/>
          <w:sz w:val="24"/>
        </w:rPr>
        <w:t>新旧対照表）</w:t>
      </w:r>
    </w:p>
    <w:tbl>
      <w:tblPr>
        <w:tblStyle w:val="11"/>
        <w:tblW w:w="151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571"/>
        <w:gridCol w:w="7570"/>
      </w:tblGrid>
      <w:tr>
        <w:trPr/>
        <w:tc>
          <w:tcPr>
            <w:tcW w:w="10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新</w:t>
            </w:r>
          </w:p>
        </w:tc>
        <w:tc>
          <w:tcPr>
            <w:tcW w:w="10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旧</w:t>
            </w:r>
          </w:p>
        </w:tc>
      </w:tr>
      <w:tr>
        <w:trPr>
          <w:trHeight w:val="8872" w:hRule="atLeast"/>
        </w:trPr>
        <w:tc>
          <w:tcPr>
            <w:tcW w:w="10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firstLine="761" w:firstLineChars="400"/>
              <w:jc w:val="center"/>
              <w:outlineLvl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高知県木材加工流通施設整備事業費補助金交付要綱</w:t>
            </w:r>
          </w:p>
          <w:p>
            <w:pPr>
              <w:pStyle w:val="0"/>
              <w:ind w:left="190" w:hanging="190" w:hangingChars="100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第１条　（略）</w:t>
            </w:r>
          </w:p>
          <w:p>
            <w:pPr>
              <w:pStyle w:val="0"/>
              <w:ind w:leftChars="0" w:hanging="32" w:hangingChars="17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sz w:val="21"/>
              </w:rPr>
              <w:t>２</w:t>
            </w:r>
            <w:r>
              <w:rPr>
                <w:rFonts w:hint="eastAsia"/>
                <w:sz w:val="21"/>
              </w:rPr>
              <w:t>条　　</w:t>
            </w:r>
            <w:r>
              <w:rPr>
                <w:rFonts w:hint="eastAsia"/>
              </w:rPr>
              <w:t>県は、間伐材等の森林資源を活用した林業、木材産業等の地域産業の再生を図るため、</w:t>
            </w:r>
            <w:r>
              <w:rPr>
                <w:rFonts w:hint="eastAsia"/>
                <w:color w:val="auto"/>
                <w:u w:val="none" w:color="auto"/>
              </w:rPr>
              <w:t>合板・製材・集成材国際競争力強化・輸出促進対策交付金等交付要綱（平成</w:t>
            </w:r>
            <w:r>
              <w:rPr>
                <w:rFonts w:hint="eastAsia"/>
                <w:color w:val="auto"/>
                <w:u w:val="none" w:color="auto"/>
              </w:rPr>
              <w:t>28</w:t>
            </w:r>
            <w:r>
              <w:rPr>
                <w:rFonts w:hint="eastAsia"/>
                <w:color w:val="auto"/>
                <w:u w:val="none" w:color="auto"/>
              </w:rPr>
              <w:t>年</w:t>
            </w:r>
            <w:r>
              <w:rPr>
                <w:rFonts w:hint="eastAsia"/>
                <w:color w:val="auto"/>
                <w:u w:val="none" w:color="auto"/>
              </w:rPr>
              <w:t>1</w:t>
            </w:r>
            <w:r>
              <w:rPr>
                <w:rFonts w:hint="eastAsia"/>
                <w:color w:val="auto"/>
                <w:u w:val="none" w:color="auto"/>
              </w:rPr>
              <w:t>月</w:t>
            </w:r>
            <w:r>
              <w:rPr>
                <w:rFonts w:hint="eastAsia"/>
                <w:color w:val="auto"/>
                <w:u w:val="none" w:color="auto"/>
              </w:rPr>
              <w:t>20</w:t>
            </w:r>
            <w:r>
              <w:rPr>
                <w:rFonts w:hint="eastAsia"/>
                <w:color w:val="auto"/>
                <w:u w:val="none" w:color="auto"/>
              </w:rPr>
              <w:t>日付け</w:t>
            </w:r>
            <w:r>
              <w:rPr>
                <w:rFonts w:hint="eastAsia"/>
                <w:color w:val="auto"/>
                <w:u w:val="none" w:color="auto"/>
              </w:rPr>
              <w:t>27</w:t>
            </w:r>
            <w:r>
              <w:rPr>
                <w:rFonts w:hint="eastAsia"/>
                <w:color w:val="auto"/>
                <w:u w:val="none" w:color="auto"/>
              </w:rPr>
              <w:t>林整計第</w:t>
            </w:r>
            <w:r>
              <w:rPr>
                <w:rFonts w:hint="eastAsia"/>
                <w:color w:val="auto"/>
                <w:u w:val="none" w:color="auto"/>
              </w:rPr>
              <w:t>232</w:t>
            </w:r>
            <w:r>
              <w:rPr>
                <w:rFonts w:hint="eastAsia"/>
                <w:color w:val="auto"/>
                <w:u w:val="none" w:color="auto"/>
              </w:rPr>
              <w:t>号農林水産事務次官依命通知）、木材産業国際競争力強化対策実施要領（平成</w:t>
            </w:r>
            <w:r>
              <w:rPr>
                <w:rFonts w:hint="eastAsia"/>
                <w:color w:val="auto"/>
                <w:u w:val="none" w:color="auto"/>
              </w:rPr>
              <w:t>28</w:t>
            </w:r>
            <w:r>
              <w:rPr>
                <w:rFonts w:hint="eastAsia"/>
                <w:color w:val="auto"/>
                <w:u w:val="none" w:color="auto"/>
              </w:rPr>
              <w:t>年</w:t>
            </w:r>
            <w:r>
              <w:rPr>
                <w:rFonts w:hint="eastAsia"/>
                <w:color w:val="auto"/>
                <w:u w:val="none" w:color="auto"/>
              </w:rPr>
              <w:t>1</w:t>
            </w:r>
            <w:r>
              <w:rPr>
                <w:rFonts w:hint="eastAsia"/>
                <w:color w:val="auto"/>
                <w:u w:val="none" w:color="auto"/>
              </w:rPr>
              <w:t>月</w:t>
            </w:r>
            <w:r>
              <w:rPr>
                <w:rFonts w:hint="eastAsia"/>
                <w:color w:val="auto"/>
                <w:u w:val="none" w:color="auto"/>
              </w:rPr>
              <w:t>20</w:t>
            </w:r>
            <w:r>
              <w:rPr>
                <w:rFonts w:hint="eastAsia"/>
                <w:color w:val="auto"/>
                <w:u w:val="none" w:color="auto"/>
              </w:rPr>
              <w:t>日付け</w:t>
            </w:r>
            <w:r>
              <w:rPr>
                <w:rFonts w:hint="eastAsia"/>
                <w:color w:val="auto"/>
                <w:u w:val="none" w:color="auto"/>
              </w:rPr>
              <w:t>27</w:t>
            </w:r>
            <w:r>
              <w:rPr>
                <w:rFonts w:hint="eastAsia"/>
                <w:color w:val="auto"/>
                <w:u w:val="none" w:color="auto"/>
              </w:rPr>
              <w:t>林整計第</w:t>
            </w:r>
            <w:r>
              <w:rPr>
                <w:rFonts w:hint="eastAsia"/>
                <w:color w:val="auto"/>
                <w:u w:val="none" w:color="auto"/>
              </w:rPr>
              <w:t>237</w:t>
            </w:r>
            <w:r>
              <w:rPr>
                <w:rFonts w:hint="eastAsia"/>
                <w:color w:val="auto"/>
                <w:u w:val="none" w:color="auto"/>
              </w:rPr>
              <w:t>号林野庁長官通知）、木材産業国際競争力強化対策実施要領の運用について（平成</w:t>
            </w:r>
            <w:r>
              <w:rPr>
                <w:rFonts w:hint="eastAsia"/>
                <w:color w:val="auto"/>
                <w:u w:val="none" w:color="auto"/>
              </w:rPr>
              <w:t>28</w:t>
            </w:r>
            <w:r>
              <w:rPr>
                <w:rFonts w:hint="eastAsia"/>
                <w:color w:val="auto"/>
                <w:u w:val="none" w:color="auto"/>
              </w:rPr>
              <w:t>年</w:t>
            </w:r>
            <w:r>
              <w:rPr>
                <w:rFonts w:hint="eastAsia"/>
                <w:color w:val="auto"/>
                <w:u w:val="none" w:color="auto"/>
              </w:rPr>
              <w:t>1</w:t>
            </w:r>
            <w:r>
              <w:rPr>
                <w:rFonts w:hint="eastAsia"/>
                <w:color w:val="auto"/>
                <w:u w:val="none" w:color="auto"/>
              </w:rPr>
              <w:t>月</w:t>
            </w:r>
            <w:r>
              <w:rPr>
                <w:rFonts w:hint="eastAsia"/>
                <w:color w:val="auto"/>
                <w:u w:val="none" w:color="auto"/>
              </w:rPr>
              <w:t>20</w:t>
            </w:r>
            <w:r>
              <w:rPr>
                <w:rFonts w:hint="eastAsia"/>
                <w:color w:val="auto"/>
                <w:u w:val="none" w:color="auto"/>
              </w:rPr>
              <w:t>日付け</w:t>
            </w:r>
            <w:r>
              <w:rPr>
                <w:rFonts w:hint="eastAsia"/>
                <w:color w:val="auto"/>
                <w:u w:val="none" w:color="auto"/>
              </w:rPr>
              <w:t>27</w:t>
            </w:r>
            <w:r>
              <w:rPr>
                <w:rFonts w:hint="eastAsia"/>
                <w:color w:val="auto"/>
                <w:u w:val="none" w:color="auto"/>
              </w:rPr>
              <w:t>林整計第</w:t>
            </w:r>
            <w:r>
              <w:rPr>
                <w:rFonts w:hint="eastAsia"/>
                <w:color w:val="auto"/>
                <w:u w:val="none" w:color="auto"/>
              </w:rPr>
              <w:t>238</w:t>
            </w:r>
            <w:r>
              <w:rPr>
                <w:rFonts w:hint="eastAsia"/>
                <w:color w:val="auto"/>
                <w:u w:val="none" w:color="auto"/>
              </w:rPr>
              <w:t>号林野庁長官通知）、合板・製材・集成材国際競争力強化・輸出促進対策交付金等交付要綱第</w:t>
            </w:r>
            <w:r>
              <w:rPr>
                <w:rFonts w:hint="eastAsia"/>
                <w:color w:val="auto"/>
                <w:u w:val="none" w:color="auto"/>
              </w:rPr>
              <w:t>26</w:t>
            </w:r>
            <w:r>
              <w:rPr>
                <w:rFonts w:hint="eastAsia"/>
                <w:color w:val="auto"/>
                <w:u w:val="none" w:color="auto"/>
              </w:rPr>
              <w:t>に定める基金活用事業の実施に当たっての条件等について</w:t>
            </w:r>
            <w:r>
              <w:rPr>
                <w:rFonts w:hint="eastAsia"/>
                <w:color w:val="auto"/>
              </w:rPr>
              <w:t>（平成</w:t>
            </w:r>
            <w:r>
              <w:rPr>
                <w:rFonts w:hint="eastAsia"/>
                <w:color w:val="auto"/>
              </w:rPr>
              <w:t>28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日付け</w:t>
            </w:r>
            <w:r>
              <w:rPr>
                <w:rFonts w:hint="eastAsia"/>
                <w:color w:val="auto"/>
              </w:rPr>
              <w:t>27</w:t>
            </w:r>
            <w:r>
              <w:rPr>
                <w:rFonts w:hint="eastAsia"/>
                <w:color w:val="auto"/>
              </w:rPr>
              <w:t>林整計第</w:t>
            </w:r>
            <w:r>
              <w:rPr>
                <w:rFonts w:hint="eastAsia"/>
                <w:color w:val="auto"/>
              </w:rPr>
              <w:t>240</w:t>
            </w:r>
            <w:r>
              <w:rPr>
                <w:rFonts w:hint="eastAsia"/>
                <w:color w:val="auto"/>
              </w:rPr>
              <w:t>号林野庁長官通知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  <w:color w:val="000000"/>
                <w:u w:val="none" w:color="auto"/>
              </w:rPr>
              <w:t>林業成長産業化総合対策補助金等交付要綱（平成</w:t>
            </w:r>
            <w:r>
              <w:rPr>
                <w:rFonts w:hint="eastAsia"/>
                <w:color w:val="000000"/>
                <w:u w:val="none" w:color="auto"/>
              </w:rPr>
              <w:t>30</w:t>
            </w:r>
            <w:r>
              <w:rPr>
                <w:rFonts w:hint="eastAsia"/>
                <w:color w:val="000000"/>
                <w:u w:val="none" w:color="auto"/>
              </w:rPr>
              <w:t>年</w:t>
            </w:r>
            <w:r>
              <w:rPr>
                <w:rFonts w:hint="eastAsia"/>
                <w:color w:val="000000"/>
                <w:u w:val="none" w:color="auto"/>
              </w:rPr>
              <w:t>3</w:t>
            </w:r>
            <w:r>
              <w:rPr>
                <w:rFonts w:hint="eastAsia"/>
                <w:color w:val="000000"/>
                <w:u w:val="none" w:color="auto"/>
              </w:rPr>
              <w:t>月</w:t>
            </w:r>
            <w:r>
              <w:rPr>
                <w:rFonts w:hint="eastAsia"/>
                <w:color w:val="000000"/>
                <w:u w:val="none" w:color="auto"/>
              </w:rPr>
              <w:t>30</w:t>
            </w:r>
            <w:r>
              <w:rPr>
                <w:rFonts w:hint="eastAsia"/>
                <w:color w:val="000000"/>
                <w:u w:val="none" w:color="auto"/>
              </w:rPr>
              <w:t>日付け</w:t>
            </w:r>
            <w:r>
              <w:rPr>
                <w:rFonts w:hint="eastAsia"/>
                <w:color w:val="000000"/>
                <w:u w:val="none" w:color="auto"/>
              </w:rPr>
              <w:t>29</w:t>
            </w:r>
            <w:r>
              <w:rPr>
                <w:rFonts w:hint="eastAsia"/>
                <w:color w:val="000000"/>
                <w:u w:val="none" w:color="auto"/>
              </w:rPr>
              <w:t>林政政第</w:t>
            </w:r>
            <w:r>
              <w:rPr>
                <w:rFonts w:hint="eastAsia"/>
                <w:color w:val="000000"/>
                <w:u w:val="none" w:color="auto"/>
              </w:rPr>
              <w:t>893</w:t>
            </w:r>
            <w:r>
              <w:rPr>
                <w:rFonts w:hint="eastAsia"/>
                <w:color w:val="000000"/>
                <w:u w:val="none" w:color="auto"/>
              </w:rPr>
              <w:t>号農林水産事務次官依命通知）、林業成長産業化総合対策実施要綱（平成</w:t>
            </w:r>
            <w:r>
              <w:rPr>
                <w:rFonts w:hint="eastAsia"/>
                <w:color w:val="000000"/>
                <w:u w:val="none" w:color="auto"/>
              </w:rPr>
              <w:t>30</w:t>
            </w:r>
            <w:r>
              <w:rPr>
                <w:rFonts w:hint="eastAsia"/>
                <w:color w:val="000000"/>
                <w:u w:val="none" w:color="auto"/>
              </w:rPr>
              <w:t>年</w:t>
            </w:r>
            <w:r>
              <w:rPr>
                <w:rFonts w:hint="eastAsia"/>
                <w:color w:val="000000"/>
                <w:u w:val="none" w:color="auto"/>
              </w:rPr>
              <w:t>3</w:t>
            </w:r>
            <w:r>
              <w:rPr>
                <w:rFonts w:hint="eastAsia"/>
                <w:color w:val="000000"/>
                <w:u w:val="none" w:color="auto"/>
              </w:rPr>
              <w:t>月</w:t>
            </w:r>
            <w:r>
              <w:rPr>
                <w:rFonts w:hint="eastAsia"/>
                <w:color w:val="000000"/>
                <w:u w:val="none" w:color="auto"/>
              </w:rPr>
              <w:t>30</w:t>
            </w:r>
            <w:r>
              <w:rPr>
                <w:rFonts w:hint="eastAsia"/>
                <w:color w:val="000000"/>
                <w:u w:val="none" w:color="auto"/>
              </w:rPr>
              <w:t>日付け</w:t>
            </w:r>
            <w:r>
              <w:rPr>
                <w:rFonts w:hint="eastAsia"/>
                <w:color w:val="000000"/>
                <w:u w:val="none" w:color="auto"/>
              </w:rPr>
              <w:t>29</w:t>
            </w:r>
            <w:r>
              <w:rPr>
                <w:rFonts w:hint="eastAsia"/>
                <w:color w:val="000000"/>
                <w:u w:val="none" w:color="auto"/>
              </w:rPr>
              <w:t>林政経政第</w:t>
            </w:r>
            <w:r>
              <w:rPr>
                <w:rFonts w:hint="eastAsia"/>
                <w:color w:val="000000"/>
                <w:u w:val="none" w:color="auto"/>
              </w:rPr>
              <w:t>892</w:t>
            </w:r>
            <w:r>
              <w:rPr>
                <w:rFonts w:hint="eastAsia"/>
                <w:color w:val="000000"/>
                <w:u w:val="none" w:color="auto"/>
              </w:rPr>
              <w:t>号農林水産事務次官依命通知）、林業・木材産業成長産業化促進対策交付金実施要領（平成</w:t>
            </w:r>
            <w:r>
              <w:rPr>
                <w:rFonts w:hint="eastAsia"/>
                <w:color w:val="000000"/>
                <w:u w:val="none" w:color="auto"/>
              </w:rPr>
              <w:t>30</w:t>
            </w:r>
            <w:r>
              <w:rPr>
                <w:rFonts w:hint="eastAsia"/>
                <w:color w:val="000000"/>
                <w:u w:val="none" w:color="auto"/>
              </w:rPr>
              <w:t>年</w:t>
            </w:r>
            <w:r>
              <w:rPr>
                <w:rFonts w:hint="eastAsia"/>
                <w:color w:val="000000"/>
                <w:u w:val="none" w:color="auto"/>
              </w:rPr>
              <w:t>3</w:t>
            </w:r>
            <w:r>
              <w:rPr>
                <w:rFonts w:hint="eastAsia"/>
                <w:color w:val="000000"/>
                <w:u w:val="none" w:color="auto"/>
              </w:rPr>
              <w:t>月</w:t>
            </w:r>
            <w:r>
              <w:rPr>
                <w:rFonts w:hint="eastAsia"/>
                <w:color w:val="000000"/>
                <w:u w:val="none" w:color="auto"/>
              </w:rPr>
              <w:t>30</w:t>
            </w:r>
            <w:r>
              <w:rPr>
                <w:rFonts w:hint="eastAsia"/>
                <w:color w:val="000000"/>
                <w:u w:val="none" w:color="auto"/>
              </w:rPr>
              <w:t>日付け</w:t>
            </w:r>
            <w:r>
              <w:rPr>
                <w:rFonts w:hint="eastAsia"/>
                <w:color w:val="000000"/>
                <w:u w:val="none" w:color="auto"/>
              </w:rPr>
              <w:t>29</w:t>
            </w:r>
            <w:r>
              <w:rPr>
                <w:rFonts w:hint="eastAsia"/>
                <w:color w:val="000000"/>
                <w:u w:val="none" w:color="auto"/>
              </w:rPr>
              <w:t>林整経第</w:t>
            </w:r>
            <w:r>
              <w:rPr>
                <w:rFonts w:hint="eastAsia"/>
                <w:color w:val="000000"/>
                <w:u w:val="none" w:color="auto"/>
              </w:rPr>
              <w:t>349</w:t>
            </w:r>
            <w:r>
              <w:rPr>
                <w:rFonts w:hint="eastAsia"/>
                <w:color w:val="000000"/>
                <w:u w:val="none" w:color="auto"/>
              </w:rPr>
              <w:t>号林野庁長官通知）</w:t>
            </w:r>
            <w:r>
              <w:rPr>
                <w:rFonts w:hint="eastAsia"/>
              </w:rPr>
              <w:t>に基づき、別表第１に掲げる事業主体が事業を行うために要する経費について、同表に掲げる補助事業者（以下「補助事業者」という。）に対して予算の範囲内で補助するものとする。ただし、補助事業者が別表第２に掲げるいずれかに該当すると認めるときを除く。</w:t>
            </w: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  <w:u w:val="none" w:color="auto"/>
              </w:rPr>
            </w:pP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  <w:u w:val="none" w:color="auto"/>
              </w:rPr>
            </w:pP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第３条～第４条　（略）</w:t>
            </w: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第５条（１）～（</w:t>
            </w:r>
            <w:r>
              <w:rPr>
                <w:rFonts w:hint="eastAsia"/>
                <w:color w:val="auto"/>
                <w:sz w:val="21"/>
              </w:rPr>
              <w:t>18</w:t>
            </w:r>
            <w:r>
              <w:rPr>
                <w:rFonts w:hint="eastAsia"/>
                <w:color w:val="auto"/>
                <w:sz w:val="21"/>
              </w:rPr>
              <w:t>）（略）</w:t>
            </w:r>
          </w:p>
          <w:p>
            <w:pPr>
              <w:pStyle w:val="0"/>
              <w:ind w:leftChars="0" w:firstLineChars="0"/>
              <w:rPr>
                <w:rFonts w:hint="eastAsia"/>
                <w:color w:val="FF0000"/>
                <w:sz w:val="21"/>
                <w:u w:val="single" w:color="auto"/>
              </w:rPr>
            </w:pPr>
            <w:r>
              <w:rPr>
                <w:rFonts w:hint="eastAsia"/>
                <w:color w:val="FF0000"/>
                <w:sz w:val="21"/>
                <w:u w:val="single" w:color="auto"/>
              </w:rPr>
              <w:t>（</w:t>
            </w:r>
            <w:r>
              <w:rPr>
                <w:rFonts w:hint="eastAsia"/>
                <w:color w:val="FF0000"/>
                <w:sz w:val="21"/>
                <w:u w:val="single" w:color="auto"/>
              </w:rPr>
              <w:t>19</w:t>
            </w:r>
            <w:r>
              <w:rPr>
                <w:rFonts w:hint="eastAsia"/>
                <w:color w:val="FF0000"/>
                <w:sz w:val="21"/>
                <w:u w:val="single" w:color="auto"/>
              </w:rPr>
              <w:t>）事業主体は、「農林水産業・食品産業の作業安全のための規範（個別規範：林業）（【事業者向け】若しくは【事業者団体向け】）」（令和３年２月</w:t>
            </w:r>
            <w:r>
              <w:rPr>
                <w:rFonts w:hint="eastAsia"/>
                <w:color w:val="FF0000"/>
                <w:sz w:val="21"/>
                <w:u w:val="single" w:color="auto"/>
              </w:rPr>
              <w:t>26</w:t>
            </w:r>
            <w:r>
              <w:rPr>
                <w:rFonts w:hint="eastAsia"/>
                <w:color w:val="FF0000"/>
                <w:sz w:val="21"/>
                <w:u w:val="single" w:color="auto"/>
              </w:rPr>
              <w:t>日付け２林政経第</w:t>
            </w:r>
            <w:r>
              <w:rPr>
                <w:rFonts w:hint="eastAsia"/>
                <w:color w:val="FF0000"/>
                <w:sz w:val="21"/>
                <w:u w:val="single" w:color="auto"/>
              </w:rPr>
              <w:t>458</w:t>
            </w:r>
            <w:r>
              <w:rPr>
                <w:rFonts w:hint="eastAsia"/>
                <w:color w:val="FF0000"/>
                <w:sz w:val="21"/>
                <w:u w:val="single" w:color="auto"/>
              </w:rPr>
              <w:t>号林野庁長官通知）又は「農林水産業・食品産業の作業安全のための規範（個別規範：木材産業）（【事業者向け】若しくは【事業者団体向け】）」（令和３年２月</w:t>
            </w:r>
            <w:r>
              <w:rPr>
                <w:rFonts w:hint="eastAsia"/>
                <w:color w:val="FF0000"/>
                <w:sz w:val="21"/>
                <w:u w:val="single" w:color="auto"/>
              </w:rPr>
              <w:t>26</w:t>
            </w:r>
            <w:r>
              <w:rPr>
                <w:rFonts w:hint="eastAsia"/>
                <w:color w:val="FF0000"/>
                <w:sz w:val="21"/>
                <w:u w:val="single" w:color="auto"/>
              </w:rPr>
              <w:t>日付け２林政産第</w:t>
            </w:r>
            <w:r>
              <w:rPr>
                <w:rFonts w:hint="eastAsia"/>
                <w:color w:val="FF0000"/>
                <w:sz w:val="21"/>
                <w:u w:val="single" w:color="auto"/>
              </w:rPr>
              <w:t>168</w:t>
            </w:r>
            <w:r>
              <w:rPr>
                <w:rFonts w:hint="eastAsia"/>
                <w:color w:val="FF0000"/>
                <w:sz w:val="21"/>
                <w:u w:val="single" w:color="auto"/>
              </w:rPr>
              <w:t>号林野庁長官通知）を踏まえて作業安全に関する取組を行うものとし、「農林水産業・食品産業の作業安全のための規範（個別規範：【林業】又は【木材産業】）（【事業者向け】又は【（事業者団体向け）】）チェックシート」を記入の上、補助金等交付申請書に添付すること。ただし、過去１年以内に事業主体が他の事業においてチェックシートを作成している場合は、その写しを提出すること。</w:t>
            </w: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第６条～第</w:t>
            </w:r>
            <w:r>
              <w:rPr>
                <w:rFonts w:hint="eastAsia"/>
                <w:color w:val="auto"/>
                <w:sz w:val="21"/>
              </w:rPr>
              <w:t>14</w:t>
            </w:r>
            <w:r>
              <w:rPr>
                <w:rFonts w:hint="eastAsia"/>
                <w:color w:val="auto"/>
                <w:sz w:val="21"/>
              </w:rPr>
              <w:t>条　（略）</w:t>
            </w:r>
          </w:p>
          <w:p>
            <w:pPr>
              <w:pStyle w:val="0"/>
              <w:ind w:left="190" w:hanging="190" w:hangingChars="100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ind w:left="190" w:hanging="190" w:hangingChars="10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（附　則）</w:t>
            </w:r>
          </w:p>
          <w:p>
            <w:pPr>
              <w:pStyle w:val="15"/>
              <w:ind w:left="190" w:hanging="190"/>
              <w:rPr>
                <w:rFonts w:hint="eastAsia" w:ascii="Century" w:hAnsi="Century"/>
                <w:color w:val="auto"/>
                <w:sz w:val="21"/>
              </w:rPr>
            </w:pPr>
            <w:r>
              <w:rPr>
                <w:rFonts w:hint="eastAsia" w:ascii="Century" w:hAnsi="Century"/>
                <w:color w:val="auto"/>
                <w:sz w:val="21"/>
              </w:rPr>
              <w:t>１　（略）</w:t>
            </w:r>
          </w:p>
          <w:p>
            <w:pPr>
              <w:pStyle w:val="0"/>
              <w:ind w:left="95" w:hanging="95" w:hangingChars="50"/>
              <w:rPr>
                <w:rFonts w:hint="default" w:ascii="ＭＳ 明朝" w:hAnsi="ＭＳ 明朝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sz w:val="21"/>
              </w:rPr>
              <w:t>２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</w:rPr>
              <w:t>この要綱は、令和</w:t>
            </w:r>
            <w:r>
              <w:rPr>
                <w:rFonts w:hint="eastAsia"/>
                <w:color w:val="FF0000"/>
                <w:u w:val="single" w:color="auto"/>
              </w:rPr>
              <w:t>５</w:t>
            </w:r>
            <w:r>
              <w:rPr>
                <w:rFonts w:hint="eastAsia" w:ascii="ＭＳ 明朝" w:hAnsi="ＭＳ 明朝" w:eastAsia="ＭＳ 明朝"/>
                <w:color w:val="auto"/>
              </w:rPr>
              <w:t>年５月３１</w:t>
            </w:r>
            <w:r>
              <w:rPr>
                <w:rFonts w:hint="eastAsia"/>
                <w:color w:val="auto"/>
              </w:rPr>
              <w:t>日限りその効力を失う。ただし、この要綱に基づき交付された補助金については、第５条、第９条</w:t>
            </w:r>
            <w:r>
              <w:rPr>
                <w:rFonts w:hint="eastAsia"/>
                <w:color w:val="FF0000"/>
                <w:u w:val="single" w:color="auto"/>
              </w:rPr>
              <w:t>第３項及び第４項、</w:t>
            </w:r>
            <w:r>
              <w:rPr>
                <w:rFonts w:hint="eastAsia"/>
                <w:color w:val="auto"/>
              </w:rPr>
              <w:t>及び</w:t>
            </w:r>
            <w:r>
              <w:rPr>
                <w:rFonts w:hint="eastAsia"/>
                <w:color w:val="FF0000"/>
                <w:u w:val="single" w:color="auto"/>
              </w:rPr>
              <w:t>第</w:t>
            </w:r>
            <w:r>
              <w:rPr>
                <w:rFonts w:hint="eastAsia" w:ascii="ＭＳ 明朝" w:hAnsi="ＭＳ 明朝" w:eastAsia="ＭＳ 明朝"/>
                <w:color w:val="FF0000"/>
                <w:u w:val="single" w:color="auto"/>
              </w:rPr>
              <w:t>１３</w:t>
            </w:r>
            <w:r>
              <w:rPr>
                <w:rFonts w:hint="eastAsia"/>
                <w:color w:val="FF0000"/>
                <w:u w:val="single" w:color="auto"/>
              </w:rPr>
              <w:t>条</w:t>
            </w:r>
            <w:r>
              <w:rPr>
                <w:rFonts w:hint="eastAsia"/>
                <w:color w:val="auto"/>
              </w:rPr>
              <w:t>の規定は、同日以降もなおその効力を有する。</w:t>
            </w:r>
          </w:p>
          <w:p>
            <w:pPr>
              <w:pStyle w:val="15"/>
              <w:ind w:left="180" w:leftChars="100" w:firstLine="0" w:firstLineChars="0"/>
              <w:rPr>
                <w:rFonts w:hint="eastAsia"/>
                <w:color w:val="FF0000"/>
                <w:sz w:val="21"/>
                <w:u w:val="single" w:color="auto"/>
              </w:rPr>
            </w:pPr>
            <w:r>
              <w:rPr>
                <w:rFonts w:hint="eastAsia"/>
                <w:color w:val="FF0000"/>
                <w:sz w:val="21"/>
                <w:u w:val="single" w:color="auto"/>
              </w:rPr>
              <w:t>附　則</w:t>
            </w:r>
          </w:p>
          <w:p>
            <w:pPr>
              <w:pStyle w:val="15"/>
              <w:ind w:left="180" w:leftChars="100" w:firstLine="190" w:firstLineChars="100"/>
              <w:rPr>
                <w:rFonts w:hint="default" w:ascii="ＭＳ 明朝" w:hAnsi="ＭＳ 明朝"/>
                <w:color w:val="auto"/>
                <w:u w:val="single" w:color="auto"/>
              </w:rPr>
            </w:pPr>
            <w:r>
              <w:rPr>
                <w:rFonts w:hint="eastAsia"/>
                <w:color w:val="FF0000"/>
                <w:sz w:val="21"/>
                <w:u w:val="single" w:color="auto"/>
              </w:rPr>
              <w:t>この要綱は、令和４年４月１日から施行し、令和４年度事業から適用する。</w:t>
            </w:r>
            <w:bookmarkStart w:id="0" w:name="_GoBack"/>
            <w:bookmarkEnd w:id="0"/>
          </w:p>
          <w:p>
            <w:pPr>
              <w:pStyle w:val="15"/>
              <w:ind w:left="190" w:hanging="190"/>
              <w:rPr>
                <w:rFonts w:hint="default" w:ascii="ＭＳ 明朝" w:hAnsi="ＭＳ 明朝"/>
                <w:color w:val="auto"/>
                <w:u w:val="none" w:color="auto"/>
              </w:rPr>
            </w:pPr>
          </w:p>
          <w:p>
            <w:pPr>
              <w:pStyle w:val="15"/>
              <w:ind w:left="190" w:hanging="190"/>
              <w:rPr>
                <w:rFonts w:hint="default" w:ascii="ＭＳ 明朝" w:hAnsi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要綱別表</w:t>
            </w:r>
          </w:p>
          <w:p>
            <w:pPr>
              <w:pStyle w:val="15"/>
              <w:ind w:left="190" w:hanging="190"/>
              <w:rPr>
                <w:rFonts w:hint="default" w:ascii="ＭＳ 明朝" w:hAnsi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別表第１（第２条関係）　（略）</w:t>
            </w:r>
          </w:p>
          <w:p>
            <w:pPr>
              <w:pStyle w:val="15"/>
              <w:ind w:left="190" w:hanging="190"/>
              <w:rPr>
                <w:rFonts w:hint="default" w:ascii="ＭＳ 明朝" w:hAnsi="ＭＳ 明朝"/>
                <w:color w:val="auto"/>
                <w:u w:val="singl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別表第２（第２条、第５条関係）　（略）</w:t>
            </w:r>
          </w:p>
        </w:tc>
        <w:tc>
          <w:tcPr>
            <w:tcW w:w="10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firstLine="761" w:firstLineChars="400"/>
              <w:jc w:val="center"/>
              <w:outlineLvl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高知県木材加工流通施設整備事業費補助金交付要綱</w:t>
            </w:r>
          </w:p>
          <w:p>
            <w:pPr>
              <w:pStyle w:val="0"/>
              <w:ind w:left="190" w:hanging="190" w:hangingChars="100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第１条　（略）</w:t>
            </w:r>
          </w:p>
          <w:p>
            <w:pPr>
              <w:pStyle w:val="0"/>
              <w:ind w:leftChars="0" w:hanging="32" w:hangingChars="17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sz w:val="21"/>
              </w:rPr>
              <w:t>２</w:t>
            </w:r>
            <w:r>
              <w:rPr>
                <w:rFonts w:hint="eastAsia"/>
                <w:sz w:val="21"/>
              </w:rPr>
              <w:t>条　　</w:t>
            </w:r>
            <w:r>
              <w:rPr>
                <w:rFonts w:hint="eastAsia"/>
              </w:rPr>
              <w:t>県は、間伐材等の森林資源を活用した林業、木材産業等の地域産業の再生を図るため、</w:t>
            </w:r>
            <w:r>
              <w:rPr>
                <w:rFonts w:hint="eastAsia"/>
                <w:color w:val="auto"/>
                <w:u w:val="none" w:color="auto"/>
              </w:rPr>
              <w:t>合板・製材・集成材国際競争力強化・輸出促進対策交付金等交付要綱（平成</w:t>
            </w:r>
            <w:r>
              <w:rPr>
                <w:rFonts w:hint="eastAsia"/>
                <w:color w:val="auto"/>
                <w:u w:val="none" w:color="auto"/>
              </w:rPr>
              <w:t>28</w:t>
            </w:r>
            <w:r>
              <w:rPr>
                <w:rFonts w:hint="eastAsia"/>
                <w:color w:val="auto"/>
                <w:u w:val="none" w:color="auto"/>
              </w:rPr>
              <w:t>年</w:t>
            </w:r>
            <w:r>
              <w:rPr>
                <w:rFonts w:hint="eastAsia"/>
                <w:color w:val="auto"/>
                <w:u w:val="none" w:color="auto"/>
              </w:rPr>
              <w:t>1</w:t>
            </w:r>
            <w:r>
              <w:rPr>
                <w:rFonts w:hint="eastAsia"/>
                <w:color w:val="auto"/>
                <w:u w:val="none" w:color="auto"/>
              </w:rPr>
              <w:t>月</w:t>
            </w:r>
            <w:r>
              <w:rPr>
                <w:rFonts w:hint="eastAsia"/>
                <w:color w:val="auto"/>
                <w:u w:val="none" w:color="auto"/>
              </w:rPr>
              <w:t>20</w:t>
            </w:r>
            <w:r>
              <w:rPr>
                <w:rFonts w:hint="eastAsia"/>
                <w:color w:val="auto"/>
                <w:u w:val="none" w:color="auto"/>
              </w:rPr>
              <w:t>日付け</w:t>
            </w:r>
            <w:r>
              <w:rPr>
                <w:rFonts w:hint="eastAsia"/>
                <w:color w:val="auto"/>
                <w:u w:val="none" w:color="auto"/>
              </w:rPr>
              <w:t>27</w:t>
            </w:r>
            <w:r>
              <w:rPr>
                <w:rFonts w:hint="eastAsia"/>
                <w:color w:val="auto"/>
                <w:u w:val="none" w:color="auto"/>
              </w:rPr>
              <w:t>林整計第</w:t>
            </w:r>
            <w:r>
              <w:rPr>
                <w:rFonts w:hint="eastAsia"/>
                <w:color w:val="auto"/>
                <w:u w:val="none" w:color="auto"/>
              </w:rPr>
              <w:t>232</w:t>
            </w:r>
            <w:r>
              <w:rPr>
                <w:rFonts w:hint="eastAsia"/>
                <w:color w:val="auto"/>
                <w:u w:val="none" w:color="auto"/>
              </w:rPr>
              <w:t>号農林水産事務次官依命通知）</w:t>
            </w:r>
            <w:r>
              <w:rPr>
                <w:rFonts w:hint="eastAsia"/>
                <w:color w:val="FF0000"/>
                <w:u w:val="single" w:color="auto"/>
              </w:rPr>
              <w:t>、合板・製材・集成材国際競争力強化・輸出促進対策実施要綱（平成</w:t>
            </w:r>
            <w:r>
              <w:rPr>
                <w:rFonts w:hint="eastAsia"/>
                <w:color w:val="FF0000"/>
                <w:u w:val="single" w:color="auto"/>
              </w:rPr>
              <w:t>28</w:t>
            </w:r>
            <w:r>
              <w:rPr>
                <w:rFonts w:hint="eastAsia"/>
                <w:color w:val="FF0000"/>
                <w:u w:val="single" w:color="auto"/>
              </w:rPr>
              <w:t>年</w:t>
            </w:r>
            <w:r>
              <w:rPr>
                <w:rFonts w:hint="eastAsia"/>
                <w:color w:val="FF0000"/>
                <w:u w:val="single" w:color="auto"/>
              </w:rPr>
              <w:t>1</w:t>
            </w:r>
            <w:r>
              <w:rPr>
                <w:rFonts w:hint="eastAsia"/>
                <w:color w:val="FF0000"/>
                <w:u w:val="single" w:color="auto"/>
              </w:rPr>
              <w:t>月</w:t>
            </w:r>
            <w:r>
              <w:rPr>
                <w:rFonts w:hint="eastAsia"/>
                <w:color w:val="FF0000"/>
                <w:u w:val="single" w:color="auto"/>
              </w:rPr>
              <w:t>20</w:t>
            </w:r>
            <w:r>
              <w:rPr>
                <w:rFonts w:hint="eastAsia"/>
                <w:color w:val="FF0000"/>
                <w:u w:val="single" w:color="auto"/>
              </w:rPr>
              <w:t>日付け</w:t>
            </w:r>
            <w:r>
              <w:rPr>
                <w:rFonts w:hint="eastAsia"/>
                <w:color w:val="FF0000"/>
                <w:u w:val="single" w:color="auto"/>
              </w:rPr>
              <w:t>27</w:t>
            </w:r>
            <w:r>
              <w:rPr>
                <w:rFonts w:hint="eastAsia"/>
                <w:color w:val="FF0000"/>
                <w:u w:val="single" w:color="auto"/>
              </w:rPr>
              <w:t>林整計第</w:t>
            </w:r>
            <w:r>
              <w:rPr>
                <w:rFonts w:hint="eastAsia"/>
                <w:color w:val="FF0000"/>
                <w:u w:val="single" w:color="auto"/>
              </w:rPr>
              <w:t>236</w:t>
            </w:r>
            <w:r>
              <w:rPr>
                <w:rFonts w:hint="eastAsia"/>
                <w:color w:val="FF0000"/>
                <w:u w:val="single" w:color="auto"/>
              </w:rPr>
              <w:t>号農林水産事務次官依命通知）</w:t>
            </w:r>
            <w:r>
              <w:rPr>
                <w:rFonts w:hint="eastAsia"/>
                <w:color w:val="auto"/>
                <w:u w:val="none" w:color="auto"/>
              </w:rPr>
              <w:t>、木材産業国際競争力強化対策実施要領（平成</w:t>
            </w:r>
            <w:r>
              <w:rPr>
                <w:rFonts w:hint="eastAsia"/>
                <w:color w:val="auto"/>
                <w:u w:val="none" w:color="auto"/>
              </w:rPr>
              <w:t>28</w:t>
            </w:r>
            <w:r>
              <w:rPr>
                <w:rFonts w:hint="eastAsia"/>
                <w:color w:val="auto"/>
                <w:u w:val="none" w:color="auto"/>
              </w:rPr>
              <w:t>年</w:t>
            </w:r>
            <w:r>
              <w:rPr>
                <w:rFonts w:hint="eastAsia"/>
                <w:color w:val="auto"/>
                <w:u w:val="none" w:color="auto"/>
              </w:rPr>
              <w:t>1</w:t>
            </w:r>
            <w:r>
              <w:rPr>
                <w:rFonts w:hint="eastAsia"/>
                <w:color w:val="auto"/>
                <w:u w:val="none" w:color="auto"/>
              </w:rPr>
              <w:t>月</w:t>
            </w:r>
            <w:r>
              <w:rPr>
                <w:rFonts w:hint="eastAsia"/>
                <w:color w:val="auto"/>
                <w:u w:val="none" w:color="auto"/>
              </w:rPr>
              <w:t>20</w:t>
            </w:r>
            <w:r>
              <w:rPr>
                <w:rFonts w:hint="eastAsia"/>
                <w:color w:val="auto"/>
                <w:u w:val="none" w:color="auto"/>
              </w:rPr>
              <w:t>日付け</w:t>
            </w:r>
            <w:r>
              <w:rPr>
                <w:rFonts w:hint="eastAsia"/>
                <w:color w:val="auto"/>
                <w:u w:val="none" w:color="auto"/>
              </w:rPr>
              <w:t>27</w:t>
            </w:r>
            <w:r>
              <w:rPr>
                <w:rFonts w:hint="eastAsia"/>
                <w:color w:val="auto"/>
                <w:u w:val="none" w:color="auto"/>
              </w:rPr>
              <w:t>林整計第</w:t>
            </w:r>
            <w:r>
              <w:rPr>
                <w:rFonts w:hint="eastAsia"/>
                <w:color w:val="auto"/>
                <w:u w:val="none" w:color="auto"/>
              </w:rPr>
              <w:t>237</w:t>
            </w:r>
            <w:r>
              <w:rPr>
                <w:rFonts w:hint="eastAsia"/>
                <w:color w:val="auto"/>
                <w:u w:val="none" w:color="auto"/>
              </w:rPr>
              <w:t>号林野庁長官通知）、木材産業国際競争力強化対策実施要領の運用について（平成</w:t>
            </w:r>
            <w:r>
              <w:rPr>
                <w:rFonts w:hint="eastAsia"/>
                <w:color w:val="auto"/>
                <w:u w:val="none" w:color="auto"/>
              </w:rPr>
              <w:t>28</w:t>
            </w:r>
            <w:r>
              <w:rPr>
                <w:rFonts w:hint="eastAsia"/>
                <w:color w:val="auto"/>
                <w:u w:val="none" w:color="auto"/>
              </w:rPr>
              <w:t>年</w:t>
            </w:r>
            <w:r>
              <w:rPr>
                <w:rFonts w:hint="eastAsia"/>
                <w:color w:val="auto"/>
                <w:u w:val="none" w:color="auto"/>
              </w:rPr>
              <w:t>1</w:t>
            </w:r>
            <w:r>
              <w:rPr>
                <w:rFonts w:hint="eastAsia"/>
                <w:color w:val="auto"/>
                <w:u w:val="none" w:color="auto"/>
              </w:rPr>
              <w:t>月</w:t>
            </w:r>
            <w:r>
              <w:rPr>
                <w:rFonts w:hint="eastAsia"/>
                <w:color w:val="auto"/>
                <w:u w:val="none" w:color="auto"/>
              </w:rPr>
              <w:t>20</w:t>
            </w:r>
            <w:r>
              <w:rPr>
                <w:rFonts w:hint="eastAsia"/>
                <w:color w:val="auto"/>
                <w:u w:val="none" w:color="auto"/>
              </w:rPr>
              <w:t>日付け</w:t>
            </w:r>
            <w:r>
              <w:rPr>
                <w:rFonts w:hint="eastAsia"/>
                <w:color w:val="auto"/>
                <w:u w:val="none" w:color="auto"/>
              </w:rPr>
              <w:t>27</w:t>
            </w:r>
            <w:r>
              <w:rPr>
                <w:rFonts w:hint="eastAsia"/>
                <w:color w:val="auto"/>
                <w:u w:val="none" w:color="auto"/>
              </w:rPr>
              <w:t>林整計第</w:t>
            </w:r>
            <w:r>
              <w:rPr>
                <w:rFonts w:hint="eastAsia"/>
                <w:color w:val="auto"/>
                <w:u w:val="none" w:color="auto"/>
              </w:rPr>
              <w:t>238</w:t>
            </w:r>
            <w:r>
              <w:rPr>
                <w:rFonts w:hint="eastAsia"/>
                <w:color w:val="auto"/>
                <w:u w:val="none" w:color="auto"/>
              </w:rPr>
              <w:t>号林野庁長官通知）、合板・製材・集成材国際競争力強化・輸出促進対策交付金等交付要綱第</w:t>
            </w:r>
            <w:r>
              <w:rPr>
                <w:rFonts w:hint="eastAsia"/>
                <w:color w:val="auto"/>
                <w:u w:val="none" w:color="auto"/>
              </w:rPr>
              <w:t>26</w:t>
            </w:r>
            <w:r>
              <w:rPr>
                <w:rFonts w:hint="eastAsia"/>
                <w:color w:val="auto"/>
                <w:u w:val="none" w:color="auto"/>
              </w:rPr>
              <w:t>に定める基金活用事業の実施に当たっての条件等について</w:t>
            </w:r>
            <w:r>
              <w:rPr>
                <w:rFonts w:hint="eastAsia"/>
                <w:color w:val="auto"/>
              </w:rPr>
              <w:t>（平成</w:t>
            </w:r>
            <w:r>
              <w:rPr>
                <w:rFonts w:hint="eastAsia"/>
                <w:color w:val="auto"/>
              </w:rPr>
              <w:t>28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日付け</w:t>
            </w:r>
            <w:r>
              <w:rPr>
                <w:rFonts w:hint="eastAsia"/>
                <w:color w:val="auto"/>
              </w:rPr>
              <w:t>27</w:t>
            </w:r>
            <w:r>
              <w:rPr>
                <w:rFonts w:hint="eastAsia"/>
                <w:color w:val="auto"/>
              </w:rPr>
              <w:t>林整計第</w:t>
            </w:r>
            <w:r>
              <w:rPr>
                <w:rFonts w:hint="eastAsia"/>
                <w:color w:val="auto"/>
              </w:rPr>
              <w:t>240</w:t>
            </w:r>
            <w:r>
              <w:rPr>
                <w:rFonts w:hint="eastAsia"/>
                <w:color w:val="auto"/>
              </w:rPr>
              <w:t>号林野庁長官通知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  <w:color w:val="000000"/>
                <w:u w:val="none" w:color="auto"/>
              </w:rPr>
              <w:t>林業成長産業化総合対策補助金等交付要綱（平成</w:t>
            </w:r>
            <w:r>
              <w:rPr>
                <w:rFonts w:hint="eastAsia"/>
                <w:color w:val="000000"/>
                <w:u w:val="none" w:color="auto"/>
              </w:rPr>
              <w:t>30</w:t>
            </w:r>
            <w:r>
              <w:rPr>
                <w:rFonts w:hint="eastAsia"/>
                <w:color w:val="000000"/>
                <w:u w:val="none" w:color="auto"/>
              </w:rPr>
              <w:t>年</w:t>
            </w:r>
            <w:r>
              <w:rPr>
                <w:rFonts w:hint="eastAsia"/>
                <w:color w:val="000000"/>
                <w:u w:val="none" w:color="auto"/>
              </w:rPr>
              <w:t>3</w:t>
            </w:r>
            <w:r>
              <w:rPr>
                <w:rFonts w:hint="eastAsia"/>
                <w:color w:val="000000"/>
                <w:u w:val="none" w:color="auto"/>
              </w:rPr>
              <w:t>月</w:t>
            </w:r>
            <w:r>
              <w:rPr>
                <w:rFonts w:hint="eastAsia"/>
                <w:color w:val="000000"/>
                <w:u w:val="none" w:color="auto"/>
              </w:rPr>
              <w:t>30</w:t>
            </w:r>
            <w:r>
              <w:rPr>
                <w:rFonts w:hint="eastAsia"/>
                <w:color w:val="000000"/>
                <w:u w:val="none" w:color="auto"/>
              </w:rPr>
              <w:t>日付け</w:t>
            </w:r>
            <w:r>
              <w:rPr>
                <w:rFonts w:hint="eastAsia"/>
                <w:color w:val="000000"/>
                <w:u w:val="none" w:color="auto"/>
              </w:rPr>
              <w:t>29</w:t>
            </w:r>
            <w:r>
              <w:rPr>
                <w:rFonts w:hint="eastAsia"/>
                <w:color w:val="000000"/>
                <w:u w:val="none" w:color="auto"/>
              </w:rPr>
              <w:t>林政政第</w:t>
            </w:r>
            <w:r>
              <w:rPr>
                <w:rFonts w:hint="eastAsia"/>
                <w:color w:val="000000"/>
                <w:u w:val="none" w:color="auto"/>
              </w:rPr>
              <w:t>893</w:t>
            </w:r>
            <w:r>
              <w:rPr>
                <w:rFonts w:hint="eastAsia"/>
                <w:color w:val="000000"/>
                <w:u w:val="none" w:color="auto"/>
              </w:rPr>
              <w:t>号農林水産事務次官依命通知）、林業成長産業化総合対策実施要綱（平成</w:t>
            </w:r>
            <w:r>
              <w:rPr>
                <w:rFonts w:hint="eastAsia"/>
                <w:color w:val="000000"/>
                <w:u w:val="none" w:color="auto"/>
              </w:rPr>
              <w:t>30</w:t>
            </w:r>
            <w:r>
              <w:rPr>
                <w:rFonts w:hint="eastAsia"/>
                <w:color w:val="000000"/>
                <w:u w:val="none" w:color="auto"/>
              </w:rPr>
              <w:t>年</w:t>
            </w:r>
            <w:r>
              <w:rPr>
                <w:rFonts w:hint="eastAsia"/>
                <w:color w:val="000000"/>
                <w:u w:val="none" w:color="auto"/>
              </w:rPr>
              <w:t>3</w:t>
            </w:r>
            <w:r>
              <w:rPr>
                <w:rFonts w:hint="eastAsia"/>
                <w:color w:val="000000"/>
                <w:u w:val="none" w:color="auto"/>
              </w:rPr>
              <w:t>月</w:t>
            </w:r>
            <w:r>
              <w:rPr>
                <w:rFonts w:hint="eastAsia"/>
                <w:color w:val="000000"/>
                <w:u w:val="none" w:color="auto"/>
              </w:rPr>
              <w:t>30</w:t>
            </w:r>
            <w:r>
              <w:rPr>
                <w:rFonts w:hint="eastAsia"/>
                <w:color w:val="000000"/>
                <w:u w:val="none" w:color="auto"/>
              </w:rPr>
              <w:t>日付け</w:t>
            </w:r>
            <w:r>
              <w:rPr>
                <w:rFonts w:hint="eastAsia"/>
                <w:color w:val="000000"/>
                <w:u w:val="none" w:color="auto"/>
              </w:rPr>
              <w:t>29</w:t>
            </w:r>
            <w:r>
              <w:rPr>
                <w:rFonts w:hint="eastAsia"/>
                <w:color w:val="000000"/>
                <w:u w:val="none" w:color="auto"/>
              </w:rPr>
              <w:t>林政経政第</w:t>
            </w:r>
            <w:r>
              <w:rPr>
                <w:rFonts w:hint="eastAsia"/>
                <w:color w:val="000000"/>
                <w:u w:val="none" w:color="auto"/>
              </w:rPr>
              <w:t>892</w:t>
            </w:r>
            <w:r>
              <w:rPr>
                <w:rFonts w:hint="eastAsia"/>
                <w:color w:val="000000"/>
                <w:u w:val="none" w:color="auto"/>
              </w:rPr>
              <w:t>号農林水産事務次官依命通知）、林業・木材産業成長産業化促進対策交付金実施要領（平成</w:t>
            </w:r>
            <w:r>
              <w:rPr>
                <w:rFonts w:hint="eastAsia"/>
                <w:color w:val="000000"/>
                <w:u w:val="none" w:color="auto"/>
              </w:rPr>
              <w:t>30</w:t>
            </w:r>
            <w:r>
              <w:rPr>
                <w:rFonts w:hint="eastAsia"/>
                <w:color w:val="000000"/>
                <w:u w:val="none" w:color="auto"/>
              </w:rPr>
              <w:t>年</w:t>
            </w:r>
            <w:r>
              <w:rPr>
                <w:rFonts w:hint="eastAsia"/>
                <w:color w:val="000000"/>
                <w:u w:val="none" w:color="auto"/>
              </w:rPr>
              <w:t>3</w:t>
            </w:r>
            <w:r>
              <w:rPr>
                <w:rFonts w:hint="eastAsia"/>
                <w:color w:val="000000"/>
                <w:u w:val="none" w:color="auto"/>
              </w:rPr>
              <w:t>月</w:t>
            </w:r>
            <w:r>
              <w:rPr>
                <w:rFonts w:hint="eastAsia"/>
                <w:color w:val="000000"/>
                <w:u w:val="none" w:color="auto"/>
              </w:rPr>
              <w:t>30</w:t>
            </w:r>
            <w:r>
              <w:rPr>
                <w:rFonts w:hint="eastAsia"/>
                <w:color w:val="000000"/>
                <w:u w:val="none" w:color="auto"/>
              </w:rPr>
              <w:t>日付け</w:t>
            </w:r>
            <w:r>
              <w:rPr>
                <w:rFonts w:hint="eastAsia"/>
                <w:color w:val="000000"/>
                <w:u w:val="none" w:color="auto"/>
              </w:rPr>
              <w:t>29</w:t>
            </w:r>
            <w:r>
              <w:rPr>
                <w:rFonts w:hint="eastAsia"/>
                <w:color w:val="000000"/>
                <w:u w:val="none" w:color="auto"/>
              </w:rPr>
              <w:t>林整経第</w:t>
            </w:r>
            <w:r>
              <w:rPr>
                <w:rFonts w:hint="eastAsia"/>
                <w:color w:val="000000"/>
                <w:u w:val="none" w:color="auto"/>
              </w:rPr>
              <w:t>349</w:t>
            </w:r>
            <w:r>
              <w:rPr>
                <w:rFonts w:hint="eastAsia"/>
                <w:color w:val="000000"/>
                <w:u w:val="none" w:color="auto"/>
              </w:rPr>
              <w:t>号林野庁長官通知）</w:t>
            </w:r>
            <w:r>
              <w:rPr>
                <w:rFonts w:hint="eastAsia"/>
              </w:rPr>
              <w:t>に基づき、別表第１に掲げる事業主体が事業を行うために要する経費について、同表に掲げる補助事業者（以下「補助事業者」という。）に対して予算の範囲内で補助するものとする。ただし、補助事業者が別表第２に掲げるいずれかに該当すると認めるときを除く。</w:t>
            </w: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第３条～第４条　（略）</w:t>
            </w: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第５条（１）～（</w:t>
            </w:r>
            <w:r>
              <w:rPr>
                <w:rFonts w:hint="eastAsia"/>
                <w:color w:val="auto"/>
                <w:sz w:val="21"/>
              </w:rPr>
              <w:t>18</w:t>
            </w:r>
            <w:r>
              <w:rPr>
                <w:rFonts w:hint="eastAsia"/>
                <w:color w:val="auto"/>
                <w:sz w:val="21"/>
              </w:rPr>
              <w:t>）（略）</w:t>
            </w: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FF0000"/>
                <w:sz w:val="21"/>
                <w:u w:val="single" w:color="auto"/>
              </w:rPr>
              <w:t>（新設）</w:t>
            </w: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ind w:leftChars="0" w:firstLineChars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第６条～第</w:t>
            </w:r>
            <w:r>
              <w:rPr>
                <w:rFonts w:hint="eastAsia"/>
                <w:color w:val="auto"/>
                <w:sz w:val="21"/>
              </w:rPr>
              <w:t>14</w:t>
            </w:r>
            <w:r>
              <w:rPr>
                <w:rFonts w:hint="eastAsia"/>
                <w:color w:val="auto"/>
                <w:sz w:val="21"/>
              </w:rPr>
              <w:t>条　（略）</w:t>
            </w:r>
          </w:p>
          <w:p>
            <w:pPr>
              <w:pStyle w:val="0"/>
              <w:ind w:left="190" w:hanging="190" w:hangingChars="100"/>
              <w:rPr>
                <w:rFonts w:hint="eastAsia"/>
                <w:color w:val="auto"/>
                <w:sz w:val="21"/>
              </w:rPr>
            </w:pPr>
          </w:p>
          <w:p>
            <w:pPr>
              <w:pStyle w:val="0"/>
              <w:ind w:left="190" w:hanging="190" w:hangingChars="10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（附　則）</w:t>
            </w:r>
          </w:p>
          <w:p>
            <w:pPr>
              <w:pStyle w:val="15"/>
              <w:ind w:left="190" w:hanging="190"/>
              <w:rPr>
                <w:rFonts w:hint="eastAsia" w:ascii="Century" w:hAnsi="Century"/>
                <w:color w:val="auto"/>
                <w:sz w:val="21"/>
              </w:rPr>
            </w:pPr>
            <w:r>
              <w:rPr>
                <w:rFonts w:hint="eastAsia" w:ascii="Century" w:hAnsi="Century"/>
                <w:color w:val="auto"/>
                <w:sz w:val="21"/>
              </w:rPr>
              <w:t>１　（略）</w:t>
            </w:r>
          </w:p>
          <w:p>
            <w:pPr>
              <w:pStyle w:val="0"/>
              <w:ind w:left="95" w:hanging="95" w:hangingChars="50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1"/>
              </w:rPr>
              <w:t>２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</w:rPr>
              <w:t>この要綱は、令和</w:t>
            </w:r>
            <w:r>
              <w:rPr>
                <w:rFonts w:hint="eastAsia"/>
                <w:color w:val="FF0000"/>
                <w:u w:val="single" w:color="auto"/>
              </w:rPr>
              <w:t>４</w:t>
            </w:r>
            <w:r>
              <w:rPr>
                <w:rFonts w:hint="eastAsia" w:ascii="ＭＳ 明朝" w:hAnsi="ＭＳ 明朝" w:eastAsia="ＭＳ 明朝"/>
                <w:color w:val="auto"/>
              </w:rPr>
              <w:t>年５月３１</w:t>
            </w:r>
            <w:r>
              <w:rPr>
                <w:rFonts w:hint="eastAsia"/>
                <w:color w:val="auto"/>
              </w:rPr>
              <w:t>日限りその効力を失う。ただし、この要綱に基づき交付された補助金については、第５条、第９条及び</w:t>
            </w:r>
            <w:r>
              <w:rPr>
                <w:rFonts w:hint="eastAsia"/>
                <w:color w:val="FF0000"/>
                <w:u w:val="single" w:color="auto"/>
              </w:rPr>
              <w:t>第</w:t>
            </w:r>
            <w:r>
              <w:rPr>
                <w:rFonts w:hint="eastAsia" w:ascii="ＭＳ 明朝" w:hAnsi="ＭＳ 明朝" w:eastAsia="ＭＳ 明朝"/>
                <w:color w:val="FF0000"/>
                <w:u w:val="single" w:color="auto"/>
              </w:rPr>
              <w:t>１２</w:t>
            </w:r>
            <w:r>
              <w:rPr>
                <w:rFonts w:hint="eastAsia"/>
                <w:color w:val="FF0000"/>
                <w:u w:val="single" w:color="auto"/>
              </w:rPr>
              <w:t>条</w:t>
            </w:r>
            <w:r>
              <w:rPr>
                <w:rFonts w:hint="eastAsia"/>
                <w:color w:val="auto"/>
              </w:rPr>
              <w:t>の規定は、同日以降もなおその効力を有する。</w:t>
            </w:r>
          </w:p>
          <w:p>
            <w:pPr>
              <w:pStyle w:val="0"/>
              <w:ind w:leftChars="0" w:firstLine="0" w:firstLineChars="0"/>
              <w:rPr>
                <w:rFonts w:hint="eastAsia"/>
                <w:color w:val="FF0000"/>
                <w:sz w:val="20"/>
                <w:u w:val="single" w:color="auto"/>
              </w:rPr>
            </w:pPr>
            <w:r>
              <w:rPr>
                <w:rFonts w:hint="eastAsia"/>
                <w:color w:val="FF0000"/>
                <w:sz w:val="20"/>
                <w:u w:val="single" w:color="auto"/>
              </w:rPr>
              <w:t>（新設）</w:t>
            </w:r>
          </w:p>
          <w:p>
            <w:pPr>
              <w:pStyle w:val="0"/>
              <w:ind w:leftChars="0" w:firstLine="0" w:firstLineChars="0"/>
              <w:rPr>
                <w:rFonts w:hint="eastAsia"/>
                <w:sz w:val="20"/>
              </w:rPr>
            </w:pPr>
          </w:p>
          <w:p>
            <w:pPr>
              <w:pStyle w:val="0"/>
              <w:ind w:left="180" w:hanging="180" w:hangingChars="100"/>
              <w:rPr>
                <w:rFonts w:hint="default"/>
              </w:rPr>
            </w:pPr>
          </w:p>
          <w:p>
            <w:pPr>
              <w:pStyle w:val="0"/>
              <w:ind w:left="180" w:hanging="180" w:hangingChars="100"/>
              <w:rPr>
                <w:rFonts w:hint="default"/>
              </w:rPr>
            </w:pPr>
            <w:r>
              <w:rPr>
                <w:rFonts w:hint="eastAsia"/>
              </w:rPr>
              <w:t>要綱別表</w:t>
            </w:r>
          </w:p>
          <w:p>
            <w:pPr>
              <w:pStyle w:val="0"/>
              <w:tabs>
                <w:tab w:val="left" w:leader="none" w:pos="445"/>
              </w:tabs>
              <w:rPr>
                <w:rFonts w:hint="default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別表第１（第２条関係）　（略）</w:t>
            </w:r>
          </w:p>
          <w:p>
            <w:pPr>
              <w:pStyle w:val="0"/>
              <w:tabs>
                <w:tab w:val="left" w:leader="none" w:pos="445"/>
              </w:tabs>
              <w:rPr>
                <w:rFonts w:hint="default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別表第２（第２条、第５条関係）　（略）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pgSz w:w="16840" w:h="11907" w:orient="landscape"/>
      <w:pgMar w:top="850" w:right="851" w:bottom="454" w:left="851" w:header="851" w:footer="992" w:gutter="0"/>
      <w:cols w:space="720"/>
      <w:textDirection w:val="lrTb"/>
      <w:docGrid w:type="linesAndChars" w:linePitch="283" w:charSpace="-40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90"/>
  <w:drawingGridVerticalSpacing w:val="2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8"/>
    <w:uiPriority w:val="0"/>
    <w:pPr>
      <w:ind w:left="210" w:hanging="210" w:hangingChars="100"/>
    </w:pPr>
    <w:rPr>
      <w:rFonts w:ascii="ＭＳ 明朝" w:hAnsi="ＭＳ 明朝"/>
      <w:kern w:val="0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本文インデント (文字)"/>
    <w:basedOn w:val="10"/>
    <w:next w:val="18"/>
    <w:link w:val="15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font15"/>
    <w:basedOn w:val="10"/>
    <w:next w:val="23"/>
    <w:link w:val="0"/>
    <w:uiPriority w:val="0"/>
    <w:qFormat/>
    <w:rPr>
      <w:rFonts w:ascii="ＭＳ 明朝" w:hAnsi="ＭＳ 明朝" w:eastAsia="ＭＳ 明朝"/>
      <w:color w:val="FF0000"/>
      <w:sz w:val="20"/>
    </w:rPr>
  </w:style>
  <w:style w:type="character" w:styleId="24" w:customStyle="1">
    <w:name w:val="font22"/>
    <w:basedOn w:val="10"/>
    <w:next w:val="24"/>
    <w:link w:val="0"/>
    <w:uiPriority w:val="0"/>
    <w:qFormat/>
    <w:rPr>
      <w:rFonts w:ascii="ＭＳ 明朝" w:hAnsi="ＭＳ 明朝" w:eastAsia="ＭＳ 明朝"/>
      <w:color w:val="000000"/>
      <w:sz w:val="20"/>
    </w:rPr>
  </w:style>
  <w:style w:type="character" w:styleId="25" w:customStyle="1">
    <w:name w:val="font14"/>
    <w:basedOn w:val="10"/>
    <w:next w:val="25"/>
    <w:link w:val="0"/>
    <w:uiPriority w:val="0"/>
    <w:qFormat/>
    <w:rPr>
      <w:rFonts w:ascii="ＭＳ 明朝" w:hAnsi="ＭＳ 明朝" w:eastAsia="ＭＳ 明朝"/>
      <w:color w:val="FF0000"/>
      <w:sz w:val="20"/>
    </w:rPr>
  </w:style>
  <w:style w:type="character" w:styleId="26" w:customStyle="1">
    <w:name w:val="font20"/>
    <w:basedOn w:val="10"/>
    <w:next w:val="26"/>
    <w:link w:val="0"/>
    <w:uiPriority w:val="0"/>
    <w:qFormat/>
    <w:rPr>
      <w:rFonts w:ascii="ＭＳ 明朝" w:hAnsi="ＭＳ 明朝" w:eastAsia="ＭＳ 明朝"/>
      <w:color w:val="000000"/>
      <w:sz w:val="20"/>
    </w:rPr>
  </w:style>
  <w:style w:type="character" w:styleId="27" w:customStyle="1">
    <w:name w:val="font21"/>
    <w:basedOn w:val="10"/>
    <w:next w:val="27"/>
    <w:link w:val="0"/>
    <w:uiPriority w:val="0"/>
    <w:qFormat/>
    <w:rPr>
      <w:rFonts w:ascii="ＭＳ 明朝" w:hAnsi="ＭＳ 明朝" w:eastAsia="ＭＳ 明朝"/>
      <w:color w:val="000000"/>
      <w:sz w:val="20"/>
    </w:rPr>
  </w:style>
  <w:style w:type="character" w:styleId="28" w:customStyle="1">
    <w:name w:val="font16"/>
    <w:basedOn w:val="10"/>
    <w:next w:val="28"/>
    <w:link w:val="0"/>
    <w:uiPriority w:val="0"/>
    <w:qFormat/>
    <w:rPr>
      <w:rFonts w:ascii="ＭＳ 明朝" w:hAnsi="ＭＳ 明朝" w:eastAsia="ＭＳ 明朝"/>
      <w:sz w:val="20"/>
    </w:rPr>
  </w:style>
  <w:style w:type="character" w:styleId="29" w:customStyle="1">
    <w:name w:val="font13"/>
    <w:basedOn w:val="10"/>
    <w:next w:val="29"/>
    <w:link w:val="0"/>
    <w:uiPriority w:val="0"/>
    <w:qFormat/>
    <w:rPr>
      <w:rFonts w:ascii="ＭＳ 明朝" w:hAnsi="ＭＳ 明朝" w:eastAsia="ＭＳ 明朝"/>
      <w:color w:val="000000"/>
      <w:sz w:val="20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427</TotalTime>
  <Pages>2</Pages>
  <Words>86</Words>
  <Characters>2051</Characters>
  <Application>JUST Note</Application>
  <Lines>92</Lines>
  <Paragraphs>32</Paragraphs>
  <CharactersWithSpaces>2076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482936</dc:creator>
  <cp:lastModifiedBy>503864</cp:lastModifiedBy>
  <cp:lastPrinted>2022-03-08T07:14:58Z</cp:lastPrinted>
  <dcterms:created xsi:type="dcterms:W3CDTF">2020-03-02T12:17:00Z</dcterms:created>
  <dcterms:modified xsi:type="dcterms:W3CDTF">2022-03-08T07:19:58Z</dcterms:modified>
  <cp:revision>37</cp:revision>
</cp:coreProperties>
</file>