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令和４年度高知県医療介護連携情報システム改修事業費補助金交付申請書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高知県補助金等交付規則第３条及び令和４年度高知県医療介護連携情報システム改修事業費補助金交付要綱第４条の規定により、補助金の交付を関係書類を添えて申請します。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県税事務所で発行する全税目（個人県民税及び地方消費税を除く。）の納税証明書（発行後３ヵ月以内のもの）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令和４年度高知県医療介護連携情報システム改修事業費補助金変更承認申請書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４年度高知県医療介護連携情報システム改修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令和４年度高知県医療介護連携情報システム改修事業中止（廃止）承認申請書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交付の決定がありました事業について、下記のとおり中止（廃止）したいので、令和４年度高知県医療介護連携情報システム改修事業費補助金交付要綱第７条第４号の規定により申請します。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第４号様式（第８条関係）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令和４年度高知県医療介護連携情報システム改修事業費補助金実績報告書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交付の決定がありました事業が完了しましたので、令和４年度高知県医療介護連携情報システム改修事業費補助金交付要綱第８条第１項の規定により、関係書類を添えて報告します。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第５号様式（第８条関係）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leftChars="0" w:firstLine="0" w:firstLineChars="0"/>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令和４年度高知県医療介護連携情報システム改修事業費補助金消費税仕入控除税額等報告書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４年度高知県医療介護連携情報システム改修事業について、令和４年度高知県医療介護連携情報システム改修事業費補助金交付要綱第８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第６号様式（第９条関係）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令和４年度高知県医療介護連携情報システム改修</w:t>
      </w:r>
      <w:bookmarkStart w:id="0" w:name="_GoBack"/>
      <w:bookmarkEnd w:id="0"/>
      <w:r>
        <w:rPr>
          <w:rFonts w:hint="eastAsia" w:ascii="ＭＳ 明朝" w:hAnsi="ＭＳ 明朝" w:eastAsia="ＭＳ 明朝"/>
          <w:sz w:val="21"/>
        </w:rPr>
        <w:t>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で補助金の（変更）交付の決定がありました事業について、令和４年度高知県医療介護連携情報システム改修事業費補助金交付要綱第９条の規定により、下記のとおり請求します。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6</Pages>
  <Words>20</Words>
  <Characters>1766</Characters>
  <Application>JUST Note</Application>
  <Lines>171</Lines>
  <Paragraphs>107</Paragraphs>
  <Company>高知県</Company>
  <CharactersWithSpaces>2482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488950</cp:lastModifiedBy>
  <cp:lastPrinted>2019-03-28T23:54:11Z</cp:lastPrinted>
  <dcterms:created xsi:type="dcterms:W3CDTF">2016-08-01T02:28:00Z</dcterms:created>
  <dcterms:modified xsi:type="dcterms:W3CDTF">2022-03-07T09:26:11Z</dcterms:modified>
  <cp:revision>7</cp:revision>
</cp:coreProperties>
</file>