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423735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23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　事例研修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※園内研修Ⅱ（公開保育）については「園内研修振り返りシート」に記入すること。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園内研修Ⅰ（事例研修）を受けて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333.65pt;width:388.35pt;margin-left:772.85pt;z-index:9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園内研修Ⅰ　事例研修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※園内研修Ⅱ（公開保育）については「園内研修振り返りシート」に記入すること。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園内研修Ⅰ（事例研修）を受けて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保育者基礎研修Ⅲ期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166370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1pt;mso-position-vertical-relative:text;mso-position-horizontal-relative:text;position:absolute;height:24.75pt;mso-wrap-distance-top:0pt;width:37.5pt;mso-wrap-distance-left:5.65pt;margin-left:672.1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55245</wp:posOffset>
                </wp:positionV>
                <wp:extent cx="4500245" cy="5509895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　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●保育者育成指標（概要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９）なども参考にして下さい。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4pt;mso-position-vertical-relative:text;mso-position-horizontal-relative:text;position:absolute;height:433.85pt;mso-wrap-distance-top:0pt;width:354.35pt;mso-wrap-distance-left:16pt;margin-left:8.25pt;z-index:2;" o:spid="_x0000_s1036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　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９）なども参考にして下さい。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13744575</wp:posOffset>
                </wp:positionH>
                <wp:positionV relativeFrom="paragraph">
                  <wp:posOffset>179070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1pt;mso-position-vertical-relative:text;mso-position-horizontal-relative:text;position:absolute;height:24.75pt;mso-wrap-distance-top:0pt;width:37.5pt;mso-wrap-distance-left:5.65pt;margin-left:1082.25pt;z-index:21;" o:spid="_x0000_s103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3175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25pt;mso-position-vertical-relative:text;mso-position-horizontal-relative:text;position:absolute;height:24.75pt;mso-wrap-distance-top:0pt;width:37.5pt;mso-wrap-distance-left:5.65pt;margin-left:672.1pt;z-index:19;" o:spid="_x0000_s1038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67310</wp:posOffset>
                </wp:positionV>
                <wp:extent cx="561975" cy="50800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3pt;mso-position-vertical-relative:text;mso-position-horizontal-relative:text;position:absolute;height:40pt;width:44.25pt;margin-left:947.85pt;z-index:16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153035</wp:posOffset>
                </wp:positionV>
                <wp:extent cx="4932045" cy="5650865"/>
                <wp:effectExtent l="19685" t="19685" r="29845" b="2032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1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2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444.95pt;width:388.35pt;margin-left:772.85pt;z-index:13;" o:spid="_x0000_s104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1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2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153035</wp:posOffset>
                </wp:positionV>
                <wp:extent cx="561975" cy="508000"/>
                <wp:effectExtent l="1270" t="635" r="30480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2.05pt;mso-position-vertical-relative:text;mso-position-horizontal-relative:text;position:absolute;height:40pt;width:44.25pt;margin-left:160.75pt;z-index:8;" o:spid="_x0000_s1044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108585</wp:posOffset>
                </wp:positionV>
                <wp:extent cx="561975" cy="508000"/>
                <wp:effectExtent l="2540" t="1270" r="29845" b="1143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500000000000007pt;mso-position-vertical-relative:text;mso-position-horizontal-relative:text;position:absolute;height:40pt;width:44.25pt;margin-left:745.9pt;z-index:15;rotation:89;" o:spid="_x0000_s1045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41910</wp:posOffset>
                </wp:positionV>
                <wp:extent cx="485140" cy="615950"/>
                <wp:effectExtent l="17145" t="0" r="16510" b="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 rot="-642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3pt;mso-position-vertical-relative:text;mso-position-horizontal-relative:text;position:absolute;height:48.5pt;width:38.200000000000003pt;margin-left:342.45pt;z-index:14;rotation:107;" o:spid="_x0000_s1046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77470</wp:posOffset>
                </wp:positionV>
                <wp:extent cx="476250" cy="3143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1pt;mso-position-vertical-relative:text;mso-position-horizontal-relative:text;position:absolute;height:24.75pt;mso-wrap-distance-top:0pt;width:37.5pt;mso-wrap-distance-left:5.65pt;margin-left:678.85pt;z-index:18;" o:spid="_x0000_s104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121920</wp:posOffset>
                </wp:positionV>
                <wp:extent cx="4095750" cy="2533650"/>
                <wp:effectExtent l="28575" t="28575" r="48895" b="3937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199.5pt;mso-wrap-distance-top:0pt;width:322.5pt;mso-wrap-distance-left:5.65pt;margin-left:25.5pt;z-index:25;" o:spid="_x0000_s1048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8671560</wp:posOffset>
                </wp:positionH>
                <wp:positionV relativeFrom="paragraph">
                  <wp:posOffset>155575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24.75pt;mso-wrap-distance-top:0pt;width:37.5pt;mso-wrap-distance-left:5.65pt;margin-left:682.8pt;z-index:17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1105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2022-03-11T02:42:14Z</cp:lastPrinted>
  <dcterms:created xsi:type="dcterms:W3CDTF">2012-06-12T02:46:00Z</dcterms:created>
  <dcterms:modified xsi:type="dcterms:W3CDTF">2022-03-11T02:53:54Z</dcterms:modified>
  <cp:revision>89</cp:revision>
</cp:coreProperties>
</file>