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000000" w:themeColor="text1"/>
        </w:rPr>
      </w:pPr>
      <w:r>
        <w:rPr>
          <w:rFonts w:hint="eastAsia"/>
          <w:color w:val="000000" w:themeColor="text1"/>
        </w:rPr>
        <w:t>令和５年度</w:t>
      </w:r>
      <w:r>
        <w:rPr>
          <w:rFonts w:hint="eastAsia" w:ascii="ＭＳ 明朝" w:hAnsi="ＭＳ 明朝"/>
          <w:sz w:val="21"/>
        </w:rPr>
        <w:t>畜産経営体質強化緊急支援事業支援金</w:t>
      </w:r>
      <w:r>
        <w:rPr>
          <w:rFonts w:hint="eastAsia"/>
          <w:color w:val="000000" w:themeColor="text1"/>
        </w:rPr>
        <w:t>交付要項</w:t>
      </w:r>
    </w:p>
    <w:p>
      <w:pPr>
        <w:pStyle w:val="0"/>
        <w:spacing w:line="340" w:lineRule="exact"/>
        <w:rPr>
          <w:rFonts w:hint="eastAsia" w:ascii="ＭＳ 明朝" w:hAnsi="ＭＳ 明朝" w:eastAsia="ＭＳ 明朝"/>
          <w:color w:val="000000" w:themeColor="text1"/>
        </w:rPr>
      </w:pPr>
    </w:p>
    <w:p>
      <w:pPr>
        <w:pStyle w:val="0"/>
        <w:spacing w:line="34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（趣旨）</w:t>
      </w:r>
    </w:p>
    <w:p>
      <w:pPr>
        <w:pStyle w:val="0"/>
        <w:spacing w:line="340" w:lineRule="exact"/>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第１条　この要項は、</w:t>
      </w:r>
      <w:r>
        <w:rPr>
          <w:rFonts w:hint="eastAsia" w:ascii="ＭＳ 明朝" w:hAnsi="ＭＳ 明朝" w:eastAsia="ＭＳ 明朝"/>
          <w:color w:val="000000" w:themeColor="text1"/>
          <w:sz w:val="21"/>
        </w:rPr>
        <w:t>飼料価格高騰の影響を受けにくい経営への構造転換を図るため、飼料コスト削減や生産性向上に取り組む畜産農家</w:t>
      </w:r>
      <w:r>
        <w:rPr>
          <w:rFonts w:hint="eastAsia" w:ascii="ＭＳ 明朝" w:hAnsi="ＭＳ 明朝" w:eastAsia="ＭＳ 明朝"/>
          <w:color w:val="000000" w:themeColor="text1"/>
        </w:rPr>
        <w:t>に対して、配合飼料価格安定制度では補填しきれていない価格上昇分支援することを目的として実施する令和５年度畜産経営体質強化緊急支援事業支援金（以下「支援金」という。）の交付に関して必要な事項を定めるものとする。</w:t>
      </w:r>
    </w:p>
    <w:p>
      <w:pPr>
        <w:pStyle w:val="0"/>
        <w:spacing w:line="340" w:lineRule="exact"/>
        <w:ind w:left="210" w:hanging="210" w:hangingChars="100"/>
        <w:rPr>
          <w:rFonts w:hint="eastAsia" w:ascii="ＭＳ 明朝" w:hAnsi="ＭＳ 明朝" w:eastAsia="ＭＳ 明朝"/>
          <w:color w:val="000000" w:themeColor="text1"/>
        </w:rPr>
      </w:pPr>
    </w:p>
    <w:p>
      <w:pPr>
        <w:pStyle w:val="0"/>
        <w:spacing w:line="34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（事務の取扱い）</w:t>
      </w:r>
    </w:p>
    <w:p>
      <w:pPr>
        <w:pStyle w:val="0"/>
        <w:spacing w:line="340" w:lineRule="exact"/>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第２条　高知県（以下「県」という。）から、令和５年度畜産経営体質強化緊急支援事業委託業務の業務を受けた受託者（以下「受託者」という。）が事務の取扱いを行う。</w:t>
      </w:r>
    </w:p>
    <w:p>
      <w:pPr>
        <w:pStyle w:val="0"/>
        <w:spacing w:line="340" w:lineRule="exact"/>
        <w:rPr>
          <w:rFonts w:hint="eastAsia" w:ascii="ＭＳ 明朝" w:hAnsi="ＭＳ 明朝" w:eastAsia="ＭＳ 明朝"/>
          <w:color w:val="000000" w:themeColor="text1"/>
        </w:rPr>
      </w:pPr>
    </w:p>
    <w:p>
      <w:pPr>
        <w:pStyle w:val="0"/>
        <w:spacing w:line="34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（交付の対象）</w:t>
      </w:r>
    </w:p>
    <w:p>
      <w:pPr>
        <w:pStyle w:val="0"/>
        <w:spacing w:line="340" w:lineRule="exact"/>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第３条　支援金は、令和５年度畜産経営体質強化緊急支援事業委託業務において、取組計画書を提出した県内の生産者</w:t>
      </w:r>
      <w:r>
        <w:rPr>
          <w:rFonts w:hint="eastAsia" w:ascii="ＭＳ 明朝" w:hAnsi="ＭＳ 明朝" w:eastAsia="ＭＳ 明朝"/>
          <w:color w:val="000000" w:themeColor="text1"/>
          <w:sz w:val="21"/>
        </w:rPr>
        <w:t>（以下「申請者」という。）</w:t>
      </w:r>
      <w:r>
        <w:rPr>
          <w:rFonts w:hint="eastAsia" w:ascii="ＭＳ 明朝" w:hAnsi="ＭＳ 明朝" w:eastAsia="ＭＳ 明朝"/>
          <w:color w:val="000000" w:themeColor="text1"/>
        </w:rPr>
        <w:t>のうち、以下の要件を満たすものに対して交付する。</w:t>
      </w:r>
    </w:p>
    <w:p>
      <w:pPr>
        <w:pStyle w:val="0"/>
        <w:spacing w:line="340" w:lineRule="exact"/>
        <w:ind w:left="840" w:leftChars="100" w:hanging="630" w:hangingChars="300"/>
        <w:rPr>
          <w:rFonts w:hint="eastAsia" w:ascii="ＭＳ 明朝" w:hAnsi="ＭＳ 明朝" w:eastAsia="ＭＳ 明朝"/>
          <w:color w:val="000000" w:themeColor="text1"/>
        </w:rPr>
      </w:pPr>
      <w:r>
        <w:rPr>
          <w:rFonts w:hint="eastAsia" w:ascii="ＭＳ 明朝" w:hAnsi="ＭＳ 明朝" w:eastAsia="ＭＳ 明朝"/>
          <w:color w:val="000000" w:themeColor="text1"/>
        </w:rPr>
        <w:t>（１）</w:t>
      </w:r>
      <w:r>
        <w:rPr>
          <w:rFonts w:hint="eastAsia" w:ascii="ＭＳ 明朝" w:hAnsi="ＭＳ 明朝" w:eastAsia="ＭＳ 明朝"/>
          <w:color w:val="000000" w:themeColor="text1"/>
          <w:sz w:val="21"/>
        </w:rPr>
        <w:t>令和５年度第１四半期又は第２四半期分の配合飼料価格安定制度の補填金を受け取っていること。</w:t>
      </w:r>
    </w:p>
    <w:p>
      <w:pPr>
        <w:pStyle w:val="0"/>
        <w:spacing w:line="340" w:lineRule="exact"/>
        <w:ind w:left="840" w:leftChars="100" w:hanging="630" w:hangingChars="300"/>
        <w:rPr>
          <w:rFonts w:hint="eastAsia" w:ascii="ＭＳ 明朝" w:hAnsi="ＭＳ 明朝" w:eastAsia="ＭＳ 明朝"/>
          <w:color w:val="000000" w:themeColor="text1"/>
        </w:rPr>
      </w:pPr>
      <w:r>
        <w:rPr>
          <w:rFonts w:hint="eastAsia" w:ascii="ＭＳ 明朝" w:hAnsi="ＭＳ 明朝" w:eastAsia="ＭＳ 明朝"/>
          <w:color w:val="000000" w:themeColor="text1"/>
          <w:sz w:val="21"/>
        </w:rPr>
        <w:t>（２）</w:t>
      </w:r>
      <w:r>
        <w:rPr>
          <w:rFonts w:hint="eastAsia" w:ascii="ＭＳ 明朝" w:hAnsi="ＭＳ 明朝" w:eastAsia="ＭＳ 明朝"/>
          <w:color w:val="000000" w:themeColor="text1"/>
        </w:rPr>
        <w:t>別表１に定める経営改善の取組メニューのうち、ア～イから１つ以上、ウ～カから１つ以上の合計２つ以上に取り組むこと。</w:t>
      </w:r>
    </w:p>
    <w:p>
      <w:pPr>
        <w:pStyle w:val="0"/>
        <w:spacing w:line="340" w:lineRule="exact"/>
        <w:ind w:left="210" w:leftChars="10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（３）</w:t>
      </w:r>
      <w:r>
        <w:rPr>
          <w:rFonts w:hint="eastAsia" w:ascii="ＭＳ 明朝" w:hAnsi="ＭＳ 明朝" w:eastAsia="ＭＳ 明朝"/>
          <w:color w:val="000000" w:themeColor="text1"/>
          <w:sz w:val="21"/>
        </w:rPr>
        <w:t>法人の場合は、本社が県内にあること。</w:t>
      </w:r>
    </w:p>
    <w:p>
      <w:pPr>
        <w:pStyle w:val="0"/>
        <w:spacing w:line="340" w:lineRule="exact"/>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２　前項の規定にかかわらず、別表第２に掲げる要件に該当する事業者その他支援金を交付することが適当でないと知事が認める事業者は、交付の対象としない。</w:t>
      </w:r>
    </w:p>
    <w:p>
      <w:pPr>
        <w:pStyle w:val="0"/>
        <w:spacing w:line="340" w:lineRule="exact"/>
        <w:rPr>
          <w:rFonts w:hint="eastAsia" w:ascii="ＭＳ 明朝" w:hAnsi="ＭＳ 明朝" w:eastAsia="ＭＳ 明朝"/>
          <w:color w:val="000000" w:themeColor="text1"/>
        </w:rPr>
      </w:pPr>
    </w:p>
    <w:p>
      <w:pPr>
        <w:pStyle w:val="0"/>
        <w:spacing w:line="340" w:lineRule="exac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（金額・上限単価）</w:t>
      </w:r>
    </w:p>
    <w:p>
      <w:pPr>
        <w:pStyle w:val="0"/>
        <w:spacing w:line="340" w:lineRule="exact"/>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第４条　交付する支援金は、</w:t>
      </w:r>
      <w:r>
        <w:rPr>
          <w:rFonts w:hint="eastAsia" w:ascii="ＭＳ 明朝" w:hAnsi="ＭＳ 明朝" w:eastAsia="ＭＳ 明朝"/>
          <w:color w:val="000000" w:themeColor="text1"/>
          <w:sz w:val="21"/>
          <w:u w:val="none" w:color="auto"/>
        </w:rPr>
        <w:t>申請者の配合飼料価格安定制度の補填対象数量に別表第３のとおり県が定める単価を乗じた金額とする。</w:t>
      </w:r>
    </w:p>
    <w:p>
      <w:pPr>
        <w:pStyle w:val="0"/>
        <w:spacing w:line="340" w:lineRule="exact"/>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sz w:val="21"/>
          <w:u w:val="none" w:color="auto"/>
        </w:rPr>
        <w:t>２　前項の県が定める単価は、１トン当たり</w:t>
      </w:r>
      <w:r>
        <w:rPr>
          <w:rFonts w:hint="eastAsia" w:ascii="ＭＳ 明朝" w:hAnsi="ＭＳ 明朝" w:eastAsia="ＭＳ 明朝"/>
          <w:color w:val="000000" w:themeColor="text1"/>
          <w:sz w:val="21"/>
          <w:u w:val="none" w:color="auto"/>
        </w:rPr>
        <w:t>6,000</w:t>
      </w:r>
      <w:r>
        <w:rPr>
          <w:rFonts w:hint="eastAsia" w:ascii="ＭＳ 明朝" w:hAnsi="ＭＳ 明朝" w:eastAsia="ＭＳ 明朝"/>
          <w:color w:val="000000" w:themeColor="text1"/>
          <w:sz w:val="21"/>
          <w:u w:val="none" w:color="auto"/>
        </w:rPr>
        <w:t>円以内とする。</w:t>
      </w:r>
    </w:p>
    <w:p>
      <w:pPr>
        <w:pStyle w:val="0"/>
        <w:spacing w:line="340" w:lineRule="exact"/>
        <w:rPr>
          <w:rFonts w:hint="eastAsia" w:ascii="ＭＳ 明朝" w:hAnsi="ＭＳ 明朝" w:eastAsia="ＭＳ 明朝"/>
          <w:color w:val="000000" w:themeColor="text1"/>
        </w:rPr>
      </w:pPr>
    </w:p>
    <w:p>
      <w:pPr>
        <w:pStyle w:val="0"/>
        <w:spacing w:line="34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（申請方法）</w:t>
      </w:r>
    </w:p>
    <w:p>
      <w:pPr>
        <w:pStyle w:val="0"/>
        <w:spacing w:line="340" w:lineRule="exact"/>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第５条　支援金の申請については、県又は受託者が定める方法により申請しなければならない。</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（支援金の交付等）</w:t>
      </w:r>
    </w:p>
    <w:p>
      <w:pPr>
        <w:pStyle w:val="0"/>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第６条　受託者は、申請者が支援金交付対象であることを確認の上、県が定める期日までに申請者に振り込むものとする。</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（支援金の返還等）</w:t>
      </w:r>
    </w:p>
    <w:p>
      <w:pPr>
        <w:pStyle w:val="0"/>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第７条　受託者は、補填金の交付を受けた申請者が、</w:t>
      </w:r>
      <w:r>
        <w:rPr>
          <w:rFonts w:hint="eastAsia" w:ascii="ＭＳ 明朝" w:hAnsi="ＭＳ 明朝" w:eastAsia="ＭＳ 明朝"/>
          <w:color w:val="000000" w:themeColor="text1"/>
          <w:sz w:val="21"/>
        </w:rPr>
        <w:t>経営改善の取組を適切に実施していない事</w:t>
      </w:r>
      <w:r>
        <w:rPr>
          <w:rFonts w:hint="eastAsia" w:ascii="ＭＳ 明朝" w:hAnsi="ＭＳ 明朝" w:eastAsia="ＭＳ 明朝"/>
          <w:color w:val="000000" w:themeColor="text1"/>
        </w:rPr>
        <w:t>が判明した場合</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rPr>
        <w:t>当該申請者に対して交付した支援金について、県の定める期日までに返還させるものとする。</w:t>
      </w:r>
    </w:p>
    <w:p>
      <w:pPr>
        <w:pStyle w:val="0"/>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２　県は、支援金の交付を受けた申請者が、虚偽その他不正の行為によって交付を受けた事が判明した場合、当該申請者に対して交付した給付金について、返還させるものとする。</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（その他）</w:t>
      </w:r>
    </w:p>
    <w:p>
      <w:pPr>
        <w:pStyle w:val="0"/>
        <w:ind w:left="21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第８条　この要項に定めるもののほか、支援金の交付について必要な事項は、県と受託者とが協議の上決定するものとする。</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附則</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この要項は、令和５年６月</w:t>
      </w:r>
      <w:r>
        <w:rPr>
          <w:rFonts w:hint="eastAsia" w:ascii="ＭＳ 明朝" w:hAnsi="ＭＳ 明朝" w:eastAsia="ＭＳ 明朝"/>
          <w:color w:val="000000" w:themeColor="text1"/>
        </w:rPr>
        <w:t>22</w:t>
      </w:r>
      <w:bookmarkStart w:id="0" w:name="_GoBack"/>
      <w:bookmarkEnd w:id="0"/>
      <w:r>
        <w:rPr>
          <w:rFonts w:hint="eastAsia" w:ascii="ＭＳ 明朝" w:hAnsi="ＭＳ 明朝" w:eastAsia="ＭＳ 明朝"/>
          <w:color w:val="000000" w:themeColor="text1"/>
        </w:rPr>
        <w:t>日から施行する。</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br w:type="page"/>
      </w:r>
    </w:p>
    <w:p>
      <w:pPr>
        <w:pStyle w:val="0"/>
        <w:rPr>
          <w:rFonts w:hint="eastAsia" w:ascii="ＭＳ 明朝" w:hAnsi="ＭＳ 明朝" w:eastAsia="ＭＳ 明朝"/>
          <w:sz w:val="21"/>
        </w:rPr>
      </w:pPr>
      <w:r>
        <w:rPr>
          <w:rFonts w:hint="eastAsia" w:ascii="ＭＳ 明朝" w:hAnsi="ＭＳ 明朝" w:eastAsia="ＭＳ 明朝"/>
          <w:bdr w:val="none" w:color="auto" w:sz="0" w:space="0"/>
        </w:rPr>
        <w:t>別表１</w:t>
      </w:r>
      <w:r>
        <w:rPr>
          <w:rFonts w:hint="eastAsia" w:ascii="ＭＳ 明朝" w:hAnsi="ＭＳ 明朝" w:eastAsia="ＭＳ 明朝"/>
          <w:sz w:val="21"/>
        </w:rPr>
        <w:t>（経営改善の取組メニュー）</w:t>
      </w:r>
    </w:p>
    <w:p>
      <w:pPr>
        <w:pStyle w:val="0"/>
        <w:jc w:val="left"/>
        <w:rPr>
          <w:rFonts w:hint="eastAsia"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-10160</wp:posOffset>
                </wp:positionH>
                <wp:positionV relativeFrom="paragraph">
                  <wp:posOffset>17145</wp:posOffset>
                </wp:positionV>
                <wp:extent cx="5591175" cy="1349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591175" cy="1349375"/>
                        </a:xfrm>
                        <a:prstGeom prst="rect">
                          <a:avLst/>
                        </a:prstGeom>
                        <a:no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106.25pt;mso-wrap-distance-top:0pt;width:440.25pt;mso-wrap-distance-left:16pt;margin-left:-0.8pt;z-index:2;" o:spid="_x0000_s1026" o:allowincell="t" o:allowoverlap="t" filled="f" stroked="t" strokecolor="#000000 [3213]"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sz w:val="21"/>
        </w:rPr>
        <w:t>ア、国産飼料給与量の増加</w:t>
      </w:r>
    </w:p>
    <w:p>
      <w:pPr>
        <w:pStyle w:val="0"/>
        <w:jc w:val="left"/>
        <w:rPr>
          <w:rFonts w:hint="eastAsia" w:ascii="ＭＳ 明朝" w:hAnsi="ＭＳ 明朝" w:eastAsia="ＭＳ 明朝"/>
          <w:sz w:val="21"/>
        </w:rPr>
      </w:pPr>
      <w:r>
        <w:rPr>
          <w:rFonts w:hint="eastAsia" w:ascii="ＭＳ 明朝" w:hAnsi="ＭＳ 明朝" w:eastAsia="ＭＳ 明朝"/>
          <w:sz w:val="21"/>
        </w:rPr>
        <w:t>イ、配合飼料給与量の削減</w:t>
      </w:r>
    </w:p>
    <w:p>
      <w:pPr>
        <w:pStyle w:val="0"/>
        <w:jc w:val="left"/>
        <w:rPr>
          <w:rFonts w:hint="eastAsia" w:ascii="ＭＳ 明朝" w:hAnsi="ＭＳ 明朝" w:eastAsia="ＭＳ 明朝"/>
          <w:sz w:val="21"/>
        </w:rPr>
      </w:pPr>
      <w:r>
        <w:rPr>
          <w:rFonts w:hint="eastAsia" w:ascii="ＭＳ 明朝" w:hAnsi="ＭＳ 明朝" w:eastAsia="ＭＳ 明朝"/>
          <w:sz w:val="21"/>
        </w:rPr>
        <w:t>ウ、デジタル技術の導入（</w:t>
      </w:r>
      <w:r>
        <w:rPr>
          <w:rFonts w:hint="eastAsia" w:ascii="ＭＳ 明朝" w:hAnsi="ＭＳ 明朝" w:eastAsia="ＭＳ 明朝"/>
          <w:sz w:val="21"/>
        </w:rPr>
        <w:t>DX</w:t>
      </w:r>
      <w:r>
        <w:rPr>
          <w:rFonts w:hint="eastAsia" w:ascii="ＭＳ 明朝" w:hAnsi="ＭＳ 明朝" w:eastAsia="ＭＳ 明朝"/>
          <w:sz w:val="21"/>
        </w:rPr>
        <w:t>化）</w:t>
      </w:r>
    </w:p>
    <w:p>
      <w:pPr>
        <w:pStyle w:val="0"/>
        <w:jc w:val="left"/>
        <w:rPr>
          <w:rFonts w:hint="eastAsia" w:ascii="ＭＳ 明朝" w:hAnsi="ＭＳ 明朝" w:eastAsia="ＭＳ 明朝"/>
          <w:sz w:val="21"/>
        </w:rPr>
      </w:pPr>
      <w:r>
        <w:rPr>
          <w:rFonts w:hint="eastAsia" w:ascii="ＭＳ 明朝" w:hAnsi="ＭＳ 明朝" w:eastAsia="ＭＳ 明朝"/>
          <w:sz w:val="21"/>
        </w:rPr>
        <w:t>エ、堆肥の有効活用（</w:t>
      </w:r>
      <w:r>
        <w:rPr>
          <w:rFonts w:hint="eastAsia" w:ascii="ＭＳ 明朝" w:hAnsi="ＭＳ 明朝" w:eastAsia="ＭＳ 明朝"/>
          <w:sz w:val="21"/>
        </w:rPr>
        <w:t>GX</w:t>
      </w:r>
      <w:r>
        <w:rPr>
          <w:rFonts w:hint="eastAsia" w:ascii="ＭＳ 明朝" w:hAnsi="ＭＳ 明朝" w:eastAsia="ＭＳ 明朝"/>
          <w:sz w:val="21"/>
        </w:rPr>
        <w:t>化）</w:t>
      </w:r>
    </w:p>
    <w:p>
      <w:pPr>
        <w:pStyle w:val="0"/>
        <w:jc w:val="left"/>
        <w:rPr>
          <w:rFonts w:hint="eastAsia" w:ascii="ＭＳ 明朝" w:hAnsi="ＭＳ 明朝" w:eastAsia="ＭＳ 明朝"/>
          <w:sz w:val="21"/>
        </w:rPr>
      </w:pPr>
      <w:r>
        <w:rPr>
          <w:rFonts w:hint="eastAsia" w:ascii="ＭＳ 明朝" w:hAnsi="ＭＳ 明朝" w:eastAsia="ＭＳ 明朝"/>
          <w:sz w:val="21"/>
        </w:rPr>
        <w:t>オ、生産効率の向上</w:t>
      </w:r>
    </w:p>
    <w:p>
      <w:pPr>
        <w:pStyle w:val="0"/>
        <w:rPr>
          <w:rFonts w:hint="eastAsia" w:ascii="ＭＳ 明朝" w:hAnsi="ＭＳ 明朝" w:eastAsia="ＭＳ 明朝"/>
          <w:bdr w:val="single" w:color="auto" w:sz="4" w:space="0"/>
        </w:rPr>
      </w:pPr>
      <w:r>
        <w:rPr>
          <w:rFonts w:hint="eastAsia" w:ascii="ＭＳ 明朝" w:hAnsi="ＭＳ 明朝" w:eastAsia="ＭＳ 明朝"/>
          <w:sz w:val="21"/>
        </w:rPr>
        <w:t>カ、労働生産性の向上</w:t>
      </w:r>
    </w:p>
    <w:p>
      <w:pPr>
        <w:pStyle w:val="0"/>
        <w:rPr>
          <w:rFonts w:hint="eastAsia" w:ascii="ＭＳ 明朝" w:hAnsi="ＭＳ 明朝" w:eastAsia="ＭＳ 明朝"/>
          <w:bdr w:val="single" w:color="auto" w:sz="4" w:space="0"/>
        </w:rPr>
      </w:pPr>
    </w:p>
    <w:p>
      <w:pPr>
        <w:pStyle w:val="0"/>
        <w:rPr>
          <w:rFonts w:hint="eastAsia" w:ascii="ＭＳ 明朝" w:hAnsi="ＭＳ 明朝" w:eastAsia="ＭＳ 明朝"/>
          <w:bdr w:val="single" w:color="auto" w:sz="4" w:space="0"/>
        </w:rPr>
      </w:pPr>
    </w:p>
    <w:p>
      <w:pPr>
        <w:pStyle w:val="0"/>
        <w:rPr>
          <w:rFonts w:hint="eastAsia" w:ascii="ＭＳ 明朝" w:hAnsi="ＭＳ 明朝" w:eastAsia="ＭＳ 明朝"/>
          <w:bdr w:val="single" w:color="auto" w:sz="4" w:space="0"/>
        </w:rPr>
      </w:pPr>
      <w:r>
        <w:rPr>
          <w:rFonts w:hint="eastAsia" w:ascii="ＭＳ 明朝" w:hAnsi="ＭＳ 明朝" w:eastAsia="ＭＳ 明朝"/>
          <w:bdr w:val="none" w:color="auto" w:sz="0" w:space="0"/>
        </w:rPr>
        <w:t>別表</w:t>
      </w:r>
      <w:r>
        <w:rPr>
          <w:rFonts w:hint="eastAsia"/>
          <w:bdr w:val="none" w:color="auto" w:sz="0" w:space="0"/>
        </w:rPr>
        <mc:AlternateContent>
          <mc:Choice Requires="wps">
            <w:drawing>
              <wp:anchor distT="0" distB="0" distL="203200" distR="203200" simplePos="0" relativeHeight="4" behindDoc="0" locked="0" layoutInCell="1" hidden="0" allowOverlap="1">
                <wp:simplePos x="0" y="0"/>
                <wp:positionH relativeFrom="column">
                  <wp:posOffset>-10160</wp:posOffset>
                </wp:positionH>
                <wp:positionV relativeFrom="paragraph">
                  <wp:posOffset>173990</wp:posOffset>
                </wp:positionV>
                <wp:extent cx="5591175" cy="43922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591175" cy="4392295"/>
                        </a:xfrm>
                        <a:prstGeom prst="rect">
                          <a:avLst/>
                        </a:prstGeom>
                        <a:no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7pt;mso-position-vertical-relative:text;mso-position-horizontal-relative:text;position:absolute;height:345.85pt;mso-wrap-distance-top:0pt;width:440.25pt;mso-wrap-distance-left:16pt;margin-left:-0.8pt;z-index:4;" o:spid="_x0000_s1027" o:allowincell="t" o:allowoverlap="t" filled="f" stroked="t" strokecolor="#000000 [3213]"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bdr w:val="none" w:color="auto" w:sz="0" w:space="0"/>
        </w:rPr>
        <w:t>２</w:t>
      </w:r>
    </w:p>
    <w:p>
      <w:pPr>
        <w:pStyle w:val="0"/>
        <w:ind w:left="210" w:hanging="210" w:hangingChars="100"/>
        <w:rPr>
          <w:rFonts w:hint="eastAsia" w:ascii="ＭＳ 明朝" w:hAnsi="ＭＳ 明朝" w:eastAsia="ＭＳ 明朝"/>
        </w:rPr>
      </w:pPr>
      <w:r>
        <w:rPr>
          <w:rFonts w:hint="eastAsia" w:ascii="ＭＳ 明朝" w:hAnsi="ＭＳ 明朝" w:eastAsia="ＭＳ 明朝"/>
        </w:rPr>
        <w:t>１　暴力団（高知県暴力団排除条例（平成</w:t>
      </w:r>
      <w:r>
        <w:rPr>
          <w:rFonts w:hint="eastAsia" w:ascii="ＭＳ 明朝" w:hAnsi="ＭＳ 明朝" w:eastAsia="ＭＳ 明朝"/>
        </w:rPr>
        <w:t>22</w:t>
      </w:r>
      <w:r>
        <w:rPr>
          <w:rFonts w:hint="eastAsia" w:ascii="ＭＳ 明朝" w:hAnsi="ＭＳ 明朝" w:eastAsia="ＭＳ 明朝"/>
        </w:rPr>
        <w:t>年高知県条例第</w:t>
      </w:r>
      <w:r>
        <w:rPr>
          <w:rFonts w:hint="eastAsia" w:ascii="ＭＳ 明朝" w:hAnsi="ＭＳ 明朝" w:eastAsia="ＭＳ 明朝"/>
        </w:rPr>
        <w:t>36</w:t>
      </w:r>
      <w:r>
        <w:rPr>
          <w:rFonts w:hint="eastAsia" w:ascii="ＭＳ 明朝" w:hAnsi="ＭＳ 明朝" w:eastAsia="ＭＳ 明朝"/>
        </w:rPr>
        <w:t>号。以下「暴排条例」という）第２条第</w:t>
      </w:r>
      <w:r>
        <w:rPr>
          <w:rFonts w:hint="eastAsia" w:ascii="ＭＳ 明朝" w:hAnsi="ＭＳ 明朝" w:eastAsia="ＭＳ 明朝"/>
        </w:rPr>
        <w:t>1</w:t>
      </w:r>
      <w:r>
        <w:rPr>
          <w:rFonts w:hint="eastAsia" w:ascii="ＭＳ 明朝" w:hAnsi="ＭＳ 明朝" w:eastAsia="ＭＳ 明朝"/>
        </w:rPr>
        <w:t>号に規定する暴力団をいう。以下同じ。）であるとき。</w:t>
      </w:r>
    </w:p>
    <w:p>
      <w:pPr>
        <w:pStyle w:val="0"/>
        <w:rPr>
          <w:rFonts w:hint="eastAsia" w:ascii="ＭＳ 明朝" w:hAnsi="ＭＳ 明朝" w:eastAsia="ＭＳ 明朝"/>
        </w:rPr>
      </w:pPr>
      <w:r>
        <w:rPr>
          <w:rFonts w:hint="eastAsia" w:ascii="ＭＳ 明朝" w:hAnsi="ＭＳ 明朝" w:eastAsia="ＭＳ 明朝"/>
        </w:rPr>
        <w:t>２　暴排条例第</w:t>
      </w:r>
      <w:r>
        <w:rPr>
          <w:rFonts w:hint="eastAsia" w:ascii="ＭＳ 明朝" w:hAnsi="ＭＳ 明朝" w:eastAsia="ＭＳ 明朝"/>
        </w:rPr>
        <w:t>18</w:t>
      </w:r>
      <w:r>
        <w:rPr>
          <w:rFonts w:hint="eastAsia" w:ascii="ＭＳ 明朝" w:hAnsi="ＭＳ 明朝" w:eastAsia="ＭＳ 明朝"/>
        </w:rPr>
        <w:t>条又は第</w:t>
      </w:r>
      <w:r>
        <w:rPr>
          <w:rFonts w:hint="eastAsia" w:ascii="ＭＳ 明朝" w:hAnsi="ＭＳ 明朝" w:eastAsia="ＭＳ 明朝"/>
        </w:rPr>
        <w:t>19</w:t>
      </w:r>
      <w:r>
        <w:rPr>
          <w:rFonts w:hint="eastAsia" w:ascii="ＭＳ 明朝" w:hAnsi="ＭＳ 明朝" w:eastAsia="ＭＳ 明朝"/>
        </w:rPr>
        <w:t>条の規定に違反した事実があるとき。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３　その役員（業務を遂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であるとき。</w:t>
      </w:r>
    </w:p>
    <w:p>
      <w:pPr>
        <w:pStyle w:val="0"/>
        <w:rPr>
          <w:rFonts w:hint="eastAsia" w:ascii="ＭＳ 明朝" w:hAnsi="ＭＳ 明朝" w:eastAsia="ＭＳ 明朝"/>
        </w:rPr>
      </w:pPr>
      <w:r>
        <w:rPr>
          <w:rFonts w:hint="eastAsia" w:ascii="ＭＳ 明朝" w:hAnsi="ＭＳ 明朝" w:eastAsia="ＭＳ 明朝"/>
        </w:rPr>
        <w:t>４　暴力団員等がその事業活動を支配しているとき。</w:t>
      </w:r>
    </w:p>
    <w:p>
      <w:pPr>
        <w:pStyle w:val="0"/>
        <w:rPr>
          <w:rFonts w:hint="eastAsia" w:ascii="ＭＳ 明朝" w:hAnsi="ＭＳ 明朝" w:eastAsia="ＭＳ 明朝"/>
        </w:rPr>
      </w:pPr>
      <w:r>
        <w:rPr>
          <w:rFonts w:hint="eastAsia" w:ascii="ＭＳ 明朝" w:hAnsi="ＭＳ 明朝" w:eastAsia="ＭＳ 明朝"/>
        </w:rPr>
        <w:t>５　暴力団員等をその業務に従事させ、又はその業務の補助者として使用しているとき。</w:t>
      </w:r>
    </w:p>
    <w:p>
      <w:pPr>
        <w:pStyle w:val="0"/>
        <w:rPr>
          <w:rFonts w:hint="eastAsia" w:ascii="ＭＳ 明朝" w:hAnsi="ＭＳ 明朝" w:eastAsia="ＭＳ 明朝"/>
        </w:rPr>
      </w:pPr>
      <w:r>
        <w:rPr>
          <w:rFonts w:hint="eastAsia" w:ascii="ＭＳ 明朝" w:hAnsi="ＭＳ 明朝" w:eastAsia="ＭＳ 明朝"/>
        </w:rPr>
        <w:t>６　暴力団又は暴力団員等がその経営又は運営に実質的に関与しているとき。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７　いかなる名義をもってするかを問わず、暴力団又は暴力団員等に対して、金銭、物品その他財産上の利益を与え、又は便宜を供与する等直接的な又は積極的に暴力団の維持又は運営に協力し、又は関与し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８　業務に関し、暴力団又は暴力団員等が経営又は運営に実質的に関与していると認められる者であることを知りながら、これを利用したとき。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９　その役員が、自己、その属する法人その他の団体若しくは第三者の利益を図り又は第三者に損害を加えることを目的として、暴力団又は暴力団員等を利用したとき。</w:t>
      </w:r>
    </w:p>
    <w:p>
      <w:pPr>
        <w:pStyle w:val="0"/>
        <w:rPr>
          <w:rFonts w:hint="eastAsia"/>
        </w:rPr>
      </w:pPr>
      <w:r>
        <w:rPr>
          <w:rFonts w:hint="eastAsia" w:ascii="ＭＳ 明朝" w:hAnsi="ＭＳ 明朝" w:eastAsia="ＭＳ 明朝"/>
        </w:rPr>
        <w:t>10</w:t>
      </w:r>
      <w:r>
        <w:rPr>
          <w:rFonts w:hint="eastAsia" w:ascii="ＭＳ 明朝" w:hAnsi="ＭＳ 明朝" w:eastAsia="ＭＳ 明朝"/>
        </w:rPr>
        <w:t>　その役員が暴力団又は暴力団員等と社会的に非難されるべき関係を有しているとき。</w:t>
      </w:r>
    </w:p>
    <w:p>
      <w:pPr>
        <w:pStyle w:val="0"/>
        <w:rPr>
          <w:rFonts w:hint="eastAsia"/>
        </w:rPr>
      </w:pPr>
    </w:p>
    <w:p>
      <w:pPr>
        <w:pStyle w:val="0"/>
        <w:rPr>
          <w:rFonts w:hint="eastAsia"/>
        </w:rPr>
      </w:pPr>
      <w:r>
        <w:rPr>
          <w:rFonts w:hint="eastAsia"/>
        </w:rPr>
        <w:br w:type="page"/>
      </w:r>
    </w:p>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-6985</wp:posOffset>
                </wp:positionH>
                <wp:positionV relativeFrom="paragraph">
                  <wp:posOffset>345440</wp:posOffset>
                </wp:positionV>
                <wp:extent cx="5588000" cy="29705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588000" cy="29705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支援金単価＝（①ー②）×</w:t>
                            </w:r>
                            <w:r>
                              <w:rPr>
                                <w:rFonts w:hint="eastAsia" w:ascii="ＭＳ 明朝" w:hAnsi="ＭＳ 明朝" w:eastAsia="ＭＳ 明朝"/>
                              </w:rPr>
                              <w:t>1/2</w:t>
                            </w:r>
                          </w:p>
                          <w:p>
                            <w:pPr>
                              <w:pStyle w:val="0"/>
                              <w:rPr>
                                <w:rFonts w:hint="eastAsia" w:ascii="ＭＳ 明朝" w:hAnsi="ＭＳ 明朝" w:eastAsia="ＭＳ 明朝"/>
                              </w:rPr>
                            </w:pPr>
                            <w:r>
                              <w:rPr>
                                <w:rFonts w:hint="eastAsia" w:ascii="ＭＳ 明朝" w:hAnsi="ＭＳ 明朝" w:eastAsia="ＭＳ 明朝"/>
                              </w:rPr>
                              <w:t>　①支援対象期間の平均輸入原料価格ー支援対象期間の国の補填金単価</w:t>
                            </w:r>
                          </w:p>
                          <w:p>
                            <w:pPr>
                              <w:pStyle w:val="0"/>
                              <w:ind w:firstLine="210" w:firstLineChars="100"/>
                              <w:rPr>
                                <w:rFonts w:hint="eastAsia" w:ascii="ＭＳ 明朝" w:hAnsi="ＭＳ 明朝" w:eastAsia="ＭＳ 明朝"/>
                              </w:rPr>
                            </w:pPr>
                            <w:r>
                              <w:rPr>
                                <w:rFonts w:hint="eastAsia" w:ascii="ＭＳ 明朝" w:hAnsi="ＭＳ 明朝" w:eastAsia="ＭＳ 明朝"/>
                              </w:rPr>
                              <w:t>②令和３年度平均の平均輸入原料価格ー令和３年度平均の国の補填金単価</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rPr>
                            </w:pPr>
                            <w:r>
                              <w:rPr>
                                <w:rFonts w:hint="eastAsia" w:ascii="ＭＳ 明朝" w:hAnsi="ＭＳ 明朝" w:eastAsia="ＭＳ 明朝"/>
                              </w:rPr>
                              <w:t>※平均輸入原料価格：国の補填金の積算根拠となるとうもろこし等配合飼料原料の平均価格</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2pt;mso-position-vertical-relative:text;mso-position-horizontal-relative:text;position:absolute;height:233.9pt;mso-wrap-distance-top:0pt;width:440pt;mso-wrap-distance-left:16pt;margin-left:-0.55000000000000004pt;z-index:5;"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支援金単価＝（①ー②）×</w:t>
                      </w:r>
                      <w:r>
                        <w:rPr>
                          <w:rFonts w:hint="eastAsia" w:ascii="ＭＳ 明朝" w:hAnsi="ＭＳ 明朝" w:eastAsia="ＭＳ 明朝"/>
                        </w:rPr>
                        <w:t>1/2</w:t>
                      </w:r>
                    </w:p>
                    <w:p>
                      <w:pPr>
                        <w:pStyle w:val="0"/>
                        <w:rPr>
                          <w:rFonts w:hint="eastAsia" w:ascii="ＭＳ 明朝" w:hAnsi="ＭＳ 明朝" w:eastAsia="ＭＳ 明朝"/>
                        </w:rPr>
                      </w:pPr>
                      <w:r>
                        <w:rPr>
                          <w:rFonts w:hint="eastAsia" w:ascii="ＭＳ 明朝" w:hAnsi="ＭＳ 明朝" w:eastAsia="ＭＳ 明朝"/>
                        </w:rPr>
                        <w:t>　①支援対象期間の平均輸入原料価格ー支援対象期間の国の補填金単価</w:t>
                      </w:r>
                    </w:p>
                    <w:p>
                      <w:pPr>
                        <w:pStyle w:val="0"/>
                        <w:ind w:firstLine="210" w:firstLineChars="100"/>
                        <w:rPr>
                          <w:rFonts w:hint="eastAsia" w:ascii="ＭＳ 明朝" w:hAnsi="ＭＳ 明朝" w:eastAsia="ＭＳ 明朝"/>
                        </w:rPr>
                      </w:pPr>
                      <w:r>
                        <w:rPr>
                          <w:rFonts w:hint="eastAsia" w:ascii="ＭＳ 明朝" w:hAnsi="ＭＳ 明朝" w:eastAsia="ＭＳ 明朝"/>
                        </w:rPr>
                        <w:t>②令和３年度平均の平均輸入原料価格ー令和３年度平均の国の補填金単価</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rPr>
                      </w:pPr>
                      <w:r>
                        <w:rPr>
                          <w:rFonts w:hint="eastAsia" w:ascii="ＭＳ 明朝" w:hAnsi="ＭＳ 明朝" w:eastAsia="ＭＳ 明朝"/>
                        </w:rPr>
                        <w:t>※平均輸入原料価格：国の補填金の積算根拠となるとうもろこし等配合飼料原料の平均価格</w:t>
                      </w:r>
                    </w:p>
                  </w:txbxContent>
                </v:textbox>
                <v:imagedata o:title=""/>
                <w10:wrap type="none" anchorx="text" anchory="text"/>
              </v:shape>
            </w:pict>
          </mc:Fallback>
        </mc:AlternateContent>
      </w:r>
      <w:r>
        <w:rPr>
          <w:rFonts w:hint="eastAsia"/>
        </w:rPr>
        <mc:AlternateContent>
          <mc:Choice Requires="wps">
            <w:drawing>
              <wp:anchor simplePos="0" relativeHeight="18" behindDoc="0" locked="0" layoutInCell="1" hidden="0" allowOverlap="1">
                <wp:simplePos x="0" y="0"/>
                <wp:positionH relativeFrom="column">
                  <wp:posOffset>248285</wp:posOffset>
                </wp:positionH>
                <wp:positionV relativeFrom="paragraph">
                  <wp:posOffset>2204085</wp:posOffset>
                </wp:positionV>
                <wp:extent cx="751205" cy="27686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751205" cy="276860"/>
                        </a:xfrm>
                        <a:prstGeom prst="rect">
                          <a:avLst/>
                        </a:prstGeom>
                        <a:solidFill>
                          <a:schemeClr val="bg2">
                            <a:lumMod val="50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argin-top:173.55pt;mso-position-vertical-relative:text;mso-position-horizontal-relative:text;position:absolute;height:21.8pt;width:59.15pt;margin-left:19.55pt;z-index:18;" o:spid="_x0000_s1029" o:allowincell="t" o:allowoverlap="t" filled="t" fillcolor="#767272 [1614]"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6" behindDoc="0" locked="0" layoutInCell="1" hidden="0" allowOverlap="1">
                <wp:simplePos x="0" y="0"/>
                <wp:positionH relativeFrom="column">
                  <wp:posOffset>1852295</wp:posOffset>
                </wp:positionH>
                <wp:positionV relativeFrom="paragraph">
                  <wp:posOffset>2198370</wp:posOffset>
                </wp:positionV>
                <wp:extent cx="1337310" cy="1905"/>
                <wp:effectExtent l="635" t="635" r="29210" b="10795"/>
                <wp:wrapNone/>
                <wp:docPr id="1030" name="直線 202"/>
                <a:graphic xmlns:a="http://schemas.openxmlformats.org/drawingml/2006/main">
                  <a:graphicData uri="http://schemas.microsoft.com/office/word/2010/wordprocessingShape">
                    <wps:wsp>
                      <wps:cNvPr id="1030" name="直線 202"/>
                      <wps:cNvSpPr/>
                      <wps:spPr>
                        <a:xfrm>
                          <a:off x="0" y="0"/>
                          <a:ext cx="1337310" cy="1905"/>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 202" style="mso-position-vertical-relative:text;mso-position-horizontal-relative:text;position:absolute;z-index:6;" o:spid="_x0000_s1030" o:allowincell="t" o:allowoverlap="t" filled="f" stroked="t" strokecolor="#000000 [3213]" strokeweight="0.75pt" o:spt="20" from="145.85pt,173.10000000000002pt" to="251.15pt,173.2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simplePos="0" relativeHeight="16" behindDoc="0" locked="0" layoutInCell="1" hidden="0" allowOverlap="1">
                <wp:simplePos x="0" y="0"/>
                <wp:positionH relativeFrom="column">
                  <wp:posOffset>1863090</wp:posOffset>
                </wp:positionH>
                <wp:positionV relativeFrom="paragraph">
                  <wp:posOffset>2203450</wp:posOffset>
                </wp:positionV>
                <wp:extent cx="751205" cy="8915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751205" cy="891540"/>
                        </a:xfrm>
                        <a:prstGeom prst="rect">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argin-top:173.5pt;mso-position-vertical-relative:text;mso-position-horizontal-relative:text;position:absolute;height:70.2pt;width:59.15pt;margin-left:146.69pt;z-index:16;" o:spid="_x0000_s1031" o:allowincell="t" o:allowoverlap="t" filled="t" fillcolor="#e7e6e6 [3214]"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15" behindDoc="0" locked="0" layoutInCell="1" hidden="0" allowOverlap="1">
                <wp:simplePos x="0" y="0"/>
                <wp:positionH relativeFrom="column">
                  <wp:posOffset>1863090</wp:posOffset>
                </wp:positionH>
                <wp:positionV relativeFrom="paragraph">
                  <wp:posOffset>1892300</wp:posOffset>
                </wp:positionV>
                <wp:extent cx="751205" cy="31305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751205" cy="313055"/>
                        </a:xfrm>
                        <a:prstGeom prst="rect">
                          <a:avLst/>
                        </a:prstGeom>
                        <a:solidFill>
                          <a:schemeClr val="bg2">
                            <a:lumMod val="50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argin-top:149pt;mso-position-vertical-relative:text;mso-position-horizontal-relative:text;position:absolute;height:24.65pt;width:59.15pt;margin-left:146.69pt;z-index:15;" o:spid="_x0000_s1032" o:allowincell="t" o:allowoverlap="t" filled="t" fillcolor="#767272 [1614]"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13" behindDoc="0" locked="0" layoutInCell="1" hidden="0" allowOverlap="1">
                <wp:simplePos x="0" y="0"/>
                <wp:positionH relativeFrom="column">
                  <wp:posOffset>2991485</wp:posOffset>
                </wp:positionH>
                <wp:positionV relativeFrom="paragraph">
                  <wp:posOffset>2007870</wp:posOffset>
                </wp:positionV>
                <wp:extent cx="238125" cy="23177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238125" cy="2317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①</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58.1pt;mso-position-vertical-relative:text;mso-position-horizontal-relative:text;position:absolute;height:18.25pt;width:18.75pt;margin-left:235.55pt;z-index:13;"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①</w:t>
                      </w:r>
                    </w:p>
                  </w:txbxContent>
                </v:textbox>
                <v:imagedata o:title=""/>
                <w10:wrap type="none" anchorx="text" anchory="text"/>
              </v:shape>
            </w:pict>
          </mc:Fallback>
        </mc:AlternateContent>
      </w:r>
      <w:r>
        <w:rPr>
          <w:rFonts w:hint="eastAsia"/>
        </w:rPr>
        <mc:AlternateContent>
          <mc:Choice Requires="wps">
            <w:drawing>
              <wp:anchor simplePos="0" relativeHeight="14" behindDoc="0" locked="0" layoutInCell="1" hidden="0" allowOverlap="1">
                <wp:simplePos x="0" y="0"/>
                <wp:positionH relativeFrom="column">
                  <wp:posOffset>2991485</wp:posOffset>
                </wp:positionH>
                <wp:positionV relativeFrom="paragraph">
                  <wp:posOffset>2205355</wp:posOffset>
                </wp:positionV>
                <wp:extent cx="0" cy="275590"/>
                <wp:effectExtent l="36195" t="635" r="65405" b="10160"/>
                <wp:wrapNone/>
                <wp:docPr id="1034" name="オブジェクト 0"/>
                <a:graphic xmlns:a="http://schemas.openxmlformats.org/drawingml/2006/main">
                  <a:graphicData uri="http://schemas.microsoft.com/office/word/2010/wordprocessingShape">
                    <wps:wsp>
                      <wps:cNvPr id="1034" name="オブジェクト 0"/>
                      <wps:cNvSpPr/>
                      <wps:spPr>
                        <a:xfrm>
                          <a:off x="0" y="0"/>
                          <a:ext cx="0" cy="275590"/>
                        </a:xfrm>
                        <a:prstGeom prst="line">
                          <a:avLst/>
                        </a:prstGeom>
                        <a:ln w="6350" cap="flat" cmpd="sng" algn="ctr">
                          <a:solidFill>
                            <a:schemeClr val="tx1"/>
                          </a:solidFill>
                          <a:prstDash val="solid"/>
                          <a:miter lim="8000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position-vertical-relative:text;mso-position-horizontal-relative:text;position:absolute;z-index:14;" o:spid="_x0000_s1034" o:allowincell="t" o:allowoverlap="t" filled="f" stroked="t" strokecolor="#000000 [3213]" strokeweight="0.5pt" o:spt="20" from="235.55pt,173.65pt" to="235.55pt,195.35000000000002pt">
                <v:fill/>
                <v:stroke linestyle="single" miterlimit="8" endcap="flat" dashstyle="solid" filltype="solid" startarrow="block" endarrow="block"/>
                <v:textbox style="layout-flow:horizontal;"/>
                <v:imagedata o:title=""/>
                <w10:wrap type="none" anchorx="text" anchory="text"/>
              </v:line>
            </w:pict>
          </mc:Fallback>
        </mc:AlternateContent>
      </w:r>
      <w:r>
        <w:rPr>
          <w:rFonts w:hint="eastAsia"/>
        </w:rPr>
        <mc:AlternateContent>
          <mc:Choice Requires="wps">
            <w:drawing>
              <wp:anchor simplePos="0" relativeHeight="7" behindDoc="0" locked="0" layoutInCell="1" hidden="0" allowOverlap="1">
                <wp:simplePos x="0" y="0"/>
                <wp:positionH relativeFrom="column">
                  <wp:posOffset>3371850</wp:posOffset>
                </wp:positionH>
                <wp:positionV relativeFrom="paragraph">
                  <wp:posOffset>2222500</wp:posOffset>
                </wp:positionV>
                <wp:extent cx="1553845" cy="297815"/>
                <wp:effectExtent l="33210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553845" cy="297815"/>
                        </a:xfrm>
                        <a:prstGeom prst="wedgeRectCallout">
                          <a:avLst>
                            <a:gd name="adj1" fmla="val -71180"/>
                            <a:gd name="adj2" fmla="val -4814"/>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color w:val="000000"/>
                                <w:sz w:val="16"/>
                              </w:rPr>
                              <w:t>支援金単価＝（①ー②）×</w:t>
                            </w:r>
                            <w:r>
                              <w:rPr>
                                <w:rFonts w:hint="eastAsia"/>
                                <w:color w:val="000000"/>
                                <w:sz w:val="16"/>
                              </w:rPr>
                              <w:t>1/2</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175pt;mso-position-vertical-relative:text;mso-position-horizontal-relative:text;v-text-anchor:middle;position:absolute;height:23.45pt;width:122.35pt;margin-left:265.5pt;z-index:7;" o:spid="_x0000_s1035" o:allowincell="t" o:allowoverlap="t" filled="f" stroked="t" strokecolor="#000000 [3213]" strokeweight="1pt" o:spt="61" type="#_x0000_t61" adj="-4575,9760">
                <v:fill/>
                <v:stroke linestyle="single" miterlimit="8" endcap="flat" dashstyle="solid" filltype="solid"/>
                <v:textbox style="layout-flow:horizontal;">
                  <w:txbxContent>
                    <w:p>
                      <w:pPr>
                        <w:pStyle w:val="0"/>
                        <w:rPr>
                          <w:rFonts w:hint="eastAsia"/>
                        </w:rPr>
                      </w:pPr>
                      <w:r>
                        <w:rPr>
                          <w:rFonts w:hint="eastAsia"/>
                          <w:color w:val="000000"/>
                          <w:sz w:val="16"/>
                        </w:rPr>
                        <w:t>支援金単価＝（①ー②）×</w:t>
                      </w:r>
                      <w:r>
                        <w:rPr>
                          <w:rFonts w:hint="eastAsia"/>
                          <w:color w:val="000000"/>
                          <w:sz w:val="16"/>
                        </w:rPr>
                        <w:t>1/2</w:t>
                      </w:r>
                    </w:p>
                  </w:txbxContent>
                </v:textbox>
                <v:imagedata o:title=""/>
                <w10:wrap type="none" anchorx="text" anchory="text"/>
              </v:shape>
            </w:pict>
          </mc:Fallback>
        </mc:AlternateContent>
      </w:r>
      <w:r>
        <w:rPr>
          <w:rFonts w:hint="eastAsia"/>
        </w:rPr>
        <mc:AlternateContent>
          <mc:Choice Requires="wps">
            <w:drawing>
              <wp:anchor simplePos="0" relativeHeight="19" behindDoc="0" locked="0" layoutInCell="1" hidden="0" allowOverlap="1">
                <wp:simplePos x="0" y="0"/>
                <wp:positionH relativeFrom="column">
                  <wp:posOffset>246380</wp:posOffset>
                </wp:positionH>
                <wp:positionV relativeFrom="paragraph">
                  <wp:posOffset>2482215</wp:posOffset>
                </wp:positionV>
                <wp:extent cx="751205" cy="61404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751205" cy="614045"/>
                        </a:xfrm>
                        <a:prstGeom prst="rect">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argin-top:195.45pt;mso-position-vertical-relative:text;mso-position-horizontal-relative:text;position:absolute;height:48.35pt;width:59.15pt;margin-left:19.39pt;z-index:19;" o:spid="_x0000_s1036" o:allowincell="t" o:allowoverlap="t" filled="t" fillcolor="#e7e6e6 [3214]"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20" behindDoc="0" locked="0" layoutInCell="1" hidden="0" allowOverlap="1">
                <wp:simplePos x="0" y="0"/>
                <wp:positionH relativeFrom="column">
                  <wp:posOffset>248285</wp:posOffset>
                </wp:positionH>
                <wp:positionV relativeFrom="paragraph">
                  <wp:posOffset>2482215</wp:posOffset>
                </wp:positionV>
                <wp:extent cx="2941320" cy="1905"/>
                <wp:effectExtent l="635" t="635" r="29210" b="10795"/>
                <wp:wrapNone/>
                <wp:docPr id="1037" name="直線 202"/>
                <a:graphic xmlns:a="http://schemas.openxmlformats.org/drawingml/2006/main">
                  <a:graphicData uri="http://schemas.microsoft.com/office/word/2010/wordprocessingShape">
                    <wps:wsp>
                      <wps:cNvPr id="1037" name="直線 202"/>
                      <wps:cNvSpPr/>
                      <wps:spPr>
                        <a:xfrm>
                          <a:off x="0" y="0"/>
                          <a:ext cx="2941320" cy="1905"/>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 202" style="mso-position-vertical-relative:text;mso-position-horizontal-relative:text;position:absolute;z-index:20;" o:spid="_x0000_s1037" o:allowincell="t" o:allowoverlap="t" filled="f" stroked="t" strokecolor="#000000 [3213]" strokeweight="0.75pt" o:spt="20" from="19.55pt,195.45pt" to="251.15pt,195.60000000000002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simplePos="0" relativeHeight="21" behindDoc="0" locked="0" layoutInCell="1" hidden="0" allowOverlap="1">
                <wp:simplePos x="0" y="0"/>
                <wp:positionH relativeFrom="column">
                  <wp:posOffset>339090</wp:posOffset>
                </wp:positionH>
                <wp:positionV relativeFrom="paragraph">
                  <wp:posOffset>2872740</wp:posOffset>
                </wp:positionV>
                <wp:extent cx="591185" cy="20828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591185" cy="20828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R</w:t>
                            </w:r>
                            <w:r>
                              <w:rPr>
                                <w:rFonts w:hint="eastAsia"/>
                                <w:sz w:val="18"/>
                              </w:rPr>
                              <w:t>３平均</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226.2pt;mso-position-vertical-relative:text;mso-position-horizontal-relative:text;position:absolute;height:16.39pt;width:46.55pt;margin-left:26.7pt;z-index:21;" o:spid="_x0000_s103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R</w:t>
                      </w:r>
                      <w:r>
                        <w:rPr>
                          <w:rFonts w:hint="eastAsia"/>
                          <w:sz w:val="18"/>
                        </w:rPr>
                        <w:t>３平均</w:t>
                      </w:r>
                    </w:p>
                  </w:txbxContent>
                </v:textbox>
                <v:imagedata o:title=""/>
                <w10:wrap type="none" anchorx="text" anchory="text"/>
              </v:shape>
            </w:pict>
          </mc:Fallback>
        </mc:AlternateContent>
      </w:r>
      <w:r>
        <w:rPr>
          <w:rFonts w:hint="eastAsia"/>
        </w:rPr>
        <mc:AlternateContent>
          <mc:Choice Requires="wps">
            <w:drawing>
              <wp:anchor simplePos="0" relativeHeight="12" behindDoc="0" locked="0" layoutInCell="1" hidden="0" allowOverlap="1">
                <wp:simplePos x="0" y="0"/>
                <wp:positionH relativeFrom="column">
                  <wp:posOffset>3000375</wp:posOffset>
                </wp:positionH>
                <wp:positionV relativeFrom="paragraph">
                  <wp:posOffset>2428875</wp:posOffset>
                </wp:positionV>
                <wp:extent cx="238125" cy="23177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238125" cy="2317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91.25pt;mso-position-vertical-relative:text;mso-position-horizontal-relative:text;position:absolute;height:18.25pt;width:18.75pt;margin-left:236.25pt;z-index:12;" o:spid="_x0000_s103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②</w:t>
                      </w:r>
                    </w:p>
                  </w:txbxContent>
                </v:textbox>
                <v:imagedata o:title=""/>
                <w10:wrap type="none" anchorx="text" anchory="text"/>
              </v:shape>
            </w:pict>
          </mc:Fallback>
        </mc:AlternateContent>
      </w:r>
      <w:r>
        <w:rPr>
          <w:rFonts w:hint="eastAsia"/>
        </w:rPr>
        <mc:AlternateContent>
          <mc:Choice Requires="wps">
            <w:drawing>
              <wp:anchor simplePos="0" relativeHeight="11" behindDoc="0" locked="0" layoutInCell="1" hidden="0" allowOverlap="1">
                <wp:simplePos x="0" y="0"/>
                <wp:positionH relativeFrom="column">
                  <wp:posOffset>3371850</wp:posOffset>
                </wp:positionH>
                <wp:positionV relativeFrom="paragraph">
                  <wp:posOffset>2957830</wp:posOffset>
                </wp:positionV>
                <wp:extent cx="133350" cy="13335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133350" cy="133350"/>
                        </a:xfrm>
                        <a:prstGeom prst="rect">
                          <a:avLst/>
                        </a:prstGeom>
                        <a:solidFill>
                          <a:schemeClr val="bg2"/>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argin-top:232.9pt;mso-position-vertical-relative:text;mso-position-horizontal-relative:text;position:absolute;height:10.5pt;width:10.5pt;margin-left:265.5pt;z-index:11;" o:spid="_x0000_s1040" o:allowincell="t" o:allowoverlap="t" filled="t" fillcolor="#e7e6e6 [3214]"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10" behindDoc="0" locked="0" layoutInCell="1" hidden="0" allowOverlap="1">
                <wp:simplePos x="0" y="0"/>
                <wp:positionH relativeFrom="column">
                  <wp:posOffset>3371850</wp:posOffset>
                </wp:positionH>
                <wp:positionV relativeFrom="paragraph">
                  <wp:posOffset>2778125</wp:posOffset>
                </wp:positionV>
                <wp:extent cx="133350" cy="13335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133350" cy="133350"/>
                        </a:xfrm>
                        <a:prstGeom prst="rect">
                          <a:avLst/>
                        </a:prstGeom>
                        <a:solidFill>
                          <a:schemeClr val="bg2">
                            <a:lumMod val="50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argin-top:218.75pt;mso-position-vertical-relative:text;mso-position-horizontal-relative:text;position:absolute;height:10.5pt;width:10.5pt;margin-left:265.5pt;z-index:10;" o:spid="_x0000_s1041" o:allowincell="t" o:allowoverlap="t" filled="t" fillcolor="#767272 [1614]"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9" behindDoc="0" locked="0" layoutInCell="1" hidden="0" allowOverlap="1">
                <wp:simplePos x="0" y="0"/>
                <wp:positionH relativeFrom="column">
                  <wp:posOffset>3533140</wp:posOffset>
                </wp:positionH>
                <wp:positionV relativeFrom="paragraph">
                  <wp:posOffset>2898775</wp:posOffset>
                </wp:positionV>
                <wp:extent cx="1797050" cy="238125"/>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1797050"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平均輸入原料価格（補填金を除く）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228.25pt;mso-position-vertical-relative:text;mso-position-horizontal-relative:text;position:absolute;height:18.75pt;width:141.5pt;margin-left:278.2pt;z-index:9;" o:spid="_x0000_s104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平均輸入原料価格（補填金を除く）</w:t>
                      </w:r>
                    </w:p>
                  </w:txbxContent>
                </v:textbox>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3538855</wp:posOffset>
                </wp:positionH>
                <wp:positionV relativeFrom="paragraph">
                  <wp:posOffset>2719705</wp:posOffset>
                </wp:positionV>
                <wp:extent cx="708025" cy="238125"/>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708025" cy="2381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国の補填金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214.15pt;mso-position-vertical-relative:text;mso-position-horizontal-relative:text;position:absolute;height:18.75pt;width:55.75pt;margin-left:278.64pt;z-index:8;" o:spid="_x0000_s104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6"/>
                        </w:rPr>
                        <w:t>国の補填金</w:t>
                      </w:r>
                    </w:p>
                  </w:txbxContent>
                </v:textbox>
                <v:imagedata o:title=""/>
                <w10:wrap type="none" anchorx="text" anchory="text"/>
              </v:shape>
            </w:pict>
          </mc:Fallback>
        </mc:AlternateContent>
      </w:r>
      <w:r>
        <w:rPr>
          <w:rFonts w:hint="eastAsia"/>
        </w:rPr>
        <mc:AlternateContent>
          <mc:Choice Requires="wps">
            <w:drawing>
              <wp:anchor simplePos="0" relativeHeight="17" behindDoc="0" locked="0" layoutInCell="1" hidden="0" allowOverlap="1">
                <wp:simplePos x="0" y="0"/>
                <wp:positionH relativeFrom="column">
                  <wp:posOffset>1855470</wp:posOffset>
                </wp:positionH>
                <wp:positionV relativeFrom="paragraph">
                  <wp:posOffset>2873375</wp:posOffset>
                </wp:positionV>
                <wp:extent cx="805815" cy="207645"/>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805815" cy="2076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spacing w:line="240" w:lineRule="auto"/>
                              <w:rPr>
                                <w:rFonts w:hint="eastAsia"/>
                              </w:rPr>
                            </w:pPr>
                            <w:r>
                              <w:rPr>
                                <w:rFonts w:hint="eastAsia"/>
                                <w:sz w:val="16"/>
                              </w:rPr>
                              <w:t>支援対象期間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226.25pt;mso-position-vertical-relative:text;mso-position-horizontal-relative:text;position:absolute;height:16.350000000000001pt;width:63.45pt;margin-left:146.1pt;z-index:17;" o:spid="_x0000_s1044"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spacing w:line="240" w:lineRule="auto"/>
                        <w:rPr>
                          <w:rFonts w:hint="eastAsia"/>
                        </w:rPr>
                      </w:pPr>
                      <w:r>
                        <w:rPr>
                          <w:rFonts w:hint="eastAsia"/>
                          <w:sz w:val="16"/>
                        </w:rPr>
                        <w:t>支援対象期間</w:t>
                      </w:r>
                    </w:p>
                  </w:txbxContent>
                </v:textbox>
                <v:imagedata o:title=""/>
                <w10:wrap type="none" anchorx="text" anchory="text"/>
              </v:shape>
            </w:pict>
          </mc:Fallback>
        </mc:AlternateContent>
      </w:r>
      <w:r>
        <w:rPr>
          <w:rFonts w:hint="eastAsia" w:ascii="ＭＳ 明朝" w:hAnsi="ＭＳ 明朝" w:eastAsia="ＭＳ 明朝"/>
          <w:bdr w:val="none" w:color="auto" w:sz="0" w:space="0"/>
        </w:rPr>
        <w:t>別表</w:t>
      </w:r>
      <w:r>
        <w:rPr>
          <w:rFonts w:hint="eastAsia"/>
          <w:bdr w:val="none" w:color="auto" w:sz="0" w:space="0"/>
        </w:rPr>
        <mc:AlternateContent>
          <mc:Choice Requires="wps">
            <w:drawing>
              <wp:anchor distT="0" distB="0" distL="203200" distR="203200" simplePos="0" relativeHeight="3" behindDoc="0" locked="0" layoutInCell="1" hidden="0" allowOverlap="1">
                <wp:simplePos x="0" y="0"/>
                <wp:positionH relativeFrom="column">
                  <wp:posOffset>4359910</wp:posOffset>
                </wp:positionH>
                <wp:positionV relativeFrom="paragraph">
                  <wp:posOffset>2310130</wp:posOffset>
                </wp:positionV>
                <wp:extent cx="172720" cy="17272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172720" cy="1727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1.9pt;mso-position-vertical-relative:text;mso-position-horizontal-relative:text;position:absolute;height:13.6pt;mso-wrap-distance-top:0pt;width:13.6pt;mso-wrap-distance-left:16pt;margin-left:343.3pt;z-index:3;" o:spid="_x0000_s1045"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p>
                  </w:txbxContent>
                </v:textbox>
                <v:imagedata o:title=""/>
                <w10:wrap type="none" anchorx="text" anchory="text"/>
              </v:shape>
            </w:pict>
          </mc:Fallback>
        </mc:AlternateContent>
      </w:r>
      <w:r>
        <w:rPr>
          <w:rFonts w:hint="eastAsia" w:ascii="ＭＳ 明朝" w:hAnsi="ＭＳ 明朝" w:eastAsia="ＭＳ 明朝"/>
          <w:bdr w:val="none" w:color="auto" w:sz="0" w:space="0"/>
        </w:rPr>
        <w:t>３（</w:t>
      </w:r>
      <w:r>
        <w:rPr>
          <w:rFonts w:hint="eastAsia" w:ascii="ＭＳ 明朝" w:hAnsi="ＭＳ 明朝" w:eastAsia="ＭＳ 明朝"/>
          <w:color w:val="000000"/>
        </w:rPr>
        <w:t>支援金単価の計算式）</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719</TotalTime>
  <Pages>4</Pages>
  <Words>15</Words>
  <Characters>1976</Characters>
  <Application>JUST Note</Application>
  <Lines>99</Lines>
  <Paragraphs>56</Paragraphs>
  <CharactersWithSpaces>2002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509240</dc:creator>
  <cp:lastModifiedBy>503293</cp:lastModifiedBy>
  <cp:lastPrinted>2023-04-17T04:12:21Z</cp:lastPrinted>
  <dcterms:created xsi:type="dcterms:W3CDTF">2022-11-18T07:12:00Z</dcterms:created>
  <dcterms:modified xsi:type="dcterms:W3CDTF">2023-06-22T05:41:12Z</dcterms:modified>
  <cp:revision>23</cp:revision>
</cp:coreProperties>
</file>