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ind w:right="1171" w:rightChars="650"/>
        <w:jc w:val="center"/>
        <w:outlineLvl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高知県木材加工流通施設整備事業費補助金</w:t>
      </w:r>
      <w:r>
        <w:rPr>
          <w:rFonts w:hint="eastAsia" w:ascii="ＭＳ 明朝" w:hAnsi="ＭＳ 明朝"/>
          <w:kern w:val="0"/>
          <w:sz w:val="24"/>
        </w:rPr>
        <w:t>交付要綱（</w:t>
      </w:r>
      <w:r>
        <w:rPr>
          <w:rFonts w:hint="eastAsia" w:ascii="ＭＳ 明朝" w:hAnsi="ＭＳ 明朝"/>
          <w:sz w:val="24"/>
        </w:rPr>
        <w:t>新旧対照表）</w:t>
      </w:r>
    </w:p>
    <w:tbl>
      <w:tblPr>
        <w:tblStyle w:val="11"/>
        <w:tblW w:w="151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571"/>
        <w:gridCol w:w="7570"/>
      </w:tblGrid>
      <w:tr>
        <w:trPr/>
        <w:tc>
          <w:tcPr>
            <w:tcW w:w="10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</w:t>
            </w:r>
          </w:p>
        </w:tc>
        <w:tc>
          <w:tcPr>
            <w:tcW w:w="10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旧</w:t>
            </w:r>
          </w:p>
        </w:tc>
      </w:tr>
      <w:tr>
        <w:trPr>
          <w:trHeight w:val="8872" w:hRule="atLeast"/>
        </w:trPr>
        <w:tc>
          <w:tcPr>
            <w:tcW w:w="10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ind w:firstLine="761" w:firstLineChars="400"/>
              <w:jc w:val="center"/>
              <w:outlineLvl w:val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高知県木材加工流通施設整備事業費補助金交付要綱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第１条　（略）</w:t>
            </w:r>
          </w:p>
          <w:p>
            <w:pPr>
              <w:pStyle w:val="0"/>
              <w:ind w:left="0" w:leftChars="0" w:hanging="190" w:hangingChars="100"/>
              <w:rPr>
                <w:rFonts w:hint="eastAsia"/>
                <w:color w:val="auto"/>
                <w:sz w:val="21"/>
                <w:u w:val="none" w:color="auto"/>
              </w:rPr>
            </w:pPr>
            <w:r>
              <w:rPr>
                <w:rFonts w:hint="eastAsia"/>
                <w:color w:val="auto"/>
                <w:sz w:val="21"/>
                <w:u w:val="none" w:color="auto"/>
              </w:rPr>
              <w:t>第２条　県は、間伐材等の森林資源を活用した林業、木材産業等の地域産業の再生を図るため、</w:t>
            </w:r>
            <w:r>
              <w:rPr>
                <w:rFonts w:hint="eastAsia"/>
                <w:color w:val="FF0000"/>
                <w:u w:val="single" w:color="auto"/>
              </w:rPr>
              <w:t>合板・製材・集成材国際競争力強化・花粉削減総合対策交付金交付等要綱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（平成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28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年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1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月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20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日付け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27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林整計第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232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号農林水産事務次官依命通知）、</w:t>
            </w:r>
            <w:r>
              <w:rPr>
                <w:rFonts w:hint="eastAsia"/>
                <w:color w:val="FF0000"/>
                <w:u w:val="single" w:color="auto"/>
              </w:rPr>
              <w:t>合板・製材・集成材国際競争力強化・花粉削減総合対策実施要領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（平成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28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年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1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月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20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日付け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27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林整計第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237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号林野庁長官通知）、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合板・製材・集成材国際競争力強化・花粉削減総合対策実施要領の運用について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（平成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28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年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1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月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20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日付け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27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林整計第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238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号林野庁長官通知）、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（削る。）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森林・林業・木材産業グリーン成長総合対策補助金等交付等要綱（平成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30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年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3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月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30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日付け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29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林政政第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893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号農林水産事務次官依命通知）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及び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林業・木材産業循環成長対策交付金実施要領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（令和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5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年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3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月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30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日付け４林政経第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899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号林野庁長官通知）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に基づき、別表第１に掲げる事業主体が事業を行うために要する経費について、同表に掲げる補助事業者（以下「補助事業者」という。）に対して予算の範囲内で補助するものとする。ただし、補助事業者が別表第２に掲げるいずれかに該当すると認めるときを除く。</w:t>
            </w:r>
          </w:p>
          <w:p>
            <w:pPr>
              <w:pStyle w:val="0"/>
              <w:ind w:left="0" w:leftChars="0" w:hanging="190" w:hangingChars="100"/>
              <w:rPr>
                <w:rFonts w:hint="eastAsia"/>
                <w:color w:val="auto"/>
                <w:sz w:val="21"/>
                <w:u w:val="none" w:color="auto"/>
              </w:rPr>
            </w:pPr>
          </w:p>
          <w:p>
            <w:pPr>
              <w:pStyle w:val="0"/>
              <w:ind w:left="0" w:leftChars="0" w:hanging="190" w:hangingChars="100"/>
              <w:rPr>
                <w:rFonts w:hint="eastAsia"/>
                <w:color w:val="auto"/>
                <w:sz w:val="21"/>
                <w:u w:val="none" w:color="auto"/>
              </w:rPr>
            </w:pPr>
          </w:p>
          <w:p>
            <w:pPr>
              <w:pStyle w:val="0"/>
              <w:ind w:left="0" w:leftChars="0" w:hanging="190" w:hangingChars="100"/>
              <w:rPr>
                <w:rFonts w:hint="eastAsia"/>
                <w:color w:val="auto"/>
                <w:sz w:val="21"/>
                <w:u w:val="none" w:color="auto"/>
              </w:rPr>
            </w:pPr>
          </w:p>
          <w:p>
            <w:pPr>
              <w:pStyle w:val="0"/>
              <w:ind w:left="0" w:leftChars="0" w:hanging="190" w:hangingChars="100"/>
              <w:rPr>
                <w:rFonts w:hint="eastAsia"/>
                <w:color w:val="auto"/>
                <w:sz w:val="21"/>
                <w:u w:val="none" w:color="auto"/>
              </w:rPr>
            </w:pPr>
          </w:p>
          <w:p>
            <w:pPr>
              <w:pStyle w:val="0"/>
              <w:ind w:left="0" w:leftChars="0" w:hanging="190" w:hangingChars="100"/>
              <w:rPr>
                <w:rFonts w:hint="eastAsia"/>
                <w:color w:val="auto"/>
                <w:sz w:val="21"/>
                <w:u w:val="none" w:color="auto"/>
              </w:rPr>
            </w:pP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第３条～第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４条</w:t>
            </w:r>
            <w:r>
              <w:rPr>
                <w:rFonts w:hint="eastAsia"/>
                <w:color w:val="auto"/>
                <w:sz w:val="21"/>
              </w:rPr>
              <w:t>　（略）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第５条　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（１）～（</w:t>
            </w:r>
            <w:r>
              <w:rPr>
                <w:rFonts w:hint="eastAsia"/>
                <w:color w:val="auto"/>
                <w:sz w:val="21"/>
              </w:rPr>
              <w:t>19</w:t>
            </w:r>
            <w:r>
              <w:rPr>
                <w:rFonts w:hint="eastAsia"/>
                <w:color w:val="auto"/>
                <w:sz w:val="21"/>
              </w:rPr>
              <w:t>）（略）</w:t>
            </w:r>
          </w:p>
          <w:p>
            <w:pPr>
              <w:pStyle w:val="0"/>
              <w:tabs>
                <w:tab w:val="left" w:leader="none" w:pos="5932"/>
              </w:tabs>
              <w:ind w:left="420" w:hanging="420" w:hangingChars="200"/>
              <w:rPr>
                <w:rFonts w:hint="default"/>
                <w:color w:val="FF0000"/>
                <w:sz w:val="20"/>
                <w:u w:val="none" w:color="auto"/>
              </w:rPr>
            </w:pPr>
            <w:r>
              <w:rPr>
                <w:rFonts w:hint="eastAsia"/>
                <w:color w:val="FF0000"/>
                <w:sz w:val="21"/>
                <w:u w:val="single" w:color="auto"/>
              </w:rPr>
              <w:t>（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20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）事業主体は、林業・木材産業循環成長対策交付金実施要領別記様式第１号－２に規定する「「みどりチェック」チェックシート（その他民間事業者・自治体等向け）」（以下「チェックシート」という。）を記入の上、補助金の申請及び事業完了の報告にあたり、所長へ提出すること。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FF0000"/>
                <w:sz w:val="21"/>
                <w:u w:val="single" w:color="auto"/>
              </w:rPr>
              <w:t>（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21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）所長は、事業完了の報告に当たり提出を受けたチェックシートの内容について、その履行状況を確認すること。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第６条～第</w:t>
            </w:r>
            <w:r>
              <w:rPr>
                <w:rFonts w:hint="eastAsia"/>
                <w:color w:val="auto"/>
                <w:sz w:val="21"/>
              </w:rPr>
              <w:t>13</w:t>
            </w:r>
            <w:r>
              <w:rPr>
                <w:rFonts w:hint="eastAsia"/>
                <w:color w:val="auto"/>
                <w:sz w:val="21"/>
              </w:rPr>
              <w:t>条　（略）</w:t>
            </w:r>
          </w:p>
          <w:p>
            <w:pPr>
              <w:pStyle w:val="0"/>
              <w:ind w:left="180" w:leftChars="100" w:firstLine="0" w:firstLineChars="0"/>
              <w:rPr>
                <w:rFonts w:hint="eastAsia"/>
                <w:color w:val="FF0000"/>
                <w:sz w:val="21"/>
                <w:u w:val="single" w:color="auto"/>
              </w:rPr>
            </w:pPr>
            <w:r>
              <w:rPr>
                <w:rFonts w:hint="eastAsia"/>
                <w:color w:val="FF0000"/>
                <w:sz w:val="21"/>
                <w:u w:val="single" w:color="auto"/>
              </w:rPr>
              <w:t>（県内発注）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FF0000"/>
                <w:sz w:val="21"/>
                <w:u w:val="single" w:color="auto"/>
              </w:rPr>
              <w:t>第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14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条　補助事業者は、補助事業の実施において県が定める「公共調達による地消地産推進戦略」に沿った県内発注に努めるものとする。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第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15</w:t>
            </w:r>
            <w:r>
              <w:rPr>
                <w:rFonts w:hint="eastAsia"/>
                <w:color w:val="auto"/>
                <w:sz w:val="21"/>
              </w:rPr>
              <w:t>条　（略）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（附　則）</w:t>
            </w:r>
          </w:p>
          <w:p>
            <w:pPr>
              <w:pStyle w:val="15"/>
              <w:ind w:left="190" w:hanging="190"/>
              <w:rPr>
                <w:rFonts w:hint="eastAsia" w:ascii="Century" w:hAnsi="Century"/>
                <w:color w:val="auto"/>
                <w:sz w:val="21"/>
              </w:rPr>
            </w:pPr>
            <w:r>
              <w:rPr>
                <w:rFonts w:hint="eastAsia" w:ascii="Century" w:hAnsi="Century"/>
                <w:color w:val="auto"/>
                <w:sz w:val="21"/>
              </w:rPr>
              <w:t>１　（略）</w:t>
            </w:r>
          </w:p>
          <w:p>
            <w:pPr>
              <w:pStyle w:val="0"/>
              <w:ind w:left="95" w:hanging="95" w:hangingChars="50"/>
              <w:rPr>
                <w:rFonts w:hint="default" w:ascii="ＭＳ 明朝" w:hAnsi="ＭＳ 明朝"/>
                <w:color w:val="auto"/>
                <w:u w:val="single" w:color="auto"/>
              </w:rPr>
            </w:pPr>
            <w:r>
              <w:rPr>
                <w:rFonts w:hint="eastAsia"/>
                <w:color w:val="auto"/>
                <w:sz w:val="21"/>
              </w:rPr>
              <w:t>２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</w:rPr>
              <w:t>この要綱は、令和</w:t>
            </w:r>
            <w:r>
              <w:rPr>
                <w:rFonts w:hint="eastAsia"/>
                <w:color w:val="FF0000"/>
                <w:u w:val="single" w:color="auto"/>
              </w:rPr>
              <w:t>９</w:t>
            </w:r>
            <w:r>
              <w:rPr>
                <w:rFonts w:hint="eastAsia" w:ascii="ＭＳ 明朝" w:hAnsi="ＭＳ 明朝" w:eastAsia="ＭＳ 明朝"/>
                <w:color w:val="auto"/>
              </w:rPr>
              <w:t>年５月３１</w:t>
            </w:r>
            <w:r>
              <w:rPr>
                <w:rFonts w:hint="eastAsia"/>
                <w:color w:val="auto"/>
              </w:rPr>
              <w:t>日限りその効力を失う。ただし、この要綱に基づき交付された補助金については、第５条、第９条</w:t>
            </w:r>
            <w:r>
              <w:rPr>
                <w:rFonts w:hint="eastAsia"/>
                <w:color w:val="000000" w:themeColor="text1"/>
                <w:u w:val="none" w:color="auto"/>
              </w:rPr>
              <w:t>第３項及び第４項並びに第</w:t>
            </w:r>
            <w:r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  <w:t>１３</w:t>
            </w:r>
            <w:r>
              <w:rPr>
                <w:rFonts w:hint="eastAsia"/>
                <w:color w:val="000000" w:themeColor="text1"/>
                <w:u w:val="none" w:color="auto"/>
              </w:rPr>
              <w:t>条</w:t>
            </w:r>
            <w:r>
              <w:rPr>
                <w:rFonts w:hint="eastAsia"/>
                <w:color w:val="auto"/>
              </w:rPr>
              <w:t>の規定は、同日以降もなおその効力を有する。</w:t>
            </w:r>
          </w:p>
          <w:p>
            <w:pPr>
              <w:pStyle w:val="15"/>
              <w:ind w:left="180" w:leftChars="100" w:firstLine="0" w:firstLineChars="0"/>
              <w:rPr>
                <w:rFonts w:hint="eastAsia"/>
                <w:color w:val="auto"/>
                <w:sz w:val="21"/>
                <w:u w:val="none" w:color="auto"/>
              </w:rPr>
            </w:pPr>
            <w:r>
              <w:rPr>
                <w:rFonts w:hint="eastAsia"/>
                <w:color w:val="auto"/>
                <w:sz w:val="21"/>
                <w:u w:val="none" w:color="auto"/>
              </w:rPr>
              <w:t>（略）</w:t>
            </w:r>
          </w:p>
          <w:p>
            <w:pPr>
              <w:pStyle w:val="15"/>
              <w:ind w:left="180" w:leftChars="100" w:firstLine="0" w:firstLineChars="0"/>
              <w:rPr>
                <w:rFonts w:hint="eastAsia"/>
                <w:color w:val="FF0000"/>
                <w:sz w:val="21"/>
                <w:u w:val="single" w:color="auto"/>
              </w:rPr>
            </w:pPr>
            <w:r>
              <w:rPr>
                <w:rFonts w:hint="eastAsia"/>
                <w:color w:val="FF0000"/>
                <w:sz w:val="21"/>
                <w:u w:val="single" w:color="auto"/>
              </w:rPr>
              <w:t>附　則</w:t>
            </w:r>
          </w:p>
          <w:p>
            <w:pPr>
              <w:pStyle w:val="15"/>
              <w:ind w:left="180" w:leftChars="100" w:firstLine="190" w:firstLineChars="100"/>
              <w:rPr>
                <w:rFonts w:hint="default" w:ascii="ＭＳ 明朝" w:hAnsi="ＭＳ 明朝"/>
                <w:color w:val="auto"/>
                <w:u w:val="single" w:color="auto"/>
              </w:rPr>
            </w:pPr>
            <w:r>
              <w:rPr>
                <w:rFonts w:hint="eastAsia"/>
                <w:color w:val="FF0000"/>
                <w:sz w:val="21"/>
                <w:u w:val="single" w:color="auto"/>
              </w:rPr>
              <w:t>この要綱は、令和８年５月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27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日から施行し、令和８年度事業から適用する。</w:t>
            </w:r>
          </w:p>
          <w:p>
            <w:pPr>
              <w:pStyle w:val="15"/>
              <w:ind w:left="190" w:hanging="190"/>
              <w:rPr>
                <w:rFonts w:hint="default" w:ascii="ＭＳ 明朝" w:hAnsi="ＭＳ 明朝"/>
                <w:color w:val="auto"/>
                <w:u w:val="none" w:color="auto"/>
              </w:rPr>
            </w:pPr>
          </w:p>
          <w:p>
            <w:pPr>
              <w:pStyle w:val="15"/>
              <w:ind w:left="190" w:hanging="190"/>
              <w:rPr>
                <w:rFonts w:hint="default" w:ascii="ＭＳ 明朝" w:hAnsi="ＭＳ 明朝"/>
                <w:color w:val="auto"/>
                <w:u w:val="single" w:color="auto"/>
              </w:rPr>
            </w:pPr>
          </w:p>
        </w:tc>
        <w:tc>
          <w:tcPr>
            <w:tcW w:w="10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ind w:firstLine="761" w:firstLineChars="400"/>
              <w:jc w:val="center"/>
              <w:outlineLvl w:val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高知県木材加工流通施設整備事業費補助金交付要綱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第１条　（略）</w:t>
            </w:r>
          </w:p>
          <w:p>
            <w:pPr>
              <w:pStyle w:val="0"/>
              <w:ind w:left="0" w:leftChars="0" w:hanging="190" w:hangingChars="100"/>
              <w:rPr>
                <w:rFonts w:hint="eastAsia"/>
                <w:color w:val="auto"/>
                <w:sz w:val="21"/>
                <w:u w:val="none" w:color="auto"/>
              </w:rPr>
            </w:pPr>
            <w:r>
              <w:rPr>
                <w:rFonts w:hint="eastAsia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sz w:val="21"/>
              </w:rPr>
              <w:t>２</w:t>
            </w:r>
            <w:r>
              <w:rPr>
                <w:rFonts w:hint="eastAsia"/>
                <w:sz w:val="21"/>
              </w:rPr>
              <w:t>条　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県は、間伐材等の森林資源を活用した林業、木材産業等の地域産業の再生を図るため、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合板・製材・集成材国際競争力強化・輸出促進対策交付金等交付要綱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（平成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28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年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1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月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20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日付け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27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林整計第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232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号農林水産事務次官依命通知）、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国際競争力・木材供給基盤強化対策等実施要領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（平成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28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年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1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月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20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日付け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27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林整計第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237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号林野庁長官通知）、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国際競争力・木材供給基盤強化対策等実施要領の運用について</w:t>
            </w:r>
            <w:r>
              <w:rPr>
                <w:rFonts w:hint="eastAsia"/>
                <w:color w:val="000000" w:themeColor="text1"/>
                <w:sz w:val="21"/>
                <w:u w:val="none" w:color="auto"/>
              </w:rPr>
              <w:t>（平成</w:t>
            </w:r>
            <w:r>
              <w:rPr>
                <w:rFonts w:hint="eastAsia"/>
                <w:color w:val="000000" w:themeColor="text1"/>
                <w:sz w:val="21"/>
                <w:u w:val="none" w:color="auto"/>
              </w:rPr>
              <w:t>28</w:t>
            </w:r>
            <w:r>
              <w:rPr>
                <w:rFonts w:hint="eastAsia"/>
                <w:color w:val="000000" w:themeColor="text1"/>
                <w:sz w:val="21"/>
                <w:u w:val="none" w:color="auto"/>
              </w:rPr>
              <w:t>年</w:t>
            </w:r>
            <w:r>
              <w:rPr>
                <w:rFonts w:hint="eastAsia"/>
                <w:color w:val="000000" w:themeColor="text1"/>
                <w:sz w:val="21"/>
                <w:u w:val="none" w:color="auto"/>
              </w:rPr>
              <w:t>1</w:t>
            </w:r>
            <w:r>
              <w:rPr>
                <w:rFonts w:hint="eastAsia"/>
                <w:color w:val="000000" w:themeColor="text1"/>
                <w:sz w:val="21"/>
                <w:u w:val="none" w:color="auto"/>
              </w:rPr>
              <w:t>月</w:t>
            </w:r>
            <w:r>
              <w:rPr>
                <w:rFonts w:hint="eastAsia"/>
                <w:color w:val="000000" w:themeColor="text1"/>
                <w:sz w:val="21"/>
                <w:u w:val="none" w:color="auto"/>
              </w:rPr>
              <w:t>20</w:t>
            </w:r>
            <w:r>
              <w:rPr>
                <w:rFonts w:hint="eastAsia"/>
                <w:color w:val="000000" w:themeColor="text1"/>
                <w:sz w:val="21"/>
                <w:u w:val="none" w:color="auto"/>
              </w:rPr>
              <w:t>日付け</w:t>
            </w:r>
            <w:r>
              <w:rPr>
                <w:rFonts w:hint="eastAsia"/>
                <w:color w:val="000000" w:themeColor="text1"/>
                <w:sz w:val="21"/>
                <w:u w:val="none" w:color="auto"/>
              </w:rPr>
              <w:t>27</w:t>
            </w:r>
            <w:r>
              <w:rPr>
                <w:rFonts w:hint="eastAsia"/>
                <w:color w:val="000000" w:themeColor="text1"/>
                <w:sz w:val="21"/>
                <w:u w:val="none" w:color="auto"/>
              </w:rPr>
              <w:t>林整計第</w:t>
            </w:r>
            <w:r>
              <w:rPr>
                <w:rFonts w:hint="eastAsia"/>
                <w:color w:val="000000" w:themeColor="text1"/>
                <w:sz w:val="21"/>
                <w:u w:val="none" w:color="auto"/>
              </w:rPr>
              <w:t>238</w:t>
            </w:r>
            <w:r>
              <w:rPr>
                <w:rFonts w:hint="eastAsia"/>
                <w:color w:val="000000" w:themeColor="text1"/>
                <w:sz w:val="21"/>
                <w:u w:val="none" w:color="auto"/>
              </w:rPr>
              <w:t>号林野庁長官通知）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、合板・製材・集成材国際競争力強化・輸出促進対策交付金等交付要綱第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31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に定める基金活用事業の実施に当たっての条件等について（平成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28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年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1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月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20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日付け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27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林整計第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240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号林野庁長官通知）、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森林・林業・木材産業グリーン成長総合対策補助金等交付等要綱（平成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30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年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3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月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30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日付け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29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林政政第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893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号農林水産事務次官依命通知）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、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林業・木材産業循環成長対策交付金実施要領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（平成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30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年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3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月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30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日付け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29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林整経第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349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号林野庁長官通知）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に基づき、別表第１に掲げる事業主体が事業を行うために要する経費について、同表に掲げる補助事業者（以下「補助事業者」という。）に対して予算の範囲内で補助するものとする。ただし、補助事業者が別表第２に掲げるいずれかに該当すると認めるときを除く。</w:t>
            </w: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第３条～第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４条</w:t>
            </w:r>
            <w:r>
              <w:rPr>
                <w:rFonts w:hint="eastAsia"/>
                <w:color w:val="auto"/>
                <w:sz w:val="21"/>
              </w:rPr>
              <w:t>　（略）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第５条　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（１）～（</w:t>
            </w:r>
            <w:r>
              <w:rPr>
                <w:rFonts w:hint="eastAsia"/>
                <w:color w:val="auto"/>
                <w:sz w:val="21"/>
              </w:rPr>
              <w:t>19</w:t>
            </w:r>
            <w:r>
              <w:rPr>
                <w:rFonts w:hint="eastAsia"/>
                <w:color w:val="auto"/>
                <w:sz w:val="21"/>
              </w:rPr>
              <w:t>）（略）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FF0000"/>
                <w:sz w:val="20"/>
                <w:u w:val="single" w:color="auto"/>
              </w:rPr>
              <w:t>（新設）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第６条～第</w:t>
            </w:r>
            <w:r>
              <w:rPr>
                <w:rFonts w:hint="eastAsia"/>
                <w:color w:val="auto"/>
                <w:sz w:val="21"/>
              </w:rPr>
              <w:t>13</w:t>
            </w:r>
            <w:r>
              <w:rPr>
                <w:rFonts w:hint="eastAsia"/>
                <w:color w:val="auto"/>
                <w:sz w:val="21"/>
              </w:rPr>
              <w:t>条　（略）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FF0000"/>
                <w:sz w:val="21"/>
                <w:u w:val="single" w:color="auto"/>
              </w:rPr>
              <w:t>（新設）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第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14</w:t>
            </w:r>
            <w:r>
              <w:rPr>
                <w:rFonts w:hint="eastAsia"/>
                <w:color w:val="auto"/>
                <w:sz w:val="21"/>
              </w:rPr>
              <w:t>条　（略）</w:t>
            </w: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190" w:hanging="19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（附　則）</w:t>
            </w:r>
          </w:p>
          <w:p>
            <w:pPr>
              <w:pStyle w:val="15"/>
              <w:ind w:left="190" w:hanging="190"/>
              <w:rPr>
                <w:rFonts w:hint="eastAsia" w:ascii="Century" w:hAnsi="Century"/>
                <w:color w:val="auto"/>
                <w:sz w:val="21"/>
              </w:rPr>
            </w:pPr>
            <w:r>
              <w:rPr>
                <w:rFonts w:hint="eastAsia" w:ascii="Century" w:hAnsi="Century"/>
                <w:color w:val="auto"/>
                <w:sz w:val="21"/>
              </w:rPr>
              <w:t>１　（略）</w:t>
            </w:r>
          </w:p>
          <w:p>
            <w:pPr>
              <w:pStyle w:val="0"/>
              <w:ind w:left="95" w:hanging="95" w:hangingChars="50"/>
              <w:rPr>
                <w:rFonts w:hint="default" w:ascii="ＭＳ 明朝" w:hAnsi="ＭＳ 明朝"/>
                <w:color w:val="auto"/>
                <w:u w:val="single" w:color="auto"/>
              </w:rPr>
            </w:pPr>
            <w:r>
              <w:rPr>
                <w:rFonts w:hint="eastAsia"/>
                <w:color w:val="auto"/>
                <w:sz w:val="21"/>
              </w:rPr>
              <w:t>２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</w:rPr>
              <w:t>この要綱は、令和</w:t>
            </w:r>
            <w:r>
              <w:rPr>
                <w:rFonts w:hint="eastAsia"/>
                <w:color w:val="FF0000"/>
                <w:u w:val="single" w:color="auto"/>
              </w:rPr>
              <w:t>６</w:t>
            </w:r>
            <w:r>
              <w:rPr>
                <w:rFonts w:hint="eastAsia" w:ascii="ＭＳ 明朝" w:hAnsi="ＭＳ 明朝" w:eastAsia="ＭＳ 明朝"/>
                <w:color w:val="auto"/>
              </w:rPr>
              <w:t>年５月３１</w:t>
            </w:r>
            <w:r>
              <w:rPr>
                <w:rFonts w:hint="eastAsia"/>
                <w:color w:val="auto"/>
              </w:rPr>
              <w:t>日限りその効力を失う。ただし、この要綱に基づき交付された補助金については、第５条、第９条</w:t>
            </w:r>
            <w:r>
              <w:rPr>
                <w:rFonts w:hint="eastAsia"/>
                <w:color w:val="000000" w:themeColor="text1"/>
                <w:u w:val="none" w:color="auto"/>
              </w:rPr>
              <w:t>第３項及び第４項並びに第</w:t>
            </w:r>
            <w:r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  <w:t>１３</w:t>
            </w:r>
            <w:r>
              <w:rPr>
                <w:rFonts w:hint="eastAsia"/>
                <w:color w:val="000000" w:themeColor="text1"/>
                <w:u w:val="none" w:color="auto"/>
              </w:rPr>
              <w:t>条</w:t>
            </w:r>
            <w:r>
              <w:rPr>
                <w:rFonts w:hint="eastAsia"/>
                <w:color w:val="auto"/>
              </w:rPr>
              <w:t>の規定は、同日以降もなおその効力を有する。</w:t>
            </w:r>
          </w:p>
          <w:p>
            <w:pPr>
              <w:pStyle w:val="0"/>
              <w:ind w:left="0" w:leftChars="0" w:firstLine="190" w:firstLineChars="100"/>
              <w:rPr>
                <w:rFonts w:hint="default" w:ascii="ＭＳ 明朝" w:hAnsi="ＭＳ 明朝"/>
                <w:color w:val="auto"/>
                <w:u w:val="single" w:color="auto"/>
              </w:rPr>
            </w:pPr>
            <w:r>
              <w:rPr>
                <w:rFonts w:hint="eastAsia"/>
                <w:color w:val="auto"/>
                <w:sz w:val="21"/>
                <w:u w:val="none" w:color="auto"/>
              </w:rPr>
              <w:t>（略）</w:t>
            </w:r>
          </w:p>
          <w:p>
            <w:pPr>
              <w:pStyle w:val="0"/>
              <w:ind w:left="95" w:hanging="95" w:hangingChars="50"/>
              <w:rPr>
                <w:rFonts w:hint="eastAsia"/>
                <w:color w:val="FF0000"/>
                <w:sz w:val="20"/>
                <w:u w:val="single" w:color="auto"/>
              </w:rPr>
            </w:pPr>
            <w:r>
              <w:rPr>
                <w:rFonts w:hint="eastAsia"/>
                <w:color w:val="FF0000"/>
                <w:sz w:val="20"/>
                <w:u w:val="single" w:color="auto"/>
              </w:rPr>
              <w:t>（新設）</w:t>
            </w:r>
          </w:p>
          <w:p>
            <w:pPr>
              <w:pStyle w:val="0"/>
              <w:ind w:leftChars="0" w:firstLine="0" w:firstLineChars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pgSz w:w="16840" w:h="11907" w:orient="landscape"/>
      <w:pgMar w:top="850" w:right="851" w:bottom="454" w:left="851" w:header="851" w:footer="992" w:gutter="0"/>
      <w:cols w:space="720"/>
      <w:textDirection w:val="lrTb"/>
      <w:docGrid w:type="linesAndChars" w:linePitch="283" w:charSpace="-40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90"/>
  <w:drawingGridVerticalSpacing w:val="2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8"/>
    <w:uiPriority w:val="0"/>
    <w:pPr>
      <w:ind w:left="210" w:hanging="210" w:hangingChars="100"/>
    </w:pPr>
    <w:rPr>
      <w:rFonts w:ascii="ＭＳ 明朝" w:hAnsi="ＭＳ 明朝"/>
      <w:kern w:val="0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本文インデント (文字)"/>
    <w:basedOn w:val="10"/>
    <w:next w:val="18"/>
    <w:link w:val="15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 w:customStyle="1">
    <w:name w:val="font15"/>
    <w:basedOn w:val="10"/>
    <w:next w:val="23"/>
    <w:link w:val="0"/>
    <w:uiPriority w:val="0"/>
    <w:qFormat/>
    <w:rPr>
      <w:rFonts w:ascii="ＭＳ 明朝" w:hAnsi="ＭＳ 明朝" w:eastAsia="ＭＳ 明朝"/>
      <w:color w:val="FF0000"/>
      <w:sz w:val="20"/>
    </w:rPr>
  </w:style>
  <w:style w:type="character" w:styleId="24" w:customStyle="1">
    <w:name w:val="font22"/>
    <w:basedOn w:val="10"/>
    <w:next w:val="24"/>
    <w:link w:val="0"/>
    <w:uiPriority w:val="0"/>
    <w:qFormat/>
    <w:rPr>
      <w:rFonts w:ascii="ＭＳ 明朝" w:hAnsi="ＭＳ 明朝" w:eastAsia="ＭＳ 明朝"/>
      <w:color w:val="000000"/>
      <w:sz w:val="20"/>
    </w:rPr>
  </w:style>
  <w:style w:type="character" w:styleId="25" w:customStyle="1">
    <w:name w:val="font14"/>
    <w:basedOn w:val="10"/>
    <w:next w:val="25"/>
    <w:link w:val="0"/>
    <w:uiPriority w:val="0"/>
    <w:qFormat/>
    <w:rPr>
      <w:rFonts w:ascii="ＭＳ 明朝" w:hAnsi="ＭＳ 明朝" w:eastAsia="ＭＳ 明朝"/>
      <w:color w:val="FF0000"/>
      <w:sz w:val="20"/>
    </w:rPr>
  </w:style>
  <w:style w:type="character" w:styleId="26" w:customStyle="1">
    <w:name w:val="font20"/>
    <w:basedOn w:val="10"/>
    <w:next w:val="26"/>
    <w:link w:val="0"/>
    <w:uiPriority w:val="0"/>
    <w:qFormat/>
    <w:rPr>
      <w:rFonts w:ascii="ＭＳ 明朝" w:hAnsi="ＭＳ 明朝" w:eastAsia="ＭＳ 明朝"/>
      <w:color w:val="000000"/>
      <w:sz w:val="20"/>
    </w:rPr>
  </w:style>
  <w:style w:type="character" w:styleId="27" w:customStyle="1">
    <w:name w:val="font21"/>
    <w:basedOn w:val="10"/>
    <w:next w:val="27"/>
    <w:link w:val="0"/>
    <w:uiPriority w:val="0"/>
    <w:qFormat/>
    <w:rPr>
      <w:rFonts w:ascii="ＭＳ 明朝" w:hAnsi="ＭＳ 明朝" w:eastAsia="ＭＳ 明朝"/>
      <w:color w:val="000000"/>
      <w:sz w:val="20"/>
    </w:rPr>
  </w:style>
  <w:style w:type="character" w:styleId="28" w:customStyle="1">
    <w:name w:val="font16"/>
    <w:basedOn w:val="10"/>
    <w:next w:val="28"/>
    <w:link w:val="0"/>
    <w:uiPriority w:val="0"/>
    <w:qFormat/>
    <w:rPr>
      <w:rFonts w:ascii="ＭＳ 明朝" w:hAnsi="ＭＳ 明朝" w:eastAsia="ＭＳ 明朝"/>
      <w:sz w:val="20"/>
    </w:rPr>
  </w:style>
  <w:style w:type="character" w:styleId="29" w:customStyle="1">
    <w:name w:val="font13"/>
    <w:basedOn w:val="10"/>
    <w:next w:val="29"/>
    <w:link w:val="0"/>
    <w:uiPriority w:val="0"/>
    <w:qFormat/>
    <w:rPr>
      <w:rFonts w:ascii="ＭＳ 明朝" w:hAnsi="ＭＳ 明朝" w:eastAsia="ＭＳ 明朝"/>
      <w:color w:val="000000"/>
      <w:sz w:val="20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790</TotalTime>
  <Pages>2</Pages>
  <Words>64</Words>
  <Characters>1720</Characters>
  <Application>JUST Note</Application>
  <Lines>98</Lines>
  <Paragraphs>36</Paragraphs>
  <CharactersWithSpaces>1742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482936</dc:creator>
  <cp:lastModifiedBy>526674</cp:lastModifiedBy>
  <cp:lastPrinted>2026-05-15T08:04:30Z</cp:lastPrinted>
  <dcterms:created xsi:type="dcterms:W3CDTF">2020-03-02T12:17:00Z</dcterms:created>
  <dcterms:modified xsi:type="dcterms:W3CDTF">2026-05-18T00:40:15Z</dcterms:modified>
  <cp:revision>39</cp:revision>
</cp:coreProperties>
</file>