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right"/>
        <w:rPr>
          <w:rFonts w:hint="default" w:ascii="?l?r ??’c" w:hAnsi="?l?r ??’c"/>
        </w:rPr>
      </w:pPr>
      <w:bookmarkStart w:id="0" w:name="_GoBack"/>
      <w:bookmarkEnd w:id="0"/>
    </w:p>
    <w:p>
      <w:pPr>
        <w:pStyle w:val="0"/>
        <w:snapToGrid w:val="0"/>
        <w:spacing w:before="160" w:beforeLines="0" w:beforeAutospacing="0"/>
        <w:jc w:val="right"/>
        <w:rPr>
          <w:rFonts w:hint="default" w:ascii="?l?r ??’c" w:hAnsi="?l?r ??’c"/>
        </w:rPr>
      </w:pPr>
      <w:r>
        <w:rPr>
          <w:rFonts w:hint="default" w:ascii="ＭＳ 明朝" w:hAnsi="ＭＳ 明朝" w:eastAsia="ＭＳ 明朝"/>
          <w:kern w:val="2"/>
          <w:sz w:val="21"/>
        </w:rPr>
        <w:t>年　　月　　日　　</w:t>
      </w:r>
    </w:p>
    <w:p>
      <w:pPr>
        <w:pStyle w:val="0"/>
        <w:snapToGrid w:val="0"/>
        <w:spacing w:before="160" w:beforeLines="0" w:beforeAutospacing="0"/>
        <w:jc w:val="both"/>
        <w:rPr>
          <w:rFonts w:hint="default" w:ascii="?l?r ??’c" w:hAnsi="?l?r ??’c"/>
        </w:rPr>
      </w:pPr>
      <w:r>
        <w:rPr>
          <w:rFonts w:hint="default" w:ascii="ＭＳ 明朝" w:hAnsi="ＭＳ 明朝" w:eastAsia="ＭＳ 明朝"/>
          <w:kern w:val="2"/>
          <w:sz w:val="21"/>
        </w:rPr>
        <w:t>　　　高知県知事　様</w:t>
      </w:r>
    </w:p>
    <w:p>
      <w:pPr>
        <w:pStyle w:val="0"/>
        <w:overflowPunct w:val="0"/>
        <w:ind w:leftChars="0" w:rightChars="0" w:firstLine="3150" w:firstLineChars="1500"/>
        <w:jc w:val="both"/>
        <w:rPr>
          <w:rFonts w:hint="eastAsia"/>
          <w:kern w:val="22"/>
        </w:rPr>
      </w:pPr>
      <w:r>
        <w:rPr>
          <w:rFonts w:hint="default" w:ascii="ＭＳ 明朝" w:hAnsi="ＭＳ 明朝" w:eastAsia="ＭＳ 明朝"/>
          <w:kern w:val="22"/>
          <w:sz w:val="21"/>
        </w:rPr>
        <w:t>届出者　住所</w:t>
      </w:r>
    </w:p>
    <w:p>
      <w:pPr>
        <w:pStyle w:val="0"/>
        <w:overflowPunct w:val="0"/>
        <w:ind w:firstLine="0" w:firstLineChars="0"/>
        <w:jc w:val="both"/>
        <w:rPr>
          <w:rFonts w:hint="eastAsia"/>
          <w:kern w:val="22"/>
        </w:rPr>
      </w:pPr>
      <w:r>
        <w:rPr>
          <w:rFonts w:hint="default" w:ascii="ＭＳ 明朝" w:hAnsi="ＭＳ 明朝" w:eastAsia="ＭＳ 明朝"/>
          <w:kern w:val="22"/>
          <w:sz w:val="21"/>
        </w:rPr>
        <w:t>　　　　　　　　　　　　　　　　　　　氏名</w:t>
      </w:r>
    </w:p>
    <w:p>
      <w:pPr>
        <w:pStyle w:val="0"/>
        <w:overflowPunct w:val="0"/>
        <w:ind w:firstLine="0" w:firstLineChars="0"/>
        <w:jc w:val="both"/>
        <w:rPr>
          <w:rFonts w:hint="eastAsia"/>
          <w:kern w:val="22"/>
        </w:rPr>
      </w:pPr>
      <w:r>
        <w:rPr>
          <w:rFonts w:hint="eastAsia" w:ascii="ＭＳ 明朝" w:hAnsi="ＭＳ 明朝" w:eastAsia="ＭＳ 明朝"/>
          <w:kern w:val="2"/>
          <w:sz w:val="21"/>
        </w:rPr>
        <mc:AlternateContent>
          <mc:Choice Requires="wps">
            <w:drawing>
              <wp:anchor distT="0" distB="0" distL="203200" distR="203200" simplePos="0" relativeHeight="3" behindDoc="0" locked="0" layoutInCell="1" hidden="0" allowOverlap="1">
                <wp:simplePos x="0" y="0"/>
                <wp:positionH relativeFrom="column">
                  <wp:posOffset>5142865</wp:posOffset>
                </wp:positionH>
                <wp:positionV relativeFrom="paragraph">
                  <wp:posOffset>33020</wp:posOffset>
                </wp:positionV>
                <wp:extent cx="144145" cy="323850"/>
                <wp:effectExtent l="0" t="635" r="29845" b="9525"/>
                <wp:wrapNone/>
                <wp:docPr id="1026" name="オブジェクト 0"/>
                <a:graphic xmlns:a="http://schemas.openxmlformats.org/drawingml/2006/main">
                  <a:graphicData uri="http://schemas.microsoft.com/office/word/2010/wordprocessingShape">
                    <wps:wsp>
                      <wps:cNvPr id="1026" name="オブジェクト 0"/>
                      <wps:cNvSpPr/>
                      <wps:spPr>
                        <a:xfrm>
                          <a:off x="0" y="0"/>
                          <a:ext cx="144145" cy="323850"/>
                        </a:xfrm>
                        <a:custGeom>
                          <a:avLst/>
                          <a:gdLst>
                            <a:gd name="CX1" fmla="*/ 10800 w 21600"/>
                            <a:gd name="CY1" fmla="*/ 0 h 21600"/>
                            <a:gd name="CX2" fmla="*/ 10800 w 21600"/>
                            <a:gd name="CY2" fmla="*/ 10800 h 21600"/>
                            <a:gd name="CX3" fmla="*/ 12143 w 21600"/>
                            <a:gd name="CY3" fmla="*/ 21516 h 21600"/>
                            <a:gd name="TXL" fmla="*/ 10800 w 21600"/>
                            <a:gd name="TXT" fmla="*/ 0 h 21600"/>
                            <a:gd name="TXR" fmla="*/ 21600 w 21600"/>
                            <a:gd name="TXB" fmla="*/ 21516 h 21600"/>
                          </a:gdLst>
                          <a:ahLst/>
                          <a:cxnLst>
                            <a:cxn ang="0">
                              <a:pos x="CX1" y="CY1"/>
                            </a:cxn>
                            <a:cxn ang="0">
                              <a:pos x="CX2" y="CY2"/>
                            </a:cxn>
                            <a:cxn ang="0">
                              <a:pos x="CX3" y="CY3"/>
                            </a:cxn>
                          </a:cxnLst>
                          <a:rect l="TXL" t="TXT" r="TXR" b="TXB"/>
                          <a:pathLst>
                            <a:path w="21600" h="21600" stroke="0" extrusionOk="0">
                              <a:moveTo>
                                <a:pt x="10800" y="0"/>
                              </a:moveTo>
                              <a:lnTo>
                                <a:pt x="10800" y="0"/>
                              </a:lnTo>
                              <a:cubicBezTo>
                                <a:pt x="16764" y="0"/>
                                <a:pt x="21600" y="4835"/>
                                <a:pt x="21600" y="10800"/>
                              </a:cubicBezTo>
                              <a:cubicBezTo>
                                <a:pt x="21600" y="16245"/>
                                <a:pt x="17546" y="20839"/>
                                <a:pt x="12143" y="21516"/>
                              </a:cubicBezTo>
                              <a:lnTo>
                                <a:pt x="10800" y="10800"/>
                              </a:lnTo>
                              <a:close/>
                            </a:path>
                            <a:path w="21600" h="21600" fill="none" extrusionOk="0">
                              <a:moveTo>
                                <a:pt x="10800" y="0"/>
                              </a:moveTo>
                              <a:lnTo>
                                <a:pt x="10800" y="0"/>
                              </a:lnTo>
                              <a:cubicBezTo>
                                <a:pt x="16764" y="0"/>
                                <a:pt x="21600" y="4835"/>
                                <a:pt x="21600" y="10800"/>
                              </a:cubicBezTo>
                              <a:cubicBezTo>
                                <a:pt x="21600" y="16245"/>
                                <a:pt x="17546" y="20839"/>
                                <a:pt x="12143" y="21516"/>
                              </a:cubicBezTo>
                            </a:path>
                          </a:pathLst>
                        </a:custGeom>
                        <a:noFill/>
                        <a:ln w="6350" cmpd="sng">
                          <a:solidFill>
                            <a:srgbClr val="000000"/>
                          </a:solidFill>
                          <a:prstDash val="solid"/>
                          <a:miter lim="800000"/>
                        </a:ln>
                      </wps:spPr>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404.95pt;z-index:3;" o:spid="_x0000_s1026" o:allowincell="t" o:allowoverlap="t" filled="f" stroked="t" strokecolor="#000000" strokeweight="0.5pt" o:spt="0" path="m10800,0nsl10800,0l10800,0c16764,0,21600,4835,21600,10800c21600,16245,17546,20839,12143,21516l10800,10800xem10800,0nfl10800,0l10800,0c16764,0,21600,4835,21600,10800c21600,16245,17546,20839,12143,21516e">
                <v:path textboxrect="10800,0,21600,21516" arrowok="true" o:connecttype="custom" o:connectlocs="10800,0;10800,10800;12143,21516" o:connectangles="0,0,0" o:extrusionok="false"/>
                <v:fill/>
                <v:stroke linestyle="single" miterlimit="8" dashstyle="solid" filltype="solid"/>
                <v:textbox style="layout-flow:horizontal;"/>
                <v:imagedata o:title=""/>
                <w10:wrap type="none" anchorx="text" anchory="text"/>
              </v:shape>
            </w:pict>
          </mc:Fallback>
        </mc:AlternateContent>
      </w:r>
      <w:r>
        <w:rPr>
          <w:rFonts w:hint="eastAsia" w:ascii="ＭＳ 明朝" w:hAnsi="ＭＳ 明朝" w:eastAsia="ＭＳ 明朝"/>
          <w:kern w:val="2"/>
          <w:sz w:val="21"/>
        </w:rPr>
        <mc:AlternateContent>
          <mc:Choice Requires="wps">
            <w:drawing>
              <wp:anchor distT="0" distB="0" distL="203200" distR="203200" simplePos="0" relativeHeight="2" behindDoc="0" locked="0" layoutInCell="1" hidden="0" allowOverlap="1">
                <wp:simplePos x="0" y="0"/>
                <wp:positionH relativeFrom="column">
                  <wp:posOffset>2393315</wp:posOffset>
                </wp:positionH>
                <wp:positionV relativeFrom="paragraph">
                  <wp:posOffset>33020</wp:posOffset>
                </wp:positionV>
                <wp:extent cx="144145" cy="323850"/>
                <wp:effectExtent l="635" t="635" r="0" b="9525"/>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144145" cy="323850"/>
                        </a:xfrm>
                        <a:custGeom>
                          <a:avLst/>
                          <a:gdLst>
                            <a:gd name="CX1" fmla="*/ 10800 w 21600"/>
                            <a:gd name="CY1" fmla="*/ 0 h 21600"/>
                            <a:gd name="CX2" fmla="*/ 10800 w 21600"/>
                            <a:gd name="CY2" fmla="*/ 10800 h 21600"/>
                            <a:gd name="CX3" fmla="*/ 12143 w 21600"/>
                            <a:gd name="CY3" fmla="*/ 21516 h 21600"/>
                            <a:gd name="TXL" fmla="*/ 10800 w 21600"/>
                            <a:gd name="TXT" fmla="*/ 0 h 21600"/>
                            <a:gd name="TXR" fmla="*/ 21600 w 21600"/>
                            <a:gd name="TXB" fmla="*/ 21516 h 21600"/>
                          </a:gdLst>
                          <a:ahLst/>
                          <a:cxnLst>
                            <a:cxn ang="0">
                              <a:pos x="CX1" y="CY1"/>
                            </a:cxn>
                            <a:cxn ang="0">
                              <a:pos x="CX2" y="CY2"/>
                            </a:cxn>
                            <a:cxn ang="0">
                              <a:pos x="CX3" y="CY3"/>
                            </a:cxn>
                          </a:cxnLst>
                          <a:rect l="TXL" t="TXT" r="TXR" b="TXB"/>
                          <a:pathLst>
                            <a:path w="21600" h="21600" stroke="0" extrusionOk="0">
                              <a:moveTo>
                                <a:pt x="10800" y="0"/>
                              </a:moveTo>
                              <a:lnTo>
                                <a:pt x="10800" y="0"/>
                              </a:lnTo>
                              <a:cubicBezTo>
                                <a:pt x="16764" y="0"/>
                                <a:pt x="21600" y="4835"/>
                                <a:pt x="21600" y="10800"/>
                              </a:cubicBezTo>
                              <a:cubicBezTo>
                                <a:pt x="21600" y="16245"/>
                                <a:pt x="17546" y="20839"/>
                                <a:pt x="12143" y="21516"/>
                              </a:cubicBezTo>
                              <a:lnTo>
                                <a:pt x="10800" y="10800"/>
                              </a:lnTo>
                              <a:close/>
                            </a:path>
                            <a:path w="21600" h="21600" fill="none" extrusionOk="0">
                              <a:moveTo>
                                <a:pt x="10800" y="0"/>
                              </a:moveTo>
                              <a:lnTo>
                                <a:pt x="10800" y="0"/>
                              </a:lnTo>
                              <a:cubicBezTo>
                                <a:pt x="16764" y="0"/>
                                <a:pt x="21600" y="4835"/>
                                <a:pt x="21600" y="10800"/>
                              </a:cubicBezTo>
                              <a:cubicBezTo>
                                <a:pt x="21600" y="16245"/>
                                <a:pt x="17546" y="20839"/>
                                <a:pt x="12143" y="21516"/>
                              </a:cubicBezTo>
                            </a:path>
                          </a:pathLst>
                        </a:custGeom>
                        <a:noFill/>
                        <a:ln w="6350" cmpd="sng">
                          <a:solidFill>
                            <a:srgbClr val="000000"/>
                          </a:solidFill>
                          <a:prstDash val="solid"/>
                          <a:miter lim="800000"/>
                        </a:ln>
                      </wps:spPr>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188.45pt;z-index:2;" o:spid="_x0000_s1027" o:allowincell="t" o:allowoverlap="t" filled="f" stroked="t" strokecolor="#000000" strokeweight="0.5pt" o:spt="0" path="m10800,0nsl10800,0l10800,0c16764,0,21600,4835,21600,10800c21600,16245,17546,20839,12143,21516l10800,10800xem10800,0nfl10800,0l10800,0c16764,0,21600,4835,21600,10800c21600,16245,17546,20839,12143,21516e">
                <v:path textboxrect="10800,0,21600,21516" arrowok="true" o:connecttype="custom" o:connectlocs="10800,0;10800,10800;12143,21516" o:connectangles="0,0,0" o:extrusionok="false"/>
                <v:fill/>
                <v:stroke linestyle="single" miterlimit="8" dashstyle="solid" filltype="solid"/>
                <v:textbox style="layout-flow:horizontal;"/>
                <v:imagedata o:title=""/>
                <w10:wrap type="none" anchorx="text" anchory="text"/>
              </v:shape>
            </w:pict>
          </mc:Fallback>
        </mc:AlternateContent>
      </w:r>
      <w:r>
        <w:rPr>
          <w:rFonts w:hint="default" w:ascii="ＭＳ 明朝" w:hAnsi="ＭＳ 明朝" w:eastAsia="ＭＳ 明朝"/>
          <w:kern w:val="22"/>
          <w:sz w:val="21"/>
        </w:rPr>
        <w:t>　　　　　　　　　　　　　　　　　　　法人の場合は、主たる事務所の所在地、名称</w:t>
      </w:r>
    </w:p>
    <w:p>
      <w:pPr>
        <w:pStyle w:val="0"/>
        <w:overflowPunct w:val="0"/>
        <w:ind w:leftChars="0" w:rightChars="0" w:firstLine="3990" w:firstLineChars="1900"/>
        <w:jc w:val="both"/>
        <w:rPr>
          <w:rFonts w:hint="default" w:ascii="?l?r ??’c" w:hAnsi="?l?r ??’c"/>
        </w:rPr>
      </w:pPr>
      <w:r>
        <w:rPr>
          <w:rFonts w:hint="default" w:ascii="ＭＳ 明朝" w:hAnsi="ＭＳ 明朝" w:eastAsia="ＭＳ 明朝"/>
          <w:kern w:val="22"/>
          <w:sz w:val="21"/>
        </w:rPr>
        <w:t>及び代表者の職・氏名</w:t>
      </w:r>
    </w:p>
    <w:p>
      <w:pPr>
        <w:pStyle w:val="0"/>
        <w:snapToGrid w:val="0"/>
        <w:spacing w:before="160" w:beforeLines="0" w:beforeAutospacing="0"/>
        <w:ind w:leftChars="0" w:right="840" w:rightChars="400" w:firstLine="3990" w:firstLineChars="1900"/>
        <w:jc w:val="both"/>
        <w:rPr>
          <w:rFonts w:hint="default" w:ascii="?l?r ??’c" w:hAnsi="?l?r ??’c"/>
        </w:rPr>
      </w:pPr>
      <w:r>
        <w:rPr>
          <w:rFonts w:hint="default" w:ascii="ＭＳ 明朝" w:hAnsi="ＭＳ 明朝" w:eastAsia="ＭＳ 明朝"/>
          <w:kern w:val="22"/>
          <w:sz w:val="21"/>
        </w:rPr>
        <w:t>電話番号</w:t>
      </w:r>
    </w:p>
    <w:p>
      <w:pPr>
        <w:pStyle w:val="0"/>
        <w:snapToGrid w:val="0"/>
        <w:spacing w:before="260" w:beforeLines="0" w:beforeAutospacing="0"/>
        <w:jc w:val="center"/>
        <w:rPr>
          <w:rFonts w:hint="default" w:ascii="?l?r ??’c" w:hAnsi="?l?r ??’c"/>
        </w:rPr>
      </w:pPr>
      <w:r>
        <w:rPr>
          <w:rFonts w:hint="default" w:ascii="ＭＳ 明朝" w:hAnsi="ＭＳ 明朝" w:eastAsia="ＭＳ 明朝"/>
          <w:kern w:val="2"/>
          <w:sz w:val="21"/>
        </w:rPr>
        <w:t>検体検査用放射性同位元素廃止後の措置届</w:t>
      </w:r>
    </w:p>
    <w:p>
      <w:pPr>
        <w:pStyle w:val="0"/>
        <w:snapToGrid w:val="0"/>
        <w:spacing w:before="315" w:beforeLines="0" w:beforeAutospacing="0" w:after="100" w:afterLines="0" w:afterAutospacing="0" w:line="400" w:lineRule="exact"/>
        <w:ind w:left="210" w:firstLine="210"/>
        <w:jc w:val="both"/>
        <w:rPr>
          <w:rFonts w:hint="default" w:ascii="?l?r ??’c" w:hAnsi="?l?r ??’c"/>
        </w:rPr>
      </w:pPr>
      <w:r>
        <w:rPr>
          <w:rFonts w:hint="default" w:ascii="ＭＳ 明朝" w:hAnsi="ＭＳ 明朝" w:eastAsia="ＭＳ 明朝"/>
          <w:kern w:val="2"/>
          <w:sz w:val="21"/>
        </w:rPr>
        <w:t>　　　　年　　月　　日付けをもって廃止した検体検査用放射性同位元素については、次のとおり措置したので、臨床検査技師等に関する法律施行規則第</w:t>
      </w:r>
      <w:r>
        <w:rPr>
          <w:rFonts w:hint="default" w:ascii="ＭＳ 明朝" w:hAnsi="ＭＳ 明朝" w:eastAsia="ＭＳ 明朝"/>
          <w:kern w:val="2"/>
          <w:sz w:val="21"/>
        </w:rPr>
        <w:t>17</w:t>
      </w:r>
      <w:r>
        <w:rPr>
          <w:rFonts w:hint="default" w:ascii="ＭＳ 明朝" w:hAnsi="ＭＳ 明朝" w:eastAsia="ＭＳ 明朝"/>
          <w:kern w:val="2"/>
          <w:sz w:val="21"/>
        </w:rPr>
        <w:t>条の２第４項の規定により届け出ます。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940"/>
        <w:gridCol w:w="5040"/>
      </w:tblGrid>
      <w:tr>
        <w:trPr>
          <w:cantSplit/>
          <w:trHeight w:val="1260" w:hRule="exac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60" w:lineRule="exact"/>
              <w:jc w:val="both"/>
              <w:rPr>
                <w:rFonts w:hint="default" w:ascii="?l?r ??’c" w:hAnsi="?l?r ??’c"/>
              </w:rPr>
            </w:pPr>
            <w:r>
              <w:rPr>
                <w:rFonts w:hint="default" w:ascii="ＭＳ 明朝" w:hAnsi="ＭＳ 明朝" w:eastAsia="ＭＳ 明朝"/>
                <w:kern w:val="2"/>
                <w:sz w:val="21"/>
              </w:rPr>
              <w:t>衛生検査所の名称及び所在地</w:t>
            </w:r>
          </w:p>
        </w:tc>
        <w:tc>
          <w:tcPr>
            <w:tcW w:w="504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60" w:lineRule="exact"/>
              <w:jc w:val="both"/>
              <w:rPr>
                <w:rFonts w:hint="default" w:ascii="?l?r ??’c" w:hAnsi="?l?r ??’c"/>
              </w:rPr>
            </w:pPr>
          </w:p>
        </w:tc>
      </w:tr>
      <w:tr>
        <w:trPr>
          <w:cantSplit/>
          <w:trHeight w:val="2940" w:hRule="exac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60" w:lineRule="exact"/>
              <w:jc w:val="both"/>
              <w:rPr>
                <w:rFonts w:hint="default" w:ascii="?l?r ??’c" w:hAnsi="?l?r ??’c"/>
              </w:rPr>
            </w:pPr>
            <w:r>
              <w:rPr>
                <w:rFonts w:hint="default" w:ascii="ＭＳ 明朝" w:hAnsi="ＭＳ 明朝" w:eastAsia="ＭＳ 明朝"/>
                <w:kern w:val="2"/>
                <w:sz w:val="21"/>
              </w:rPr>
              <w:t>検体検査用放射性同位元素による汚染除去の概要</w:t>
            </w:r>
          </w:p>
        </w:tc>
        <w:tc>
          <w:tcPr>
            <w:tcW w:w="504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60" w:lineRule="exact"/>
              <w:jc w:val="both"/>
              <w:rPr>
                <w:rFonts w:hint="default" w:ascii="?l?r ??’c" w:hAnsi="?l?r ??’c"/>
              </w:rPr>
            </w:pPr>
          </w:p>
        </w:tc>
      </w:tr>
      <w:tr>
        <w:trPr>
          <w:cantSplit/>
          <w:trHeight w:val="1680" w:hRule="exac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60" w:lineRule="exact"/>
              <w:jc w:val="both"/>
              <w:rPr>
                <w:rFonts w:hint="default" w:ascii="?l?r ??’c" w:hAnsi="?l?r ??’c"/>
              </w:rPr>
            </w:pPr>
            <w:r>
              <w:rPr>
                <w:rFonts w:hint="default" w:ascii="ＭＳ 明朝" w:hAnsi="ＭＳ 明朝" w:eastAsia="ＭＳ 明朝"/>
                <w:kern w:val="2"/>
                <w:sz w:val="21"/>
              </w:rPr>
              <w:t>検体検査用放射性同位元素によって汚染された物の譲渡又は廃棄の概要</w:t>
            </w:r>
          </w:p>
        </w:tc>
        <w:tc>
          <w:tcPr>
            <w:tcW w:w="504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60" w:lineRule="exact"/>
              <w:jc w:val="both"/>
              <w:rPr>
                <w:rFonts w:hint="default" w:ascii="?l?r ??’c" w:hAnsi="?l?r ??’c"/>
              </w:rPr>
            </w:pPr>
          </w:p>
        </w:tc>
      </w:tr>
    </w:tbl>
    <w:p>
      <w:pPr>
        <w:pStyle w:val="0"/>
        <w:snapToGrid w:val="0"/>
        <w:jc w:val="both"/>
        <w:rPr>
          <w:rFonts w:hint="default" w:ascii="?l?r ??’c" w:hAnsi="?l?r ??’c"/>
        </w:rPr>
      </w:pPr>
    </w:p>
    <w:sectPr>
      <w:headerReference r:id="rId5" w:type="default"/>
      <w:footerReference r:id="rId6" w:type="default"/>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l?r ??’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217</Characters>
  <Application>JUST Note</Application>
  <Lines>21</Lines>
  <Paragraphs>12</Paragraphs>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第５号様式</dc:title>
  <dc:creator>第一法規株式会社</dc:creator>
  <cp:lastModifiedBy>490485</cp:lastModifiedBy>
  <cp:lastPrinted>2023-06-25T07:01:00Z</cp:lastPrinted>
  <dcterms:created xsi:type="dcterms:W3CDTF">2020-03-03T17:06:00Z</dcterms:created>
  <dcterms:modified xsi:type="dcterms:W3CDTF">2023-06-25T07:01:36Z</dcterms:modified>
  <cp:revision>9</cp:revision>
</cp:coreProperties>
</file>