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highlight w:val="none"/>
        </w:rPr>
      </w:pPr>
      <w:r>
        <w:rPr>
          <w:rFonts w:hint="eastAsia"/>
          <w:b w:val="1"/>
          <w:color w:val="1F497D"/>
          <w:sz w:val="32"/>
          <w:highlight w:val="none"/>
        </w:rPr>
        <w:t>第６章　５疾病の医療連携体制</w:t>
      </w:r>
    </w:p>
    <w:p>
      <w:pPr>
        <w:pStyle w:val="0"/>
        <w:spacing w:after="165" w:afterLines="50" w:afterAutospacing="0"/>
        <w:rPr>
          <w:rFonts w:hint="eastAsia"/>
          <w:b w:val="1"/>
          <w:color w:val="1F497D"/>
          <w:sz w:val="28"/>
          <w:highlight w:val="none"/>
        </w:rPr>
      </w:pPr>
      <w:r>
        <w:rPr>
          <w:rFonts w:hint="eastAsia"/>
          <w:b w:val="1"/>
          <w:color w:val="1F497D"/>
          <w:sz w:val="28"/>
          <w:highlight w:val="none"/>
        </w:rPr>
        <w:t>第１節　がん</w:t>
      </w:r>
    </w:p>
    <w:p>
      <w:pPr>
        <w:pStyle w:val="0"/>
        <w:rPr>
          <w:rFonts w:hint="eastAsia" w:ascii="ＭＳ 明朝" w:hAnsi="ＭＳ 明朝" w:eastAsia="ＭＳ 明朝"/>
          <w:sz w:val="22"/>
          <w:highlight w:val="none"/>
        </w:rPr>
      </w:pPr>
      <w:r>
        <w:rPr>
          <w:rFonts w:hint="eastAsia" w:ascii="ＭＳ 明朝" w:hAnsi="ＭＳ 明朝" w:eastAsia="ＭＳ 明朝"/>
          <w:b w:val="1"/>
          <w:color w:val="0070C0"/>
          <w:sz w:val="22"/>
          <w:highlight w:val="none"/>
        </w:rPr>
        <w:t>１　がん患者の受療動向</w:t>
      </w:r>
    </w:p>
    <w:p>
      <w:pPr>
        <w:pStyle w:val="0"/>
        <w:snapToGrid w:val="1"/>
        <w:ind w:left="0" w:leftChars="0" w:firstLine="220" w:firstLineChars="100"/>
        <w:rPr>
          <w:rFonts w:hint="eastAsia" w:ascii="ＭＳ ゴシック" w:hAnsi="ＭＳ ゴシック" w:eastAsia="ＭＳ ゴシック"/>
          <w:color w:val="auto"/>
          <w:sz w:val="21"/>
          <w:highlight w:val="none"/>
        </w:rPr>
      </w:pPr>
      <w:r>
        <w:rPr>
          <w:rFonts w:hint="eastAsia" w:ascii="ＭＳ 明朝" w:hAnsi="ＭＳ 明朝" w:eastAsia="ＭＳ 明朝"/>
          <w:sz w:val="22"/>
          <w:highlight w:val="none"/>
        </w:rPr>
        <w:t>令和</w:t>
      </w:r>
      <w:r>
        <w:rPr>
          <w:rFonts w:hint="eastAsia" w:ascii="ＭＳ 明朝" w:hAnsi="ＭＳ 明朝" w:eastAsia="ＭＳ 明朝"/>
          <w:color w:val="auto"/>
          <w:sz w:val="22"/>
          <w:highlight w:val="none"/>
        </w:rPr>
        <w:t>４</w:t>
      </w:r>
      <w:r>
        <w:rPr>
          <w:rFonts w:hint="eastAsia" w:ascii="ＭＳ 明朝" w:hAnsi="ＭＳ 明朝" w:eastAsia="ＭＳ 明朝"/>
          <w:sz w:val="22"/>
          <w:highlight w:val="none"/>
        </w:rPr>
        <w:t>年度高知県患者動態調査では、がんの外来患者が在住する保健医療圏における受療割合は、中央保健医療圏では圏内でほぼ完結していますが、安芸保健医療圏に在住の患者の約</w:t>
      </w:r>
      <w:r>
        <w:rPr>
          <w:rFonts w:hint="eastAsia" w:ascii="ＭＳ 明朝" w:hAnsi="ＭＳ 明朝" w:eastAsia="ＭＳ 明朝"/>
          <w:sz w:val="22"/>
          <w:highlight w:val="none"/>
        </w:rPr>
        <w:t>44</w:t>
      </w:r>
      <w:r>
        <w:rPr>
          <w:rFonts w:hint="eastAsia" w:ascii="ＭＳ 明朝" w:hAnsi="ＭＳ 明朝" w:eastAsia="ＭＳ 明朝"/>
          <w:sz w:val="22"/>
          <w:highlight w:val="none"/>
        </w:rPr>
        <w:t>％、高幡保健医療圏に在住の患者の</w:t>
      </w:r>
      <w:r>
        <w:rPr>
          <w:rFonts w:hint="eastAsia" w:ascii="ＭＳ 明朝" w:hAnsi="ＭＳ 明朝" w:eastAsia="ＭＳ 明朝"/>
          <w:sz w:val="22"/>
          <w:highlight w:val="none"/>
        </w:rPr>
        <w:t>73</w:t>
      </w:r>
      <w:r>
        <w:rPr>
          <w:rFonts w:hint="eastAsia" w:ascii="ＭＳ 明朝" w:hAnsi="ＭＳ 明朝" w:eastAsia="ＭＳ 明朝"/>
          <w:sz w:val="22"/>
          <w:highlight w:val="none"/>
        </w:rPr>
        <w:t>％が中央保健医療圏で受療しています。</w:t>
      </w:r>
    </w:p>
    <w:p>
      <w:pPr>
        <w:pStyle w:val="0"/>
        <w:snapToGrid w:val="1"/>
        <w:ind w:left="0" w:leftChars="0" w:firstLine="220" w:firstLineChars="100"/>
        <w:rPr>
          <w:rFonts w:hint="eastAsia" w:ascii="ＭＳ ゴシック" w:hAnsi="ＭＳ ゴシック" w:eastAsia="ＭＳ ゴシック"/>
          <w:color w:val="auto"/>
          <w:sz w:val="21"/>
          <w:highlight w:val="none"/>
        </w:rPr>
      </w:pPr>
      <w:r>
        <w:rPr>
          <w:rFonts w:hint="eastAsia" w:ascii="ＭＳ 明朝" w:hAnsi="ＭＳ 明朝" w:eastAsia="ＭＳ 明朝"/>
          <w:sz w:val="22"/>
          <w:highlight w:val="none"/>
        </w:rPr>
        <w:t>がんの入院患者が在住する保健医療圏における受療割合は、中央保健医療圏ではほぼ自圏内で完結しているほかは、安芸保健医療圏では約</w:t>
      </w:r>
      <w:r>
        <w:rPr>
          <w:rFonts w:hint="eastAsia" w:ascii="ＭＳ 明朝" w:hAnsi="ＭＳ 明朝" w:eastAsia="ＭＳ 明朝"/>
          <w:sz w:val="22"/>
          <w:highlight w:val="none"/>
        </w:rPr>
        <w:t>57</w:t>
      </w:r>
      <w:r>
        <w:rPr>
          <w:rFonts w:hint="eastAsia" w:ascii="ＭＳ 明朝" w:hAnsi="ＭＳ 明朝" w:eastAsia="ＭＳ 明朝"/>
          <w:sz w:val="22"/>
          <w:highlight w:val="none"/>
        </w:rPr>
        <w:t>％の患者が、高幡保健医療圏では約</w:t>
      </w:r>
      <w:r>
        <w:rPr>
          <w:rFonts w:hint="eastAsia" w:ascii="ＭＳ 明朝" w:hAnsi="ＭＳ 明朝" w:eastAsia="ＭＳ 明朝"/>
          <w:sz w:val="22"/>
          <w:highlight w:val="none"/>
        </w:rPr>
        <w:t>63</w:t>
      </w:r>
      <w:r>
        <w:rPr>
          <w:rFonts w:hint="eastAsia" w:ascii="ＭＳ 明朝" w:hAnsi="ＭＳ 明朝" w:eastAsia="ＭＳ 明朝"/>
          <w:sz w:val="22"/>
          <w:highlight w:val="none"/>
        </w:rPr>
        <w:t>％の患者が、幡多保健医療圏では約</w:t>
      </w:r>
      <w:r>
        <w:rPr>
          <w:rFonts w:hint="eastAsia" w:ascii="ＭＳ 明朝" w:hAnsi="ＭＳ 明朝" w:eastAsia="ＭＳ 明朝"/>
          <w:sz w:val="22"/>
          <w:highlight w:val="none"/>
        </w:rPr>
        <w:t>45</w:t>
      </w:r>
      <w:r>
        <w:rPr>
          <w:rFonts w:hint="eastAsia" w:ascii="ＭＳ 明朝" w:hAnsi="ＭＳ 明朝" w:eastAsia="ＭＳ 明朝"/>
          <w:sz w:val="22"/>
          <w:highlight w:val="none"/>
        </w:rPr>
        <w:t>％の患者が中央保健医療圏に入院しています。</w:t>
      </w:r>
    </w:p>
    <w:p>
      <w:pPr>
        <w:pStyle w:val="0"/>
        <w:snapToGrid w:val="1"/>
        <w:ind w:left="91" w:leftChars="40" w:firstLine="0" w:firstLineChars="0"/>
        <w:rPr>
          <w:rFonts w:hint="eastAsia" w:ascii="ＭＳ ゴシック" w:hAnsi="ＭＳ ゴシック" w:eastAsia="ＭＳ ゴシック"/>
          <w:color w:val="auto"/>
          <w:sz w:val="21"/>
          <w:highlight w:val="none"/>
        </w:rPr>
      </w:pPr>
      <w:r>
        <w:rPr>
          <w:rFonts w:hint="eastAsia" w:ascii="ＭＳ 明朝" w:hAnsi="ＭＳ 明朝" w:eastAsia="ＭＳ 明朝"/>
          <w:sz w:val="22"/>
          <w:highlight w:val="none"/>
        </w:rPr>
        <w:t>（図表</w:t>
      </w:r>
      <w:r>
        <w:rPr>
          <w:rFonts w:hint="eastAsia" w:ascii="ＭＳ 明朝" w:hAnsi="ＭＳ 明朝" w:eastAsia="ＭＳ 明朝"/>
          <w:sz w:val="22"/>
          <w:highlight w:val="none"/>
        </w:rPr>
        <w:t>6-1-1</w:t>
      </w:r>
      <w:r>
        <w:rPr>
          <w:rFonts w:hint="eastAsia" w:ascii="ＭＳ 明朝" w:hAnsi="ＭＳ 明朝" w:eastAsia="ＭＳ 明朝"/>
          <w:sz w:val="22"/>
          <w:highlight w:val="none"/>
        </w:rPr>
        <w:t>）</w:t>
      </w:r>
    </w:p>
    <w:p>
      <w:pPr>
        <w:pStyle w:val="0"/>
        <w:ind w:left="77" w:leftChars="40" w:firstLineChars="0"/>
        <w:rPr>
          <w:rFonts w:hint="eastAsia" w:ascii="ＭＳ ゴシック" w:hAnsi="ＭＳ ゴシック" w:eastAsia="ＭＳ ゴシック"/>
          <w:color w:val="auto"/>
          <w:sz w:val="21"/>
          <w:highlight w:val="none"/>
        </w:rPr>
      </w:pPr>
    </w:p>
    <w:p>
      <w:pPr>
        <w:pStyle w:val="0"/>
        <w:ind w:left="90" w:leftChars="40" w:firstLine="0" w:firstLineChars="0"/>
        <w:jc w:val="center"/>
        <w:rPr>
          <w:rFonts w:hint="eastAsia" w:ascii="ＭＳ ゴシック" w:hAnsi="ＭＳ ゴシック" w:eastAsia="ＭＳ ゴシック"/>
          <w:highlight w:val="none"/>
        </w:rPr>
      </w:pPr>
      <w:r>
        <w:rPr>
          <w:rFonts w:hint="eastAsia" w:ascii="ＭＳ ゴシック" w:hAnsi="ＭＳ ゴシック" w:eastAsia="ＭＳ ゴシック"/>
          <w:b w:val="0"/>
          <w:sz w:val="22"/>
          <w:highlight w:val="none"/>
        </w:rPr>
        <w:t>（図表</w:t>
      </w:r>
      <w:r>
        <w:rPr>
          <w:rFonts w:hint="eastAsia" w:ascii="ＭＳ ゴシック" w:hAnsi="ＭＳ ゴシック" w:eastAsia="ＭＳ ゴシック"/>
          <w:b w:val="0"/>
          <w:sz w:val="22"/>
          <w:highlight w:val="none"/>
        </w:rPr>
        <w:t>6-1-1</w:t>
      </w:r>
      <w:r>
        <w:rPr>
          <w:rFonts w:hint="eastAsia" w:ascii="ＭＳ ゴシック" w:hAnsi="ＭＳ ゴシック" w:eastAsia="ＭＳ ゴシック"/>
          <w:b w:val="0"/>
          <w:sz w:val="22"/>
          <w:highlight w:val="none"/>
        </w:rPr>
        <w:t>）　がん患者の受療動向（括弧内は平成</w:t>
      </w:r>
      <w:r>
        <w:rPr>
          <w:rFonts w:hint="eastAsia" w:ascii="ＭＳ ゴシック" w:hAnsi="ＭＳ ゴシック" w:eastAsia="ＭＳ ゴシック"/>
          <w:b w:val="0"/>
          <w:sz w:val="22"/>
          <w:highlight w:val="none"/>
        </w:rPr>
        <w:t>28</w:t>
      </w:r>
      <w:r>
        <w:rPr>
          <w:rFonts w:hint="eastAsia" w:ascii="ＭＳ ゴシック" w:hAnsi="ＭＳ ゴシック" w:eastAsia="ＭＳ ゴシック"/>
          <w:b w:val="0"/>
          <w:sz w:val="22"/>
          <w:highlight w:val="none"/>
        </w:rPr>
        <w:t>年度の数値）</w:t>
      </w:r>
    </w:p>
    <w:p>
      <w:pPr>
        <w:pStyle w:val="0"/>
        <w:ind w:left="84" w:leftChars="40" w:firstLine="1470" w:firstLineChars="700"/>
        <w:rPr>
          <w:rFonts w:hint="eastAsia" w:ascii="ＭＳ ゴシック" w:hAnsi="ＭＳ ゴシック" w:eastAsia="ＭＳ ゴシック"/>
          <w:highlight w:val="none"/>
        </w:rPr>
      </w:pPr>
    </w:p>
    <w:p>
      <w:pPr>
        <w:pStyle w:val="0"/>
        <w:ind w:left="84" w:leftChars="40" w:firstLine="0" w:firstLineChars="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＜外来＞　　　　　　　　　　　　　　　　　　＜入院＞</w:t>
      </w:r>
    </w:p>
    <w:p>
      <w:pPr>
        <w:pStyle w:val="0"/>
        <w:ind w:left="84" w:leftChars="40" w:firstLine="0" w:firstLineChars="0"/>
        <w:rPr>
          <w:rFonts w:hint="eastAsia" w:ascii="ＭＳ ゴシック" w:hAnsi="ＭＳ ゴシック" w:eastAsia="ＭＳ ゴシック"/>
          <w:highlight w:val="none"/>
        </w:rPr>
      </w:pPr>
      <w:r>
        <w:rPr>
          <w:rFonts w:hint="eastAsia"/>
        </w:rPr>
        <w:drawing>
          <wp:anchor simplePos="0" relativeHeight="2" behindDoc="0" locked="0" layoutInCell="1" hidden="0" allowOverlap="1">
            <wp:simplePos x="0" y="0"/>
            <wp:positionH relativeFrom="page">
              <wp:posOffset>3950970</wp:posOffset>
            </wp:positionH>
            <wp:positionV relativeFrom="page">
              <wp:posOffset>4740275</wp:posOffset>
            </wp:positionV>
            <wp:extent cx="2888615" cy="2108835"/>
            <wp:effectExtent l="0" t="0" r="0" b="0"/>
            <wp:wrapNone/>
            <wp:docPr id="1026" name="図 50"/>
            <a:graphic xmlns:a="http://schemas.openxmlformats.org/drawingml/2006/main">
              <a:graphicData uri="http://schemas.openxmlformats.org/drawingml/2006/picture">
                <pic:pic xmlns:pic="http://schemas.openxmlformats.org/drawingml/2006/picture">
                  <pic:nvPicPr>
                    <pic:cNvPr id="1026" name="図 50"/>
                    <pic:cNvPicPr>
                      <a:picLocks noChangeAspect="1"/>
                    </pic:cNvPicPr>
                  </pic:nvPicPr>
                  <pic:blipFill>
                    <a:blip r:embed="rId7"/>
                    <a:stretch>
                      <a:fillRect/>
                    </a:stretch>
                  </pic:blipFill>
                  <pic:spPr>
                    <a:xfrm>
                      <a:off x="0" y="0"/>
                      <a:ext cx="2888615" cy="2108835"/>
                    </a:xfrm>
                    <a:prstGeom prst="rect">
                      <a:avLst/>
                    </a:prstGeom>
                    <a:noFill/>
                    <a:ln>
                      <a:noFill/>
                    </a:ln>
                  </pic:spPr>
                </pic:pic>
              </a:graphicData>
            </a:graphic>
          </wp:anchor>
        </w:drawing>
      </w:r>
      <w:r>
        <w:rPr>
          <w:rFonts w:hint="eastAsia"/>
        </w:rPr>
        <w:drawing>
          <wp:anchor simplePos="0" relativeHeight="3" behindDoc="0" locked="0" layoutInCell="1" hidden="0" allowOverlap="1">
            <wp:simplePos x="0" y="0"/>
            <wp:positionH relativeFrom="page">
              <wp:posOffset>749935</wp:posOffset>
            </wp:positionH>
            <wp:positionV relativeFrom="page">
              <wp:posOffset>4702810</wp:posOffset>
            </wp:positionV>
            <wp:extent cx="2873375" cy="2090420"/>
            <wp:effectExtent l="0" t="0" r="0" b="0"/>
            <wp:wrapNone/>
            <wp:docPr id="1027" name="図 25"/>
            <a:graphic xmlns:a="http://schemas.openxmlformats.org/drawingml/2006/main">
              <a:graphicData uri="http://schemas.openxmlformats.org/drawingml/2006/picture">
                <pic:pic xmlns:pic="http://schemas.openxmlformats.org/drawingml/2006/picture">
                  <pic:nvPicPr>
                    <pic:cNvPr id="1027" name="図 25"/>
                    <pic:cNvPicPr>
                      <a:picLocks noChangeAspect="1"/>
                    </pic:cNvPicPr>
                  </pic:nvPicPr>
                  <pic:blipFill>
                    <a:blip r:embed="rId8"/>
                    <a:stretch>
                      <a:fillRect/>
                    </a:stretch>
                  </pic:blipFill>
                  <pic:spPr>
                    <a:xfrm>
                      <a:off x="0" y="0"/>
                      <a:ext cx="2873375" cy="2090420"/>
                    </a:xfrm>
                    <a:prstGeom prst="rect">
                      <a:avLst/>
                    </a:prstGeom>
                    <a:noFill/>
                    <a:ln>
                      <a:noFill/>
                    </a:ln>
                  </pic:spPr>
                </pic:pic>
              </a:graphicData>
            </a:graphic>
          </wp:anchor>
        </w:drawing>
      </w:r>
    </w:p>
    <w:p>
      <w:pPr>
        <w:pStyle w:val="0"/>
        <w:ind w:left="84" w:leftChars="40" w:firstLine="0" w:firstLineChars="0"/>
        <w:rPr>
          <w:rFonts w:hint="eastAsia" w:ascii="ＭＳ ゴシック" w:hAnsi="ＭＳ ゴシック" w:eastAsia="ＭＳ ゴシック"/>
          <w:highlight w:val="none"/>
        </w:rPr>
      </w:pPr>
    </w:p>
    <w:p>
      <w:pPr>
        <w:pStyle w:val="0"/>
        <w:ind w:left="84" w:leftChars="40" w:firstLine="6720" w:firstLineChars="3200"/>
        <w:rPr>
          <w:rFonts w:hint="eastAsia" w:ascii="ＭＳ ゴシック" w:hAnsi="ＭＳ ゴシック" w:eastAsia="ＭＳ ゴシック"/>
          <w:highlight w:val="none"/>
        </w:rPr>
      </w:pPr>
    </w:p>
    <w:p>
      <w:pPr>
        <w:pStyle w:val="0"/>
        <w:ind w:left="77" w:leftChars="40" w:firstLineChars="0"/>
        <w:rPr>
          <w:rFonts w:hint="eastAsia" w:ascii="ＭＳ ゴシック" w:hAnsi="ＭＳ ゴシック" w:eastAsia="ＭＳ ゴシック"/>
          <w:highlight w:val="none"/>
        </w:rPr>
      </w:pPr>
    </w:p>
    <w:p>
      <w:pPr>
        <w:pStyle w:val="0"/>
        <w:ind w:left="77" w:leftChars="40" w:firstLineChars="0"/>
        <w:rPr>
          <w:rFonts w:hint="eastAsia" w:ascii="ＭＳ ゴシック" w:hAnsi="ＭＳ ゴシック" w:eastAsia="ＭＳ ゴシック"/>
          <w:highlight w:val="none"/>
        </w:rPr>
      </w:pPr>
    </w:p>
    <w:p>
      <w:pPr>
        <w:pStyle w:val="0"/>
        <w:ind w:left="77" w:leftChars="40" w:firstLineChars="0"/>
        <w:rPr>
          <w:rFonts w:hint="eastAsia" w:ascii="ＭＳ ゴシック" w:hAnsi="ＭＳ ゴシック" w:eastAsia="ＭＳ ゴシック"/>
          <w:highlight w:val="none"/>
        </w:rPr>
      </w:pPr>
    </w:p>
    <w:p>
      <w:pPr>
        <w:pStyle w:val="0"/>
        <w:ind w:left="77" w:leftChars="40" w:firstLineChars="0"/>
        <w:rPr>
          <w:rFonts w:hint="eastAsia" w:ascii="ＭＳ ゴシック" w:hAnsi="ＭＳ ゴシック" w:eastAsia="ＭＳ ゴシック"/>
          <w:highlight w:val="none"/>
        </w:rPr>
      </w:pPr>
    </w:p>
    <w:p>
      <w:pPr>
        <w:pStyle w:val="0"/>
        <w:ind w:left="77" w:leftChars="40" w:firstLineChars="0"/>
        <w:rPr>
          <w:rFonts w:hint="eastAsia" w:ascii="ＭＳ ゴシック" w:hAnsi="ＭＳ ゴシック" w:eastAsia="ＭＳ ゴシック"/>
          <w:highlight w:val="none"/>
        </w:rPr>
      </w:pPr>
    </w:p>
    <w:p>
      <w:pPr>
        <w:pStyle w:val="0"/>
        <w:ind w:left="77" w:leftChars="40" w:firstLineChars="0"/>
        <w:rPr>
          <w:rFonts w:hint="eastAsia" w:ascii="ＭＳ ゴシック" w:hAnsi="ＭＳ ゴシック" w:eastAsia="ＭＳ ゴシック"/>
          <w:highlight w:val="none"/>
        </w:rPr>
      </w:pPr>
    </w:p>
    <w:p>
      <w:pPr>
        <w:pStyle w:val="0"/>
        <w:ind w:leftChars="0" w:firstLineChars="0"/>
        <w:rPr>
          <w:rFonts w:hint="eastAsia" w:ascii="ＭＳ ゴシック" w:hAnsi="ＭＳ ゴシック" w:eastAsia="ＭＳ ゴシック"/>
          <w:highlight w:val="none"/>
        </w:rPr>
      </w:pPr>
    </w:p>
    <w:p>
      <w:pPr>
        <w:pStyle w:val="0"/>
        <w:ind w:left="84" w:leftChars="40" w:firstLine="5670" w:firstLineChars="2700"/>
        <w:jc w:val="right"/>
        <w:rPr>
          <w:rFonts w:hint="eastAsia" w:ascii="ＭＳ 明朝" w:hAnsi="ＭＳ 明朝" w:eastAsia="ＭＳ 明朝"/>
          <w:sz w:val="22"/>
          <w:highlight w:val="none"/>
        </w:rPr>
      </w:pPr>
    </w:p>
    <w:p>
      <w:pPr>
        <w:pStyle w:val="0"/>
        <w:ind w:left="84" w:leftChars="40" w:firstLine="5670" w:firstLineChars="2700"/>
        <w:jc w:val="right"/>
        <w:rPr>
          <w:rFonts w:hint="eastAsia" w:ascii="ＭＳ 明朝" w:hAnsi="ＭＳ 明朝" w:eastAsia="ＭＳ 明朝"/>
          <w:sz w:val="22"/>
          <w:highlight w:val="none"/>
        </w:rPr>
      </w:pPr>
      <w:r>
        <w:rPr>
          <w:rFonts w:hint="eastAsia" w:ascii="ＭＳ 明朝" w:hAnsi="ＭＳ 明朝" w:eastAsia="ＭＳ 明朝"/>
          <w:sz w:val="16"/>
          <w:highlight w:val="none"/>
        </w:rPr>
        <w:t>出典：令和４年度高知県患者動態調査</w:t>
      </w:r>
    </w:p>
    <w:p>
      <w:pPr>
        <w:pStyle w:val="0"/>
        <w:spacing w:before="165" w:beforeLines="50" w:beforeAutospacing="0"/>
        <w:rPr>
          <w:rFonts w:hint="eastAsia" w:ascii="ＭＳ 明朝" w:hAnsi="ＭＳ 明朝" w:eastAsia="ＭＳ 明朝"/>
          <w:sz w:val="22"/>
          <w:highlight w:val="none"/>
        </w:rPr>
      </w:pPr>
      <w:r>
        <w:rPr>
          <w:rFonts w:hint="eastAsia" w:ascii="ＭＳ 明朝" w:hAnsi="ＭＳ 明朝" w:eastAsia="ＭＳ 明朝"/>
          <w:b w:val="1"/>
          <w:color w:val="0070C0"/>
          <w:sz w:val="22"/>
          <w:highlight w:val="none"/>
        </w:rPr>
        <w:t>２　がん死亡者数と死亡率の傾向</w:t>
      </w: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sz w:val="22"/>
          <w:highlight w:val="none"/>
        </w:rPr>
        <w:t>（１）がんによる</w:t>
      </w:r>
      <w:r>
        <w:rPr>
          <w:rFonts w:hint="eastAsia" w:ascii="ＭＳ 明朝" w:hAnsi="ＭＳ 明朝" w:eastAsia="ＭＳ 明朝"/>
          <w:b w:val="1"/>
          <w:color w:val="auto"/>
          <w:sz w:val="22"/>
          <w:highlight w:val="none"/>
        </w:rPr>
        <w:t>実死亡者数の推移</w:t>
      </w:r>
    </w:p>
    <w:p>
      <w:pPr>
        <w:pStyle w:val="0"/>
        <w:ind w:left="86" w:leftChars="41" w:firstLine="220" w:firstLineChars="100"/>
        <w:rPr>
          <w:rFonts w:hint="eastAsia" w:ascii="ＭＳ ゴシック" w:hAnsi="ＭＳ ゴシック" w:eastAsia="ＭＳ ゴシック"/>
          <w:color w:val="auto"/>
          <w:highlight w:val="none"/>
        </w:rPr>
      </w:pPr>
      <w:r>
        <w:rPr>
          <w:rFonts w:hint="eastAsia" w:ascii="ＭＳ 明朝" w:hAnsi="ＭＳ 明朝" w:eastAsia="ＭＳ 明朝"/>
          <w:color w:val="auto"/>
          <w:sz w:val="22"/>
          <w:highlight w:val="none"/>
        </w:rPr>
        <w:t>高知県のがんによる死亡者数は、平成７</w:t>
      </w:r>
      <w:r>
        <w:rPr>
          <w:rFonts w:hint="eastAsia" w:ascii="ＭＳ 明朝" w:hAnsi="ＭＳ 明朝" w:eastAsia="ＭＳ 明朝"/>
          <w:color w:val="auto"/>
          <w:sz w:val="22"/>
          <w:highlight w:val="none"/>
        </w:rPr>
        <w:t>(1995)</w:t>
      </w:r>
      <w:r>
        <w:rPr>
          <w:rFonts w:hint="eastAsia" w:ascii="ＭＳ 明朝" w:hAnsi="ＭＳ 明朝" w:eastAsia="ＭＳ 明朝"/>
          <w:color w:val="auto"/>
          <w:sz w:val="22"/>
          <w:highlight w:val="none"/>
        </w:rPr>
        <w:t>年以来毎年</w:t>
      </w:r>
      <w:r>
        <w:rPr>
          <w:rFonts w:hint="eastAsia" w:ascii="ＭＳ 明朝" w:hAnsi="ＭＳ 明朝" w:eastAsia="ＭＳ 明朝"/>
          <w:color w:val="auto"/>
          <w:sz w:val="22"/>
          <w:highlight w:val="none"/>
        </w:rPr>
        <w:t>2,000</w:t>
      </w:r>
      <w:r>
        <w:rPr>
          <w:rFonts w:hint="eastAsia" w:ascii="ＭＳ 明朝" w:hAnsi="ＭＳ 明朝" w:eastAsia="ＭＳ 明朝"/>
          <w:color w:val="auto"/>
          <w:sz w:val="22"/>
          <w:highlight w:val="none"/>
        </w:rPr>
        <w:t>人を超えており、令和４</w:t>
      </w:r>
      <w:r>
        <w:rPr>
          <w:rFonts w:hint="eastAsia" w:ascii="ＭＳ 明朝" w:hAnsi="ＭＳ 明朝" w:eastAsia="ＭＳ 明朝"/>
          <w:color w:val="auto"/>
          <w:sz w:val="22"/>
          <w:highlight w:val="none"/>
        </w:rPr>
        <w:t>(2022)</w:t>
      </w:r>
      <w:r>
        <w:rPr>
          <w:rFonts w:hint="eastAsia" w:ascii="ＭＳ 明朝" w:hAnsi="ＭＳ 明朝" w:eastAsia="ＭＳ 明朝"/>
          <w:color w:val="auto"/>
          <w:sz w:val="22"/>
          <w:highlight w:val="none"/>
        </w:rPr>
        <w:t>年には</w:t>
      </w:r>
      <w:r>
        <w:rPr>
          <w:rFonts w:hint="eastAsia" w:ascii="ＭＳ 明朝" w:hAnsi="ＭＳ 明朝" w:eastAsia="ＭＳ 明朝"/>
          <w:color w:val="auto"/>
          <w:sz w:val="22"/>
          <w:highlight w:val="none"/>
        </w:rPr>
        <w:t>2,607</w:t>
      </w:r>
      <w:r>
        <w:rPr>
          <w:rFonts w:hint="eastAsia" w:ascii="ＭＳ 明朝" w:hAnsi="ＭＳ 明朝" w:eastAsia="ＭＳ 明朝"/>
          <w:color w:val="auto"/>
          <w:sz w:val="22"/>
          <w:highlight w:val="none"/>
        </w:rPr>
        <w:t>人（男性</w:t>
      </w:r>
      <w:r>
        <w:rPr>
          <w:rFonts w:hint="eastAsia" w:ascii="ＭＳ 明朝" w:hAnsi="ＭＳ 明朝" w:eastAsia="ＭＳ 明朝"/>
          <w:color w:val="auto"/>
          <w:sz w:val="22"/>
          <w:highlight w:val="none"/>
        </w:rPr>
        <w:t>1,526</w:t>
      </w:r>
      <w:r>
        <w:rPr>
          <w:rFonts w:hint="eastAsia" w:ascii="ＭＳ 明朝" w:hAnsi="ＭＳ 明朝" w:eastAsia="ＭＳ 明朝"/>
          <w:color w:val="auto"/>
          <w:sz w:val="22"/>
          <w:highlight w:val="none"/>
        </w:rPr>
        <w:t>人、女性</w:t>
      </w:r>
      <w:r>
        <w:rPr>
          <w:rFonts w:hint="eastAsia" w:ascii="ＭＳ 明朝" w:hAnsi="ＭＳ 明朝" w:eastAsia="ＭＳ 明朝"/>
          <w:color w:val="auto"/>
          <w:sz w:val="22"/>
          <w:highlight w:val="none"/>
        </w:rPr>
        <w:t>1,081</w:t>
      </w:r>
      <w:r>
        <w:rPr>
          <w:rFonts w:hint="eastAsia" w:ascii="ＭＳ 明朝" w:hAnsi="ＭＳ 明朝" w:eastAsia="ＭＳ 明朝"/>
          <w:color w:val="auto"/>
          <w:sz w:val="22"/>
          <w:highlight w:val="none"/>
        </w:rPr>
        <w:t>人）となっています。（図表</w:t>
      </w:r>
      <w:r>
        <w:rPr>
          <w:rFonts w:hint="eastAsia" w:ascii="ＭＳ 明朝" w:hAnsi="ＭＳ 明朝" w:eastAsia="ＭＳ 明朝"/>
          <w:color w:val="auto"/>
          <w:sz w:val="22"/>
          <w:highlight w:val="none"/>
        </w:rPr>
        <w:t>6-1-2</w:t>
      </w:r>
      <w:r>
        <w:rPr>
          <w:rFonts w:hint="eastAsia" w:ascii="ＭＳ 明朝" w:hAnsi="ＭＳ 明朝" w:eastAsia="ＭＳ 明朝"/>
          <w:color w:val="auto"/>
          <w:sz w:val="22"/>
          <w:highlight w:val="none"/>
        </w:rPr>
        <w:t>）</w:t>
      </w:r>
    </w:p>
    <w:p>
      <w:pPr>
        <w:pStyle w:val="0"/>
        <w:ind w:leftChars="0" w:firstLineChars="0"/>
        <w:rPr>
          <w:rFonts w:hint="eastAsia" w:ascii="ＭＳ ゴシック" w:hAnsi="ＭＳ ゴシック" w:eastAsia="ＭＳ ゴシック"/>
          <w:color w:val="auto"/>
          <w:highlight w:val="none"/>
        </w:rPr>
      </w:pPr>
    </w:p>
    <w:p>
      <w:pPr>
        <w:pStyle w:val="0"/>
        <w:ind w:leftChars="0" w:firstLineChars="0"/>
        <w:rPr>
          <w:rFonts w:hint="eastAsia" w:ascii="ＭＳ ゴシック" w:hAnsi="ＭＳ ゴシック" w:eastAsia="ＭＳ ゴシック"/>
          <w:color w:val="auto"/>
          <w:highlight w:val="none"/>
        </w:rPr>
      </w:pPr>
    </w:p>
    <w:p>
      <w:pPr>
        <w:pStyle w:val="0"/>
        <w:ind w:leftChars="0" w:firstLineChars="0"/>
        <w:rPr>
          <w:rFonts w:hint="eastAsia" w:ascii="ＭＳ ゴシック" w:hAnsi="ＭＳ ゴシック" w:eastAsia="ＭＳ ゴシック"/>
          <w:color w:val="auto"/>
          <w:highlight w:val="none"/>
        </w:rPr>
      </w:pPr>
    </w:p>
    <w:p>
      <w:pPr>
        <w:pStyle w:val="0"/>
        <w:ind w:leftChars="0" w:firstLineChars="0"/>
        <w:rPr>
          <w:rFonts w:hint="eastAsia" w:ascii="ＭＳ ゴシック" w:hAnsi="ＭＳ ゴシック" w:eastAsia="ＭＳ ゴシック"/>
          <w:color w:val="auto"/>
          <w:highlight w:val="none"/>
        </w:rPr>
      </w:pPr>
    </w:p>
    <w:p>
      <w:pPr>
        <w:pStyle w:val="0"/>
        <w:ind w:leftChars="0" w:firstLineChars="0"/>
        <w:rPr>
          <w:rFonts w:hint="eastAsia" w:ascii="ＭＳ ゴシック" w:hAnsi="ＭＳ ゴシック" w:eastAsia="ＭＳ ゴシック"/>
          <w:color w:val="auto"/>
          <w:highlight w:val="none"/>
        </w:rPr>
      </w:pPr>
    </w:p>
    <w:p>
      <w:pPr>
        <w:pStyle w:val="0"/>
        <w:ind w:leftChars="0" w:firstLineChars="0"/>
        <w:rPr>
          <w:rFonts w:hint="eastAsia" w:ascii="ＭＳ ゴシック" w:hAnsi="ＭＳ ゴシック" w:eastAsia="ＭＳ ゴシック"/>
          <w:color w:val="auto"/>
          <w:highlight w:val="none"/>
        </w:rPr>
      </w:pPr>
    </w:p>
    <w:p>
      <w:pPr>
        <w:pStyle w:val="0"/>
        <w:ind w:leftChars="0" w:firstLineChars="0"/>
        <w:rPr>
          <w:rFonts w:hint="eastAsia" w:ascii="ＭＳ ゴシック" w:hAnsi="ＭＳ ゴシック" w:eastAsia="ＭＳ ゴシック"/>
          <w:color w:val="auto"/>
          <w:highlight w:val="none"/>
        </w:rPr>
      </w:pPr>
    </w:p>
    <w:p>
      <w:pPr>
        <w:pStyle w:val="0"/>
        <w:ind w:left="93" w:leftChars="41" w:firstLine="0" w:firstLineChars="0"/>
        <w:jc w:val="center"/>
        <w:rPr>
          <w:rFonts w:hint="eastAsia" w:ascii="ＭＳ ゴシック" w:hAnsi="ＭＳ ゴシック" w:eastAsia="ＭＳ ゴシック"/>
          <w:color w:val="auto"/>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6-1-2</w:t>
      </w:r>
      <w:r>
        <w:rPr>
          <w:rFonts w:hint="eastAsia" w:ascii="ＭＳ ゴシック" w:hAnsi="ＭＳ ゴシック" w:eastAsia="ＭＳ ゴシック"/>
          <w:b w:val="0"/>
          <w:color w:val="auto"/>
          <w:sz w:val="22"/>
          <w:highlight w:val="none"/>
        </w:rPr>
        <w:t>）がんによる実死亡数の推移（高知県）</w:t>
      </w:r>
      <w:r>
        <w:rPr>
          <w:rFonts w:hint="eastAsia" w:ascii="ＭＳ ゴシック" w:hAnsi="ＭＳ ゴシック" w:eastAsia="ＭＳ ゴシック"/>
          <w:b w:val="0"/>
          <w:color w:val="auto"/>
          <w:sz w:val="21"/>
          <w:highlight w:val="none"/>
        </w:rPr>
        <w:t>（</w:t>
      </w:r>
      <w:r>
        <w:rPr>
          <w:rFonts w:hint="eastAsia" w:ascii="ＭＳ ゴシック" w:hAnsi="ＭＳ ゴシック" w:eastAsia="ＭＳ ゴシック"/>
          <w:b w:val="0"/>
          <w:color w:val="auto"/>
          <w:sz w:val="21"/>
          <w:highlight w:val="none"/>
        </w:rPr>
        <w:t>1974</w:t>
      </w:r>
      <w:r>
        <w:rPr>
          <w:rFonts w:hint="eastAsia" w:ascii="ＭＳ ゴシック" w:hAnsi="ＭＳ ゴシック" w:eastAsia="ＭＳ ゴシック"/>
          <w:b w:val="0"/>
          <w:color w:val="auto"/>
          <w:sz w:val="21"/>
          <w:highlight w:val="none"/>
        </w:rPr>
        <w:t>年～</w:t>
      </w:r>
      <w:r>
        <w:rPr>
          <w:rFonts w:hint="eastAsia" w:ascii="ＭＳ ゴシック" w:hAnsi="ＭＳ ゴシック" w:eastAsia="ＭＳ ゴシック"/>
          <w:b w:val="0"/>
          <w:color w:val="auto"/>
          <w:sz w:val="21"/>
          <w:highlight w:val="none"/>
        </w:rPr>
        <w:t>2022</w:t>
      </w:r>
      <w:r>
        <w:rPr>
          <w:rFonts w:hint="eastAsia" w:ascii="ＭＳ ゴシック" w:hAnsi="ＭＳ ゴシック" w:eastAsia="ＭＳ ゴシック"/>
          <w:b w:val="0"/>
          <w:color w:val="auto"/>
          <w:sz w:val="21"/>
          <w:highlight w:val="none"/>
        </w:rPr>
        <w:t>年）</w:t>
      </w:r>
    </w:p>
    <w:p>
      <w:pPr>
        <w:pStyle w:val="0"/>
        <w:ind w:left="79" w:leftChars="41" w:firstLineChars="0"/>
        <w:jc w:val="center"/>
        <w:rPr>
          <w:rFonts w:hint="eastAsia" w:ascii="ＭＳ ゴシック" w:hAnsi="ＭＳ ゴシック" w:eastAsia="ＭＳ ゴシック"/>
          <w:highlight w:val="none"/>
        </w:rPr>
      </w:pPr>
      <w:r>
        <w:rPr>
          <w:rFonts w:hint="eastAsia"/>
          <w:highlight w:val="none"/>
        </w:rPr>
        <mc:AlternateContent>
          <mc:Choice Requires="wps">
            <w:drawing>
              <wp:anchor distT="0" distB="0" distL="71755" distR="71755" simplePos="0" relativeHeight="4" behindDoc="0" locked="0" layoutInCell="1" hidden="0" allowOverlap="1">
                <wp:simplePos x="0" y="0"/>
                <wp:positionH relativeFrom="column">
                  <wp:posOffset>2907665</wp:posOffset>
                </wp:positionH>
                <wp:positionV relativeFrom="paragraph">
                  <wp:posOffset>1631950</wp:posOffset>
                </wp:positionV>
                <wp:extent cx="2924810" cy="33147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924810" cy="3314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strike w:val="0"/>
                                <w:dstrike w:val="0"/>
                                <w:color w:val="auto"/>
                                <w:sz w:val="16"/>
                                <w:highlight w:val="none"/>
                              </w:rPr>
                              <w:t>出典：令和４年人口動態統計（厚生労働省）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8.5pt;mso-position-vertical-relative:text;mso-position-horizontal-relative:text;position:absolute;height:26.1pt;mso-wrap-distance-top:0pt;width:230.3pt;mso-wrap-distance-left:5.65pt;margin-left:228.95pt;z-index:4;"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trike w:val="0"/>
                          <w:dstrike w:val="0"/>
                          <w:color w:val="auto"/>
                          <w:sz w:val="16"/>
                          <w:highlight w:val="none"/>
                        </w:rPr>
                        <w:t>出典：令和４年人口動態統計（厚生労働省）</w:t>
                      </w:r>
                    </w:p>
                  </w:txbxContent>
                </v:textbox>
                <v:imagedata o:title=""/>
                <w10:wrap type="none" anchorx="text" anchory="text"/>
              </v:shape>
            </w:pict>
          </mc:Fallback>
        </mc:AlternateContent>
      </w:r>
      <w:r>
        <w:rPr>
          <w:rFonts w:hint="eastAsia"/>
          <w:highlight w:val="none"/>
        </w:rPr>
        <w:drawing>
          <wp:inline distT="0" distB="0" distL="203200" distR="203200">
            <wp:extent cx="4752340" cy="181610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4752340" cy="1816100"/>
                    </a:xfrm>
                    <a:prstGeom prst="rect">
                      <a:avLst/>
                    </a:prstGeom>
                  </pic:spPr>
                </pic:pic>
              </a:graphicData>
            </a:graphic>
          </wp:inline>
        </w:drawing>
      </w:r>
    </w:p>
    <w:p>
      <w:pPr>
        <w:pStyle w:val="0"/>
        <w:ind w:left="86" w:leftChars="41"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総死亡に占める死亡原因の割合をみると、</w:t>
      </w:r>
      <w:r>
        <w:rPr>
          <w:rFonts w:hint="eastAsia" w:ascii="ＭＳ 明朝" w:hAnsi="ＭＳ 明朝" w:eastAsia="ＭＳ 明朝"/>
          <w:color w:val="auto"/>
          <w:sz w:val="22"/>
          <w:highlight w:val="none"/>
        </w:rPr>
        <w:t>令和４</w:t>
      </w:r>
      <w:r>
        <w:rPr>
          <w:rFonts w:hint="eastAsia" w:ascii="ＭＳ 明朝" w:hAnsi="ＭＳ 明朝" w:eastAsia="ＭＳ 明朝"/>
          <w:color w:val="auto"/>
          <w:sz w:val="22"/>
          <w:highlight w:val="none"/>
        </w:rPr>
        <w:t xml:space="preserve"> (2022)</w:t>
      </w:r>
      <w:r>
        <w:rPr>
          <w:rFonts w:hint="eastAsia" w:ascii="ＭＳ 明朝" w:hAnsi="ＭＳ 明朝" w:eastAsia="ＭＳ 明朝"/>
          <w:color w:val="auto"/>
          <w:sz w:val="22"/>
          <w:highlight w:val="none"/>
        </w:rPr>
        <w:t>年は、がんが１位で</w:t>
      </w:r>
      <w:r>
        <w:rPr>
          <w:rFonts w:hint="eastAsia" w:ascii="ＭＳ 明朝" w:hAnsi="ＭＳ 明朝" w:eastAsia="ＭＳ 明朝"/>
          <w:color w:val="auto"/>
          <w:sz w:val="22"/>
          <w:highlight w:val="none"/>
        </w:rPr>
        <w:t>22.7</w:t>
      </w:r>
      <w:r>
        <w:rPr>
          <w:rFonts w:hint="eastAsia" w:ascii="ＭＳ 明朝" w:hAnsi="ＭＳ 明朝" w:eastAsia="ＭＳ 明朝"/>
          <w:color w:val="auto"/>
          <w:sz w:val="22"/>
          <w:highlight w:val="none"/>
        </w:rPr>
        <w:t>％と全体の４分の１を占め、２位は心疾患で</w:t>
      </w:r>
      <w:r>
        <w:rPr>
          <w:rFonts w:hint="eastAsia" w:ascii="ＭＳ 明朝" w:hAnsi="ＭＳ 明朝" w:eastAsia="ＭＳ 明朝"/>
          <w:color w:val="auto"/>
          <w:sz w:val="22"/>
          <w:highlight w:val="none"/>
        </w:rPr>
        <w:t>15.2</w:t>
      </w:r>
      <w:r>
        <w:rPr>
          <w:rFonts w:hint="eastAsia" w:ascii="ＭＳ 明朝" w:hAnsi="ＭＳ 明朝" w:eastAsia="ＭＳ 明朝"/>
          <w:color w:val="auto"/>
          <w:sz w:val="22"/>
          <w:highlight w:val="none"/>
        </w:rPr>
        <w:t>％、３位は老衰で</w:t>
      </w:r>
      <w:r>
        <w:rPr>
          <w:rFonts w:hint="eastAsia" w:ascii="ＭＳ 明朝" w:hAnsi="ＭＳ 明朝" w:eastAsia="ＭＳ 明朝"/>
          <w:color w:val="auto"/>
          <w:sz w:val="22"/>
          <w:highlight w:val="none"/>
        </w:rPr>
        <w:t>10.2</w:t>
      </w:r>
      <w:r>
        <w:rPr>
          <w:rFonts w:hint="eastAsia" w:ascii="ＭＳ 明朝" w:hAnsi="ＭＳ 明朝" w:eastAsia="ＭＳ 明朝"/>
          <w:color w:val="auto"/>
          <w:sz w:val="22"/>
          <w:highlight w:val="none"/>
        </w:rPr>
        <w:t>％</w:t>
      </w:r>
      <w:r>
        <w:rPr>
          <w:rFonts w:hint="eastAsia" w:ascii="ＭＳ 明朝" w:hAnsi="ＭＳ 明朝" w:eastAsia="ＭＳ 明朝"/>
          <w:sz w:val="22"/>
          <w:highlight w:val="none"/>
        </w:rPr>
        <w:t>となっており、上位３位までで総死亡の約５割を占めています。</w:t>
      </w:r>
    </w:p>
    <w:p>
      <w:pPr>
        <w:pStyle w:val="0"/>
        <w:ind w:left="84" w:leftChars="40" w:firstLine="220" w:firstLineChars="100"/>
        <w:jc w:val="left"/>
        <w:rPr>
          <w:rFonts w:hint="eastAsia" w:ascii="ＭＳ ゴシック" w:hAnsi="ＭＳ ゴシック" w:eastAsia="ＭＳ ゴシック"/>
          <w:highlight w:val="none"/>
        </w:rPr>
      </w:pPr>
      <w:r>
        <w:rPr>
          <w:rFonts w:hint="eastAsia" w:ascii="ＭＳ 明朝" w:hAnsi="ＭＳ 明朝" w:eastAsia="ＭＳ 明朝"/>
          <w:sz w:val="22"/>
          <w:highlight w:val="none"/>
        </w:rPr>
        <w:t>また、全国も同様の傾向となっています。</w:t>
      </w:r>
    </w:p>
    <w:p>
      <w:pPr>
        <w:pStyle w:val="0"/>
        <w:spacing w:before="165" w:beforeLines="50" w:beforeAutospacing="0"/>
        <w:ind w:left="90" w:leftChars="40" w:firstLine="0" w:firstLineChars="0"/>
        <w:jc w:val="center"/>
        <w:rPr>
          <w:rFonts w:hint="eastAsia" w:ascii="ＭＳ ゴシック" w:hAnsi="ＭＳ ゴシック" w:eastAsia="ＭＳ ゴシック"/>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6-1-3</w:t>
      </w:r>
      <w:r>
        <w:rPr>
          <w:rFonts w:hint="eastAsia" w:ascii="ＭＳ ゴシック" w:hAnsi="ＭＳ ゴシック" w:eastAsia="ＭＳ ゴシック"/>
          <w:b w:val="0"/>
          <w:strike w:val="0"/>
          <w:dstrike w:val="0"/>
          <w:color w:val="auto"/>
          <w:sz w:val="22"/>
          <w:highlight w:val="none"/>
        </w:rPr>
        <w:t>）死因別死亡者数と死亡原因の割合</w:t>
      </w:r>
    </w:p>
    <w:p>
      <w:pPr>
        <w:pStyle w:val="0"/>
        <w:ind w:left="90" w:leftChars="40" w:firstLine="1702" w:firstLineChars="753"/>
        <w:jc w:val="left"/>
        <w:rPr>
          <w:rFonts w:hint="eastAsia" w:ascii="ＭＳ ゴシック" w:hAnsi="ＭＳ ゴシック" w:eastAsia="ＭＳ ゴシック"/>
          <w:highlight w:val="none"/>
        </w:rPr>
      </w:pPr>
      <w:r>
        <w:rPr>
          <w:rFonts w:hint="eastAsia"/>
          <w:highlight w:val="none"/>
        </w:rPr>
        <w:drawing>
          <wp:anchor distT="0" distB="0" distL="203200" distR="203200" simplePos="0" relativeHeight="6" behindDoc="0" locked="0" layoutInCell="1" hidden="0" allowOverlap="1">
            <wp:simplePos x="0" y="0"/>
            <wp:positionH relativeFrom="column">
              <wp:posOffset>358140</wp:posOffset>
            </wp:positionH>
            <wp:positionV relativeFrom="paragraph">
              <wp:posOffset>269875</wp:posOffset>
            </wp:positionV>
            <wp:extent cx="2207260" cy="2194560"/>
            <wp:effectExtent l="0" t="0" r="0" b="0"/>
            <wp:wrapSquare wrapText="bothSides"/>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0"/>
                    <a:stretch>
                      <a:fillRect/>
                    </a:stretch>
                  </pic:blipFill>
                  <pic:spPr>
                    <a:xfrm>
                      <a:off x="0" y="0"/>
                      <a:ext cx="2207260" cy="2194560"/>
                    </a:xfrm>
                    <a:prstGeom prst="rect">
                      <a:avLst/>
                    </a:prstGeom>
                  </pic:spPr>
                </pic:pic>
              </a:graphicData>
            </a:graphic>
          </wp:anchor>
        </w:drawing>
      </w:r>
      <w:r>
        <w:rPr>
          <w:rFonts w:hint="eastAsia" w:ascii="ＭＳ ゴシック" w:hAnsi="ＭＳ ゴシック" w:eastAsia="ＭＳ ゴシック"/>
          <w:b w:val="0"/>
          <w:strike w:val="0"/>
          <w:dstrike w:val="0"/>
          <w:color w:val="auto"/>
          <w:highlight w:val="none"/>
        </w:rPr>
        <w:t>＜高知県＞</w:t>
      </w:r>
      <w:r>
        <w:rPr>
          <w:rFonts w:hint="eastAsia" w:ascii="ＭＳ ゴシック" w:hAnsi="ＭＳ ゴシック" w:eastAsia="ＭＳ ゴシック"/>
          <w:b w:val="0"/>
          <w:strike w:val="0"/>
          <w:dstrike w:val="0"/>
          <w:color w:val="auto"/>
          <w:highlight w:val="none"/>
        </w:rPr>
        <w:t xml:space="preserve">                         </w:t>
      </w:r>
      <w:r>
        <w:rPr>
          <w:rFonts w:hint="eastAsia" w:ascii="ＭＳ ゴシック" w:hAnsi="ＭＳ ゴシック" w:eastAsia="ＭＳ ゴシック"/>
          <w:b w:val="0"/>
          <w:strike w:val="0"/>
          <w:dstrike w:val="0"/>
          <w:color w:val="auto"/>
          <w:highlight w:val="none"/>
        </w:rPr>
        <w:t>　　</w:t>
      </w:r>
      <w:r>
        <w:rPr>
          <w:rFonts w:hint="eastAsia" w:ascii="ＭＳ ゴシック" w:hAnsi="ＭＳ ゴシック" w:eastAsia="ＭＳ ゴシック"/>
          <w:b w:val="0"/>
          <w:strike w:val="0"/>
          <w:dstrike w:val="0"/>
          <w:color w:val="auto"/>
          <w:highlight w:val="none"/>
        </w:rPr>
        <w:t xml:space="preserve"> </w:t>
      </w:r>
      <w:r>
        <w:rPr>
          <w:rFonts w:hint="eastAsia" w:ascii="ＭＳ ゴシック" w:hAnsi="ＭＳ ゴシック" w:eastAsia="ＭＳ ゴシック"/>
          <w:b w:val="0"/>
          <w:strike w:val="0"/>
          <w:dstrike w:val="0"/>
          <w:color w:val="auto"/>
          <w:highlight w:val="none"/>
        </w:rPr>
        <w:t>＜全国＞</w:t>
      </w:r>
    </w:p>
    <w:p>
      <w:pPr>
        <w:pStyle w:val="0"/>
        <w:spacing w:after="165" w:afterLines="50" w:afterAutospacing="0"/>
        <w:ind w:left="77" w:leftChars="40" w:firstLineChars="0"/>
        <w:jc w:val="right"/>
        <w:rPr>
          <w:rFonts w:hint="eastAsia" w:ascii="ＭＳ ゴシック" w:hAnsi="ＭＳ ゴシック" w:eastAsia="ＭＳ ゴシック"/>
          <w:highlight w:val="none"/>
        </w:rPr>
      </w:pPr>
      <w:r>
        <w:rPr>
          <w:rFonts w:hint="eastAsia"/>
          <w:highlight w:val="none"/>
        </w:rPr>
        <w:drawing>
          <wp:anchor distT="0" distB="0" distL="203200" distR="203200" simplePos="0" relativeHeight="7" behindDoc="0" locked="0" layoutInCell="1" hidden="0" allowOverlap="1">
            <wp:simplePos x="0" y="0"/>
            <wp:positionH relativeFrom="column">
              <wp:posOffset>3138805</wp:posOffset>
            </wp:positionH>
            <wp:positionV relativeFrom="paragraph">
              <wp:posOffset>47625</wp:posOffset>
            </wp:positionV>
            <wp:extent cx="2216785" cy="2194560"/>
            <wp:effectExtent l="0" t="0" r="0" b="0"/>
            <wp:wrapSquare wrapText="bothSides"/>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1"/>
                    <a:stretch>
                      <a:fillRect/>
                    </a:stretch>
                  </pic:blipFill>
                  <pic:spPr>
                    <a:xfrm>
                      <a:off x="0" y="0"/>
                      <a:ext cx="2216785" cy="2194560"/>
                    </a:xfrm>
                    <a:prstGeom prst="rect">
                      <a:avLst/>
                    </a:prstGeom>
                  </pic:spPr>
                </pic:pic>
              </a:graphicData>
            </a:graphic>
          </wp:anchor>
        </w:drawing>
      </w:r>
      <w:r>
        <w:rPr>
          <w:rFonts w:hint="eastAsia" w:ascii="ＭＳ 明朝" w:hAnsi="ＭＳ 明朝" w:eastAsia="ＭＳ 明朝"/>
          <w:strike w:val="0"/>
          <w:dstrike w:val="0"/>
          <w:color w:val="auto"/>
          <w:sz w:val="16"/>
          <w:highlight w:val="none"/>
        </w:rPr>
        <w:t>出典：令和４年人口動態統計（厚生労働省）</w:t>
      </w:r>
    </w:p>
    <w:p>
      <w:pPr>
        <w:pStyle w:val="0"/>
        <w:ind w:firstLine="220" w:firstLineChars="100"/>
        <w:rPr>
          <w:rFonts w:hint="eastAsia"/>
          <w:color w:val="auto"/>
          <w:highlight w:val="none"/>
        </w:rPr>
      </w:pPr>
      <w:r>
        <w:rPr>
          <w:rFonts w:hint="eastAsia" w:ascii="ＭＳ 明朝" w:hAnsi="ＭＳ 明朝" w:eastAsia="ＭＳ 明朝"/>
          <w:sz w:val="22"/>
          <w:highlight w:val="none"/>
        </w:rPr>
        <w:t>主な死因別による死亡率の年次推移を見ると、がん、心疾患の増加傾向が続いています。</w:t>
      </w:r>
    </w:p>
    <w:p>
      <w:pPr>
        <w:pStyle w:val="0"/>
        <w:spacing w:before="165" w:beforeLines="50" w:beforeAutospacing="0"/>
        <w:ind w:leftChars="0" w:firstLine="0" w:firstLineChars="0"/>
        <w:jc w:val="center"/>
        <w:rPr>
          <w:rFonts w:hint="eastAsia"/>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6-1-4</w:t>
      </w:r>
      <w:r>
        <w:rPr>
          <w:rFonts w:hint="eastAsia" w:ascii="ＭＳ ゴシック" w:hAnsi="ＭＳ ゴシック" w:eastAsia="ＭＳ ゴシック"/>
          <w:b w:val="0"/>
          <w:strike w:val="0"/>
          <w:dstrike w:val="0"/>
          <w:color w:val="auto"/>
          <w:sz w:val="22"/>
          <w:highlight w:val="none"/>
        </w:rPr>
        <w:t>）主な死因の人口</w:t>
      </w:r>
      <w:r>
        <w:rPr>
          <w:rFonts w:hint="eastAsia" w:ascii="ＭＳ ゴシック" w:hAnsi="ＭＳ ゴシック" w:eastAsia="ＭＳ ゴシック"/>
          <w:b w:val="0"/>
          <w:strike w:val="0"/>
          <w:dstrike w:val="0"/>
          <w:color w:val="auto"/>
          <w:sz w:val="22"/>
          <w:highlight w:val="none"/>
        </w:rPr>
        <w:t>10</w:t>
      </w:r>
      <w:r>
        <w:rPr>
          <w:rFonts w:hint="eastAsia" w:ascii="ＭＳ ゴシック" w:hAnsi="ＭＳ ゴシック" w:eastAsia="ＭＳ ゴシック"/>
          <w:b w:val="0"/>
          <w:strike w:val="0"/>
          <w:dstrike w:val="0"/>
          <w:color w:val="auto"/>
          <w:sz w:val="22"/>
          <w:highlight w:val="none"/>
        </w:rPr>
        <w:t>万対死亡率の推移（高知県）</w:t>
      </w:r>
      <w:r>
        <w:rPr>
          <w:rFonts w:hint="eastAsia" w:ascii="ＭＳ ゴシック" w:hAnsi="ＭＳ ゴシック" w:eastAsia="ＭＳ ゴシック"/>
          <w:b w:val="0"/>
          <w:strike w:val="0"/>
          <w:dstrike w:val="0"/>
          <w:color w:val="auto"/>
          <w:sz w:val="21"/>
          <w:highlight w:val="none"/>
        </w:rPr>
        <w:t>（</w:t>
      </w:r>
      <w:r>
        <w:rPr>
          <w:rFonts w:hint="eastAsia" w:ascii="ＭＳ ゴシック" w:hAnsi="ＭＳ ゴシック" w:eastAsia="ＭＳ ゴシック"/>
          <w:b w:val="0"/>
          <w:strike w:val="0"/>
          <w:dstrike w:val="0"/>
          <w:color w:val="auto"/>
          <w:sz w:val="21"/>
          <w:highlight w:val="none"/>
        </w:rPr>
        <w:t>1974</w:t>
      </w:r>
      <w:r>
        <w:rPr>
          <w:rFonts w:hint="eastAsia" w:ascii="ＭＳ ゴシック" w:hAnsi="ＭＳ ゴシック" w:eastAsia="ＭＳ ゴシック"/>
          <w:b w:val="0"/>
          <w:strike w:val="0"/>
          <w:dstrike w:val="0"/>
          <w:color w:val="auto"/>
          <w:sz w:val="21"/>
          <w:highlight w:val="none"/>
        </w:rPr>
        <w:t>年～</w:t>
      </w:r>
      <w:r>
        <w:rPr>
          <w:rFonts w:hint="eastAsia" w:ascii="ＭＳ ゴシック" w:hAnsi="ＭＳ ゴシック" w:eastAsia="ＭＳ ゴシック"/>
          <w:b w:val="0"/>
          <w:strike w:val="0"/>
          <w:dstrike w:val="0"/>
          <w:color w:val="auto"/>
          <w:sz w:val="21"/>
          <w:highlight w:val="none"/>
        </w:rPr>
        <w:t>2022</w:t>
      </w:r>
      <w:r>
        <w:rPr>
          <w:rFonts w:hint="eastAsia" w:ascii="ＭＳ ゴシック" w:hAnsi="ＭＳ ゴシック" w:eastAsia="ＭＳ ゴシック"/>
          <w:b w:val="0"/>
          <w:strike w:val="0"/>
          <w:dstrike w:val="0"/>
          <w:color w:val="auto"/>
          <w:sz w:val="21"/>
          <w:highlight w:val="none"/>
        </w:rPr>
        <w:t>年）</w:t>
      </w:r>
    </w:p>
    <w:p>
      <w:pPr>
        <w:pStyle w:val="0"/>
        <w:jc w:val="center"/>
        <w:rPr>
          <w:rFonts w:hint="eastAsia"/>
          <w:highlight w:val="none"/>
        </w:rPr>
      </w:pPr>
      <w:r>
        <w:rPr>
          <w:rFonts w:hint="eastAsia"/>
          <w:highlight w:val="none"/>
        </w:rPr>
        <mc:AlternateContent>
          <mc:Choice Requires="wps">
            <w:drawing>
              <wp:anchor distT="0" distB="0" distL="71755" distR="71755" simplePos="0" relativeHeight="8" behindDoc="0" locked="0" layoutInCell="1" hidden="0" allowOverlap="1">
                <wp:simplePos x="0" y="0"/>
                <wp:positionH relativeFrom="column">
                  <wp:posOffset>3055620</wp:posOffset>
                </wp:positionH>
                <wp:positionV relativeFrom="paragraph">
                  <wp:posOffset>1684020</wp:posOffset>
                </wp:positionV>
                <wp:extent cx="2924810" cy="33147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2924810" cy="3314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strike w:val="0"/>
                                <w:dstrike w:val="0"/>
                                <w:color w:val="auto"/>
                                <w:sz w:val="16"/>
                                <w:highlight w:val="none"/>
                              </w:rPr>
                              <w:t>出典：令和４年人口動態統計（厚生労働省）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2.6pt;mso-position-vertical-relative:text;mso-position-horizontal-relative:text;position:absolute;height:26.1pt;mso-wrap-distance-top:0pt;width:230.3pt;mso-wrap-distance-left:5.65pt;margin-left:240.6pt;z-index:8;" o:spid="_x0000_s103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trike w:val="0"/>
                          <w:dstrike w:val="0"/>
                          <w:color w:val="auto"/>
                          <w:sz w:val="16"/>
                          <w:highlight w:val="none"/>
                        </w:rPr>
                        <w:t>出典：令和４年人口動態統計（厚生労働省）</w:t>
                      </w:r>
                    </w:p>
                  </w:txbxContent>
                </v:textbox>
                <v:imagedata o:title=""/>
                <w10:wrap type="none" anchorx="text" anchory="text"/>
              </v:shape>
            </w:pict>
          </mc:Fallback>
        </mc:AlternateContent>
      </w:r>
      <w:r>
        <w:rPr>
          <w:rFonts w:hint="eastAsia"/>
          <w:highlight w:val="none"/>
        </w:rPr>
        <w:drawing>
          <wp:inline distT="0" distB="0" distL="203200" distR="203200">
            <wp:extent cx="5401945" cy="159385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2"/>
                    <a:stretch>
                      <a:fillRect/>
                    </a:stretch>
                  </pic:blipFill>
                  <pic:spPr>
                    <a:xfrm>
                      <a:off x="0" y="0"/>
                      <a:ext cx="5401945" cy="1593850"/>
                    </a:xfrm>
                    <a:prstGeom prst="rect">
                      <a:avLst/>
                    </a:prstGeom>
                  </pic:spPr>
                </pic:pic>
              </a:graphicData>
            </a:graphic>
          </wp:inline>
        </w:drawing>
      </w:r>
    </w:p>
    <w:p>
      <w:pPr>
        <w:pStyle w:val="0"/>
        <w:jc w:val="center"/>
        <w:rPr>
          <w:rFonts w:hint="eastAsia"/>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color w:val="0070C0"/>
          <w:sz w:val="22"/>
          <w:highlight w:val="none"/>
        </w:rPr>
        <w:t>３　科学的根拠に基づくがん予防・がん検診の充実</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rPr>
        <w:t>（１）がんの１次予防</w:t>
      </w:r>
    </w:p>
    <w:p>
      <w:pPr>
        <w:pStyle w:val="0"/>
        <w:spacing w:before="0" w:beforeLines="0" w:beforeAutospacing="0" w:after="82" w:afterLines="25" w:afterAutospacing="0"/>
        <w:rPr>
          <w:rFonts w:hint="eastAsia" w:ascii="ＭＳ ゴシック" w:hAnsi="ＭＳ ゴシック" w:eastAsia="ＭＳ ゴシック"/>
          <w:sz w:val="22"/>
          <w:highlight w:val="none"/>
        </w:rPr>
      </w:pPr>
      <w:r>
        <w:rPr>
          <w:rFonts w:hint="eastAsia" w:ascii="ＭＳ 明朝" w:hAnsi="ＭＳ 明朝" w:eastAsia="ＭＳ 明朝"/>
          <w:sz w:val="22"/>
          <w:highlight w:val="none"/>
        </w:rPr>
        <w:t>　ア　生活習慣について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sz w:val="22"/>
          <w:highlight w:val="none"/>
        </w:rPr>
        <w:t>がんの原因には、喫煙（受動喫煙を含む）、飲酒、食生活、運動等の生活習慣、ウイルスや細菌への感染</w:t>
      </w:r>
      <w:r>
        <w:rPr>
          <w:rFonts w:hint="eastAsia" w:ascii="ＭＳ 明朝" w:hAnsi="ＭＳ 明朝" w:eastAsia="ＭＳ 明朝"/>
          <w:color w:val="auto"/>
          <w:sz w:val="22"/>
          <w:highlight w:val="none"/>
        </w:rPr>
        <w:t>等</w:t>
      </w:r>
      <w:r>
        <w:rPr>
          <w:rFonts w:hint="eastAsia" w:ascii="ＭＳ 明朝" w:hAnsi="ＭＳ 明朝" w:eastAsia="ＭＳ 明朝"/>
          <w:sz w:val="22"/>
          <w:highlight w:val="none"/>
        </w:rPr>
        <w:t>、様々なものがあります。</w:t>
      </w:r>
    </w:p>
    <w:p>
      <w:pPr>
        <w:pStyle w:val="0"/>
        <w:ind w:left="211" w:leftChars="93" w:right="0" w:rightChars="0" w:firstLine="225" w:firstLineChars="99"/>
        <w:rPr>
          <w:rFonts w:hint="eastAsia" w:ascii="ＭＳ 明朝" w:hAnsi="ＭＳ 明朝" w:eastAsia="ＭＳ 明朝"/>
          <w:sz w:val="22"/>
          <w:highlight w:val="none"/>
        </w:rPr>
      </w:pPr>
      <w:r>
        <w:rPr>
          <w:rFonts w:hint="eastAsia" w:ascii="ＭＳ 明朝" w:hAnsi="ＭＳ 明朝" w:eastAsia="ＭＳ 明朝"/>
          <w:sz w:val="22"/>
          <w:highlight w:val="none"/>
        </w:rPr>
        <w:t>生活習慣の中でも、喫煙が肺がんをはじめとする種々のがんの原因となっていることは、科学的根拠をもって示されており、がん予防の観点からも、たばこ対策を進めていくことが重要です。</w:t>
      </w:r>
    </w:p>
    <w:p>
      <w:pPr>
        <w:pStyle w:val="0"/>
        <w:snapToGrid w:val="1"/>
        <w:spacing w:before="82" w:beforeLines="25" w:beforeAutospacing="0"/>
        <w:jc w:val="center"/>
        <w:rPr>
          <w:rFonts w:hint="eastAsia" w:ascii="ＭＳ ゴシック" w:hAnsi="ＭＳ ゴシック" w:eastAsia="ＭＳ ゴシック"/>
          <w:b w:val="0"/>
          <w:sz w:val="22"/>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6-1-5</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sz w:val="22"/>
          <w:highlight w:val="none"/>
        </w:rPr>
        <w:t>がん発生及びがん死の要因別ＰＡＦ</w:t>
      </w:r>
      <w:r>
        <w:rPr>
          <w:rFonts w:hint="eastAsia" w:ascii="ＭＳ ゴシック" w:hAnsi="ＭＳ ゴシック" w:eastAsia="ＭＳ ゴシック"/>
          <w:b w:val="0"/>
          <w:sz w:val="21"/>
          <w:highlight w:val="none"/>
        </w:rPr>
        <w:t>（人口寄与割合</w:t>
      </w:r>
      <w:r>
        <w:rPr>
          <w:rFonts w:hint="eastAsia" w:ascii="ＭＳ ゴシック" w:hAnsi="ＭＳ ゴシック" w:eastAsia="ＭＳ ゴシック"/>
          <w:b w:val="0"/>
          <w:color w:val="auto"/>
          <w:sz w:val="21"/>
          <w:highlight w:val="none"/>
        </w:rPr>
        <w:t>：</w:t>
      </w:r>
    </w:p>
    <w:p>
      <w:pPr>
        <w:pStyle w:val="0"/>
        <w:snapToGrid w:val="1"/>
        <w:spacing w:after="82" w:afterLines="25" w:afterAutospacing="0"/>
        <w:jc w:val="center"/>
        <w:rPr>
          <w:rFonts w:hint="eastAsia" w:ascii="ＭＳ ゴシック" w:hAnsi="ＭＳ ゴシック" w:eastAsia="ＭＳ ゴシック"/>
          <w:b w:val="0"/>
          <w:sz w:val="21"/>
          <w:highlight w:val="none"/>
        </w:rPr>
      </w:pPr>
      <w:r>
        <w:rPr>
          <w:rFonts w:hint="eastAsia" w:ascii="ＭＳ ゴシック" w:hAnsi="ＭＳ ゴシック" w:eastAsia="ＭＳ ゴシック"/>
          <w:b w:val="0"/>
          <w:color w:val="auto"/>
          <w:sz w:val="21"/>
          <w:highlight w:val="none"/>
        </w:rPr>
        <w:t>その要因によって起こっているであろうがんの割合）</w:t>
      </w:r>
    </w:p>
    <w:p>
      <w:pPr>
        <w:pStyle w:val="0"/>
        <w:jc w:val="center"/>
        <w:rPr>
          <w:rFonts w:hint="eastAsia" w:ascii="ＭＳ ゴシック" w:hAnsi="ＭＳ ゴシック" w:eastAsia="ＭＳ ゴシック"/>
          <w:b w:val="0"/>
          <w:highlight w:val="none"/>
        </w:rPr>
      </w:pPr>
      <w:r>
        <w:rPr>
          <w:rFonts w:hint="eastAsia" w:ascii="ＭＳ ゴシック" w:hAnsi="ＭＳ ゴシック" w:eastAsia="ＭＳ ゴシック"/>
          <w:b w:val="0"/>
          <w:sz w:val="21"/>
          <w:highlight w:val="none"/>
        </w:rPr>
        <w:t>がん発生の要因別</w:t>
      </w:r>
      <w:r>
        <w:rPr>
          <w:rFonts w:hint="eastAsia" w:ascii="ＭＳ ゴシック" w:hAnsi="ＭＳ ゴシック" w:eastAsia="ＭＳ ゴシック"/>
          <w:b w:val="0"/>
          <w:sz w:val="21"/>
          <w:highlight w:val="none"/>
        </w:rPr>
        <w:t>PAF</w:t>
      </w:r>
    </w:p>
    <w:p>
      <w:pPr>
        <w:pStyle w:val="0"/>
        <w:jc w:val="center"/>
        <w:rPr>
          <w:rFonts w:hint="eastAsia" w:ascii="ＭＳ ゴシック" w:hAnsi="ＭＳ ゴシック" w:eastAsia="ＭＳ ゴシック"/>
          <w:highlight w:val="none"/>
        </w:rPr>
      </w:pPr>
      <w:r>
        <w:rPr>
          <w:rFonts w:hint="eastAsia"/>
          <w:highlight w:val="none"/>
        </w:rPr>
        <w:drawing>
          <wp:inline distT="0" distB="0" distL="203200" distR="203200">
            <wp:extent cx="5131435" cy="266382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3"/>
                    <a:stretch>
                      <a:fillRect/>
                    </a:stretch>
                  </pic:blipFill>
                  <pic:spPr>
                    <a:xfrm>
                      <a:off x="0" y="0"/>
                      <a:ext cx="5131435" cy="2663825"/>
                    </a:xfrm>
                    <a:prstGeom prst="rect">
                      <a:avLst/>
                    </a:prstGeom>
                  </pic:spPr>
                </pic:pic>
              </a:graphicData>
            </a:graphic>
          </wp:inline>
        </w:drawing>
      </w:r>
    </w:p>
    <w:p>
      <w:pPr>
        <w:pStyle w:val="0"/>
        <w:spacing w:before="82" w:beforeLines="25" w:beforeAutospacing="0"/>
        <w:jc w:val="center"/>
        <w:rPr>
          <w:rFonts w:hint="eastAsia" w:ascii="ＭＳ ゴシック" w:hAnsi="ＭＳ ゴシック" w:eastAsia="ＭＳ ゴシック"/>
          <w:highlight w:val="none"/>
        </w:rPr>
      </w:pPr>
      <w:r>
        <w:rPr>
          <w:rFonts w:hint="eastAsia" w:ascii="ＭＳ ゴシック" w:hAnsi="ＭＳ ゴシック" w:eastAsia="ＭＳ ゴシック"/>
          <w:b w:val="0"/>
          <w:sz w:val="21"/>
          <w:highlight w:val="none"/>
        </w:rPr>
        <w:t>がん死の要因別</w:t>
      </w:r>
      <w:r>
        <w:rPr>
          <w:rFonts w:hint="eastAsia" w:ascii="ＭＳ ゴシック" w:hAnsi="ＭＳ ゴシック" w:eastAsia="ＭＳ ゴシック"/>
          <w:b w:val="0"/>
          <w:sz w:val="21"/>
          <w:highlight w:val="none"/>
        </w:rPr>
        <w:t>PAF</w:t>
      </w:r>
    </w:p>
    <w:p>
      <w:pPr>
        <w:pStyle w:val="0"/>
        <w:jc w:val="center"/>
        <w:rPr>
          <w:rFonts w:hint="eastAsia" w:ascii="ＭＳ ゴシック" w:hAnsi="ＭＳ ゴシック" w:eastAsia="ＭＳ ゴシック"/>
          <w:highlight w:val="none"/>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1670685</wp:posOffset>
                </wp:positionH>
                <wp:positionV relativeFrom="paragraph">
                  <wp:posOffset>2836545</wp:posOffset>
                </wp:positionV>
                <wp:extent cx="4098290" cy="33147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4098290" cy="3314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spacing w:line="240" w:lineRule="auto"/>
                              <w:ind w:left="0" w:leftChars="0" w:firstLine="210" w:firstLineChars="100"/>
                              <w:jc w:val="right"/>
                              <w:rPr>
                                <w:rFonts w:hint="eastAsia" w:ascii="ＭＳ 明朝" w:hAnsi="ＭＳ 明朝" w:eastAsia="ＭＳ 明朝"/>
                              </w:rPr>
                            </w:pPr>
                            <w:r>
                              <w:rPr>
                                <w:rFonts w:hint="eastAsia" w:ascii="ＭＳ 明朝" w:hAnsi="ＭＳ 明朝" w:eastAsia="ＭＳ 明朝"/>
                                <w:sz w:val="16"/>
                              </w:rPr>
                              <w:t>出典：国立研究開発法人国立がん研究センター「科学的根拠に基づく発がん性・がん予防効果の評価とがん予防ｶﾞｲﾄﾞﾗｲﾝ提言に関する研究」</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3.35pt;mso-position-vertical-relative:text;mso-position-horizontal-relative:text;position:absolute;height:26.1pt;mso-wrap-distance-top:0pt;width:322.7pt;mso-wrap-distance-left:5.65pt;margin-left:131.55000000000001pt;z-index:11;" o:spid="_x0000_s103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napToGrid w:val="0"/>
                        <w:spacing w:line="240" w:lineRule="auto"/>
                        <w:ind w:left="0" w:leftChars="0" w:firstLine="210" w:firstLineChars="100"/>
                        <w:jc w:val="right"/>
                        <w:rPr>
                          <w:rFonts w:hint="eastAsia" w:ascii="ＭＳ 明朝" w:hAnsi="ＭＳ 明朝" w:eastAsia="ＭＳ 明朝"/>
                        </w:rPr>
                      </w:pPr>
                      <w:r>
                        <w:rPr>
                          <w:rFonts w:hint="eastAsia" w:ascii="ＭＳ 明朝" w:hAnsi="ＭＳ 明朝" w:eastAsia="ＭＳ 明朝"/>
                          <w:sz w:val="16"/>
                        </w:rPr>
                        <w:t>出典：国立研究開発法人国立がん研究センター「科学的根拠に基づく発がん性・がん予防効果の評価とがん予防ｶﾞｲﾄﾞﾗｲﾝ提言に関する研究」</w:t>
                      </w:r>
                    </w:p>
                  </w:txbxContent>
                </v:textbox>
                <v:imagedata o:title=""/>
                <w10:wrap type="none" anchorx="text" anchory="text"/>
              </v:shape>
            </w:pict>
          </mc:Fallback>
        </mc:AlternateContent>
      </w:r>
      <w:r>
        <w:rPr>
          <w:rFonts w:hint="eastAsia"/>
          <w:highlight w:val="none"/>
        </w:rPr>
        <w:drawing>
          <wp:inline distT="0" distB="0" distL="203200" distR="203200">
            <wp:extent cx="5239385" cy="270002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4"/>
                    <a:stretch>
                      <a:fillRect/>
                    </a:stretch>
                  </pic:blipFill>
                  <pic:spPr>
                    <a:xfrm>
                      <a:off x="0" y="0"/>
                      <a:ext cx="5239385" cy="2700020"/>
                    </a:xfrm>
                    <a:prstGeom prst="rect">
                      <a:avLst/>
                    </a:prstGeom>
                  </pic:spPr>
                </pic:pic>
              </a:graphicData>
            </a:graphic>
          </wp:inline>
        </w:drawing>
      </w:r>
    </w:p>
    <w:p>
      <w:pPr>
        <w:pStyle w:val="0"/>
        <w:snapToGrid w:val="0"/>
        <w:jc w:val="center"/>
        <w:rPr>
          <w:rFonts w:hint="eastAsia" w:ascii="ＭＳ ゴシック" w:hAnsi="ＭＳ ゴシック" w:eastAsia="ＭＳ ゴシック"/>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86" w:leftChars="41" w:right="0" w:rightChars="0" w:firstLine="220"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rPr>
        <w:t>県は、喫煙が健康に及ぼす影響等を県民に対して啓発し、喫煙者が禁煙に取り組むきっかけづくりを行います。また、県は、飲酒、食生活、運動等の生活習慣について、健康意識の醸成や保健行動の定着化につながる取組を継続して実</w:t>
      </w:r>
      <w:r>
        <w:rPr>
          <w:rFonts w:hint="eastAsia" w:ascii="ＭＳ 明朝" w:hAnsi="ＭＳ 明朝" w:eastAsia="ＭＳ 明朝"/>
          <w:sz w:val="22"/>
          <w:highlight w:val="none"/>
        </w:rPr>
        <w:t>施します。</w:t>
      </w:r>
    </w:p>
    <w:p>
      <w:pPr>
        <w:pStyle w:val="0"/>
        <w:spacing w:before="165" w:beforeLines="50" w:beforeAutospacing="0"/>
        <w:ind w:left="0" w:leftChars="0" w:firstLine="220"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イ　感染症対策について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ウイルスや細菌の感染は、男性では喫煙に次いで２番目に、女性では最も大きく発がんに寄与する因子となっています。</w:t>
      </w:r>
    </w:p>
    <w:p>
      <w:pPr>
        <w:pStyle w:val="0"/>
        <w:snapToGrid w:val="1"/>
        <w:spacing w:line="240" w:lineRule="auto"/>
        <w:ind w:left="211" w:leftChars="93" w:right="0" w:rightChars="0" w:firstLine="225" w:firstLineChars="99"/>
        <w:rPr>
          <w:rFonts w:hint="eastAsia" w:ascii="ＭＳ ゴシック" w:hAnsi="ＭＳ ゴシック" w:eastAsia="ＭＳ ゴシック"/>
          <w:highlight w:val="none"/>
        </w:rPr>
      </w:pPr>
      <w:r>
        <w:rPr>
          <w:rFonts w:hint="eastAsia" w:ascii="ＭＳ 明朝" w:hAnsi="ＭＳ 明朝" w:eastAsia="ＭＳ 明朝"/>
          <w:sz w:val="22"/>
          <w:highlight w:val="none"/>
        </w:rPr>
        <w:t>発がんに大きく寄与するウイルスや細菌としては、肝がんと関連する肝炎ウイルス、子宮頸がんと関連するヒトパピローマウイルス（以下「ＨＰＶ」という。）、成人</w:t>
      </w:r>
      <w:r>
        <w:rPr>
          <w:rFonts w:hint="eastAsia" w:ascii="ＭＳ 明朝" w:hAnsi="ＭＳ 明朝" w:eastAsia="ＭＳ 明朝"/>
          <w:sz w:val="22"/>
          <w:highlight w:val="none"/>
        </w:rPr>
        <w:t>T</w:t>
      </w:r>
      <w:r>
        <w:rPr>
          <w:rFonts w:hint="eastAsia" w:ascii="ＭＳ 明朝" w:hAnsi="ＭＳ 明朝" w:eastAsia="ＭＳ 明朝"/>
          <w:sz w:val="22"/>
          <w:highlight w:val="none"/>
        </w:rPr>
        <w:t>細胞白血病（ＡＴＬ）と関連するヒト</w:t>
      </w:r>
      <w:r>
        <w:rPr>
          <w:rFonts w:hint="eastAsia" w:ascii="ＭＳ 明朝" w:hAnsi="ＭＳ 明朝" w:eastAsia="ＭＳ 明朝"/>
          <w:sz w:val="22"/>
          <w:highlight w:val="none"/>
        </w:rPr>
        <w:t>T</w:t>
      </w:r>
      <w:r>
        <w:rPr>
          <w:rFonts w:hint="eastAsia" w:ascii="ＭＳ 明朝" w:hAnsi="ＭＳ 明朝" w:eastAsia="ＭＳ 明朝"/>
          <w:sz w:val="22"/>
          <w:highlight w:val="none"/>
        </w:rPr>
        <w:t>細胞白血病ウイルス１型（以下「ＨＴＬＶ－１」という。）、胃がんと関連するヘリコバクター・ピロリ（以下「ピロリ菌」という。）等があります。</w:t>
      </w:r>
    </w:p>
    <w:p>
      <w:pPr>
        <w:pStyle w:val="0"/>
        <w:spacing w:before="82" w:beforeLines="25" w:beforeAutospacing="0"/>
        <w:ind w:right="229" w:rightChars="109"/>
        <w:jc w:val="center"/>
        <w:rPr>
          <w:rFonts w:hint="eastAsia"/>
          <w:sz w:val="22"/>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6-1-6</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sz w:val="22"/>
          <w:highlight w:val="none"/>
        </w:rPr>
        <w:t>インターフェロンフリー治療及び核酸アナログ製剤治療受給者証</w:t>
      </w:r>
    </w:p>
    <w:p>
      <w:pPr>
        <w:pStyle w:val="0"/>
        <w:ind w:right="247" w:rightChars="109" w:firstLine="1951" w:firstLineChars="900"/>
        <w:jc w:val="left"/>
        <w:rPr>
          <w:rFonts w:hint="eastAsia"/>
          <w:highlight w:val="none"/>
        </w:rPr>
      </w:pPr>
      <w:r>
        <w:rPr>
          <w:rFonts w:hint="eastAsia" w:ascii="ＭＳ ゴシック" w:hAnsi="ＭＳ ゴシック" w:eastAsia="ＭＳ ゴシック"/>
          <w:b w:val="0"/>
          <w:sz w:val="22"/>
          <w:highlight w:val="none"/>
        </w:rPr>
        <w:t>交付人数（人）</w:t>
      </w:r>
    </w:p>
    <w:tbl>
      <w:tblPr>
        <w:tblStyle w:val="11"/>
        <w:tblW w:w="9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898"/>
        <w:gridCol w:w="969"/>
        <w:gridCol w:w="1269"/>
        <w:gridCol w:w="1015"/>
        <w:gridCol w:w="1014"/>
        <w:gridCol w:w="1015"/>
        <w:gridCol w:w="1015"/>
      </w:tblGrid>
      <w:tr>
        <w:trPr>
          <w:trHeight w:val="390" w:hRule="atLeast"/>
        </w:trPr>
        <w:tc>
          <w:tcPr>
            <w:tcW w:w="4195" w:type="dxa"/>
            <w:gridSpan w:val="2"/>
            <w:tcBorders>
              <w:top w:val="single" w:color="000000" w:sz="4" w:space="0"/>
              <w:left w:val="single" w:color="000000" w:sz="4" w:space="0"/>
              <w:bottom w:val="single" w:color="000000" w:sz="8"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　</w:t>
            </w:r>
          </w:p>
        </w:tc>
        <w:tc>
          <w:tcPr>
            <w:tcW w:w="1376" w:type="dxa"/>
            <w:tcBorders>
              <w:top w:val="single" w:color="000000" w:sz="4" w:space="0"/>
              <w:left w:val="nil"/>
              <w:bottom w:val="single" w:color="000000" w:sz="8"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平成</w:t>
            </w:r>
            <w:r>
              <w:rPr>
                <w:rFonts w:hint="default" w:ascii="ＭＳ 明朝" w:hAnsi="ＭＳ 明朝" w:eastAsia="ＭＳ 明朝"/>
                <w:b w:val="0"/>
                <w:i w:val="0"/>
                <w:smallCaps w:val="0"/>
                <w:sz w:val="22"/>
                <w:highlight w:val="none"/>
              </w:rPr>
              <w:t>30</w:t>
            </w:r>
            <w:r>
              <w:rPr>
                <w:rFonts w:hint="default" w:ascii="ＭＳ 明朝" w:hAnsi="ＭＳ 明朝" w:eastAsia="ＭＳ 明朝"/>
                <w:b w:val="0"/>
                <w:i w:val="0"/>
                <w:smallCaps w:val="0"/>
                <w:sz w:val="22"/>
                <w:highlight w:val="none"/>
              </w:rPr>
              <w:t>年</w:t>
            </w:r>
          </w:p>
        </w:tc>
        <w:tc>
          <w:tcPr>
            <w:tcW w:w="1100" w:type="dxa"/>
            <w:tcBorders>
              <w:top w:val="single" w:color="000000" w:sz="4" w:space="0"/>
              <w:left w:val="nil"/>
              <w:bottom w:val="single" w:color="000000" w:sz="8"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令和元年</w:t>
            </w:r>
          </w:p>
        </w:tc>
        <w:tc>
          <w:tcPr>
            <w:tcW w:w="1100" w:type="dxa"/>
            <w:tcBorders>
              <w:top w:val="single" w:color="000000" w:sz="4" w:space="0"/>
              <w:left w:val="nil"/>
              <w:bottom w:val="single" w:color="000000" w:sz="8"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令和２年</w:t>
            </w:r>
          </w:p>
        </w:tc>
        <w:tc>
          <w:tcPr>
            <w:tcW w:w="1100" w:type="dxa"/>
            <w:tcBorders>
              <w:top w:val="single" w:color="000000" w:sz="4" w:space="0"/>
              <w:left w:val="nil"/>
              <w:bottom w:val="single" w:color="000000" w:sz="8"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令和３年</w:t>
            </w:r>
          </w:p>
        </w:tc>
        <w:tc>
          <w:tcPr>
            <w:tcW w:w="1100" w:type="dxa"/>
            <w:tcBorders>
              <w:top w:val="single" w:color="000000" w:sz="4" w:space="0"/>
              <w:left w:val="nil"/>
              <w:bottom w:val="single" w:color="000000" w:sz="8" w:space="0"/>
              <w:right w:val="single" w:color="000000" w:sz="4" w:space="0"/>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令和４年</w:t>
            </w:r>
          </w:p>
        </w:tc>
      </w:tr>
      <w:tr>
        <w:trPr>
          <w:trHeight w:val="540" w:hRule="atLeast"/>
        </w:trPr>
        <w:tc>
          <w:tcPr>
            <w:tcW w:w="3145" w:type="dxa"/>
            <w:tcBorders>
              <w:top w:val="nil"/>
              <w:left w:val="single" w:color="000000" w:sz="4" w:space="0"/>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0"/>
                <w:highlight w:val="none"/>
              </w:rPr>
            </w:pPr>
            <w:r>
              <w:rPr>
                <w:rFonts w:hint="default" w:ascii="ＭＳ 明朝" w:hAnsi="ＭＳ 明朝" w:eastAsia="ＭＳ 明朝"/>
                <w:b w:val="0"/>
                <w:i w:val="0"/>
                <w:smallCaps w:val="0"/>
                <w:sz w:val="20"/>
                <w:highlight w:val="none"/>
              </w:rPr>
              <w:t>インターフェロンフリー治療</w:t>
            </w:r>
          </w:p>
        </w:tc>
        <w:tc>
          <w:tcPr>
            <w:tcW w:w="722" w:type="dxa"/>
            <w:vMerge w:val="restart"/>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新規</w:t>
            </w:r>
          </w:p>
        </w:tc>
        <w:tc>
          <w:tcPr>
            <w:tcW w:w="1376"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136</w:t>
            </w:r>
          </w:p>
        </w:tc>
        <w:tc>
          <w:tcPr>
            <w:tcW w:w="1100"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110</w:t>
            </w:r>
          </w:p>
        </w:tc>
        <w:tc>
          <w:tcPr>
            <w:tcW w:w="1100"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49</w:t>
            </w:r>
          </w:p>
        </w:tc>
        <w:tc>
          <w:tcPr>
            <w:tcW w:w="1100"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57</w:t>
            </w:r>
          </w:p>
        </w:tc>
        <w:tc>
          <w:tcPr>
            <w:tcW w:w="1100" w:type="dxa"/>
            <w:tcBorders>
              <w:top w:val="nil"/>
              <w:left w:val="nil"/>
              <w:bottom w:val="nil"/>
              <w:right w:val="single" w:color="000000" w:sz="4" w:space="0"/>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50</w:t>
            </w:r>
          </w:p>
        </w:tc>
      </w:tr>
      <w:tr>
        <w:trPr>
          <w:trHeight w:val="540" w:hRule="atLeast"/>
        </w:trPr>
        <w:tc>
          <w:tcPr>
            <w:tcW w:w="3145" w:type="dxa"/>
            <w:tcBorders>
              <w:top w:val="nil"/>
              <w:left w:val="single" w:color="000000" w:sz="4" w:space="0"/>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0"/>
                <w:highlight w:val="none"/>
              </w:rPr>
            </w:pPr>
            <w:r>
              <w:rPr>
                <w:rFonts w:hint="default" w:ascii="ＭＳ 明朝" w:hAnsi="ＭＳ 明朝" w:eastAsia="ＭＳ 明朝"/>
                <w:b w:val="0"/>
                <w:i w:val="0"/>
                <w:smallCaps w:val="0"/>
                <w:sz w:val="20"/>
                <w:highlight w:val="none"/>
              </w:rPr>
              <w:t>核酸アナログ製剤治療</w:t>
            </w:r>
          </w:p>
        </w:tc>
        <w:tc>
          <w:tcPr>
            <w:tcW w:w="722" w:type="dxa"/>
            <w:vMerge w:val="continue"/>
            <w:tcBorders>
              <w:top w:val="nil"/>
              <w:left w:val="nil"/>
              <w:bottom w:val="nil"/>
              <w:right w:val="nil"/>
              <w:tl2br w:val="nil"/>
              <w:tr2bl w:val="nil"/>
            </w:tcBorders>
            <w:vAlign w:val="center"/>
          </w:tcPr>
          <w:p>
            <w:pPr>
              <w:pStyle w:val="0"/>
              <w:rPr>
                <w:rFonts w:hint="default" w:ascii="ＭＳ 明朝" w:hAnsi="ＭＳ 明朝" w:eastAsia="ＭＳ 明朝"/>
                <w:b w:val="0"/>
                <w:i w:val="0"/>
                <w:smallCaps w:val="0"/>
                <w:sz w:val="20"/>
              </w:rPr>
            </w:pPr>
          </w:p>
        </w:tc>
        <w:tc>
          <w:tcPr>
            <w:tcW w:w="1376"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67</w:t>
            </w:r>
          </w:p>
        </w:tc>
        <w:tc>
          <w:tcPr>
            <w:tcW w:w="1100"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45</w:t>
            </w:r>
          </w:p>
        </w:tc>
        <w:tc>
          <w:tcPr>
            <w:tcW w:w="1100"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23</w:t>
            </w:r>
          </w:p>
        </w:tc>
        <w:tc>
          <w:tcPr>
            <w:tcW w:w="1100"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43</w:t>
            </w:r>
          </w:p>
        </w:tc>
        <w:tc>
          <w:tcPr>
            <w:tcW w:w="1100" w:type="dxa"/>
            <w:tcBorders>
              <w:top w:val="nil"/>
              <w:left w:val="nil"/>
              <w:bottom w:val="nil"/>
              <w:right w:val="single" w:color="000000" w:sz="4" w:space="0"/>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41</w:t>
            </w:r>
          </w:p>
        </w:tc>
      </w:tr>
      <w:tr>
        <w:trPr>
          <w:trHeight w:val="540" w:hRule="atLeast"/>
        </w:trPr>
        <w:tc>
          <w:tcPr>
            <w:tcW w:w="3145" w:type="dxa"/>
            <w:tcBorders>
              <w:top w:val="nil"/>
              <w:left w:val="single" w:color="000000" w:sz="4" w:space="0"/>
              <w:bottom w:val="single" w:color="000000" w:sz="4"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0"/>
                <w:highlight w:val="none"/>
              </w:rPr>
            </w:pPr>
            <w:r>
              <w:rPr>
                <w:rFonts w:hint="default" w:ascii="ＭＳ 明朝" w:hAnsi="ＭＳ 明朝" w:eastAsia="ＭＳ 明朝"/>
                <w:b w:val="0"/>
                <w:i w:val="0"/>
                <w:smallCaps w:val="0"/>
                <w:sz w:val="20"/>
                <w:highlight w:val="none"/>
              </w:rPr>
              <w:t>核酸アナログ製剤治療</w:t>
            </w:r>
          </w:p>
        </w:tc>
        <w:tc>
          <w:tcPr>
            <w:tcW w:w="722" w:type="dxa"/>
            <w:tcBorders>
              <w:top w:val="nil"/>
              <w:left w:val="nil"/>
              <w:bottom w:val="single" w:color="000000" w:sz="4"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更新</w:t>
            </w:r>
          </w:p>
        </w:tc>
        <w:tc>
          <w:tcPr>
            <w:tcW w:w="1376" w:type="dxa"/>
            <w:tcBorders>
              <w:top w:val="nil"/>
              <w:left w:val="nil"/>
              <w:bottom w:val="single" w:color="000000" w:sz="4"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515</w:t>
            </w:r>
          </w:p>
        </w:tc>
        <w:tc>
          <w:tcPr>
            <w:tcW w:w="1100" w:type="dxa"/>
            <w:tcBorders>
              <w:top w:val="nil"/>
              <w:left w:val="nil"/>
              <w:bottom w:val="single" w:color="000000" w:sz="4"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512</w:t>
            </w:r>
          </w:p>
        </w:tc>
        <w:tc>
          <w:tcPr>
            <w:tcW w:w="1100" w:type="dxa"/>
            <w:tcBorders>
              <w:top w:val="nil"/>
              <w:left w:val="nil"/>
              <w:bottom w:val="single" w:color="000000" w:sz="4"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376</w:t>
            </w:r>
          </w:p>
        </w:tc>
        <w:tc>
          <w:tcPr>
            <w:tcW w:w="1100" w:type="dxa"/>
            <w:tcBorders>
              <w:top w:val="nil"/>
              <w:left w:val="nil"/>
              <w:bottom w:val="single" w:color="000000" w:sz="4"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523</w:t>
            </w:r>
          </w:p>
        </w:tc>
        <w:tc>
          <w:tcPr>
            <w:tcW w:w="1100" w:type="dxa"/>
            <w:tcBorders>
              <w:top w:val="nil"/>
              <w:left w:val="nil"/>
              <w:bottom w:val="single" w:color="000000" w:sz="4" w:space="0"/>
              <w:right w:val="single" w:color="000000" w:sz="4" w:space="0"/>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522</w:t>
            </w:r>
          </w:p>
        </w:tc>
      </w:tr>
    </w:tbl>
    <w:p>
      <w:pPr>
        <w:pStyle w:val="0"/>
        <w:snapToGrid w:val="0"/>
        <w:rPr>
          <w:rFonts w:hint="eastAsia"/>
          <w:sz w:val="6"/>
          <w:highlight w:val="none"/>
        </w:rPr>
      </w:pPr>
    </w:p>
    <w:p>
      <w:pPr>
        <w:pStyle w:val="0"/>
        <w:spacing w:line="240" w:lineRule="exact"/>
        <w:ind w:right="420" w:rightChars="200"/>
        <w:jc w:val="right"/>
        <w:rPr>
          <w:rFonts w:hint="eastAsia" w:ascii="ＭＳ ゴシック" w:hAnsi="ＭＳ ゴシック" w:eastAsia="ＭＳ ゴシック"/>
          <w:highlight w:val="none"/>
        </w:rPr>
      </w:pPr>
      <w:r>
        <w:rPr>
          <w:rFonts w:hint="eastAsia" w:ascii="ＭＳ 明朝" w:hAnsi="ＭＳ 明朝" w:eastAsia="ＭＳ 明朝"/>
          <w:sz w:val="16"/>
          <w:highlight w:val="none"/>
        </w:rPr>
        <w:t>令和４年度高知県健康対策課調べ</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県及び市町村は、肝炎に関する正しい知識の普及啓発に努めるとともに、肝炎ウイルス検査未受検の者への効果的な受検促進を図ります。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また、県は、令和４年４月に再開したＨＰＶワクチンの定期接種の推進と、定期接種及びキャッチアップ接種の対象者に対する適切な情報提供に取り組みます。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医療機関は、妊産婦に対し必要な検査（ＨＴＬＶ－１抗体検査等）を実施し、適切な指導を行います。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県は、ピロリ菌除菌治療が胃がんのリスクを低下させるとする疫学研究等について、国の動向等を含め情報を収集・発信していきます</w:t>
      </w:r>
      <w:r>
        <w:rPr>
          <w:rFonts w:hint="eastAsia" w:ascii="ＭＳ 明朝" w:hAnsi="ＭＳ 明朝" w:eastAsia="ＭＳ 明朝"/>
          <w:strike w:val="0"/>
          <w:dstrike w:val="0"/>
          <w:color w:val="auto"/>
          <w:sz w:val="22"/>
          <w:highlight w:val="none"/>
          <w:shd w:val="clear" w:color="auto" w:fill="auto"/>
        </w:rPr>
        <w:t>。</w:t>
      </w:r>
    </w:p>
    <w:p>
      <w:pPr>
        <w:pStyle w:val="0"/>
        <w:spacing w:before="165" w:beforeLines="50" w:beforeAutospacing="0"/>
        <w:ind w:firstLine="193"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ウ　がんの教育</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子どもが健康と命の大切さについて学び、自らの健康を適切に管理するとともに、がんに対する正しい知識、がん患者への理解や命の大切さに対する認識を深めることが大切です。</w:t>
      </w:r>
    </w:p>
    <w:p>
      <w:pPr>
        <w:pStyle w:val="0"/>
        <w:snapToGrid w:val="1"/>
        <w:spacing w:line="240" w:lineRule="auto"/>
        <w:ind w:left="211" w:leftChars="93" w:right="0" w:rightChars="0" w:firstLine="225" w:firstLineChars="99"/>
        <w:jc w:val="left"/>
        <w:rPr>
          <w:rFonts w:hint="eastAsia" w:ascii="ＭＳ 明朝" w:hAnsi="ＭＳ 明朝" w:eastAsia="ＭＳ 明朝"/>
          <w:b w:val="0"/>
          <w:sz w:val="22"/>
          <w:highlight w:val="none"/>
          <w:shd w:val="clear" w:color="auto" w:fill="auto"/>
        </w:rPr>
      </w:pPr>
      <w:r>
        <w:rPr>
          <w:rFonts w:hint="eastAsia" w:ascii="ＭＳ 明朝" w:hAnsi="ＭＳ 明朝" w:eastAsia="ＭＳ 明朝"/>
          <w:sz w:val="22"/>
          <w:highlight w:val="none"/>
        </w:rPr>
        <w:t>これらをより一層効果的なものにするため、医師やがん患者・経験者等の外部講師の協力を得て、がんの正しい知識やがん患者・経験者の声を伝えることが重要です。</w:t>
      </w:r>
    </w:p>
    <w:p>
      <w:pPr>
        <w:pStyle w:val="0"/>
        <w:snapToGrid w:val="1"/>
        <w:spacing w:line="240" w:lineRule="auto"/>
        <w:ind w:left="86" w:leftChars="41" w:right="0" w:rightChars="0" w:firstLine="220" w:firstLineChars="100"/>
        <w:jc w:val="left"/>
        <w:rPr>
          <w:rFonts w:hint="eastAsia" w:ascii="ＭＳ 明朝" w:hAnsi="ＭＳ 明朝" w:eastAsia="ＭＳ 明朝"/>
          <w:b w:val="0"/>
          <w:sz w:val="22"/>
          <w:highlight w:val="none"/>
          <w:shd w:val="clear" w:color="auto" w:fill="auto"/>
        </w:rPr>
      </w:pPr>
    </w:p>
    <w:p>
      <w:pPr>
        <w:pStyle w:val="0"/>
        <w:rPr>
          <w:rFonts w:hint="eastAsia" w:ascii="ＭＳ 明朝" w:hAnsi="ＭＳ 明朝" w:eastAsia="ＭＳ 明朝"/>
          <w:b w:val="0"/>
          <w:sz w:val="22"/>
          <w:highlight w:val="none"/>
          <w:shd w:val="clear" w:color="auto" w:fill="auto"/>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b w:val="0"/>
          <w:sz w:val="22"/>
          <w:highlight w:val="none"/>
          <w:shd w:val="clear" w:color="auto" w:fill="auto"/>
        </w:rPr>
      </w:pPr>
      <w:r>
        <w:rPr>
          <w:rFonts w:hint="eastAsia" w:ascii="ＭＳ 明朝" w:hAnsi="ＭＳ 明朝" w:eastAsia="ＭＳ 明朝"/>
          <w:sz w:val="22"/>
          <w:highlight w:val="none"/>
        </w:rPr>
        <w:t>県、市町村、拠点病院、患者団体及び学校は、医師、看護師等医療従事者、がん患者・経験者等の外部講師を活用しながら、連携してがん教育を実施していきます。</w:t>
      </w:r>
    </w:p>
    <w:p>
      <w:pPr>
        <w:pStyle w:val="0"/>
        <w:rPr>
          <w:rFonts w:hint="eastAsia" w:ascii="ＭＳ 明朝" w:hAnsi="ＭＳ 明朝" w:eastAsia="ＭＳ 明朝"/>
          <w:b w:val="0"/>
          <w:sz w:val="22"/>
          <w:highlight w:val="none"/>
          <w:shd w:val="clear" w:color="auto" w:fill="auto"/>
        </w:rPr>
      </w:pPr>
    </w:p>
    <w:p>
      <w:pPr>
        <w:pStyle w:val="0"/>
        <w:rPr>
          <w:rFonts w:hint="eastAsia" w:ascii="ＭＳ 明朝" w:hAnsi="ＭＳ 明朝" w:eastAsia="ＭＳ 明朝"/>
          <w:b w:val="0"/>
          <w:sz w:val="22"/>
          <w:highlight w:val="none"/>
          <w:shd w:val="clear" w:color="auto" w:fill="auto"/>
        </w:rPr>
      </w:pPr>
      <w:r>
        <w:rPr>
          <w:rFonts w:hint="eastAsia" w:ascii="ＭＳ 明朝" w:hAnsi="ＭＳ 明朝" w:eastAsia="ＭＳ 明朝"/>
          <w:b w:val="1"/>
          <w:sz w:val="22"/>
          <w:highlight w:val="none"/>
        </w:rPr>
        <w:t>（２）がんの２次予防（がん検診）</w:t>
      </w:r>
    </w:p>
    <w:p>
      <w:pPr>
        <w:pStyle w:val="0"/>
        <w:ind w:left="0" w:leftChars="100" w:right="0" w:rightChars="0" w:firstLine="0" w:firstLineChars="0"/>
        <w:rPr>
          <w:rFonts w:hint="eastAsia" w:ascii="ＭＳ 明朝" w:hAnsi="ＭＳ 明朝" w:eastAsia="ＭＳ 明朝"/>
          <w:b w:val="0"/>
          <w:sz w:val="22"/>
          <w:highlight w:val="none"/>
          <w:shd w:val="clear" w:color="auto" w:fill="auto"/>
        </w:rPr>
      </w:pPr>
      <w:r>
        <w:rPr>
          <w:rFonts w:hint="eastAsia" w:ascii="ＭＳ 明朝" w:hAnsi="ＭＳ 明朝" w:eastAsia="ＭＳ 明朝"/>
          <w:sz w:val="22"/>
          <w:highlight w:val="none"/>
        </w:rPr>
        <w:t>ア　受診率向上対策について</w:t>
      </w:r>
    </w:p>
    <w:p>
      <w:pPr>
        <w:pStyle w:val="0"/>
        <w:rPr>
          <w:rFonts w:hint="eastAsia" w:ascii="ＭＳ 明朝" w:hAnsi="ＭＳ 明朝" w:eastAsia="ＭＳ 明朝"/>
          <w:b w:val="0"/>
          <w:sz w:val="22"/>
          <w:highlight w:val="none"/>
          <w:shd w:val="clear" w:color="auto" w:fill="auto"/>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ゴシック" w:hAnsi="ＭＳ ゴシック" w:eastAsia="ＭＳ ゴシック"/>
          <w:highlight w:val="none"/>
        </w:rPr>
      </w:pPr>
      <w:r>
        <w:rPr>
          <w:rFonts w:hint="eastAsia" w:ascii="ＭＳ 明朝" w:hAnsi="ＭＳ 明朝" w:eastAsia="ＭＳ 明朝"/>
          <w:sz w:val="22"/>
          <w:highlight w:val="none"/>
        </w:rPr>
        <w:t>がんの死亡者を更に減少させていくためには、がん検診の受診率向上が必要不可欠です。</w:t>
      </w:r>
    </w:p>
    <w:p>
      <w:pPr>
        <w:pStyle w:val="0"/>
        <w:snapToGrid w:val="1"/>
        <w:spacing w:before="165" w:beforeLines="50" w:beforeAutospacing="0" w:line="240" w:lineRule="auto"/>
        <w:ind w:leftChars="0" w:firstLineChars="0"/>
        <w:jc w:val="center"/>
        <w:rPr>
          <w:rFonts w:hint="eastAsia" w:ascii="ＭＳ ゴシック" w:hAnsi="ＭＳ ゴシック" w:eastAsia="ＭＳ ゴシック"/>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6-1-7</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sz w:val="22"/>
          <w:highlight w:val="none"/>
        </w:rPr>
        <w:t>がん検診受診率の全国との比較</w:t>
      </w:r>
      <w:r>
        <w:rPr>
          <w:rFonts w:hint="eastAsia" w:ascii="ＭＳ ゴシック" w:hAnsi="ＭＳ ゴシック" w:eastAsia="ＭＳ ゴシック"/>
          <w:b w:val="0"/>
          <w:sz w:val="21"/>
          <w:highlight w:val="none"/>
        </w:rPr>
        <w:t>（</w:t>
      </w:r>
      <w:r>
        <w:rPr>
          <w:rFonts w:hint="eastAsia" w:ascii="ＭＳ ゴシック" w:hAnsi="ＭＳ ゴシック" w:eastAsia="ＭＳ ゴシック"/>
          <w:b w:val="0"/>
          <w:sz w:val="21"/>
          <w:highlight w:val="none"/>
        </w:rPr>
        <w:t>40-69</w:t>
      </w:r>
      <w:r>
        <w:rPr>
          <w:rFonts w:hint="eastAsia" w:ascii="ＭＳ ゴシック" w:hAnsi="ＭＳ ゴシック" w:eastAsia="ＭＳ ゴシック"/>
          <w:b w:val="0"/>
          <w:sz w:val="21"/>
          <w:highlight w:val="none"/>
        </w:rPr>
        <w:t>歳・子宮頸がんは</w:t>
      </w:r>
      <w:r>
        <w:rPr>
          <w:rFonts w:hint="eastAsia" w:ascii="ＭＳ ゴシック" w:hAnsi="ＭＳ ゴシック" w:eastAsia="ＭＳ ゴシック"/>
          <w:b w:val="0"/>
          <w:sz w:val="21"/>
          <w:highlight w:val="none"/>
        </w:rPr>
        <w:t>20-69</w:t>
      </w:r>
      <w:r>
        <w:rPr>
          <w:rFonts w:hint="eastAsia" w:ascii="ＭＳ ゴシック" w:hAnsi="ＭＳ ゴシック" w:eastAsia="ＭＳ ゴシック"/>
          <w:b w:val="0"/>
          <w:sz w:val="21"/>
          <w:highlight w:val="none"/>
        </w:rPr>
        <w:t>歳）</w:t>
      </w:r>
    </w:p>
    <w:p>
      <w:pPr>
        <w:pStyle w:val="0"/>
        <w:snapToGrid w:val="1"/>
        <w:spacing w:line="240" w:lineRule="auto"/>
        <w:ind w:leftChars="0" w:firstLineChars="0"/>
        <w:rPr>
          <w:rFonts w:hint="eastAsia" w:ascii="ＭＳ ゴシック" w:hAnsi="ＭＳ ゴシック" w:eastAsia="ＭＳ ゴシック"/>
          <w:highlight w:val="none"/>
        </w:rPr>
      </w:pPr>
      <w:r>
        <w:rPr>
          <w:rFonts w:hint="eastAsia"/>
          <w:highlight w:val="none"/>
        </w:rPr>
        <mc:AlternateContent>
          <mc:Choice Requires="wps">
            <w:drawing>
              <wp:anchor distT="0" distB="0" distL="203200" distR="203200" simplePos="0" relativeHeight="13" behindDoc="0" locked="0" layoutInCell="1" hidden="0" allowOverlap="1">
                <wp:simplePos x="0" y="0"/>
                <wp:positionH relativeFrom="column">
                  <wp:posOffset>574040</wp:posOffset>
                </wp:positionH>
                <wp:positionV relativeFrom="paragraph">
                  <wp:posOffset>80645</wp:posOffset>
                </wp:positionV>
                <wp:extent cx="4564380" cy="205295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4564380" cy="2052955"/>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6.35pt;mso-position-vertical-relative:text;mso-position-horizontal-relative:text;position:absolute;height:161.65pt;mso-wrap-distance-top:0pt;width:359.4pt;mso-wrap-distance-left:16pt;margin-left:45.2pt;z-index:13;" o:spid="_x0000_s1037"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highlight w:val="none"/>
        </w:rPr>
        <w:t xml:space="preserve">        </w:t>
      </w:r>
      <w:r>
        <w:rPr>
          <w:rFonts w:hint="eastAsia"/>
          <w:highlight w:val="none"/>
        </w:rPr>
        <w:drawing>
          <wp:inline distT="0" distB="0" distL="203200" distR="203200">
            <wp:extent cx="4563110" cy="204851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5"/>
                    <a:stretch>
                      <a:fillRect/>
                    </a:stretch>
                  </pic:blipFill>
                  <pic:spPr>
                    <a:xfrm>
                      <a:off x="0" y="0"/>
                      <a:ext cx="4563110" cy="2048510"/>
                    </a:xfrm>
                    <a:prstGeom prst="rect">
                      <a:avLst/>
                    </a:prstGeom>
                  </pic:spPr>
                </pic:pic>
              </a:graphicData>
            </a:graphic>
          </wp:inline>
        </w:drawing>
      </w:r>
    </w:p>
    <w:p>
      <w:pPr>
        <w:pStyle w:val="0"/>
        <w:snapToGrid w:val="1"/>
        <w:spacing w:line="240" w:lineRule="auto"/>
        <w:ind w:leftChars="0" w:right="1279" w:rightChars="609" w:firstLineChars="0"/>
        <w:jc w:val="right"/>
        <w:rPr>
          <w:rFonts w:hint="eastAsia" w:ascii="ＭＳ ゴシック" w:hAnsi="ＭＳ ゴシック" w:eastAsia="ＭＳ ゴシック"/>
          <w:highlight w:val="none"/>
        </w:rPr>
      </w:pPr>
      <w:r>
        <w:rPr>
          <w:rFonts w:hint="eastAsia" w:ascii="ＭＳ 明朝" w:hAnsi="ＭＳ 明朝" w:eastAsia="ＭＳ 明朝"/>
          <w:b w:val="0"/>
          <w:sz w:val="16"/>
          <w:highlight w:val="none"/>
        </w:rPr>
        <w:t>出典：令和４年国民生活基礎調査（厚生労働省）</w:t>
      </w:r>
    </w:p>
    <w:p>
      <w:pPr>
        <w:pStyle w:val="0"/>
        <w:spacing w:before="165" w:beforeLines="50" w:beforeAutospacing="0"/>
        <w:ind w:left="210" w:leftChars="100" w:right="0" w:rightChars="0" w:firstLine="220" w:firstLineChars="100"/>
        <w:rPr>
          <w:rFonts w:hint="eastAsia" w:ascii="ＭＳ ゴシック" w:hAnsi="ＭＳ ゴシック" w:eastAsia="ＭＳ ゴシック"/>
          <w:highlight w:val="none"/>
        </w:rPr>
      </w:pPr>
      <w:r>
        <w:rPr>
          <w:rFonts w:hint="eastAsia" w:ascii="ＭＳ 明朝" w:hAnsi="ＭＳ 明朝" w:eastAsia="ＭＳ 明朝"/>
          <w:sz w:val="22"/>
          <w:highlight w:val="none"/>
        </w:rPr>
        <w:t>全国平均より高い壮年期の死亡率改善のため、</w:t>
      </w:r>
      <w:r>
        <w:rPr>
          <w:rFonts w:hint="eastAsia" w:ascii="ＭＳ 明朝" w:hAnsi="ＭＳ 明朝" w:eastAsia="ＭＳ 明朝"/>
          <w:sz w:val="22"/>
          <w:highlight w:val="none"/>
        </w:rPr>
        <w:t>40</w:t>
      </w:r>
      <w:r>
        <w:rPr>
          <w:rFonts w:hint="eastAsia" w:ascii="ＭＳ 明朝" w:hAnsi="ＭＳ 明朝" w:eastAsia="ＭＳ 明朝"/>
          <w:sz w:val="22"/>
          <w:highlight w:val="none"/>
        </w:rPr>
        <w:t>～</w:t>
      </w:r>
      <w:r>
        <w:rPr>
          <w:rFonts w:hint="eastAsia" w:ascii="ＭＳ 明朝" w:hAnsi="ＭＳ 明朝" w:eastAsia="ＭＳ 明朝"/>
          <w:sz w:val="22"/>
          <w:highlight w:val="none"/>
        </w:rPr>
        <w:t>50</w:t>
      </w:r>
      <w:r>
        <w:rPr>
          <w:rFonts w:hint="eastAsia" w:ascii="ＭＳ 明朝" w:hAnsi="ＭＳ 明朝" w:eastAsia="ＭＳ 明朝"/>
          <w:sz w:val="22"/>
          <w:highlight w:val="none"/>
        </w:rPr>
        <w:t>歳代のがん検診の受診率向上に重点を置いて平成</w:t>
      </w:r>
      <w:r>
        <w:rPr>
          <w:rFonts w:hint="eastAsia" w:ascii="ＭＳ 明朝" w:hAnsi="ＭＳ 明朝" w:eastAsia="ＭＳ 明朝"/>
          <w:sz w:val="22"/>
          <w:highlight w:val="none"/>
        </w:rPr>
        <w:t>22</w:t>
      </w:r>
      <w:r>
        <w:rPr>
          <w:rFonts w:hint="eastAsia" w:ascii="ＭＳ 明朝" w:hAnsi="ＭＳ 明朝" w:eastAsia="ＭＳ 明朝"/>
          <w:sz w:val="22"/>
          <w:highlight w:val="none"/>
        </w:rPr>
        <w:t>年度から取組を始めており、対策を講</w:t>
      </w:r>
      <w:r>
        <w:rPr>
          <w:rFonts w:hint="eastAsia" w:ascii="ＭＳ 明朝" w:hAnsi="ＭＳ 明朝" w:eastAsia="ＭＳ 明朝"/>
          <w:b w:val="0"/>
          <w:color w:val="auto"/>
          <w:sz w:val="22"/>
          <w:highlight w:val="none"/>
        </w:rPr>
        <w:t>じ始める前と直近の状況を比較すると、５つの検診全てで受診率が向上し、特に大腸がん検診は、</w:t>
      </w:r>
      <w:r>
        <w:rPr>
          <w:rFonts w:hint="eastAsia" w:ascii="ＭＳ 明朝" w:hAnsi="ＭＳ 明朝" w:eastAsia="ＭＳ 明朝"/>
          <w:b w:val="0"/>
          <w:color w:val="auto"/>
          <w:sz w:val="22"/>
          <w:highlight w:val="none"/>
        </w:rPr>
        <w:t>18.5</w:t>
      </w:r>
      <w:r>
        <w:rPr>
          <w:rFonts w:hint="eastAsia" w:ascii="ＭＳ 明朝" w:hAnsi="ＭＳ 明朝" w:eastAsia="ＭＳ 明朝"/>
          <w:b w:val="0"/>
          <w:color w:val="auto"/>
          <w:sz w:val="22"/>
          <w:highlight w:val="none"/>
        </w:rPr>
        <w:t>ポイント上昇しています。</w:t>
      </w:r>
    </w:p>
    <w:p>
      <w:pPr>
        <w:pStyle w:val="0"/>
        <w:spacing w:before="165" w:beforeLines="50" w:beforeAutospacing="0"/>
        <w:jc w:val="center"/>
        <w:rPr>
          <w:rFonts w:hint="eastAsia" w:ascii="ＭＳ ゴシック" w:hAnsi="ＭＳ ゴシック" w:eastAsia="ＭＳ ゴシック"/>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6-1-8</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sz w:val="22"/>
          <w:highlight w:val="none"/>
        </w:rPr>
        <w:t>高知県民全体のがん検診受診率</w:t>
      </w:r>
      <w:r>
        <w:rPr>
          <w:rFonts w:hint="eastAsia" w:ascii="ＭＳ ゴシック" w:hAnsi="ＭＳ ゴシック" w:eastAsia="ＭＳ ゴシック"/>
          <w:b w:val="0"/>
          <w:sz w:val="21"/>
          <w:highlight w:val="none"/>
        </w:rPr>
        <w:t>（</w:t>
      </w:r>
      <w:r>
        <w:rPr>
          <w:rFonts w:hint="eastAsia" w:ascii="ＭＳ ゴシック" w:hAnsi="ＭＳ ゴシック" w:eastAsia="ＭＳ ゴシック"/>
          <w:b w:val="0"/>
          <w:sz w:val="21"/>
          <w:highlight w:val="none"/>
        </w:rPr>
        <w:t>40-50</w:t>
      </w:r>
      <w:r>
        <w:rPr>
          <w:rFonts w:hint="eastAsia" w:ascii="ＭＳ ゴシック" w:hAnsi="ＭＳ ゴシック" w:eastAsia="ＭＳ ゴシック"/>
          <w:b w:val="0"/>
          <w:sz w:val="21"/>
          <w:highlight w:val="none"/>
        </w:rPr>
        <w:t>歳代・市町村健診＋職域検診）</w:t>
      </w:r>
    </w:p>
    <w:p>
      <w:pPr>
        <w:pStyle w:val="0"/>
        <w:jc w:val="center"/>
        <w:rPr>
          <w:rFonts w:hint="eastAsia" w:ascii="ＭＳ ゴシック" w:hAnsi="ＭＳ ゴシック" w:eastAsia="ＭＳ ゴシック"/>
          <w:highlight w:val="none"/>
        </w:rPr>
      </w:pPr>
      <w:r>
        <w:rPr>
          <w:rFonts w:hint="eastAsia"/>
        </w:rPr>
        <mc:AlternateContent>
          <mc:Choice Requires="wps">
            <w:drawing>
              <wp:anchor simplePos="0" relativeHeight="18" behindDoc="0" locked="0" layoutInCell="1" hidden="0" allowOverlap="1">
                <wp:simplePos x="0" y="0"/>
                <wp:positionH relativeFrom="page">
                  <wp:posOffset>1538605</wp:posOffset>
                </wp:positionH>
                <wp:positionV relativeFrom="page">
                  <wp:posOffset>7040245</wp:posOffset>
                </wp:positionV>
                <wp:extent cx="4433570" cy="244729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4433570" cy="2447290"/>
                        </a:xfrm>
                        <a:prstGeom prst="rect">
                          <a:avLst/>
                        </a:prstGeom>
                        <a:noFill/>
                        <a:ln w="9525" cap="flat" cmpd="sng" algn="ctr">
                          <a:solidFill>
                            <a:sysClr val="windowText" lastClr="000000"/>
                          </a:solidFill>
                          <a:prstDash val="solid"/>
                          <a:miter lim="800000"/>
                        </a:ln>
                      </wps:spPr>
                      <wps:bodyPr/>
                    </wps:wsp>
                  </a:graphicData>
                </a:graphic>
              </wp:anchor>
            </w:drawing>
          </mc:Choice>
          <mc:Fallback>
            <w:pict>
              <v:rect id="オブジェクト 0" style="margin-top:554.35pt;mso-position-vertical-relative:page;mso-position-horizontal-relative:page;position:absolute;height:192.7pt;width:349.1pt;margin-left:121.15pt;z-index:18;" o:spid="_x0000_s1039" o:allowincell="t" o:allowoverlap="t" filled="f" stroked="t" strokecolor="#000000" strokeweight="0.75pt" o:spt="1">
                <v:fill/>
                <v:stroke linestyle="single" miterlimit="8" endcap="flat" dashstyle="solid" filltype="solid"/>
                <v:textbox style="layout-flow:horizontal;"/>
                <v:imagedata o:title=""/>
                <w10:wrap type="none" anchorx="page" anchory="page"/>
              </v:rect>
            </w:pict>
          </mc:Fallback>
        </mc:AlternateContent>
      </w:r>
      <w:r>
        <w:rPr>
          <w:rFonts w:hint="eastAsia"/>
        </w:rPr>
        <w:drawing>
          <wp:anchor simplePos="0" relativeHeight="19" behindDoc="0" locked="0" layoutInCell="1" hidden="0" allowOverlap="1">
            <wp:simplePos x="0" y="0"/>
            <wp:positionH relativeFrom="page">
              <wp:posOffset>2109470</wp:posOffset>
            </wp:positionH>
            <wp:positionV relativeFrom="page">
              <wp:posOffset>7122795</wp:posOffset>
            </wp:positionV>
            <wp:extent cx="3507740" cy="2327910"/>
            <wp:effectExtent l="0" t="0" r="0" b="0"/>
            <wp:wrapNone/>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6"/>
                    <a:stretch>
                      <a:fillRect/>
                    </a:stretch>
                  </pic:blipFill>
                  <pic:spPr>
                    <a:xfrm>
                      <a:off x="0" y="0"/>
                      <a:ext cx="3507740" cy="2327910"/>
                    </a:xfrm>
                    <a:prstGeom prst="rect">
                      <a:avLst/>
                    </a:prstGeom>
                  </pic:spPr>
                </pic:pic>
              </a:graphicData>
            </a:graphic>
          </wp:anchor>
        </w:drawing>
      </w: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rPr>
          <w:rFonts w:hint="eastAsia" w:ascii="ＭＳ ゴシック" w:hAnsi="ＭＳ ゴシック" w:eastAsia="ＭＳ ゴシック"/>
          <w:highlight w:val="none"/>
        </w:rPr>
      </w:pPr>
    </w:p>
    <w:p>
      <w:pPr>
        <w:pStyle w:val="0"/>
        <w:ind w:right="1069" w:rightChars="509" w:firstLine="0" w:firstLineChars="0"/>
        <w:jc w:val="right"/>
        <w:rPr>
          <w:rFonts w:hint="eastAsia" w:ascii="ＭＳ ゴシック" w:hAnsi="ＭＳ ゴシック" w:eastAsia="ＭＳ ゴシック"/>
          <w:highlight w:val="none"/>
        </w:rPr>
      </w:pPr>
      <w:r>
        <w:rPr>
          <w:rFonts w:hint="eastAsia" w:ascii="ＭＳ 明朝" w:hAnsi="ＭＳ 明朝" w:eastAsia="ＭＳ 明朝"/>
          <w:b w:val="0"/>
          <w:sz w:val="16"/>
          <w:highlight w:val="none"/>
        </w:rPr>
        <w:t>出典：令和</w:t>
      </w:r>
      <w:r>
        <w:rPr>
          <w:rFonts w:hint="eastAsia" w:ascii="ＭＳ 明朝" w:hAnsi="ＭＳ 明朝" w:eastAsia="ＭＳ 明朝"/>
          <w:b w:val="0"/>
          <w:color w:val="auto"/>
          <w:sz w:val="16"/>
          <w:highlight w:val="none"/>
        </w:rPr>
        <w:t>５</w:t>
      </w:r>
      <w:r>
        <w:rPr>
          <w:rFonts w:hint="eastAsia" w:ascii="ＭＳ 明朝" w:hAnsi="ＭＳ 明朝" w:eastAsia="ＭＳ 明朝"/>
          <w:b w:val="0"/>
          <w:sz w:val="16"/>
          <w:highlight w:val="none"/>
        </w:rPr>
        <w:t>年度高知県健康対策課調べ</w:t>
      </w:r>
    </w:p>
    <w:p>
      <w:pPr>
        <w:pStyle w:val="0"/>
        <w:ind w:left="226" w:leftChars="100" w:right="70" w:rightChars="31" w:firstLine="226"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令和４年国民生活基礎調査によれば、職域においてがん検診を受けた方の割合は、胃・肺・大腸がんは約</w:t>
      </w:r>
      <w:r>
        <w:rPr>
          <w:rFonts w:hint="eastAsia" w:ascii="ＭＳ 明朝" w:hAnsi="ＭＳ 明朝" w:eastAsia="ＭＳ 明朝"/>
          <w:color w:val="auto"/>
          <w:sz w:val="22"/>
          <w:highlight w:val="none"/>
        </w:rPr>
        <w:t>70</w:t>
      </w:r>
      <w:r>
        <w:rPr>
          <w:rFonts w:hint="eastAsia" w:ascii="ＭＳ 明朝" w:hAnsi="ＭＳ 明朝" w:eastAsia="ＭＳ 明朝"/>
          <w:color w:val="auto"/>
          <w:sz w:val="22"/>
          <w:highlight w:val="none"/>
        </w:rPr>
        <w:t>％、乳がんは約</w:t>
      </w:r>
      <w:r>
        <w:rPr>
          <w:rFonts w:hint="eastAsia" w:ascii="ＭＳ 明朝" w:hAnsi="ＭＳ 明朝" w:eastAsia="ＭＳ 明朝"/>
          <w:color w:val="auto"/>
          <w:sz w:val="22"/>
          <w:highlight w:val="none"/>
        </w:rPr>
        <w:t>50</w:t>
      </w:r>
      <w:r>
        <w:rPr>
          <w:rFonts w:hint="eastAsia" w:ascii="ＭＳ 明朝" w:hAnsi="ＭＳ 明朝" w:eastAsia="ＭＳ 明朝"/>
          <w:color w:val="auto"/>
          <w:sz w:val="22"/>
          <w:highlight w:val="none"/>
        </w:rPr>
        <w:t>％、子宮頸がんは約</w:t>
      </w:r>
      <w:r>
        <w:rPr>
          <w:rFonts w:hint="eastAsia" w:ascii="ＭＳ 明朝" w:hAnsi="ＭＳ 明朝" w:eastAsia="ＭＳ 明朝"/>
          <w:color w:val="auto"/>
          <w:sz w:val="22"/>
          <w:highlight w:val="none"/>
        </w:rPr>
        <w:t>40</w:t>
      </w:r>
      <w:r>
        <w:rPr>
          <w:rFonts w:hint="eastAsia" w:ascii="ＭＳ 明朝" w:hAnsi="ＭＳ 明朝" w:eastAsia="ＭＳ 明朝"/>
          <w:color w:val="auto"/>
          <w:sz w:val="22"/>
          <w:highlight w:val="none"/>
        </w:rPr>
        <w:t>％となっていますが、職域におけるがん検診は、保険者や事業主が任意で実施しているものであり、実施割合、実施されているがん検診の種類、対象者数及び受診者数等を継続的に把握する仕組みがありません。</w:t>
      </w:r>
    </w:p>
    <w:p>
      <w:pPr>
        <w:pStyle w:val="0"/>
        <w:ind w:left="210" w:leftChars="100" w:right="0" w:rightChars="0" w:firstLine="220" w:firstLineChars="100"/>
        <w:rPr>
          <w:rFonts w:hint="eastAsia" w:ascii="ＭＳ ゴシック" w:hAnsi="ＭＳ ゴシック" w:eastAsia="ＭＳ ゴシック"/>
          <w:highlight w:val="none"/>
        </w:rPr>
      </w:pPr>
      <w:r>
        <w:rPr>
          <w:rFonts w:hint="eastAsia" w:ascii="ＭＳ 明朝" w:hAnsi="ＭＳ 明朝" w:eastAsia="ＭＳ 明朝"/>
          <w:color w:val="auto"/>
          <w:sz w:val="22"/>
          <w:highlight w:val="none"/>
        </w:rPr>
        <w:t>職域におけるがん検診について、実施企業における実施状況の把握や、未実施企業における未実施理由の把握等課</w:t>
      </w:r>
      <w:r>
        <w:rPr>
          <w:rFonts w:hint="eastAsia" w:ascii="ＭＳ 明朝" w:hAnsi="ＭＳ 明朝" w:eastAsia="ＭＳ 明朝"/>
          <w:sz w:val="22"/>
          <w:highlight w:val="none"/>
        </w:rPr>
        <w:t>題の整理が必要です。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県は、がん検診を受診しやすい体制の整備に向け、がん検診と特定健診の同時実施の推進、事業主健診時における市町村等で実施するがん検診の受診勧奨の推進、受診手続きのデジタル化</w:t>
      </w:r>
      <w:r>
        <w:rPr>
          <w:rFonts w:hint="eastAsia" w:ascii="ＭＳ 明朝" w:hAnsi="ＭＳ 明朝" w:eastAsia="ＭＳ 明朝"/>
          <w:color w:val="auto"/>
          <w:sz w:val="22"/>
          <w:highlight w:val="none"/>
        </w:rPr>
        <w:t>等</w:t>
      </w:r>
      <w:r>
        <w:rPr>
          <w:rFonts w:hint="eastAsia" w:ascii="ＭＳ 明朝" w:hAnsi="ＭＳ 明朝" w:eastAsia="ＭＳ 明朝"/>
          <w:sz w:val="22"/>
          <w:highlight w:val="none"/>
        </w:rPr>
        <w:t>、利便性の向上に努めます。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また、県及び市町村は、職域におけるがん検診推進のため、事業主等と連携したがん検診の受診促進に取り組みます。</w:t>
      </w:r>
    </w:p>
    <w:p>
      <w:pPr>
        <w:pStyle w:val="0"/>
        <w:spacing w:before="165" w:beforeLines="50" w:beforeAutospacing="0" w:after="165" w:afterLines="50" w:afterAutospacing="0"/>
        <w:ind w:left="0" w:leftChars="100" w:right="0" w:rightChars="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イ　がん検診の精度管理について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ゴシック" w:hAnsi="ＭＳ ゴシック" w:eastAsia="ＭＳ ゴシック"/>
          <w:sz w:val="22"/>
          <w:highlight w:val="none"/>
        </w:rPr>
      </w:pPr>
      <w:r>
        <w:rPr>
          <w:rFonts w:hint="eastAsia" w:ascii="ＭＳ 明朝" w:hAnsi="ＭＳ 明朝" w:eastAsia="ＭＳ 明朝"/>
          <w:sz w:val="22"/>
          <w:highlight w:val="none"/>
        </w:rPr>
        <w:t>がんの早期発見・早期治療につなげ、がんの死亡率を減少させるためには、がん検診における精度管理が必要不可欠です。</w:t>
      </w:r>
    </w:p>
    <w:p>
      <w:pPr>
        <w:pStyle w:val="0"/>
        <w:rPr>
          <w:rFonts w:hint="eastAsia" w:ascii="ＭＳ ゴシック" w:hAnsi="ＭＳ ゴシック" w:eastAsia="ＭＳ ゴシック"/>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100" w:right="0" w:rightChars="0" w:firstLine="220" w:firstLineChars="100"/>
        <w:rPr>
          <w:rFonts w:hint="eastAsia" w:ascii="ＭＳ 明朝" w:hAnsi="ＭＳ 明朝" w:eastAsia="ＭＳ 明朝"/>
          <w:color w:val="auto"/>
          <w:sz w:val="22"/>
          <w:highlight w:val="none"/>
        </w:rPr>
      </w:pPr>
      <w:r>
        <w:rPr>
          <w:rFonts w:hint="eastAsia" w:ascii="ＭＳ 明朝" w:hAnsi="ＭＳ 明朝" w:eastAsia="ＭＳ 明朝"/>
          <w:sz w:val="22"/>
          <w:highlight w:val="none"/>
        </w:rPr>
        <w:t>県は、市町村及び検診機関において、指針に基づく方法でがん検診が行われているか、がん検診の精度管理状況の把握・評価を行い、市町村及び検診機関に情報を還元することにより、検診精度の維持・向上に努めます。</w:t>
      </w:r>
    </w:p>
    <w:p>
      <w:pPr>
        <w:pStyle w:val="0"/>
        <w:spacing w:before="165" w:beforeLines="50" w:beforeAutospacing="0" w:after="165" w:afterLines="50" w:afterAutospacing="0"/>
        <w:ind w:firstLine="193"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ウ　科学的根拠に基づくがん検診の実施について</w:t>
      </w: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color w:val="auto"/>
          <w:sz w:val="22"/>
          <w:highlight w:val="none"/>
        </w:rPr>
      </w:pPr>
      <w:r>
        <w:rPr>
          <w:rFonts w:hint="eastAsia" w:ascii="ＭＳ 明朝" w:hAnsi="ＭＳ 明朝" w:eastAsia="ＭＳ 明朝"/>
          <w:sz w:val="22"/>
          <w:highlight w:val="none"/>
        </w:rPr>
        <w:t>県では、市町村が行うがん検診に対し、国が定める「がん予防重点健康教育及びがん検診実施のための指針」に基づき、「高知県各種検診実施指針（胸部・胃がん・大腸がん・子宮頸がん・乳がん）」を定め、科学的根拠に基づくがん検診の実施を推進しています</w:t>
      </w:r>
      <w:r>
        <w:rPr>
          <w:rFonts w:hint="eastAsia" w:ascii="ＭＳ 明朝" w:hAnsi="ＭＳ 明朝" w:eastAsia="ＭＳ 明朝"/>
          <w:color w:val="auto"/>
          <w:sz w:val="22"/>
          <w:highlight w:val="none"/>
        </w:rPr>
        <w:t>。</w:t>
      </w: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は、市町村に対し、がん検診の担当者ヒアリングや研修会を通じた必要な指導・助言等を行うことで、死亡率の減少効果が認められている、指針に基づくがん検診の適切な実施を引き続き推進します。また、県及び市町村は、科学的根拠に基づくがん検診について、県民の理解を促進するため、普及啓発に努めます。</w: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color w:val="0070C0"/>
          <w:sz w:val="22"/>
          <w:highlight w:val="none"/>
        </w:rPr>
        <w:t>４　患者本位で持続可能ながん医療の提供</w:t>
      </w: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（１）がん医療提供体制等</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ア　医療提供体制の均てん化・集約化について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がん診療の体制整備については、国は全国どこにいても質の高いがん医療が等しく受けられるよう、「都道府県がん診療連携拠点病院」（以下「県拠点病院」という。）、「地域がん診療連携拠点病院」を２次医療圏ごとに１か所指定することとしてい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また、「地域がん診療病院」をがん診療連携拠点病院とのグループ指定をしたうえで拠点病院のない２次医療圏に１か所整備することとしており、厚生労働大臣が指定しています。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本県では、医療機能の集積状況やがん患者の保健医療圏間移動、地理的条件等を踏まえ、４つの保健医療圏（安芸・中央・高幡・幡多）のうち、中央保健医療圏で２病院、幡多保健医療圏で１病院が拠点病院として指定を受けてい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平成</w:t>
      </w:r>
      <w:r>
        <w:rPr>
          <w:rFonts w:hint="eastAsia" w:ascii="ＭＳ 明朝" w:hAnsi="ＭＳ 明朝" w:eastAsia="ＭＳ 明朝"/>
          <w:sz w:val="22"/>
          <w:highlight w:val="none"/>
        </w:rPr>
        <w:t>30</w:t>
      </w:r>
      <w:r>
        <w:rPr>
          <w:rFonts w:hint="eastAsia" w:ascii="ＭＳ 明朝" w:hAnsi="ＭＳ 明朝" w:eastAsia="ＭＳ 明朝"/>
          <w:sz w:val="22"/>
          <w:highlight w:val="none"/>
        </w:rPr>
        <w:t>年度からは、安芸保健医療圏で１病院が県拠点病院とのグループ指定により「地域がん診療病院」として指定されました。</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また、高知県独自に、拠点病院に準ずる病院として、「がん診療連携推進病院」を中央保健医療圏に２病院、指定をしています。</w:t>
      </w:r>
    </w:p>
    <w:p>
      <w:pPr>
        <w:pStyle w:val="0"/>
        <w:snapToGrid w:val="1"/>
        <w:spacing w:line="240" w:lineRule="auto"/>
        <w:ind w:leftChars="0" w:firstLineChars="0"/>
        <w:rPr>
          <w:rFonts w:hint="eastAsia" w:ascii="ＭＳ ゴシック" w:hAnsi="ＭＳ ゴシック" w:eastAsia="ＭＳ ゴシック"/>
          <w:b w:val="1"/>
          <w:color w:val="auto"/>
          <w:highlight w:val="none"/>
        </w:rPr>
      </w:pPr>
    </w:p>
    <w:p>
      <w:pPr>
        <w:pStyle w:val="0"/>
        <w:snapToGrid w:val="1"/>
        <w:spacing w:line="240" w:lineRule="auto"/>
        <w:ind w:leftChars="0" w:firstLineChars="0"/>
        <w:jc w:val="center"/>
        <w:rPr>
          <w:rFonts w:hint="eastAsia" w:ascii="ＭＳ ゴシック" w:hAnsi="ＭＳ ゴシック" w:eastAsia="ＭＳ ゴシック"/>
          <w:b w:val="1"/>
          <w:color w:val="auto"/>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6-1-10</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color w:val="auto"/>
          <w:sz w:val="22"/>
          <w:highlight w:val="none"/>
        </w:rPr>
        <w:t>高知県内のがん診療連携拠点病院等の整備状況</w:t>
      </w:r>
    </w:p>
    <w:tbl>
      <w:tblPr>
        <w:tblStyle w:val="11"/>
        <w:tblW w:w="8935" w:type="dxa"/>
        <w:jc w:val="left"/>
        <w:tblInd w:w="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0" w:type="dxa"/>
        </w:tblCellMar>
        <w:tblLook w:firstRow="1" w:lastRow="0" w:firstColumn="1" w:lastColumn="0" w:noHBand="0" w:noVBand="1" w:val="04A0"/>
      </w:tblPr>
      <w:tblGrid>
        <w:gridCol w:w="1258"/>
        <w:gridCol w:w="2847"/>
        <w:gridCol w:w="1680"/>
        <w:gridCol w:w="3150"/>
      </w:tblGrid>
      <w:tr>
        <w:trPr>
          <w:trHeight w:val="270" w:hRule="atLeast"/>
        </w:trPr>
        <w:tc>
          <w:tcPr>
            <w:tcW w:w="12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保健医療圏</w:t>
            </w: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医療機関名</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所在地</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拠点病院等区分</w:t>
            </w:r>
          </w:p>
        </w:tc>
      </w:tr>
      <w:tr>
        <w:trPr>
          <w:trHeight w:val="454" w:hRule="atLeast"/>
        </w:trPr>
        <w:tc>
          <w:tcPr>
            <w:tcW w:w="12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安芸</w:t>
            </w: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高知県立あき総合病院</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安芸市宝永町</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地域がん診療病院</w:t>
            </w:r>
          </w:p>
        </w:tc>
      </w:tr>
      <w:tr>
        <w:trPr>
          <w:trHeight w:val="454" w:hRule="atLeast"/>
        </w:trPr>
        <w:tc>
          <w:tcPr>
            <w:tcW w:w="125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中央</w:t>
            </w: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国立大学法人</w:t>
            </w:r>
            <w:r>
              <w:rPr>
                <w:rFonts w:hint="eastAsia" w:ascii="ＭＳ 明朝" w:hAnsi="ＭＳ 明朝" w:eastAsia="ＭＳ 明朝"/>
                <w:b w:val="0"/>
                <w:i w:val="0"/>
                <w:smallCaps w:val="0"/>
                <w:sz w:val="20"/>
                <w:highlight w:val="none"/>
              </w:rPr>
              <w:br w:type="textWrapping" w:clear="none"/>
            </w:r>
            <w:r>
              <w:rPr>
                <w:rFonts w:hint="eastAsia" w:ascii="ＭＳ 明朝" w:hAnsi="ＭＳ 明朝" w:eastAsia="ＭＳ 明朝"/>
                <w:b w:val="0"/>
                <w:i w:val="0"/>
                <w:smallCaps w:val="0"/>
                <w:sz w:val="20"/>
                <w:highlight w:val="none"/>
              </w:rPr>
              <w:t>高知大学医学部附属病院</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南国市岡豊町</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都道府県がん診療連携拠点病院</w:t>
            </w:r>
          </w:p>
        </w:tc>
      </w:tr>
      <w:tr>
        <w:trPr>
          <w:trHeight w:val="454" w:hRule="atLeast"/>
        </w:trPr>
        <w:tc>
          <w:tcPr>
            <w:tcW w:w="125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高知県・高知市病院企業団立</w:t>
            </w:r>
            <w:r>
              <w:rPr>
                <w:rFonts w:hint="eastAsia" w:ascii="ＭＳ 明朝" w:hAnsi="ＭＳ 明朝" w:eastAsia="ＭＳ 明朝"/>
                <w:b w:val="0"/>
                <w:i w:val="0"/>
                <w:smallCaps w:val="0"/>
                <w:sz w:val="20"/>
                <w:highlight w:val="none"/>
              </w:rPr>
              <w:br w:type="textWrapping" w:clear="none"/>
            </w:r>
            <w:r>
              <w:rPr>
                <w:rFonts w:hint="eastAsia" w:ascii="ＭＳ 明朝" w:hAnsi="ＭＳ 明朝" w:eastAsia="ＭＳ 明朝"/>
                <w:b w:val="0"/>
                <w:i w:val="0"/>
                <w:smallCaps w:val="0"/>
                <w:sz w:val="20"/>
                <w:highlight w:val="none"/>
              </w:rPr>
              <w:t>高知医療センター</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高知市池</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地域がん診療連携拠点病院</w:t>
            </w:r>
          </w:p>
        </w:tc>
      </w:tr>
      <w:tr>
        <w:trPr>
          <w:trHeight w:val="454" w:hRule="atLeast"/>
        </w:trPr>
        <w:tc>
          <w:tcPr>
            <w:tcW w:w="125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高知赤十字病院</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高知市秦南町</w:t>
            </w:r>
          </w:p>
        </w:tc>
        <w:tc>
          <w:tcPr>
            <w:tcW w:w="315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高知県がん診療連携推進病院</w:t>
            </w:r>
          </w:p>
        </w:tc>
      </w:tr>
      <w:tr>
        <w:trPr>
          <w:trHeight w:val="454" w:hRule="atLeast"/>
        </w:trPr>
        <w:tc>
          <w:tcPr>
            <w:tcW w:w="125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国立病院機構高知病院</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高知市朝倉西町</w:t>
            </w:r>
          </w:p>
        </w:tc>
        <w:tc>
          <w:tcPr>
            <w:tcW w:w="31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rPr>
                <w:rFonts w:hint="eastAsia"/>
              </w:rPr>
            </w:pPr>
          </w:p>
        </w:tc>
      </w:tr>
      <w:tr>
        <w:trPr>
          <w:trHeight w:val="454" w:hRule="atLeast"/>
        </w:trPr>
        <w:tc>
          <w:tcPr>
            <w:tcW w:w="12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高幡</w:t>
            </w:r>
          </w:p>
        </w:tc>
        <w:tc>
          <w:tcPr>
            <w:tcW w:w="767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なし</w:t>
            </w:r>
          </w:p>
        </w:tc>
      </w:tr>
      <w:tr>
        <w:trPr>
          <w:trHeight w:val="454" w:hRule="atLeast"/>
        </w:trPr>
        <w:tc>
          <w:tcPr>
            <w:tcW w:w="12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幡多</w:t>
            </w: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高知県立幡多けんみん病院</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宿毛市山奈町</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地域がん診療連携拠点病院</w:t>
            </w:r>
          </w:p>
        </w:tc>
      </w:tr>
    </w:tbl>
    <w:p>
      <w:pPr>
        <w:pStyle w:val="0"/>
        <w:snapToGrid w:val="1"/>
        <w:spacing w:line="240" w:lineRule="auto"/>
        <w:ind w:left="420" w:leftChars="200" w:firstLine="210" w:firstLineChars="100"/>
        <w:jc w:val="right"/>
        <w:rPr>
          <w:rFonts w:hint="eastAsia" w:ascii="ＭＳ ゴシック" w:hAnsi="ＭＳ ゴシック" w:eastAsia="ＭＳ ゴシック"/>
          <w:b w:val="1"/>
          <w:color w:val="auto"/>
          <w:highlight w:val="none"/>
        </w:rPr>
      </w:pPr>
      <w:r>
        <w:rPr>
          <w:rFonts w:hint="eastAsia" w:ascii="ＭＳ 明朝" w:hAnsi="ＭＳ 明朝" w:eastAsia="ＭＳ 明朝"/>
          <w:color w:val="auto"/>
          <w:sz w:val="16"/>
          <w:highlight w:val="none"/>
        </w:rPr>
        <w:t>令和５年４月１日現在</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拠点病院等は、地域のがん診療を行っている医療機関に対する診療支援や地域のがん診療に携わる医療従事者に対する研修等を通じて、地域全体のがん医療水準の向上に努めます。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県は、がん診療連携拠点病院機能強化事業等で、拠点病院の機能強化にかかる</w:t>
      </w:r>
      <w:r>
        <w:rPr>
          <w:rFonts w:hint="eastAsia" w:ascii="ＭＳ 明朝" w:hAnsi="ＭＳ 明朝" w:eastAsia="ＭＳ 明朝"/>
          <w:color w:val="auto"/>
          <w:sz w:val="22"/>
          <w:highlight w:val="none"/>
        </w:rPr>
        <w:t>取組</w:t>
      </w:r>
      <w:r>
        <w:rPr>
          <w:rFonts w:hint="eastAsia" w:ascii="ＭＳ 明朝" w:hAnsi="ＭＳ 明朝" w:eastAsia="ＭＳ 明朝"/>
          <w:sz w:val="22"/>
          <w:highlight w:val="none"/>
        </w:rPr>
        <w:t>を支援します。</w:t>
      </w:r>
    </w:p>
    <w:p>
      <w:pPr>
        <w:pStyle w:val="0"/>
        <w:snapToGrid w:val="1"/>
        <w:spacing w:line="240" w:lineRule="auto"/>
        <w:ind w:left="86" w:leftChars="41" w:right="0" w:rightChars="0" w:firstLine="220" w:firstLineChars="100"/>
        <w:jc w:val="left"/>
        <w:rPr>
          <w:rFonts w:hint="eastAsia" w:ascii="ＭＳ 明朝" w:hAnsi="ＭＳ 明朝" w:eastAsia="ＭＳ 明朝"/>
          <w:sz w:val="22"/>
          <w:highlight w:val="none"/>
        </w:rPr>
      </w:pP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イ　がんゲノム医療について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内では、高知大学医学部附属病院と高知医療センターが、がんゲノム医療連携病院の指定を受けており、がんゲノム医療中核拠点病院等と連携してがんゲノム医療提供体制整備を推進していく役割が求められています。</w:t>
      </w:r>
    </w:p>
    <w:p>
      <w:pPr>
        <w:pStyle w:val="0"/>
        <w:snapToGrid w:val="1"/>
        <w:spacing w:line="240" w:lineRule="auto"/>
        <w:ind w:left="211" w:leftChars="93" w:right="0" w:rightChars="0" w:firstLine="225" w:firstLineChars="99"/>
        <w:jc w:val="left"/>
        <w:rPr>
          <w:rFonts w:hint="eastAsia" w:ascii="ＭＳ ゴシック" w:hAnsi="ＭＳ ゴシック" w:eastAsia="ＭＳ ゴシック"/>
          <w:sz w:val="22"/>
          <w:highlight w:val="none"/>
        </w:rPr>
      </w:pPr>
      <w:r>
        <w:rPr>
          <w:rFonts w:hint="eastAsia" w:ascii="ＭＳ 明朝" w:hAnsi="ＭＳ 明朝" w:eastAsia="ＭＳ 明朝"/>
          <w:sz w:val="22"/>
          <w:highlight w:val="none"/>
        </w:rPr>
        <w:t>本県では、医療機能の集積状況や地理的課題を抱えながらも、対象患者ががん遺伝子パネル検査を受けられるようにするための</w:t>
      </w:r>
      <w:r>
        <w:rPr>
          <w:rFonts w:hint="eastAsia" w:ascii="ＭＳ 明朝" w:hAnsi="ＭＳ 明朝" w:eastAsia="ＭＳ 明朝"/>
          <w:color w:val="auto"/>
          <w:sz w:val="22"/>
          <w:highlight w:val="none"/>
        </w:rPr>
        <w:t>取組</w:t>
      </w:r>
      <w:r>
        <w:rPr>
          <w:rFonts w:hint="eastAsia" w:ascii="ＭＳ 明朝" w:hAnsi="ＭＳ 明朝" w:eastAsia="ＭＳ 明朝"/>
          <w:sz w:val="22"/>
          <w:highlight w:val="none"/>
        </w:rPr>
        <w:t>が必要です。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がんゲノム医療連携病院は、がんゲノム医療に係る医療提供体制の整備を引き続き推進します。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県及び拠点病院等は、がんゲノム医療に関する県民の理解を促進するため、普及啓発に努めます。</w:t>
      </w:r>
    </w:p>
    <w:p>
      <w:pPr>
        <w:pStyle w:val="0"/>
        <w:spacing w:before="165" w:beforeLines="50" w:beforeAutospacing="0" w:after="0" w:afterLines="0" w:afterAutospacing="0"/>
        <w:ind w:left="0" w:leftChars="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ウ　手術療法・放射線療法・薬物療法について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令和５年度に県が実施した医療機関がん診療体制調査によると、手術療法と薬物療法（外来薬物療法を含む）によるがんの治療については、中央保健医療圏に集中していますが、全ての二次保健医療圏で提供されてい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放射線療法によるがんの治療は、中央及び幡多医療圏に限定されています。</w:t>
      </w:r>
    </w:p>
    <w:p>
      <w:pPr>
        <w:pStyle w:val="0"/>
        <w:spacing w:before="165" w:beforeLines="50" w:beforeAutospacing="0"/>
        <w:jc w:val="center"/>
        <w:rPr>
          <w:rFonts w:hint="eastAsia" w:ascii="ＭＳ ゴシック" w:hAnsi="ＭＳ ゴシック" w:eastAsia="ＭＳ ゴシック"/>
          <w:sz w:val="22"/>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6-1-11</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sz w:val="22"/>
          <w:highlight w:val="none"/>
        </w:rPr>
        <w:t>高知県内でがんの手術療法・放射線療法・薬物療法が提供可能な</w:t>
      </w:r>
    </w:p>
    <w:p>
      <w:pPr>
        <w:pStyle w:val="0"/>
        <w:spacing w:before="0" w:beforeLines="0" w:beforeAutospacing="0"/>
        <w:ind w:left="0" w:leftChars="0" w:firstLine="2111" w:firstLineChars="974"/>
        <w:rPr>
          <w:rFonts w:hint="eastAsia" w:ascii="ＭＳ ゴシック" w:hAnsi="ＭＳ ゴシック" w:eastAsia="ＭＳ ゴシック"/>
          <w:sz w:val="21"/>
          <w:highlight w:val="none"/>
        </w:rPr>
      </w:pPr>
      <w:r>
        <w:rPr>
          <w:rFonts w:hint="eastAsia" w:ascii="ＭＳ ゴシック" w:hAnsi="ＭＳ ゴシック" w:eastAsia="ＭＳ ゴシック"/>
          <w:b w:val="0"/>
          <w:sz w:val="22"/>
          <w:highlight w:val="none"/>
        </w:rPr>
        <w:t>医療機関数</w:t>
      </w:r>
    </w:p>
    <w:tbl>
      <w:tblPr>
        <w:tblStyle w:val="11"/>
        <w:tblW w:w="8610" w:type="dxa"/>
        <w:tblInd w:w="4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0" w:type="dxa"/>
        </w:tblCellMar>
        <w:tblLook w:firstRow="1" w:lastRow="0" w:firstColumn="1" w:lastColumn="0" w:noHBand="0" w:noVBand="1" w:val="04A0"/>
      </w:tblPr>
      <w:tblGrid>
        <w:gridCol w:w="1193"/>
        <w:gridCol w:w="919"/>
        <w:gridCol w:w="1669"/>
        <w:gridCol w:w="965"/>
        <w:gridCol w:w="966"/>
        <w:gridCol w:w="966"/>
        <w:gridCol w:w="966"/>
        <w:gridCol w:w="966"/>
      </w:tblGrid>
      <w:tr>
        <w:trPr>
          <w:trHeight w:val="283" w:hRule="atLeast"/>
        </w:trPr>
        <w:tc>
          <w:tcPr>
            <w:tcW w:w="33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保健医療圏</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安</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芸</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中</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央</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幡</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幡</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多</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総</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数</w:t>
            </w:r>
          </w:p>
        </w:tc>
      </w:tr>
      <w:tr>
        <w:trPr>
          <w:trHeight w:val="283" w:hRule="atLeast"/>
        </w:trPr>
        <w:tc>
          <w:tcPr>
            <w:tcW w:w="10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手術療法</w:t>
            </w:r>
          </w:p>
        </w:tc>
        <w:tc>
          <w:tcPr>
            <w:tcW w:w="22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医療機関数</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24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2</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30</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再掲</w:t>
            </w:r>
          </w:p>
        </w:tc>
        <w:tc>
          <w:tcPr>
            <w:tcW w:w="1458"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肺</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7</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8</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胃</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19</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肝がん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7</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8</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大腸がん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19</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45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乳</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11</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15</w:t>
            </w:r>
          </w:p>
        </w:tc>
      </w:tr>
      <w:tr>
        <w:trPr>
          <w:trHeight w:val="283" w:hRule="atLeast"/>
        </w:trPr>
        <w:tc>
          <w:tcPr>
            <w:tcW w:w="10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放射線</w:t>
            </w:r>
          </w:p>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療法</w:t>
            </w:r>
          </w:p>
        </w:tc>
        <w:tc>
          <w:tcPr>
            <w:tcW w:w="22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医療機関数</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5</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6</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再掲</w:t>
            </w:r>
          </w:p>
        </w:tc>
        <w:tc>
          <w:tcPr>
            <w:tcW w:w="1458"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肺</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5</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20"/>
              </w:rPr>
            </w:pPr>
          </w:p>
        </w:tc>
        <w:tc>
          <w:tcPr>
            <w:tcW w:w="1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胃</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20"/>
              </w:rPr>
            </w:pPr>
          </w:p>
        </w:tc>
        <w:tc>
          <w:tcPr>
            <w:tcW w:w="1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肝がん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20"/>
              </w:rPr>
            </w:pPr>
          </w:p>
        </w:tc>
        <w:tc>
          <w:tcPr>
            <w:tcW w:w="1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大腸がん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5</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45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乳</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5</w:t>
            </w:r>
          </w:p>
        </w:tc>
      </w:tr>
      <w:tr>
        <w:trPr>
          <w:trHeight w:val="283" w:hRule="atLeast"/>
        </w:trPr>
        <w:tc>
          <w:tcPr>
            <w:tcW w:w="105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薬物療法</w:t>
            </w:r>
          </w:p>
        </w:tc>
        <w:tc>
          <w:tcPr>
            <w:tcW w:w="22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医療機関数</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37</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6</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49</w:t>
            </w:r>
          </w:p>
        </w:tc>
      </w:tr>
      <w:tr>
        <w:trPr>
          <w:trHeight w:val="283" w:hRule="atLeast"/>
        </w:trPr>
        <w:tc>
          <w:tcPr>
            <w:tcW w:w="1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8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再掲</w:t>
            </w:r>
          </w:p>
        </w:tc>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肺</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16</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21</w:t>
            </w:r>
          </w:p>
        </w:tc>
      </w:tr>
      <w:tr>
        <w:trPr>
          <w:trHeight w:val="283" w:hRule="atLeast"/>
        </w:trPr>
        <w:tc>
          <w:tcPr>
            <w:tcW w:w="1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胃</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32</w:t>
            </w:r>
          </w:p>
        </w:tc>
      </w:tr>
      <w:tr>
        <w:trPr>
          <w:trHeight w:val="283" w:hRule="atLeast"/>
        </w:trPr>
        <w:tc>
          <w:tcPr>
            <w:tcW w:w="1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肝がん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17</w:t>
            </w:r>
          </w:p>
        </w:tc>
      </w:tr>
      <w:tr>
        <w:trPr>
          <w:trHeight w:val="283" w:hRule="atLeast"/>
        </w:trPr>
        <w:tc>
          <w:tcPr>
            <w:tcW w:w="1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大腸がん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32</w:t>
            </w:r>
          </w:p>
        </w:tc>
      </w:tr>
      <w:tr>
        <w:trPr>
          <w:trHeight w:val="283" w:hRule="atLeast"/>
        </w:trPr>
        <w:tc>
          <w:tcPr>
            <w:tcW w:w="1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乳</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22</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28</w:t>
            </w:r>
          </w:p>
        </w:tc>
      </w:tr>
      <w:tr>
        <w:trPr>
          <w:trHeight w:val="283" w:hRule="atLeast"/>
        </w:trPr>
        <w:tc>
          <w:tcPr>
            <w:tcW w:w="1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外来化学療法</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33</w:t>
            </w:r>
          </w:p>
        </w:tc>
      </w:tr>
    </w:tbl>
    <w:p>
      <w:pPr>
        <w:pStyle w:val="0"/>
        <w:ind w:right="439" w:rightChars="209"/>
        <w:jc w:val="right"/>
        <w:rPr>
          <w:rFonts w:hint="eastAsia" w:ascii="ＭＳ 明朝" w:hAnsi="ＭＳ 明朝" w:eastAsia="ＭＳ 明朝"/>
          <w:highlight w:val="none"/>
        </w:rPr>
      </w:pPr>
      <w:r>
        <w:rPr>
          <w:rFonts w:hint="eastAsia" w:ascii="ＭＳ 明朝" w:hAnsi="ＭＳ 明朝" w:eastAsia="ＭＳ 明朝"/>
          <w:sz w:val="16"/>
          <w:highlight w:val="none"/>
        </w:rPr>
        <w:t>出典：令和５年度高知県医療機関がん診療体制調査（回収率　</w:t>
      </w:r>
      <w:r>
        <w:rPr>
          <w:rFonts w:hint="eastAsia" w:ascii="ＭＳ 明朝" w:hAnsi="ＭＳ 明朝" w:eastAsia="ＭＳ 明朝"/>
          <w:sz w:val="16"/>
          <w:highlight w:val="none"/>
        </w:rPr>
        <w:t>78.8%</w:t>
      </w:r>
      <w:r>
        <w:rPr>
          <w:rFonts w:hint="eastAsia" w:ascii="ＭＳ 明朝" w:hAnsi="ＭＳ 明朝" w:eastAsia="ＭＳ 明朝"/>
          <w:sz w:val="16"/>
          <w:highlight w:val="none"/>
        </w:rPr>
        <w:t>）</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拠点病院等は、患者が、病態や生活背景等、それぞれの状況に応じた適切かつ安全な手術療法を受けられるよう、標準的治療の提供に加えて、科学的根拠に基づく、ロボット支援手術を含む鏡視下手術等の高度な手術療法の提供についても、医療機関間の役割分担を整理するとともに連携体制の整備に取り組みます。</w:t>
      </w:r>
    </w:p>
    <w:p>
      <w:pPr>
        <w:pStyle w:val="0"/>
        <w:snapToGrid w:val="1"/>
        <w:spacing w:line="240" w:lineRule="auto"/>
        <w:ind w:left="211" w:leftChars="93" w:right="0" w:rightChars="0" w:firstLine="225" w:firstLineChars="99"/>
        <w:jc w:val="left"/>
        <w:rPr>
          <w:rFonts w:hint="eastAsia" w:ascii="ＭＳ 明朝" w:hAnsi="ＭＳ 明朝" w:eastAsia="ＭＳ 明朝"/>
          <w:color w:val="auto"/>
          <w:sz w:val="22"/>
          <w:highlight w:val="none"/>
        </w:rPr>
      </w:pPr>
      <w:r>
        <w:rPr>
          <w:rFonts w:hint="eastAsia" w:ascii="ＭＳ 明朝" w:hAnsi="ＭＳ 明朝" w:eastAsia="ＭＳ 明朝"/>
          <w:sz w:val="22"/>
          <w:highlight w:val="none"/>
        </w:rPr>
        <w:t>また、患者が、病態や生活背景等、それぞれの状況に応じた適切な放射線療法を受けられるよう、標準的治療の提供に加えて、科学的根拠に基づく高度な放射線療法の提供についても、医療機関間の役割分担</w:t>
      </w:r>
      <w:r>
        <w:rPr>
          <w:rFonts w:hint="eastAsia" w:ascii="ＭＳ 明朝" w:hAnsi="ＭＳ 明朝" w:eastAsia="ＭＳ 明朝"/>
          <w:color w:val="auto"/>
          <w:sz w:val="22"/>
          <w:highlight w:val="none"/>
        </w:rPr>
        <w:t>を整理するとともに連携体制の整備に取り組みます。</w:t>
      </w:r>
    </w:p>
    <w:p>
      <w:pPr>
        <w:pStyle w:val="0"/>
        <w:snapToGrid w:val="1"/>
        <w:spacing w:line="240" w:lineRule="auto"/>
        <w:ind w:left="211" w:leftChars="93" w:right="0" w:rightChars="0" w:firstLine="225" w:firstLineChars="99"/>
        <w:jc w:val="left"/>
        <w:rPr>
          <w:rFonts w:hint="eastAsia" w:ascii="ＭＳ ゴシック" w:hAnsi="ＭＳ ゴシック" w:eastAsia="ＭＳ ゴシック"/>
          <w:highlight w:val="none"/>
        </w:rPr>
      </w:pPr>
      <w:r>
        <w:rPr>
          <w:rFonts w:hint="eastAsia" w:ascii="ＭＳ 明朝" w:hAnsi="ＭＳ 明朝" w:eastAsia="ＭＳ 明朝"/>
          <w:color w:val="auto"/>
          <w:sz w:val="22"/>
          <w:highlight w:val="none"/>
        </w:rPr>
        <w:t>さらに、患者が、病態や生活背景等、それぞれの状況に応じた適切かつ安全な薬物療法を外来も含め適切な場で受けられるよう、</w:t>
      </w:r>
      <w:r>
        <w:rPr>
          <w:rFonts w:hint="eastAsia" w:ascii="ＭＳ 明朝" w:hAnsi="ＭＳ 明朝" w:eastAsia="ＭＳ 明朝"/>
          <w:strike w:val="0"/>
          <w:dstrike w:val="0"/>
          <w:color w:val="auto"/>
          <w:highlight w:val="none"/>
        </w:rPr>
        <w:t>薬物療法に関する正しい情報を提供するとともに、</w:t>
      </w:r>
      <w:r>
        <w:rPr>
          <w:rFonts w:hint="eastAsia" w:ascii="ＭＳ 明朝" w:hAnsi="ＭＳ 明朝" w:eastAsia="ＭＳ 明朝"/>
          <w:color w:val="auto"/>
          <w:sz w:val="22"/>
          <w:highlight w:val="none"/>
        </w:rPr>
        <w:t>標準的治療の提供に加えて、科学的根拠に基づく高度な薬物</w:t>
      </w:r>
      <w:r>
        <w:rPr>
          <w:rFonts w:hint="eastAsia" w:ascii="ＭＳ 明朝" w:hAnsi="ＭＳ 明朝" w:eastAsia="ＭＳ 明朝"/>
          <w:sz w:val="22"/>
          <w:highlight w:val="none"/>
        </w:rPr>
        <w:t>療法の提供についても、医療機関間の役割分担の明確化及び連携体制の整備等の取組を進めます。</w:t>
      </w:r>
    </w:p>
    <w:p>
      <w:pPr>
        <w:pStyle w:val="0"/>
        <w:spacing w:before="165" w:beforeLines="50" w:beforeAutospacing="0" w:after="165" w:afterLines="50" w:afterAutospacing="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エ　チーム医療の推進について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患者やその家族等が抱える様々な苦痛、悩み、負担に応え、安全かつ安心で質の高いがん医療を提供するため、多職種によるチーム医療の推進が必要です。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拠点病院等は、多職種連携を更に推進する観点から、拠点病院等におけるチーム医療の提供体制の整備を進めるとともに、高知がん診療連携協議会において地域の医療機関と議論を行い、拠点病院等と地域の医療機関との連携体制の整備に取り組み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は、医療関係者に対して、がん治療における医科歯科連携の必要性について研修を行う等、一層の啓発を行います。また、院内歯科のない病院に対して、「高知県におけるがん診療に関わる医科歯科連携マニュアル」の再周知を図ります。</w:t>
      </w:r>
    </w:p>
    <w:p>
      <w:pPr>
        <w:pStyle w:val="0"/>
        <w:spacing w:before="165" w:beforeLines="50" w:beforeAutospacing="0" w:after="165" w:afterLines="50" w:afterAutospacing="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オ　がんのリハビリテーションについて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がん治療の影響から、患者の嚥</w:t>
      </w:r>
      <w:r>
        <w:rPr>
          <w:rFonts w:hint="eastAsia" w:ascii="ＭＳ 明朝" w:hAnsi="ＭＳ 明朝" w:eastAsia="ＭＳ 明朝"/>
          <w:color w:val="auto"/>
          <w:sz w:val="22"/>
          <w:highlight w:val="none"/>
        </w:rPr>
        <w:t>（えん）</w:t>
      </w:r>
      <w:r>
        <w:rPr>
          <w:rFonts w:hint="eastAsia" w:ascii="ＭＳ 明朝" w:hAnsi="ＭＳ 明朝" w:eastAsia="ＭＳ 明朝"/>
          <w:sz w:val="22"/>
          <w:highlight w:val="none"/>
        </w:rPr>
        <w:t>下や呼吸運動等に障害が生じることがあります。また、病状の進行に伴い、次第に日常生活動作に障害を来し、生活の質の著しい低下が見られることから、がん領域でのリハビリテーションの重要性が指摘されていま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拠点病院等を中心に、研修を受講した医師や看護師、理学療法士、作業療法士、言語聴覚士等の拠点病院等への配置に努めます。</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trike w:val="0"/>
          <w:dstrike w:val="0"/>
          <w:color w:val="auto"/>
          <w:sz w:val="22"/>
          <w:highlight w:val="none"/>
        </w:rPr>
        <w:t>カ　支持療法の推進について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がん患者は、がんそのものによる症状やがん治療に伴う副作用・合併症・後遺症に悩みを抱えることがあり、こうした症状を軽減させる支持療法が求められています。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ゴシック" w:hAnsi="ＭＳ ゴシック" w:eastAsia="ＭＳ ゴシック"/>
          <w:highlight w:val="none"/>
        </w:rPr>
      </w:pPr>
      <w:r>
        <w:rPr>
          <w:rFonts w:hint="eastAsia" w:ascii="ＭＳ 明朝" w:hAnsi="ＭＳ 明朝" w:eastAsia="ＭＳ 明朝"/>
          <w:color w:val="auto"/>
          <w:highlight w:val="none"/>
        </w:rPr>
        <w:t>がん患者の診療を行う全ての医療機関は、</w:t>
      </w:r>
      <w:r>
        <w:rPr>
          <w:rFonts w:hint="eastAsia" w:ascii="ＭＳ 明朝" w:hAnsi="ＭＳ 明朝" w:eastAsia="ＭＳ 明朝"/>
          <w:color w:val="auto"/>
          <w:sz w:val="22"/>
          <w:highlight w:val="none"/>
        </w:rPr>
        <w:t>国等</w:t>
      </w:r>
      <w:r>
        <w:rPr>
          <w:rFonts w:hint="eastAsia" w:ascii="ＭＳ 明朝" w:hAnsi="ＭＳ 明朝" w:eastAsia="ＭＳ 明朝"/>
          <w:sz w:val="22"/>
          <w:highlight w:val="none"/>
        </w:rPr>
        <w:t>が作成する支持療法に関する診療ガイドラインに基づき、支持療法を実施し、患者とその家族のＱＯＬ低下の防止に努めます。</w:t>
      </w:r>
    </w:p>
    <w:p>
      <w:pPr>
        <w:pStyle w:val="0"/>
        <w:spacing w:before="165" w:beforeLines="50" w:beforeAutospacing="0"/>
        <w:ind w:firstLine="220" w:firstLineChars="100"/>
        <w:rPr>
          <w:rFonts w:hint="eastAsia" w:ascii="ＭＳ 明朝" w:hAnsi="ＭＳ 明朝" w:eastAsia="ＭＳ 明朝"/>
          <w:sz w:val="22"/>
          <w:highlight w:val="none"/>
        </w:rPr>
      </w:pPr>
      <w:r>
        <w:rPr>
          <w:rFonts w:hint="eastAsia" w:ascii="ＭＳ 明朝" w:hAnsi="ＭＳ 明朝" w:eastAsia="ＭＳ 明朝"/>
          <w:strike w:val="0"/>
          <w:dstrike w:val="0"/>
          <w:color w:val="auto"/>
          <w:sz w:val="22"/>
          <w:highlight w:val="none"/>
        </w:rPr>
        <w:t>キ　がんと診断された時からの緩和ケアの推進について</w:t>
      </w:r>
    </w:p>
    <w:p>
      <w:pPr>
        <w:pStyle w:val="0"/>
        <w:spacing w:before="82" w:beforeLines="25" w:beforeAutospacing="0" w:after="82" w:afterLines="25" w:afterAutospacing="0"/>
        <w:rPr>
          <w:rFonts w:hint="eastAsia" w:ascii="ＭＳ 明朝" w:hAnsi="ＭＳ 明朝" w:eastAsia="ＭＳ 明朝"/>
          <w:sz w:val="22"/>
          <w:highlight w:val="none"/>
        </w:rPr>
      </w:pPr>
      <w:r>
        <w:rPr>
          <w:rFonts w:hint="eastAsia" w:ascii="ＭＳ 明朝" w:hAnsi="ＭＳ 明朝" w:eastAsia="ＭＳ 明朝"/>
          <w:strike w:val="0"/>
          <w:dstrike w:val="0"/>
          <w:color w:val="auto"/>
          <w:sz w:val="22"/>
          <w:highlight w:val="none"/>
        </w:rPr>
        <w:t>【緩和ケアの提供】</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すべての拠点病院には、専門的な緩和ケアを実施するための緩和ケアチームが設置されていますが、より質の高い緩和ケアを実践していくための体制整備が求められています。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拠点病院等を中心とした医療機関は、がん医療に携わる全ての医療従事者により、がん患者の身体的苦痛や、がん患者やその家族等の精神心理的苦痛、社会的な問題等の把握及びそれらの個別状況に応じた適切な対応が、地域の実情に応じて、診断時から一貫して行われる体制の整備を推進します。</w:t>
      </w:r>
    </w:p>
    <w:p>
      <w:pPr>
        <w:pStyle w:val="0"/>
        <w:spacing w:before="165" w:beforeLines="50" w:beforeAutospacing="0" w:after="82" w:afterLines="25" w:afterAutospacing="0"/>
        <w:rPr>
          <w:rFonts w:hint="eastAsia" w:ascii="ＭＳ 明朝" w:hAnsi="ＭＳ 明朝" w:eastAsia="ＭＳ 明朝"/>
          <w:sz w:val="22"/>
          <w:highlight w:val="none"/>
        </w:rPr>
      </w:pPr>
      <w:r>
        <w:rPr>
          <w:rFonts w:hint="eastAsia" w:ascii="ＭＳ 明朝" w:hAnsi="ＭＳ 明朝" w:eastAsia="ＭＳ 明朝"/>
          <w:sz w:val="22"/>
          <w:highlight w:val="none"/>
        </w:rPr>
        <w:t>【医療・介護サービス従事者の育成】</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がん診療に携わる医療従事者が基本的な緩和ケアを理解し、知識と技術を習得するため、人材育成が引き続き必要です。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拠点病院等は、がん医療に携わる全ての医療従事者が基本的な緩和ケアを実践し、その知識や技能を維持・向上できるよう、がん等の診療に携わる医師等に対する緩和ケア研修会の更なる推進に努めます。</w:t>
      </w:r>
    </w:p>
    <w:p>
      <w:pPr>
        <w:pStyle w:val="0"/>
        <w:spacing w:before="165" w:beforeLines="50" w:beforeAutospacing="0" w:after="82" w:afterLines="25" w:afterAutospacing="0"/>
        <w:rPr>
          <w:rFonts w:hint="eastAsia" w:ascii="ＭＳ 明朝" w:hAnsi="ＭＳ 明朝" w:eastAsia="ＭＳ 明朝"/>
          <w:sz w:val="22"/>
          <w:highlight w:val="none"/>
        </w:rPr>
      </w:pPr>
      <w:r>
        <w:rPr>
          <w:rFonts w:hint="eastAsia" w:ascii="ＭＳ 明朝" w:hAnsi="ＭＳ 明朝" w:eastAsia="ＭＳ 明朝"/>
          <w:sz w:val="22"/>
          <w:highlight w:val="none"/>
        </w:rPr>
        <w:t>【セカンドオピニオン】</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ゴシック" w:hAnsi="ＭＳ ゴシック" w:eastAsia="ＭＳ ゴシック"/>
          <w:highlight w:val="none"/>
        </w:rPr>
      </w:pPr>
      <w:r>
        <w:rPr>
          <w:rFonts w:hint="eastAsia" w:ascii="ＭＳ 明朝" w:hAnsi="ＭＳ 明朝" w:eastAsia="ＭＳ 明朝"/>
          <w:sz w:val="22"/>
          <w:highlight w:val="none"/>
        </w:rPr>
        <w:t>セカンドオピニオンについて、十分実施・活用されるよう、患者や家族の視点に立った医療提供体制の整備が必要です。</w:t>
      </w:r>
    </w:p>
    <w:p>
      <w:pPr>
        <w:pStyle w:val="0"/>
        <w:snapToGrid w:val="1"/>
        <w:spacing w:line="240" w:lineRule="auto"/>
        <w:ind w:left="86" w:leftChars="41" w:right="0" w:rightChars="0" w:firstLine="220" w:firstLineChars="100"/>
        <w:jc w:val="left"/>
        <w:rPr>
          <w:rFonts w:hint="eastAsia" w:ascii="ＭＳ ゴシック" w:hAnsi="ＭＳ ゴシック" w:eastAsia="ＭＳ ゴシック"/>
          <w:highlight w:val="none"/>
        </w:rPr>
      </w:pPr>
    </w:p>
    <w:p>
      <w:pPr>
        <w:pStyle w:val="0"/>
        <w:snapToGrid w:val="1"/>
        <w:spacing w:line="240" w:lineRule="auto"/>
        <w:ind w:left="86" w:leftChars="41" w:right="0" w:rightChars="0" w:firstLine="220" w:firstLineChars="100"/>
        <w:jc w:val="left"/>
        <w:rPr>
          <w:rFonts w:hint="eastAsia" w:ascii="ＭＳ ゴシック" w:hAnsi="ＭＳ ゴシック" w:eastAsia="ＭＳ ゴシック"/>
          <w:highlight w:val="none"/>
        </w:rPr>
      </w:pPr>
    </w:p>
    <w:p>
      <w:pPr>
        <w:pStyle w:val="0"/>
        <w:snapToGrid w:val="1"/>
        <w:spacing w:line="240" w:lineRule="auto"/>
        <w:ind w:left="86" w:leftChars="41" w:right="0" w:rightChars="0" w:firstLine="220" w:firstLineChars="100"/>
        <w:jc w:val="left"/>
        <w:rPr>
          <w:rFonts w:hint="eastAsia" w:ascii="ＭＳ ゴシック" w:hAnsi="ＭＳ ゴシック" w:eastAsia="ＭＳ ゴシック"/>
          <w:highlight w:val="none"/>
        </w:rPr>
      </w:pPr>
    </w:p>
    <w:p>
      <w:pPr>
        <w:pStyle w:val="0"/>
        <w:snapToGrid w:val="1"/>
        <w:spacing w:line="240" w:lineRule="auto"/>
        <w:ind w:left="86" w:leftChars="41" w:right="0" w:rightChars="0" w:firstLine="220" w:firstLineChars="100"/>
        <w:jc w:val="left"/>
        <w:rPr>
          <w:rFonts w:hint="eastAsia" w:ascii="ＭＳ ゴシック" w:hAnsi="ＭＳ ゴシック" w:eastAsia="ＭＳ ゴシック"/>
          <w:highlight w:val="none"/>
        </w:rPr>
      </w:pPr>
    </w:p>
    <w:p>
      <w:pPr>
        <w:pStyle w:val="0"/>
        <w:snapToGrid w:val="1"/>
        <w:spacing w:line="240" w:lineRule="auto"/>
        <w:ind w:left="86" w:leftChars="41" w:right="0" w:rightChars="0" w:firstLine="220" w:firstLineChars="100"/>
        <w:jc w:val="left"/>
        <w:rPr>
          <w:rFonts w:hint="eastAsia" w:ascii="ＭＳ ゴシック" w:hAnsi="ＭＳ ゴシック" w:eastAsia="ＭＳ ゴシック"/>
          <w:highlight w:val="none"/>
        </w:rPr>
      </w:pPr>
    </w:p>
    <w:p>
      <w:pPr>
        <w:pStyle w:val="0"/>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6-1-12</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color w:val="auto"/>
          <w:sz w:val="22"/>
          <w:highlight w:val="none"/>
        </w:rPr>
        <w:t>セカンドオピニオンの状況</w:t>
      </w:r>
    </w:p>
    <w:p>
      <w:pPr>
        <w:pStyle w:val="0"/>
        <w:rPr>
          <w:rFonts w:hint="eastAsia" w:ascii="ＭＳ ゴシック" w:hAnsi="ＭＳ ゴシック" w:eastAsia="ＭＳ ゴシック"/>
          <w:highlight w:val="none"/>
        </w:rPr>
      </w:pPr>
      <w:r>
        <w:rPr>
          <w:rFonts w:hint="eastAsia"/>
          <w:highlight w:val="none"/>
        </w:rPr>
        <mc:AlternateContent>
          <mc:Choice Requires="wpg">
            <w:drawing>
              <wp:anchor simplePos="0" relativeHeight="20" behindDoc="0" locked="0" layoutInCell="1" hidden="0" allowOverlap="1">
                <wp:simplePos x="0" y="0"/>
                <wp:positionH relativeFrom="column">
                  <wp:posOffset>274955</wp:posOffset>
                </wp:positionH>
                <wp:positionV relativeFrom="paragraph">
                  <wp:posOffset>13335</wp:posOffset>
                </wp:positionV>
                <wp:extent cx="5628005" cy="1691640"/>
                <wp:effectExtent l="0" t="0" r="0" b="0"/>
                <wp:wrapNone/>
                <wp:docPr id="1041" name="オブジェクト 0"/>
                <a:graphic xmlns:a="http://schemas.openxmlformats.org/drawingml/2006/main">
                  <a:graphicData uri="http://schemas.microsoft.com/office/word/2010/wordprocessingGroup">
                    <wpg:wgp>
                      <wpg:cNvGrpSpPr/>
                      <wpg:grpSpPr>
                        <a:xfrm>
                          <a:off x="0" y="0"/>
                          <a:ext cx="5628005" cy="1691640"/>
                          <a:chOff x="1850" y="1788"/>
                          <a:chExt cx="8863" cy="2664"/>
                        </a:xfrm>
                      </wpg:grpSpPr>
                      <wps:wsp>
                        <wps:cNvPr id="1042" name="オブジェクト 0"/>
                        <wps:cNvSpPr txBox="1"/>
                        <wps:spPr>
                          <a:xfrm>
                            <a:off x="1852" y="2827"/>
                            <a:ext cx="3164" cy="662"/>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ascii="ＭＳ 明朝" w:hAnsi="ＭＳ 明朝" w:eastAsia="ＭＳ 明朝"/>
                                  <w:sz w:val="18"/>
                                </w:rPr>
                              </w:pPr>
                              <w:r>
                                <w:rPr>
                                  <w:rFonts w:hint="eastAsia" w:ascii="ＭＳ 明朝" w:hAnsi="ＭＳ 明朝" w:eastAsia="ＭＳ 明朝"/>
                                  <w:sz w:val="18"/>
                                </w:rPr>
                                <w:t>治療開始前に医師からセカンドオピニオンについて説明があった</w:t>
                              </w:r>
                            </w:p>
                          </w:txbxContent>
                        </wps:txbx>
                        <wps:bodyPr vertOverflow="overflow" horzOverflow="overflow" wrap="square" lIns="36000" tIns="8890" rIns="36000" bIns="8890" anchor="ctr"/>
                      </wps:wsp>
                      <wpg:grpSp>
                        <wpg:cNvGrpSpPr/>
                        <wpg:grpSpPr>
                          <a:xfrm>
                            <a:off x="1850" y="1788"/>
                            <a:ext cx="8863" cy="2664"/>
                            <a:chOff x="1912" y="4451"/>
                            <a:chExt cx="8619" cy="3014"/>
                          </a:xfrm>
                        </wpg:grpSpPr>
                        <wps:wsp>
                          <wps:cNvPr id="1044" name="オブジェクト 0"/>
                          <wps:cNvSpPr txBox="1"/>
                          <wps:spPr>
                            <a:xfrm>
                              <a:off x="1912" y="5025"/>
                              <a:ext cx="3005" cy="749"/>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ascii="ＭＳ 明朝" w:hAnsi="ＭＳ 明朝" w:eastAsia="ＭＳ 明朝"/>
                                    <w:sz w:val="18"/>
                                  </w:rPr>
                                </w:pPr>
                                <w:r>
                                  <w:rPr>
                                    <w:rFonts w:hint="eastAsia" w:ascii="ＭＳ 明朝" w:hAnsi="ＭＳ 明朝" w:eastAsia="ＭＳ 明朝"/>
                                    <w:sz w:val="18"/>
                                  </w:rPr>
                                  <w:t>セカンドオピニオンについて知っていた</w:t>
                                </w:r>
                              </w:p>
                            </w:txbxContent>
                          </wps:txbx>
                          <wps:bodyPr vertOverflow="overflow" horzOverflow="overflow" wrap="square" lIns="36000" tIns="8890" rIns="36000" bIns="8890" anchor="ctr"/>
                        </wps:wsp>
                        <wpg:grpSp>
                          <wpg:cNvGrpSpPr/>
                          <wpg:grpSpPr>
                            <a:xfrm>
                              <a:off x="5026" y="4451"/>
                              <a:ext cx="5505" cy="3014"/>
                              <a:chOff x="5026" y="4451"/>
                              <a:chExt cx="5505" cy="3014"/>
                            </a:xfrm>
                          </wpg:grpSpPr>
                          <wpg:graphicFrame>
                            <wpg:cNvPr id="1046" name="グラフ 1"/>
                            <wpg:cNvFrPr/>
                            <wpg:xfrm>
                              <a:off x="5026" y="4472"/>
                              <a:ext cx="5505" cy="2993"/>
                            </wpg:xfrm>
                            <a:graphic>
                              <a:graphicData uri="http://schemas.openxmlformats.org/drawingml/2006/chart">
                                <c:chart xmlns:c="http://schemas.openxmlformats.org/drawingml/2006/chart" r:id="rId17"/>
                              </a:graphicData>
                            </a:graphic>
                          </wpg:graphicFrame>
                          <wps:wsp>
                            <wps:cNvPr id="1047" name="テキスト 305"/>
                            <wps:cNvSpPr txBox="1"/>
                            <wps:spPr>
                              <a:xfrm>
                                <a:off x="9385" y="4451"/>
                                <a:ext cx="1101" cy="377"/>
                              </a:xfrm>
                              <a:prstGeom prst="rect">
                                <a:avLst/>
                              </a:prstGeom>
                              <a:noFill/>
                              <a:ln w="12700" cap="flat" cmpd="sng" algn="ctr">
                                <a:noFill/>
                                <a:prstDash val="solid"/>
                                <a:miter lim="800000"/>
                              </a:ln>
                            </wps:spPr>
                            <wps:style>
                              <a:lnRef idx="2">
                                <a:srgbClr val="000000"/>
                              </a:lnRef>
                              <a:fillRef idx="1">
                                <a:srgbClr val="000000"/>
                              </a:fillRef>
                              <a:effectRef idx="0">
                                <a:srgbClr val="000000"/>
                              </a:effectRef>
                              <a:fontRef idx="minor"/>
                            </wps:style>
                            <wps:txbx>
                              <w:txbxContent>
                                <w:p>
                                  <w:pPr>
                                    <w:pStyle w:val="0"/>
                                    <w:wordWrap w:val="0"/>
                                    <w:overflowPunct w:val="1"/>
                                    <w:snapToGrid w:val="0"/>
                                    <w:ind w:left="0"/>
                                    <w:jc w:val="right"/>
                                    <w:rPr>
                                      <w:rFonts w:hint="eastAsia" w:ascii="ＭＳ 明朝" w:hAnsi="ＭＳ 明朝" w:eastAsia="ＭＳ 明朝"/>
                                      <w:color w:val="0D0D0D" w:themeColor="text1" w:themeTint="F3"/>
                                      <w:sz w:val="22"/>
                                    </w:rPr>
                                  </w:pPr>
                                  <w:r>
                                    <w:rPr>
                                      <w:rFonts w:hint="eastAsia" w:ascii="ＭＳ 明朝" w:hAnsi="ＭＳ 明朝" w:eastAsia="ＭＳ 明朝"/>
                                      <w:color w:val="0D0D0D" w:themeColor="text1" w:themeTint="F3"/>
                                      <w:kern w:val="1200"/>
                                      <w:sz w:val="18"/>
                                    </w:rPr>
                                    <w:t>（％）</w:t>
                                  </w:r>
                                </w:p>
                              </w:txbxContent>
                            </wps:txbx>
                            <wps:bodyPr vertOverflow="overflow" horzOverflow="overflow" wrap="square"/>
                          </wps:wsp>
                        </wpg:grpSp>
                      </wpg:grpSp>
                    </wpg:wgp>
                  </a:graphicData>
                </a:graphic>
              </wp:anchor>
            </w:drawing>
          </mc:Choice>
          <mc:Fallback>
            <w:pict>
              <v:group id="オブジェクト 0" style="margin-top:1.05pt;mso-position-vertical-relative:text;mso-position-horizontal-relative:text;position:absolute;height:133.19pt;width:443.15pt;margin-left:21.65pt;z-index:20;" coordsize="8863,2664" coordorigin="1850,1788" o:spid="_x0000_s1041" o:allowincell="t" o:allowoverlap="t">
                <v:shapetype id="_x0000_t202" coordsize="21600,21600" o:spt="202" path="m,l,21600r21600,l21600,xe">
                  <v:stroke joinstyle="miter"/>
                  <v:path gradientshapeok="t" o:connecttype="rect"/>
                </v:shapetype>
                <v:shape id="オブジェクト 0" style="height:662;width:3164;top:2827;left:1852;v-text-anchor:middle;position:absolute;" o:spid="_x0000_s1042" filled="t" fillcolor="#ffffff" stroked="f" strokeweight="0.5pt" o:spt="202" type="#_x0000_t202">
                  <v:fill/>
                  <v:stroke linestyle="single"/>
                  <v:textbox style="layout-flow:horizontal;" inset="0.99999999999999978mm,0.24694444444444438mm,0.99999999999999978mm,0.24694444444444438mm">
                    <w:txbxContent>
                      <w:p>
                        <w:pPr>
                          <w:pStyle w:val="0"/>
                          <w:snapToGrid w:val="0"/>
                          <w:rPr>
                            <w:rFonts w:hint="eastAsia" w:ascii="ＭＳ 明朝" w:hAnsi="ＭＳ 明朝" w:eastAsia="ＭＳ 明朝"/>
                            <w:sz w:val="18"/>
                          </w:rPr>
                        </w:pPr>
                        <w:r>
                          <w:rPr>
                            <w:rFonts w:hint="eastAsia" w:ascii="ＭＳ 明朝" w:hAnsi="ＭＳ 明朝" w:eastAsia="ＭＳ 明朝"/>
                            <w:sz w:val="18"/>
                          </w:rPr>
                          <w:t>治療開始前に医師からセカンドオピニオンについて説明があった</w:t>
                        </w:r>
                      </w:p>
                    </w:txbxContent>
                  </v:textbox>
                  <v:imagedata o:title=""/>
                  <w10:wrap type="none" anchorx="text" anchory="text"/>
                </v:shape>
                <v:group id="_x0000_s1043" style="height:2664;width:8863;top:1788;left:1850;position:absolute;" coordsize="8619,3014" coordorigin="1912,4451">
                  <v:shape id="オブジェクト 0" style="height:749;width:3005;top:5025;left:1912;v-text-anchor:middle;position:absolute;" o:spid="_x0000_s1044" filled="t" fillcolor="#ffffff" stroked="f" strokeweight="0.5pt" o:spt="202" type="#_x0000_t202">
                    <v:fill/>
                    <v:stroke linestyle="single"/>
                    <v:textbox style="layout-flow:horizontal;" inset="0.99999999999999978mm,0.24694444444444438mm,0.99999999999999978mm,0.24694444444444438mm">
                      <w:txbxContent>
                        <w:p>
                          <w:pPr>
                            <w:pStyle w:val="0"/>
                            <w:snapToGrid w:val="0"/>
                            <w:rPr>
                              <w:rFonts w:hint="eastAsia" w:ascii="ＭＳ 明朝" w:hAnsi="ＭＳ 明朝" w:eastAsia="ＭＳ 明朝"/>
                              <w:sz w:val="18"/>
                            </w:rPr>
                          </w:pPr>
                          <w:r>
                            <w:rPr>
                              <w:rFonts w:hint="eastAsia" w:ascii="ＭＳ 明朝" w:hAnsi="ＭＳ 明朝" w:eastAsia="ＭＳ 明朝"/>
                              <w:sz w:val="18"/>
                            </w:rPr>
                            <w:t>セカンドオピニオンについて知っていた</w:t>
                          </w:r>
                        </w:p>
                      </w:txbxContent>
                    </v:textbox>
                    <v:imagedata o:title=""/>
                    <w10:wrap type="none" anchorx="text" anchory="text"/>
                  </v:shape>
                  <v:group id="_x0000_s1045" style="height:3014;width:5505;top:4451;left:5026;position:absolute;" coordsize="5505,3014" coordorigin="5026,4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 style="height:2993;width:5505;top:4472;left:5026;position:absolute;" o:spid="_x0000_s1046" filled="f" stroked="f" o:spt="75" type="#_x0000_t75">
                      <v:fill/>
                      <v:imagedata o:title="" r:id="rId18"/>
                      <w10:wrap type="none" anchorx="text" anchory="text"/>
                    </v:shape>
                    <v:shape id="テキスト 305" style="height:377;width:1101;top:4451;left:9385;position:absolute;" o:spid="_x0000_s1047" filled="f" stroked="f" strokecolor="#000000" strokeweight="1pt" o:spt="202" type="#_x0000_t202">
                      <v:fill/>
                      <v:stroke linestyle="single" miterlimit="8" endcap="flat" dashstyle="solid"/>
                      <v:textbox style="layout-flow:horizontal;">
                        <w:txbxContent>
                          <w:p>
                            <w:pPr>
                              <w:pStyle w:val="0"/>
                              <w:wordWrap w:val="0"/>
                              <w:overflowPunct w:val="1"/>
                              <w:snapToGrid w:val="0"/>
                              <w:ind w:left="0"/>
                              <w:jc w:val="right"/>
                              <w:rPr>
                                <w:rFonts w:hint="eastAsia" w:ascii="ＭＳ 明朝" w:hAnsi="ＭＳ 明朝" w:eastAsia="ＭＳ 明朝"/>
                                <w:color w:val="0D0D0D" w:themeColor="text1" w:themeTint="F3"/>
                                <w:sz w:val="22"/>
                              </w:rPr>
                            </w:pPr>
                            <w:r>
                              <w:rPr>
                                <w:rFonts w:hint="eastAsia" w:ascii="ＭＳ 明朝" w:hAnsi="ＭＳ 明朝" w:eastAsia="ＭＳ 明朝"/>
                                <w:color w:val="0D0D0D" w:themeColor="text1" w:themeTint="F3"/>
                                <w:kern w:val="1200"/>
                                <w:sz w:val="18"/>
                              </w:rPr>
                              <w:t>（％）</w:t>
                            </w:r>
                          </w:p>
                        </w:txbxContent>
                      </v:textbox>
                      <v:imagedata o:title=""/>
                      <w10:wrap type="none" anchorx="text" anchory="text"/>
                    </v:shape>
                    <w10:wrap type="none" anchorx="text" anchory="text"/>
                  </v:group>
                  <w10:wrap type="none" anchorx="text" anchory="text"/>
                </v:group>
                <w10:wrap type="none" anchorx="text" anchory="text"/>
              </v:group>
            </w:pict>
          </mc:Fallback>
        </mc:AlternateContent>
      </w:r>
    </w:p>
    <w:p>
      <w:pPr>
        <w:pStyle w:val="0"/>
        <w:rPr>
          <w:rFonts w:hint="eastAsia" w:ascii="ＭＳ ゴシック" w:hAnsi="ＭＳ ゴシック" w:eastAsia="ＭＳ ゴシック"/>
          <w:highlight w:val="none"/>
        </w:rPr>
      </w:pPr>
    </w:p>
    <w:p>
      <w:pPr>
        <w:pStyle w:val="0"/>
        <w:rPr>
          <w:rFonts w:hint="eastAsia" w:ascii="ＭＳ ゴシック" w:hAnsi="ＭＳ ゴシック" w:eastAsia="ＭＳ ゴシック"/>
          <w:highlight w:val="none"/>
        </w:rPr>
      </w:pPr>
    </w:p>
    <w:p>
      <w:pPr>
        <w:pStyle w:val="0"/>
        <w:rPr>
          <w:rFonts w:hint="eastAsia" w:ascii="ＭＳ ゴシック" w:hAnsi="ＭＳ ゴシック" w:eastAsia="ＭＳ ゴシック"/>
          <w:highlight w:val="none"/>
        </w:rPr>
      </w:pPr>
    </w:p>
    <w:p>
      <w:pPr>
        <w:pStyle w:val="0"/>
        <w:snapToGrid w:val="0"/>
        <w:rPr>
          <w:rFonts w:hint="eastAsia" w:ascii="ＭＳ ゴシック" w:hAnsi="ＭＳ ゴシック" w:eastAsia="ＭＳ ゴシック"/>
          <w:highlight w:val="none"/>
        </w:rPr>
      </w:pPr>
      <w:r>
        <w:rPr>
          <w:rFonts w:hint="eastAsia"/>
          <w:highlight w:val="none"/>
        </w:rPr>
        <mc:AlternateContent>
          <mc:Choice Requires="wps">
            <w:drawing>
              <wp:anchor simplePos="0" relativeHeight="15" behindDoc="0" locked="0" layoutInCell="1" hidden="0" allowOverlap="1">
                <wp:simplePos x="0" y="0"/>
                <wp:positionH relativeFrom="column">
                  <wp:posOffset>284480</wp:posOffset>
                </wp:positionH>
                <wp:positionV relativeFrom="paragraph">
                  <wp:posOffset>108585</wp:posOffset>
                </wp:positionV>
                <wp:extent cx="2143760" cy="42037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2143760" cy="4203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ascii="ＭＳ 明朝" w:hAnsi="ＭＳ 明朝" w:eastAsia="ＭＳ 明朝"/>
                                <w:sz w:val="18"/>
                              </w:rPr>
                            </w:pPr>
                            <w:r>
                              <w:rPr>
                                <w:rFonts w:hint="eastAsia" w:ascii="ＭＳ 明朝" w:hAnsi="ＭＳ 明朝" w:eastAsia="ＭＳ 明朝"/>
                                <w:sz w:val="18"/>
                              </w:rPr>
                              <w:t>他の医師に意見を聞きたいと思った</w:t>
                            </w:r>
                          </w:p>
                        </w:txbxContent>
                      </wps:txbx>
                      <wps:bodyPr vertOverflow="overflow" horzOverflow="overflow" wrap="square" lIns="36000" tIns="8890" rIns="36000"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argin-top:8.5500000000000007pt;mso-position-vertical-relative:text;mso-position-horizontal-relative:text;v-text-anchor:middle;position:absolute;height:33.1pt;width:168.8pt;margin-left:22.4pt;z-index:15;" o:spid="_x0000_s1048" o:allowincell="t" o:allowoverlap="t" filled="t" fillcolor="#ffffff" stroked="f" strokeweight="0.5pt" o:spt="202" type="#_x0000_t202">
                <v:fill/>
                <v:stroke linestyle="single"/>
                <v:textbox style="layout-flow:horizontal;" inset="0.99999999999999978mm,0.24694444444444438mm,0.99999999999999978mm,0.24694444444444438mm">
                  <w:txbxContent>
                    <w:p>
                      <w:pPr>
                        <w:pStyle w:val="0"/>
                        <w:snapToGrid w:val="0"/>
                        <w:rPr>
                          <w:rFonts w:hint="eastAsia" w:ascii="ＭＳ 明朝" w:hAnsi="ＭＳ 明朝" w:eastAsia="ＭＳ 明朝"/>
                          <w:sz w:val="18"/>
                        </w:rPr>
                      </w:pPr>
                      <w:r>
                        <w:rPr>
                          <w:rFonts w:hint="eastAsia" w:ascii="ＭＳ 明朝" w:hAnsi="ＭＳ 明朝" w:eastAsia="ＭＳ 明朝"/>
                          <w:sz w:val="18"/>
                        </w:rPr>
                        <w:t>他の医師に意見を聞きたいと思った</w:t>
                      </w:r>
                    </w:p>
                  </w:txbxContent>
                </v:textbox>
                <v:imagedata o:title=""/>
                <w10:wrap type="none" anchorx="text" anchory="text"/>
              </v:shape>
            </w:pict>
          </mc:Fallback>
        </mc:AlternateContent>
      </w:r>
    </w:p>
    <w:p>
      <w:pPr>
        <w:pStyle w:val="0"/>
        <w:snapToGrid w:val="0"/>
        <w:rPr>
          <w:rFonts w:hint="eastAsia" w:ascii="ＭＳ ゴシック" w:hAnsi="ＭＳ ゴシック" w:eastAsia="ＭＳ ゴシック"/>
          <w:highlight w:val="none"/>
        </w:rPr>
      </w:pPr>
    </w:p>
    <w:p>
      <w:pPr>
        <w:pStyle w:val="0"/>
        <w:snapToGrid w:val="0"/>
        <w:rPr>
          <w:rFonts w:hint="eastAsia" w:ascii="ＭＳ ゴシック" w:hAnsi="ＭＳ ゴシック" w:eastAsia="ＭＳ ゴシック"/>
          <w:highlight w:val="none"/>
        </w:rPr>
      </w:pPr>
      <w:r>
        <w:rPr>
          <w:rFonts w:hint="eastAsia"/>
          <w:highlight w:val="none"/>
        </w:rPr>
        <mc:AlternateContent>
          <mc:Choice Requires="wps">
            <w:drawing>
              <wp:anchor simplePos="0" relativeHeight="16" behindDoc="0" locked="0" layoutInCell="1" hidden="0" allowOverlap="1">
                <wp:simplePos x="0" y="0"/>
                <wp:positionH relativeFrom="column">
                  <wp:posOffset>300990</wp:posOffset>
                </wp:positionH>
                <wp:positionV relativeFrom="paragraph">
                  <wp:posOffset>93980</wp:posOffset>
                </wp:positionV>
                <wp:extent cx="1936750" cy="420370"/>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1936750" cy="4203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ascii="ＭＳ 明朝" w:hAnsi="ＭＳ 明朝" w:eastAsia="ＭＳ 明朝"/>
                                <w:sz w:val="18"/>
                              </w:rPr>
                            </w:pPr>
                            <w:r>
                              <w:rPr>
                                <w:rFonts w:hint="eastAsia" w:ascii="ＭＳ 明朝" w:hAnsi="ＭＳ 明朝" w:eastAsia="ＭＳ 明朝"/>
                                <w:sz w:val="18"/>
                              </w:rPr>
                              <w:t>セカンドオピニオンを受けた</w:t>
                            </w:r>
                          </w:p>
                        </w:txbxContent>
                      </wps:txbx>
                      <wps:bodyPr vertOverflow="overflow" horzOverflow="overflow" wrap="square" lIns="36000" tIns="8890" rIns="36000"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argin-top:7.4pt;mso-position-vertical-relative:text;mso-position-horizontal-relative:text;v-text-anchor:middle;position:absolute;height:33.1pt;width:152.5pt;margin-left:23.7pt;z-index:16;" o:spid="_x0000_s1049" o:allowincell="t" o:allowoverlap="t" filled="t" fillcolor="#ffffff" stroked="f" strokeweight="0.5pt" o:spt="202" type="#_x0000_t202">
                <v:fill/>
                <v:stroke linestyle="single"/>
                <v:textbox style="layout-flow:horizontal;" inset="0.99999999999999978mm,0.24694444444444438mm,0.99999999999999978mm,0.24694444444444438mm">
                  <w:txbxContent>
                    <w:p>
                      <w:pPr>
                        <w:pStyle w:val="0"/>
                        <w:snapToGrid w:val="0"/>
                        <w:rPr>
                          <w:rFonts w:hint="eastAsia" w:ascii="ＭＳ 明朝" w:hAnsi="ＭＳ 明朝" w:eastAsia="ＭＳ 明朝"/>
                          <w:sz w:val="18"/>
                        </w:rPr>
                      </w:pPr>
                      <w:r>
                        <w:rPr>
                          <w:rFonts w:hint="eastAsia" w:ascii="ＭＳ 明朝" w:hAnsi="ＭＳ 明朝" w:eastAsia="ＭＳ 明朝"/>
                          <w:sz w:val="18"/>
                        </w:rPr>
                        <w:t>セカンドオピニオンを受けた</w:t>
                      </w:r>
                    </w:p>
                  </w:txbxContent>
                </v:textbox>
                <v:imagedata o:title=""/>
                <w10:wrap type="none" anchorx="text" anchory="text"/>
              </v:shape>
            </w:pict>
          </mc:Fallback>
        </mc:AlternateContent>
      </w:r>
    </w:p>
    <w:p>
      <w:pPr>
        <w:pStyle w:val="0"/>
        <w:snapToGrid w:val="0"/>
        <w:rPr>
          <w:rFonts w:hint="eastAsia" w:ascii="ＭＳ ゴシック" w:hAnsi="ＭＳ ゴシック" w:eastAsia="ＭＳ ゴシック"/>
          <w:highlight w:val="none"/>
        </w:rPr>
      </w:pPr>
    </w:p>
    <w:p>
      <w:pPr>
        <w:pStyle w:val="0"/>
        <w:snapToGrid w:val="0"/>
        <w:rPr>
          <w:rFonts w:hint="eastAsia" w:ascii="ＭＳ ゴシック" w:hAnsi="ＭＳ ゴシック" w:eastAsia="ＭＳ ゴシック"/>
          <w:highlight w:val="none"/>
        </w:rPr>
      </w:pPr>
    </w:p>
    <w:p>
      <w:pPr>
        <w:pStyle w:val="0"/>
        <w:ind w:right="229" w:rightChars="109"/>
        <w:jc w:val="right"/>
        <w:rPr>
          <w:rFonts w:hint="eastAsia" w:ascii="ＭＳ ゴシック" w:hAnsi="ＭＳ ゴシック" w:eastAsia="ＭＳ ゴシック"/>
          <w:highlight w:val="none"/>
        </w:rPr>
      </w:pPr>
      <w:r>
        <w:rPr>
          <w:rFonts w:hint="eastAsia" w:ascii="ＭＳ 明朝" w:hAnsi="ＭＳ 明朝" w:eastAsia="ＭＳ 明朝"/>
          <w:color w:val="auto"/>
          <w:sz w:val="16"/>
          <w:highlight w:val="none"/>
        </w:rPr>
        <w:t>出典：令和５年度高知県患者満足度等調査</w:t>
      </w:r>
    </w:p>
    <w:p>
      <w:pPr>
        <w:pStyle w:val="0"/>
        <w:ind w:right="70" w:rightChars="31"/>
        <w:rPr>
          <w:rFonts w:hint="eastAsia" w:ascii="ＭＳ 明朝" w:hAnsi="ＭＳ 明朝" w:eastAsia="ＭＳ 明朝"/>
          <w:sz w:val="22"/>
          <w:highlight w:val="none"/>
        </w:rPr>
      </w:pPr>
    </w:p>
    <w:p>
      <w:pPr>
        <w:pStyle w:val="0"/>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県及びがん診療に携わる医療機関は、セカンドオピニオンについて、より一層患者や家族への普及啓発を図ります。</w:t>
      </w:r>
    </w:p>
    <w:p>
      <w:pPr>
        <w:pStyle w:val="0"/>
        <w:spacing w:before="165" w:beforeLines="50" w:beforeAutospacing="0" w:after="82" w:afterLines="25" w:afterAutospacing="0"/>
        <w:ind w:right="70" w:rightChars="31"/>
        <w:rPr>
          <w:rFonts w:hint="eastAsia" w:ascii="ＭＳ 明朝" w:hAnsi="ＭＳ 明朝" w:eastAsia="ＭＳ 明朝"/>
          <w:sz w:val="22"/>
          <w:highlight w:val="none"/>
        </w:rPr>
      </w:pPr>
      <w:r>
        <w:rPr>
          <w:rFonts w:hint="eastAsia" w:ascii="ＭＳ 明朝" w:hAnsi="ＭＳ 明朝" w:eastAsia="ＭＳ 明朝"/>
          <w:color w:val="auto"/>
          <w:sz w:val="22"/>
          <w:highlight w:val="none"/>
        </w:rPr>
        <w:t>【普及啓発】</w:t>
      </w:r>
    </w:p>
    <w:p>
      <w:pPr>
        <w:pStyle w:val="0"/>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0" w:leftChars="93" w:right="70" w:rightChars="31" w:firstLine="224" w:firstLineChars="99"/>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緩和ケアは、がんと診断された時から治療と並行して行われる必要がありますが、未だに終末期のケアであるという誤解や、医療用麻薬に対しても「最後の手段」「だんだん効かなくなる」といった誤解があるため、県民に対する正しい知識の更なる普及啓発に取り組む必要があります。</w:t>
      </w:r>
    </w:p>
    <w:p>
      <w:pPr>
        <w:pStyle w:val="0"/>
        <w:snapToGrid w:val="1"/>
        <w:ind w:right="70" w:rightChars="31"/>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highlight w:val="none"/>
        </w:rPr>
      </w:pPr>
      <w:r>
        <w:rPr>
          <w:rFonts w:hint="eastAsia" w:ascii="ＭＳ 明朝" w:hAnsi="ＭＳ 明朝" w:eastAsia="ＭＳ 明朝"/>
          <w:color w:val="auto"/>
          <w:sz w:val="22"/>
          <w:highlight w:val="none"/>
        </w:rPr>
        <w:t>県及び関係機関は、患者・医療従事者を含む県民に対し、緩和ケアに関する正しい知識の普及啓発を引き続き推進します。</w:t>
      </w:r>
    </w:p>
    <w:p>
      <w:pPr>
        <w:pStyle w:val="0"/>
        <w:spacing w:before="165" w:beforeLines="50" w:beforeAutospacing="0" w:after="82" w:afterLines="25" w:afterAutospacing="0"/>
        <w:ind w:right="70" w:rightChars="31"/>
        <w:rPr>
          <w:rFonts w:hint="eastAsia" w:ascii="ＭＳ 明朝" w:hAnsi="ＭＳ 明朝" w:eastAsia="ＭＳ 明朝"/>
          <w:sz w:val="22"/>
          <w:highlight w:val="none"/>
        </w:rPr>
      </w:pPr>
      <w:r>
        <w:rPr>
          <w:rFonts w:hint="eastAsia" w:ascii="ＭＳ 明朝" w:hAnsi="ＭＳ 明朝" w:eastAsia="ＭＳ 明朝"/>
          <w:sz w:val="22"/>
          <w:highlight w:val="none"/>
        </w:rPr>
        <w:t>ク　妊よう性温存治療について</w:t>
      </w:r>
    </w:p>
    <w:p>
      <w:pPr>
        <w:pStyle w:val="0"/>
        <w:snapToGrid w:val="1"/>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がん治療によって主に卵巣、精巣等の機能に影響を及ぼし、妊よう性が低下することは、将来こどもを産み育てることを望む小児・ＡＹＡ世代のがん患者にとって大きな課題です。</w:t>
      </w:r>
    </w:p>
    <w:p>
      <w:pPr>
        <w:pStyle w:val="0"/>
        <w:snapToGrid w:val="1"/>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県は、国の事業内容を踏まえながら、妊よう性温存治療に係る助成事業により、治療費用の一部を助成します。</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また、県や拠点病院等は、地域がん・生殖医療ネットワークにおいて適切な支援や治療提供のため、連携体制の強化に努めます。</w:t>
      </w:r>
    </w:p>
    <w:p>
      <w:pPr>
        <w:pStyle w:val="0"/>
        <w:rPr>
          <w:rFonts w:hint="eastAsia" w:ascii="ＭＳ 明朝" w:hAnsi="ＭＳ 明朝" w:eastAsia="ＭＳ 明朝"/>
          <w:sz w:val="22"/>
          <w:highlight w:val="none"/>
        </w:rPr>
      </w:pPr>
    </w:p>
    <w:p>
      <w:pPr>
        <w:pStyle w:val="0"/>
        <w:snapToGrid w:val="1"/>
        <w:rPr>
          <w:rFonts w:hint="eastAsia" w:ascii="ＭＳ 明朝" w:hAnsi="ＭＳ 明朝" w:eastAsia="ＭＳ 明朝"/>
          <w:sz w:val="22"/>
          <w:highlight w:val="none"/>
        </w:rPr>
      </w:pPr>
    </w:p>
    <w:p>
      <w:pPr>
        <w:pStyle w:val="0"/>
        <w:snapToGrid w:val="1"/>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rPr>
        <w:t>（２）希少がん及び難治性がん対策</w:t>
      </w:r>
    </w:p>
    <w:p>
      <w:pPr>
        <w:pStyle w:val="0"/>
        <w:snapToGrid w:val="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0" w:leftChars="93" w:right="70" w:rightChars="31" w:firstLine="224" w:firstLineChars="99"/>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希少がんについては、国において、国立がん研究センターを希少がん医療を統括する希少がん中央機関として位置づけ診断支援や専門施設の整備等が進められています。</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また、膵がんをはじめとした、いわゆる難治性がんは、治療成績の向上が課題として指摘されており、適切な医療機関を受診できる体制構築が求められます。</w:t>
      </w:r>
    </w:p>
    <w:p>
      <w:pPr>
        <w:pStyle w:val="0"/>
        <w:snapToGrid w:val="1"/>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ascii="ＭＳ ゴシック" w:hAnsi="ＭＳ ゴシック" w:eastAsia="ＭＳ ゴシック"/>
          <w:highlight w:val="none"/>
        </w:rPr>
      </w:pPr>
      <w:r>
        <w:rPr>
          <w:rFonts w:hint="eastAsia" w:ascii="ＭＳ 明朝" w:hAnsi="ＭＳ 明朝" w:eastAsia="ＭＳ 明朝"/>
          <w:color w:val="auto"/>
          <w:sz w:val="22"/>
          <w:highlight w:val="none"/>
        </w:rPr>
        <w:t>拠点病院等は、希少がんや難治性がんについて県内の医療機関で連携するとともに、必要に応じて</w:t>
      </w:r>
      <w:r>
        <w:rPr>
          <w:rFonts w:hint="eastAsia" w:ascii="ＭＳ 明朝" w:hAnsi="ＭＳ 明朝" w:eastAsia="ＭＳ 明朝"/>
          <w:sz w:val="22"/>
          <w:highlight w:val="none"/>
        </w:rPr>
        <w:t>国立がん研究センター</w:t>
      </w:r>
      <w:r>
        <w:rPr>
          <w:rFonts w:hint="eastAsia" w:ascii="ＭＳ 明朝" w:hAnsi="ＭＳ 明朝" w:eastAsia="ＭＳ 明朝"/>
          <w:color w:val="auto"/>
          <w:sz w:val="22"/>
          <w:highlight w:val="none"/>
        </w:rPr>
        <w:t>と連携し、適切な医療の提供に努めます。</w:t>
      </w:r>
    </w:p>
    <w:p>
      <w:pPr>
        <w:pStyle w:val="0"/>
        <w:spacing w:before="165" w:beforeLines="50" w:beforeAutospacing="0"/>
        <w:ind w:right="70" w:rightChars="31"/>
        <w:rPr>
          <w:rFonts w:hint="eastAsia" w:ascii="ＭＳ 明朝" w:hAnsi="ＭＳ 明朝" w:eastAsia="ＭＳ 明朝"/>
          <w:b w:val="1"/>
          <w:sz w:val="22"/>
          <w:highlight w:val="none"/>
        </w:rPr>
      </w:pPr>
      <w:r>
        <w:rPr>
          <w:rFonts w:hint="eastAsia" w:ascii="ＭＳ 明朝" w:hAnsi="ＭＳ 明朝" w:eastAsia="ＭＳ 明朝"/>
          <w:b w:val="1"/>
          <w:color w:val="auto"/>
          <w:sz w:val="22"/>
          <w:highlight w:val="none"/>
        </w:rPr>
        <w:t>（３）小児がん及びＡＹＡ世代のがん対策</w:t>
      </w:r>
    </w:p>
    <w:p>
      <w:pPr>
        <w:pStyle w:val="0"/>
        <w:snapToGrid w:val="1"/>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がんは、小児及びＡＹＡ世代の病死の主な原因の１つですが、多種多様ながん種を含むことや、成長発達の過程において、乳幼児から小児期、活動性の高い思春期・若年成人世代といった特徴あるライフステージで発症することから、これらの世代のがんは、成人のがんとは異なる対策が求められています。</w:t>
      </w:r>
    </w:p>
    <w:p>
      <w:pPr>
        <w:pStyle w:val="0"/>
        <w:snapToGrid w:val="1"/>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拠点病院は、小児がん中国・四国ネットワークに参加している高知大学医学部附属病院、高知医療センターを中心として、小児がん拠点病院である広島大学病院をはじめとした同ネットワーク参加病院と症例等を共有しつつ、連携の強化に努め、小児がん医療提供体制の更なる向上に取り組みます。</w:t>
      </w:r>
    </w:p>
    <w:p>
      <w:pPr>
        <w:pStyle w:val="0"/>
        <w:ind w:right="70" w:rightChars="31"/>
        <w:rPr>
          <w:rFonts w:hint="eastAsia" w:ascii="ＭＳ 明朝" w:hAnsi="ＭＳ 明朝" w:eastAsia="ＭＳ 明朝"/>
          <w:sz w:val="22"/>
          <w:highlight w:val="none"/>
        </w:rPr>
      </w:pPr>
    </w:p>
    <w:p>
      <w:pPr>
        <w:pStyle w:val="0"/>
        <w:ind w:right="70" w:rightChars="31"/>
        <w:rPr>
          <w:rFonts w:hint="eastAsia" w:ascii="ＭＳ 明朝" w:hAnsi="ＭＳ 明朝" w:eastAsia="ＭＳ 明朝"/>
          <w:b w:val="1"/>
          <w:sz w:val="22"/>
          <w:highlight w:val="none"/>
        </w:rPr>
      </w:pPr>
      <w:r>
        <w:rPr>
          <w:rFonts w:hint="eastAsia" w:ascii="ＭＳ 明朝" w:hAnsi="ＭＳ 明朝" w:eastAsia="ＭＳ 明朝"/>
          <w:b w:val="1"/>
          <w:color w:val="auto"/>
          <w:sz w:val="22"/>
          <w:highlight w:val="none"/>
        </w:rPr>
        <w:t>（４）高齢者のがん対策</w:t>
      </w:r>
    </w:p>
    <w:p>
      <w:pPr>
        <w:pStyle w:val="0"/>
        <w:snapToGrid w:val="1"/>
        <w:ind w:right="70" w:rightChars="31"/>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令和元（</w:t>
      </w:r>
      <w:r>
        <w:rPr>
          <w:rFonts w:hint="eastAsia" w:ascii="ＭＳ 明朝" w:hAnsi="ＭＳ 明朝" w:eastAsia="ＭＳ 明朝"/>
          <w:color w:val="auto"/>
          <w:sz w:val="22"/>
          <w:highlight w:val="none"/>
        </w:rPr>
        <w:t>2019</w:t>
      </w:r>
      <w:r>
        <w:rPr>
          <w:rFonts w:hint="eastAsia" w:ascii="ＭＳ 明朝" w:hAnsi="ＭＳ 明朝" w:eastAsia="ＭＳ 明朝"/>
          <w:color w:val="auto"/>
          <w:sz w:val="22"/>
          <w:highlight w:val="none"/>
        </w:rPr>
        <w:t>）年には、新たにがんと診断された人のうち</w:t>
      </w:r>
      <w:r>
        <w:rPr>
          <w:rFonts w:hint="eastAsia" w:ascii="ＭＳ 明朝" w:hAnsi="ＭＳ 明朝" w:eastAsia="ＭＳ 明朝"/>
          <w:color w:val="auto"/>
          <w:sz w:val="22"/>
          <w:highlight w:val="none"/>
        </w:rPr>
        <w:t>65</w:t>
      </w:r>
      <w:r>
        <w:rPr>
          <w:rFonts w:hint="eastAsia" w:ascii="ＭＳ 明朝" w:hAnsi="ＭＳ 明朝" w:eastAsia="ＭＳ 明朝"/>
          <w:color w:val="auto"/>
          <w:sz w:val="22"/>
          <w:highlight w:val="none"/>
        </w:rPr>
        <w:t>歳以上の高齢者の数は</w:t>
      </w:r>
      <w:r>
        <w:rPr>
          <w:rFonts w:hint="eastAsia" w:ascii="ＭＳ 明朝" w:hAnsi="ＭＳ 明朝" w:eastAsia="ＭＳ 明朝"/>
          <w:color w:val="auto"/>
          <w:sz w:val="22"/>
          <w:highlight w:val="none"/>
        </w:rPr>
        <w:t>5,218</w:t>
      </w:r>
      <w:r>
        <w:rPr>
          <w:rFonts w:hint="eastAsia" w:ascii="ＭＳ 明朝" w:hAnsi="ＭＳ 明朝" w:eastAsia="ＭＳ 明朝"/>
          <w:color w:val="auto"/>
          <w:sz w:val="22"/>
          <w:highlight w:val="none"/>
        </w:rPr>
        <w:t>人（がん患者全体の</w:t>
      </w:r>
      <w:r>
        <w:rPr>
          <w:rFonts w:hint="eastAsia" w:ascii="ＭＳ 明朝" w:hAnsi="ＭＳ 明朝" w:eastAsia="ＭＳ 明朝"/>
          <w:color w:val="auto"/>
          <w:sz w:val="22"/>
          <w:highlight w:val="none"/>
        </w:rPr>
        <w:t>79.8</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75</w:t>
      </w:r>
      <w:r>
        <w:rPr>
          <w:rFonts w:hint="eastAsia" w:ascii="ＭＳ 明朝" w:hAnsi="ＭＳ 明朝" w:eastAsia="ＭＳ 明朝"/>
          <w:color w:val="auto"/>
          <w:sz w:val="22"/>
          <w:highlight w:val="none"/>
        </w:rPr>
        <w:t>歳以上の高齢者の数は</w:t>
      </w:r>
      <w:r>
        <w:rPr>
          <w:rFonts w:hint="eastAsia" w:ascii="ＭＳ 明朝" w:hAnsi="ＭＳ 明朝" w:eastAsia="ＭＳ 明朝"/>
          <w:color w:val="auto"/>
          <w:sz w:val="22"/>
          <w:highlight w:val="none"/>
        </w:rPr>
        <w:t>3,199</w:t>
      </w:r>
      <w:r>
        <w:rPr>
          <w:rFonts w:hint="eastAsia" w:ascii="ＭＳ 明朝" w:hAnsi="ＭＳ 明朝" w:eastAsia="ＭＳ 明朝"/>
          <w:color w:val="auto"/>
          <w:sz w:val="22"/>
          <w:highlight w:val="none"/>
        </w:rPr>
        <w:t>人（がん患者全体の</w:t>
      </w:r>
      <w:r>
        <w:rPr>
          <w:rFonts w:hint="eastAsia" w:ascii="ＭＳ 明朝" w:hAnsi="ＭＳ 明朝" w:eastAsia="ＭＳ 明朝"/>
          <w:color w:val="auto"/>
          <w:sz w:val="22"/>
          <w:highlight w:val="none"/>
        </w:rPr>
        <w:t>48.9</w:t>
      </w:r>
      <w:r>
        <w:rPr>
          <w:rFonts w:hint="eastAsia" w:ascii="ＭＳ 明朝" w:hAnsi="ＭＳ 明朝" w:eastAsia="ＭＳ 明朝"/>
          <w:color w:val="auto"/>
          <w:sz w:val="22"/>
          <w:highlight w:val="none"/>
        </w:rPr>
        <w:t>％）となっています。</w:t>
      </w:r>
    </w:p>
    <w:p>
      <w:pPr>
        <w:pStyle w:val="0"/>
        <w:snapToGrid w:val="1"/>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0" w:leftChars="93" w:right="70" w:rightChars="31" w:firstLine="224" w:firstLineChars="99"/>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拠点病院等は、高齢者がん診療に関するガイドラインをふまえ、地域の医療機関や介護事業所等と連携し、合併症や要介護等のがん患者やその家族がそれぞれの状況に応じたがん治療を受ける環境整備を進めます。</w:t>
      </w: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５　がんとともに尊厳を持って安心して暮らせる社会の構築</w:t>
      </w:r>
    </w:p>
    <w:p>
      <w:pPr>
        <w:pStyle w:val="0"/>
        <w:snapToGrid w:val="1"/>
        <w:rPr>
          <w:rFonts w:hint="eastAsia" w:ascii="ＭＳ 明朝" w:hAnsi="ＭＳ 明朝" w:eastAsia="ＭＳ 明朝"/>
          <w:b w:val="1"/>
          <w:color w:val="auto"/>
          <w:sz w:val="22"/>
          <w:highlight w:val="none"/>
        </w:rPr>
      </w:pPr>
      <w:r>
        <w:rPr>
          <w:rFonts w:hint="eastAsia" w:ascii="ＭＳ 明朝" w:hAnsi="ＭＳ 明朝" w:eastAsia="ＭＳ 明朝"/>
          <w:b w:val="1"/>
          <w:sz w:val="22"/>
          <w:highlight w:val="none"/>
        </w:rPr>
        <w:t>（１）相談支援及び情報提供</w:t>
      </w:r>
    </w:p>
    <w:p>
      <w:pPr>
        <w:pStyle w:val="0"/>
        <w:snapToGrid w:val="1"/>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がん患者及びその家族の多くは、がんと診断された時から、あらゆる時期において精神心理的な苦痛を抱えています。患者とその家族のみならず、医療従事者が抱く治療上の疑問や、精神的・心理社会的な悩みに対応できる相談支援体制と、がんに関する情報があふれる中で、患者と家族が、確実に必要な情報にアクセスできる情報提供体制の充実が求められています。</w:t>
      </w:r>
    </w:p>
    <w:p>
      <w:pPr>
        <w:pStyle w:val="0"/>
        <w:snapToGrid w:val="1"/>
        <w:ind w:right="70" w:rightChars="31"/>
        <w:rPr>
          <w:rFonts w:hint="eastAsia" w:ascii="ＭＳ 明朝" w:hAnsi="ＭＳ 明朝" w:eastAsia="ＭＳ 明朝"/>
          <w:color w:val="00B050"/>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31"/>
        <w:numPr>
          <w:numId w:val="0"/>
        </w:numPr>
        <w:tabs>
          <w:tab w:val="left" w:leader="none" w:pos="709"/>
        </w:tabs>
        <w:snapToGrid w:val="1"/>
        <w:spacing w:line="240" w:lineRule="auto"/>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sz w:val="22"/>
          <w:highlight w:val="none"/>
        </w:rPr>
        <w:t>県及び拠点病院等は、がん相談支援センター</w:t>
      </w:r>
      <w:r>
        <w:rPr>
          <w:rFonts w:hint="eastAsia" w:ascii="ＭＳ 明朝" w:hAnsi="ＭＳ 明朝" w:eastAsia="ＭＳ 明朝"/>
          <w:color w:val="auto"/>
          <w:sz w:val="22"/>
          <w:highlight w:val="none"/>
        </w:rPr>
        <w:t>等</w:t>
      </w:r>
      <w:r>
        <w:rPr>
          <w:rFonts w:hint="eastAsia" w:ascii="ＭＳ 明朝" w:hAnsi="ＭＳ 明朝" w:eastAsia="ＭＳ 明朝"/>
          <w:sz w:val="22"/>
          <w:highlight w:val="none"/>
        </w:rPr>
        <w:t>についての認知度を高め適切なタイミングで利用できるよう、ホームページや啓発資材</w:t>
      </w:r>
      <w:r>
        <w:rPr>
          <w:rFonts w:hint="eastAsia" w:ascii="ＭＳ 明朝" w:hAnsi="ＭＳ 明朝" w:eastAsia="ＭＳ 明朝"/>
          <w:color w:val="auto"/>
          <w:sz w:val="22"/>
          <w:highlight w:val="none"/>
        </w:rPr>
        <w:t>等</w:t>
      </w:r>
      <w:r>
        <w:rPr>
          <w:rFonts w:hint="eastAsia" w:ascii="ＭＳ 明朝" w:hAnsi="ＭＳ 明朝" w:eastAsia="ＭＳ 明朝"/>
          <w:sz w:val="22"/>
          <w:highlight w:val="none"/>
        </w:rPr>
        <w:t>により、広く県民に対し周知します。</w:t>
      </w:r>
    </w:p>
    <w:p>
      <w:pPr>
        <w:pStyle w:val="0"/>
        <w:ind w:left="210" w:leftChars="93" w:right="70" w:rightChars="31" w:firstLine="224" w:firstLineChars="99"/>
        <w:rPr>
          <w:rFonts w:hint="eastAsia" w:ascii="ＭＳ 明朝" w:hAnsi="ＭＳ 明朝" w:eastAsia="ＭＳ 明朝"/>
          <w:color w:val="00B050"/>
          <w:sz w:val="22"/>
          <w:highlight w:val="none"/>
        </w:rPr>
      </w:pPr>
      <w:r>
        <w:rPr>
          <w:rFonts w:hint="eastAsia" w:ascii="ＭＳ 明朝" w:hAnsi="ＭＳ 明朝" w:eastAsia="ＭＳ 明朝"/>
          <w:sz w:val="22"/>
          <w:highlight w:val="none"/>
        </w:rPr>
        <w:t>また、相談支援体制へのアクセシビリティを向上させるため、オンラインを活用した体制整備を検討します。</w:t>
      </w:r>
    </w:p>
    <w:p>
      <w:pPr>
        <w:pStyle w:val="0"/>
        <w:ind w:right="70" w:rightChars="31"/>
        <w:rPr>
          <w:rFonts w:hint="eastAsia" w:ascii="ＭＳ 明朝" w:hAnsi="ＭＳ 明朝" w:eastAsia="ＭＳ 明朝"/>
          <w:color w:val="00B050"/>
          <w:sz w:val="22"/>
          <w:highlight w:val="none"/>
        </w:rPr>
      </w:pPr>
    </w:p>
    <w:p>
      <w:pPr>
        <w:pStyle w:val="0"/>
        <w:ind w:right="70" w:rightChars="31"/>
        <w:rPr>
          <w:rFonts w:hint="eastAsia" w:ascii="ＭＳ 明朝" w:hAnsi="ＭＳ 明朝" w:eastAsia="ＭＳ 明朝"/>
          <w:color w:val="00B050"/>
          <w:sz w:val="22"/>
          <w:highlight w:val="none"/>
        </w:rPr>
      </w:pPr>
      <w:r>
        <w:rPr>
          <w:rFonts w:hint="eastAsia" w:ascii="ＭＳ 明朝" w:hAnsi="ＭＳ 明朝" w:eastAsia="ＭＳ 明朝"/>
          <w:b w:val="1"/>
          <w:sz w:val="22"/>
          <w:highlight w:val="none"/>
        </w:rPr>
        <w:t>（２）がん患者等の社会的な問題への対策（サバイバーシップ支援）</w:t>
      </w:r>
    </w:p>
    <w:p>
      <w:pPr>
        <w:pStyle w:val="0"/>
        <w:ind w:right="70" w:rightChars="31"/>
        <w:rPr>
          <w:rFonts w:hint="eastAsia" w:ascii="ＭＳ 明朝" w:hAnsi="ＭＳ 明朝" w:eastAsia="ＭＳ 明朝"/>
          <w:color w:val="00B050"/>
          <w:sz w:val="22"/>
          <w:highlight w:val="none"/>
        </w:rPr>
      </w:pPr>
      <w:r>
        <w:rPr>
          <w:rFonts w:hint="eastAsia" w:ascii="ＭＳ 明朝" w:hAnsi="ＭＳ 明朝" w:eastAsia="ＭＳ 明朝"/>
          <w:sz w:val="22"/>
          <w:highlight w:val="none"/>
        </w:rPr>
        <w:t>ア　就労支援について</w:t>
      </w:r>
    </w:p>
    <w:p>
      <w:pPr>
        <w:pStyle w:val="0"/>
        <w:snapToGrid w:val="1"/>
        <w:ind w:right="70" w:rightChars="31"/>
        <w:rPr>
          <w:rFonts w:hint="eastAsia" w:ascii="ＭＳ 明朝" w:hAnsi="ＭＳ 明朝" w:eastAsia="ＭＳ 明朝"/>
          <w:color w:val="00B050"/>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ind w:left="210" w:leftChars="93" w:right="70" w:rightChars="31" w:firstLine="224" w:firstLineChars="99"/>
        <w:rPr>
          <w:rFonts w:hint="eastAsia" w:ascii="ＭＳ 明朝" w:hAnsi="ＭＳ 明朝" w:eastAsia="ＭＳ 明朝"/>
          <w:color w:val="00B050"/>
          <w:sz w:val="22"/>
          <w:highlight w:val="none"/>
        </w:rPr>
      </w:pPr>
      <w:r>
        <w:rPr>
          <w:rFonts w:hint="eastAsia" w:ascii="ＭＳ 明朝" w:hAnsi="ＭＳ 明朝" w:eastAsia="ＭＳ 明朝"/>
          <w:sz w:val="22"/>
          <w:highlight w:val="none"/>
        </w:rPr>
        <w:t>がんになっても自分らしく活き活きと働き、安心して暮らせる社会の構築が重要であり、がん患者の離職防止や再就職のための就労支援の充実が強く求められています。</w:t>
      </w:r>
    </w:p>
    <w:p>
      <w:pPr>
        <w:pStyle w:val="0"/>
        <w:snapToGrid w:val="1"/>
        <w:ind w:right="70" w:rightChars="31"/>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ascii="ＭＳ 明朝" w:hAnsi="ＭＳ 明朝" w:eastAsia="ＭＳ 明朝"/>
          <w:color w:val="00B050"/>
          <w:sz w:val="22"/>
          <w:highlight w:val="none"/>
        </w:rPr>
      </w:pPr>
      <w:r>
        <w:rPr>
          <w:rFonts w:hint="eastAsia" w:ascii="ＭＳ 明朝" w:hAnsi="ＭＳ 明朝" w:eastAsia="ＭＳ 明朝"/>
          <w:sz w:val="22"/>
          <w:highlight w:val="none"/>
        </w:rPr>
        <w:t>県は、関係部局と連携のうえ、企業におけるがん患者に対する理解や協力のための正しい知識の普及や、がん患者・事業者等に対する情報提供・相談支援について</w:t>
      </w:r>
      <w:r>
        <w:rPr>
          <w:rFonts w:hint="eastAsia" w:ascii="ＭＳ 明朝" w:hAnsi="ＭＳ 明朝" w:eastAsia="ＭＳ 明朝"/>
          <w:color w:val="auto"/>
          <w:sz w:val="22"/>
          <w:highlight w:val="none"/>
        </w:rPr>
        <w:t>取組</w:t>
      </w:r>
      <w:r>
        <w:rPr>
          <w:rFonts w:hint="eastAsia" w:ascii="ＭＳ 明朝" w:hAnsi="ＭＳ 明朝" w:eastAsia="ＭＳ 明朝"/>
          <w:sz w:val="22"/>
          <w:highlight w:val="none"/>
        </w:rPr>
        <w:t>を実施していきます。</w:t>
      </w:r>
    </w:p>
    <w:p>
      <w:pPr>
        <w:pStyle w:val="0"/>
        <w:ind w:right="70" w:rightChars="31" w:firstLine="226" w:firstLineChars="100"/>
        <w:rPr>
          <w:rFonts w:hint="eastAsia" w:ascii="ＭＳ 明朝" w:hAnsi="ＭＳ 明朝" w:eastAsia="ＭＳ 明朝"/>
          <w:color w:val="00B050"/>
          <w:sz w:val="22"/>
          <w:highlight w:val="none"/>
        </w:rPr>
      </w:pPr>
    </w:p>
    <w:p>
      <w:pPr>
        <w:pStyle w:val="0"/>
        <w:ind w:right="70" w:rightChars="31"/>
        <w:rPr>
          <w:rFonts w:hint="eastAsia" w:ascii="ＭＳ 明朝" w:hAnsi="ＭＳ 明朝" w:eastAsia="ＭＳ 明朝"/>
          <w:sz w:val="22"/>
          <w:highlight w:val="none"/>
        </w:rPr>
      </w:pPr>
      <w:r>
        <w:rPr>
          <w:rFonts w:hint="eastAsia" w:ascii="ＭＳ 明朝" w:hAnsi="ＭＳ 明朝" w:eastAsia="ＭＳ 明朝"/>
          <w:b w:val="1"/>
          <w:color w:val="0070C0"/>
          <w:sz w:val="22"/>
          <w:highlight w:val="none"/>
        </w:rPr>
        <w:t>６　これらを支える基盤の整備</w:t>
      </w:r>
    </w:p>
    <w:p>
      <w:pPr>
        <w:pStyle w:val="0"/>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rPr>
        <w:t>（１）人材育成の強化</w:t>
      </w:r>
    </w:p>
    <w:p>
      <w:pPr>
        <w:pStyle w:val="0"/>
        <w:snapToGrid w:val="1"/>
        <w:ind w:right="70" w:rightChars="31"/>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現状と課題</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手術療法、放射線療法、薬物療法、緩和ケア、口腔ケア等がん医療に専門的に関わる医療従事者が少ないことから、医療従事者の確保・育成の促進が必要です。</w:t>
      </w:r>
    </w:p>
    <w:p>
      <w:pPr>
        <w:pStyle w:val="0"/>
        <w:snapToGrid w:val="1"/>
        <w:ind w:right="70" w:rightChars="31"/>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県拠点病院は、がんに関する主な治療法の知識を持った医師に加え、がん治療全般を理解しつつ、質の高い手術療法を安全に提供し得る知識と技能を有する医師を育成します。</w:t>
      </w:r>
    </w:p>
    <w:p>
      <w:pPr>
        <w:pStyle w:val="0"/>
        <w:snapToGrid w:val="1"/>
        <w:spacing w:line="240" w:lineRule="auto"/>
        <w:ind w:left="210" w:leftChars="93" w:right="70" w:rightChars="31" w:firstLine="224" w:firstLineChars="99"/>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また、拠点病院等は、手術療法、放射線療法、薬物療法、緩和ケア、口腔ケア等がん医療に専門的に関わる医療従事者の確保・育成に努めます。</w:t>
      </w:r>
    </w:p>
    <w:p>
      <w:pPr>
        <w:pStyle w:val="0"/>
        <w:snapToGrid w:val="1"/>
        <w:spacing w:line="240" w:lineRule="auto"/>
        <w:ind w:leftChars="0" w:right="70" w:rightChars="31" w:firstLineChars="0"/>
        <w:rPr>
          <w:rFonts w:hint="eastAsia" w:ascii="ＭＳ 明朝" w:hAnsi="ＭＳ 明朝" w:eastAsia="ＭＳ 明朝"/>
          <w:color w:val="auto"/>
          <w:sz w:val="22"/>
          <w:highlight w:val="none"/>
        </w:rPr>
      </w:pPr>
    </w:p>
    <w:p>
      <w:pPr>
        <w:pStyle w:val="0"/>
        <w:snapToGrid w:val="1"/>
        <w:spacing w:line="240" w:lineRule="auto"/>
        <w:ind w:leftChars="0" w:firstLineChars="0"/>
        <w:rPr>
          <w:rFonts w:hint="eastAsia" w:ascii="ＭＳ 明朝" w:hAnsi="ＭＳ 明朝" w:eastAsia="ＭＳ 明朝"/>
          <w:color w:val="auto"/>
          <w:sz w:val="22"/>
          <w:highlight w:val="none"/>
        </w:rPr>
      </w:pPr>
    </w:p>
    <w:p>
      <w:pPr>
        <w:pStyle w:val="0"/>
        <w:snapToGrid w:val="1"/>
        <w:spacing w:line="240" w:lineRule="auto"/>
        <w:ind w:leftChars="0" w:firstLineChars="0"/>
        <w:rPr>
          <w:rFonts w:hint="eastAsia" w:ascii="ＭＳ 明朝" w:hAnsi="ＭＳ 明朝" w:eastAsia="ＭＳ 明朝"/>
          <w:color w:val="auto"/>
          <w:sz w:val="22"/>
          <w:highlight w:val="none"/>
        </w:rPr>
      </w:pPr>
    </w:p>
    <w:p>
      <w:pPr>
        <w:pStyle w:val="0"/>
        <w:snapToGrid w:val="1"/>
        <w:spacing w:line="240" w:lineRule="auto"/>
        <w:ind w:leftChars="0" w:firstLineChars="0"/>
        <w:rPr>
          <w:rFonts w:hint="eastAsia" w:ascii="ＭＳ 明朝" w:hAnsi="ＭＳ 明朝" w:eastAsia="ＭＳ 明朝"/>
          <w:color w:val="auto"/>
          <w:sz w:val="22"/>
          <w:highlight w:val="none"/>
        </w:rPr>
      </w:pPr>
    </w:p>
    <w:p>
      <w:pPr>
        <w:pStyle w:val="0"/>
        <w:snapToGrid w:val="1"/>
        <w:spacing w:line="240" w:lineRule="auto"/>
        <w:ind w:leftChars="0" w:firstLineChars="0"/>
        <w:rPr>
          <w:rFonts w:hint="eastAsia" w:ascii="ＭＳ 明朝" w:hAnsi="ＭＳ 明朝" w:eastAsia="ＭＳ 明朝"/>
          <w:color w:val="auto"/>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rPr>
        <w:t>（２）がん登録の利活用の推進</w:t>
      </w:r>
    </w:p>
    <w:p>
      <w:pPr>
        <w:pStyle w:val="0"/>
        <w:snapToGrid w:val="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ind w:left="211" w:leftChars="93" w:firstLine="225" w:firstLineChars="99"/>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がん登録は、がん患者の罹患時の状況や治療及びその後の生存等の状況を把握し、分析するもので、がん対策の計画や評価を行うときの基礎資料となる重要な情報です。</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がん登録の推進にあたっては、がん診療に携わる医師や医療機関等の理解、協力が必要であるとともに、その負担を軽減し効率的に実施していく必要があることから、がん登録実務者の育成・確保が必要です。</w:t>
      </w:r>
    </w:p>
    <w:p>
      <w:pPr>
        <w:pStyle w:val="0"/>
        <w:snapToGrid w:val="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highlight w:val="none"/>
        </w:rPr>
      </w:pPr>
      <w:r>
        <w:rPr>
          <w:rFonts w:hint="eastAsia" w:ascii="ＭＳ 明朝" w:hAnsi="ＭＳ 明朝" w:eastAsia="ＭＳ 明朝"/>
          <w:color w:val="auto"/>
          <w:sz w:val="22"/>
          <w:highlight w:val="none"/>
        </w:rPr>
        <w:t>県は、がん患者等へがん登録の意義と内容を周知するとともに、がん登録等により得られたがんの罹患状況や治療成績等に関する情報を、がん対策の計画立案・評価等において積極的に活用します。</w:t>
      </w:r>
    </w:p>
    <w:p>
      <w:pPr>
        <w:pStyle w:val="0"/>
        <w:ind w:left="210" w:leftChars="93" w:right="70" w:rightChars="31" w:firstLine="224" w:firstLineChars="99"/>
        <w:rPr>
          <w:rFonts w:hint="eastAsia"/>
          <w:highlight w:val="none"/>
        </w:rPr>
      </w:pPr>
      <w:r>
        <w:rPr>
          <w:rFonts w:hint="eastAsia" w:ascii="ＭＳ 明朝" w:hAnsi="ＭＳ 明朝" w:eastAsia="ＭＳ 明朝"/>
          <w:color w:val="auto"/>
          <w:sz w:val="22"/>
          <w:highlight w:val="none"/>
        </w:rPr>
        <w:t>また、がん登録の情報の収集・管理に当たっては、個人情報保護に関する取組を徹底します。</w:t>
      </w:r>
    </w:p>
    <w:p>
      <w:pPr>
        <w:pStyle w:val="0"/>
        <w:snapToGrid w:val="1"/>
        <w:rPr>
          <w:rFonts w:hint="eastAsia"/>
          <w:highlight w:val="none"/>
        </w:rPr>
      </w:pPr>
      <w:r>
        <w:rPr>
          <w:rFonts w:hint="eastAsia" w:ascii="ＭＳ 明朝" w:hAnsi="ＭＳ 明朝" w:eastAsia="ＭＳ 明朝"/>
          <w:b w:val="1"/>
          <w:sz w:val="22"/>
          <w:highlight w:val="none"/>
          <w:bdr w:val="single" w:color="auto" w:sz="4" w:space="0"/>
          <w:shd w:val="clear" w:color="auto" w:fill="E5DFEC"/>
        </w:rPr>
        <w:t>目標</w:t>
      </w:r>
    </w:p>
    <w:tbl>
      <w:tblPr>
        <w:tblStyle w:val="44"/>
        <w:tblW w:w="9000" w:type="dxa"/>
        <w:jc w:val="left"/>
        <w:tblInd w:w="-5" w:type="dxa"/>
        <w:tblLayout w:type="fixed"/>
        <w:tblLook w:firstRow="1" w:lastRow="0" w:firstColumn="1" w:lastColumn="0" w:noHBand="0" w:noVBand="1" w:val="04A0"/>
      </w:tblPr>
      <w:tblGrid>
        <w:gridCol w:w="306"/>
        <w:gridCol w:w="1944"/>
        <w:gridCol w:w="3150"/>
        <w:gridCol w:w="1857"/>
        <w:gridCol w:w="1743"/>
      </w:tblGrid>
      <w:tr>
        <w:trPr>
          <w:trHeight w:val="430" w:hRule="atLeast"/>
        </w:trPr>
        <w:tc>
          <w:tcPr>
            <w:tcW w:w="306" w:type="dxa"/>
            <w:shd w:val="clear" w:color="auto" w:fill="DAEEF3"/>
            <w:vAlign w:val="top"/>
          </w:tcPr>
          <w:p>
            <w:pPr>
              <w:pStyle w:val="0"/>
              <w:adjustRightInd w:val="0"/>
              <w:snapToGrid w:val="0"/>
              <w:ind w:left="0" w:leftChars="0" w:firstLine="0" w:firstLineChars="0"/>
              <w:jc w:val="both"/>
              <w:rPr>
                <w:rFonts w:hint="eastAsia" w:ascii="ＭＳ 明朝" w:hAnsi="ＭＳ 明朝" w:eastAsia="ＭＳ 明朝"/>
                <w:sz w:val="16"/>
                <w:highlight w:val="none"/>
              </w:rPr>
            </w:pPr>
            <w:r>
              <w:rPr>
                <w:rFonts w:hint="eastAsia" w:ascii="ＭＳ 明朝" w:hAnsi="ＭＳ 明朝" w:eastAsia="ＭＳ 明朝"/>
                <w:sz w:val="16"/>
                <w:highlight w:val="none"/>
              </w:rPr>
              <w:t>区</w:t>
            </w:r>
          </w:p>
          <w:p>
            <w:pPr>
              <w:pStyle w:val="0"/>
              <w:adjustRightInd w:val="0"/>
              <w:snapToGrid w:val="0"/>
              <w:ind w:left="0" w:leftChars="0" w:firstLine="0" w:firstLineChars="0"/>
              <w:jc w:val="both"/>
              <w:rPr>
                <w:rFonts w:hint="eastAsia" w:ascii="ＭＳ 明朝" w:hAnsi="ＭＳ 明朝" w:eastAsia="ＭＳ 明朝"/>
                <w:highlight w:val="none"/>
              </w:rPr>
            </w:pPr>
            <w:r>
              <w:rPr>
                <w:rFonts w:hint="eastAsia" w:ascii="ＭＳ 明朝" w:hAnsi="ＭＳ 明朝" w:eastAsia="ＭＳ 明朝"/>
                <w:sz w:val="16"/>
                <w:highlight w:val="none"/>
              </w:rPr>
              <w:t>分</w:t>
            </w:r>
          </w:p>
        </w:tc>
        <w:tc>
          <w:tcPr>
            <w:tcW w:w="1944" w:type="dxa"/>
            <w:shd w:val="clear" w:color="auto" w:fill="DAEEF3"/>
            <w:vAlign w:val="top"/>
          </w:tcPr>
          <w:p>
            <w:pPr>
              <w:pStyle w:val="0"/>
              <w:autoSpaceDE w:val="0"/>
              <w:autoSpaceDN w:val="0"/>
              <w:adjustRightInd w:val="0"/>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項目</w:t>
            </w:r>
          </w:p>
        </w:tc>
        <w:tc>
          <w:tcPr>
            <w:tcW w:w="3150" w:type="dxa"/>
            <w:shd w:val="clear" w:color="auto" w:fill="DAEEF3"/>
            <w:vAlign w:val="top"/>
          </w:tcPr>
          <w:p>
            <w:pPr>
              <w:pStyle w:val="0"/>
              <w:autoSpaceDE w:val="0"/>
              <w:autoSpaceDN w:val="0"/>
              <w:adjustRightInd w:val="0"/>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直近値</w:t>
            </w:r>
          </w:p>
        </w:tc>
        <w:tc>
          <w:tcPr>
            <w:tcW w:w="1857" w:type="dxa"/>
            <w:shd w:val="clear" w:color="auto" w:fill="DAEEF3"/>
            <w:vAlign w:val="top"/>
          </w:tcPr>
          <w:p>
            <w:pPr>
              <w:pStyle w:val="0"/>
              <w:autoSpaceDE w:val="0"/>
              <w:autoSpaceDN w:val="0"/>
              <w:adjustRightInd w:val="0"/>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目標（</w:t>
            </w:r>
            <w:r>
              <w:rPr>
                <w:rFonts w:hint="eastAsia" w:ascii="ＭＳ 明朝" w:hAnsi="ＭＳ 明朝" w:eastAsia="ＭＳ 明朝"/>
                <w:color w:val="000000"/>
                <w:kern w:val="0"/>
                <w:sz w:val="20"/>
                <w:highlight w:val="none"/>
                <w:u w:val="none" w:color="auto"/>
              </w:rPr>
              <w:t>R11</w:t>
            </w:r>
            <w:r>
              <w:rPr>
                <w:rFonts w:hint="eastAsia" w:ascii="ＭＳ 明朝" w:hAnsi="ＭＳ 明朝" w:eastAsia="ＭＳ 明朝"/>
                <w:color w:val="000000"/>
                <w:kern w:val="0"/>
                <w:sz w:val="20"/>
                <w:highlight w:val="none"/>
                <w:u w:val="none" w:color="auto"/>
              </w:rPr>
              <w:t>）</w:t>
            </w:r>
          </w:p>
        </w:tc>
        <w:tc>
          <w:tcPr>
            <w:tcW w:w="1743" w:type="dxa"/>
            <w:shd w:val="clear" w:color="auto" w:fill="DAEEF3"/>
            <w:vAlign w:val="top"/>
          </w:tcPr>
          <w:p>
            <w:pPr>
              <w:pStyle w:val="0"/>
              <w:autoSpaceDE w:val="0"/>
              <w:autoSpaceDN w:val="0"/>
              <w:adjustRightInd w:val="0"/>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直近値の出典</w:t>
            </w:r>
          </w:p>
        </w:tc>
      </w:tr>
      <w:tr>
        <w:trPr>
          <w:trHeight w:val="545" w:hRule="atLeast"/>
        </w:trPr>
        <w:tc>
          <w:tcPr>
            <w:tcW w:w="306" w:type="dxa"/>
            <w:shd w:val="clear" w:color="auto" w:fill="DAEEF3"/>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S</w:t>
            </w:r>
          </w:p>
        </w:tc>
        <w:tc>
          <w:tcPr>
            <w:tcW w:w="1944" w:type="dxa"/>
            <w:shd w:val="clear" w:color="auto" w:fill="DAEEF3"/>
            <w:vAlign w:val="center"/>
          </w:tcPr>
          <w:p>
            <w:pPr>
              <w:pStyle w:val="0"/>
              <w:snapToGrid w:val="0"/>
              <w:jc w:val="left"/>
              <w:rPr>
                <w:rFonts w:hint="eastAsia" w:ascii="ＭＳ 明朝" w:hAnsi="ＭＳ 明朝" w:eastAsia="ＭＳ 明朝"/>
                <w:sz w:val="20"/>
                <w:highlight w:val="none"/>
              </w:rPr>
            </w:pPr>
            <w:r>
              <w:rPr>
                <w:rFonts w:hint="eastAsia" w:ascii="ＭＳ 明朝" w:hAnsi="ＭＳ 明朝" w:eastAsia="ＭＳ 明朝"/>
                <w:sz w:val="20"/>
                <w:highlight w:val="none"/>
              </w:rPr>
              <w:t>緩和ケアチームのある医療機関数</w:t>
            </w:r>
          </w:p>
        </w:tc>
        <w:tc>
          <w:tcPr>
            <w:tcW w:w="315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w:t>
            </w:r>
            <w:r>
              <w:rPr>
                <w:rFonts w:hint="eastAsia" w:ascii="ＭＳ 明朝" w:hAnsi="ＭＳ 明朝" w:eastAsia="ＭＳ 明朝"/>
                <w:sz w:val="20"/>
                <w:highlight w:val="none"/>
              </w:rPr>
              <w:t>機関</w:t>
            </w:r>
          </w:p>
        </w:tc>
        <w:tc>
          <w:tcPr>
            <w:tcW w:w="1857"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増加</w:t>
            </w:r>
          </w:p>
        </w:tc>
        <w:tc>
          <w:tcPr>
            <w:tcW w:w="1743" w:type="dxa"/>
            <w:vAlign w:val="center"/>
          </w:tcPr>
          <w:p>
            <w:pPr>
              <w:pStyle w:val="0"/>
              <w:snapToGrid w:val="0"/>
              <w:jc w:val="left"/>
              <w:rPr>
                <w:rFonts w:hint="eastAsia" w:ascii="ＭＳ 明朝" w:hAnsi="ＭＳ 明朝" w:eastAsia="ＭＳ 明朝"/>
                <w:sz w:val="18"/>
                <w:highlight w:val="none"/>
              </w:rPr>
            </w:pPr>
            <w:r>
              <w:rPr>
                <w:rFonts w:hint="eastAsia" w:ascii="ＭＳ 明朝" w:hAnsi="ＭＳ 明朝" w:eastAsia="ＭＳ 明朝"/>
                <w:sz w:val="20"/>
                <w:highlight w:val="none"/>
              </w:rPr>
              <w:t>高知県健康対策課調査（</w:t>
            </w:r>
            <w:r>
              <w:rPr>
                <w:rFonts w:hint="eastAsia" w:ascii="ＭＳ 明朝" w:hAnsi="ＭＳ 明朝" w:eastAsia="ＭＳ 明朝"/>
                <w:sz w:val="20"/>
                <w:highlight w:val="none"/>
              </w:rPr>
              <w:t>R5</w:t>
            </w:r>
            <w:r>
              <w:rPr>
                <w:rFonts w:hint="eastAsia" w:ascii="ＭＳ 明朝" w:hAnsi="ＭＳ 明朝" w:eastAsia="ＭＳ 明朝"/>
                <w:sz w:val="20"/>
                <w:highlight w:val="none"/>
              </w:rPr>
              <w:t>）</w:t>
            </w:r>
          </w:p>
        </w:tc>
      </w:tr>
      <w:tr>
        <w:trPr>
          <w:trHeight w:val="1019" w:hRule="atLeast"/>
        </w:trPr>
        <w:tc>
          <w:tcPr>
            <w:tcW w:w="306" w:type="dxa"/>
            <w:shd w:val="clear" w:color="auto" w:fill="DAEEF3"/>
            <w:vAlign w:val="center"/>
          </w:tcPr>
          <w:p>
            <w:pPr>
              <w:pStyle w:val="0"/>
              <w:ind w:left="0" w:leftChars="0" w:firstLine="0" w:firstLineChars="0"/>
              <w:jc w:val="left"/>
              <w:rPr>
                <w:rFonts w:hint="eastAsia" w:ascii="ＭＳ 明朝" w:hAnsi="ＭＳ 明朝" w:eastAsia="ＭＳ 明朝"/>
                <w:highlight w:val="none"/>
              </w:rPr>
            </w:pPr>
            <w:r>
              <w:rPr>
                <w:rFonts w:hint="eastAsia" w:ascii="ＭＳ 明朝" w:hAnsi="ＭＳ 明朝" w:eastAsia="ＭＳ 明朝"/>
                <w:highlight w:val="none"/>
              </w:rPr>
              <w:t>P</w:t>
            </w:r>
          </w:p>
        </w:tc>
        <w:tc>
          <w:tcPr>
            <w:tcW w:w="1944" w:type="dxa"/>
            <w:shd w:val="clear" w:color="auto" w:fill="DAEEF3"/>
            <w:vAlign w:val="center"/>
          </w:tcPr>
          <w:p>
            <w:pPr>
              <w:pStyle w:val="0"/>
              <w:autoSpaceDE w:val="0"/>
              <w:autoSpaceDN w:val="0"/>
              <w:adjustRightInd w:val="0"/>
              <w:snapToGrid w:val="0"/>
              <w:spacing w:line="240" w:lineRule="exact"/>
              <w:ind w:left="0" w:firstLine="0"/>
              <w:jc w:val="left"/>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がん検診受診率</w:t>
            </w:r>
          </w:p>
          <w:p>
            <w:pPr>
              <w:pStyle w:val="0"/>
              <w:autoSpaceDE w:val="0"/>
              <w:autoSpaceDN w:val="0"/>
              <w:adjustRightInd w:val="0"/>
              <w:snapToGrid w:val="0"/>
              <w:spacing w:line="240" w:lineRule="exact"/>
              <w:ind w:left="0" w:firstLine="0"/>
              <w:jc w:val="left"/>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(40-50</w:t>
            </w:r>
            <w:r>
              <w:rPr>
                <w:rFonts w:hint="eastAsia" w:ascii="ＭＳ 明朝" w:hAnsi="ＭＳ 明朝" w:eastAsia="ＭＳ 明朝"/>
                <w:color w:val="000000"/>
                <w:kern w:val="0"/>
                <w:sz w:val="20"/>
                <w:highlight w:val="none"/>
                <w:u w:val="none" w:color="auto"/>
              </w:rPr>
              <w:t>歳代</w:t>
            </w:r>
            <w:r>
              <w:rPr>
                <w:rFonts w:hint="eastAsia" w:ascii="ＭＳ 明朝" w:hAnsi="ＭＳ 明朝" w:eastAsia="ＭＳ 明朝"/>
                <w:color w:val="000000"/>
                <w:kern w:val="0"/>
                <w:sz w:val="20"/>
                <w:highlight w:val="none"/>
                <w:u w:val="none" w:color="auto"/>
              </w:rPr>
              <w:t>)</w:t>
            </w:r>
          </w:p>
        </w:tc>
        <w:tc>
          <w:tcPr>
            <w:tcW w:w="3150" w:type="dxa"/>
            <w:vAlign w:val="center"/>
          </w:tcPr>
          <w:p>
            <w:pPr>
              <w:pStyle w:val="0"/>
              <w:autoSpaceDE w:val="0"/>
              <w:autoSpaceDN w:val="0"/>
              <w:adjustRightInd w:val="0"/>
              <w:snapToGrid w:val="0"/>
              <w:spacing w:line="280" w:lineRule="exact"/>
              <w:ind w:left="0" w:firstLine="0"/>
              <w:jc w:val="both"/>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肺　：</w:t>
            </w:r>
            <w:r>
              <w:rPr>
                <w:rFonts w:hint="eastAsia" w:ascii="ＭＳ 明朝" w:hAnsi="ＭＳ 明朝" w:eastAsia="ＭＳ 明朝"/>
                <w:b w:val="0"/>
                <w:color w:val="000000"/>
                <w:kern w:val="0"/>
                <w:sz w:val="20"/>
                <w:highlight w:val="none"/>
                <w:u w:val="none" w:color="auto"/>
              </w:rPr>
              <w:t>59.2</w:t>
            </w:r>
            <w:r>
              <w:rPr>
                <w:rFonts w:hint="eastAsia" w:ascii="ＭＳ 明朝" w:hAnsi="ＭＳ 明朝" w:eastAsia="ＭＳ 明朝"/>
                <w:b w:val="0"/>
                <w:color w:val="000000"/>
                <w:kern w:val="0"/>
                <w:sz w:val="20"/>
                <w:highlight w:val="none"/>
                <w:u w:val="none" w:color="auto"/>
              </w:rPr>
              <w:t>％　胃</w:t>
            </w:r>
            <w:r>
              <w:rPr>
                <w:rFonts w:hint="eastAsia" w:ascii="ＭＳ 明朝" w:hAnsi="ＭＳ 明朝" w:eastAsia="ＭＳ 明朝"/>
                <w:b w:val="0"/>
                <w:color w:val="000000"/>
                <w:kern w:val="0"/>
                <w:sz w:val="20"/>
                <w:highlight w:val="none"/>
                <w:u w:val="none" w:color="auto"/>
              </w:rPr>
              <w:t xml:space="preserve">    </w:t>
            </w:r>
            <w:r>
              <w:rPr>
                <w:rFonts w:hint="eastAsia" w:ascii="ＭＳ 明朝" w:hAnsi="ＭＳ 明朝" w:eastAsia="ＭＳ 明朝"/>
                <w:b w:val="0"/>
                <w:color w:val="000000"/>
                <w:kern w:val="0"/>
                <w:sz w:val="20"/>
                <w:highlight w:val="none"/>
                <w:u w:val="none" w:color="auto"/>
              </w:rPr>
              <w:t>：</w:t>
            </w:r>
            <w:r>
              <w:rPr>
                <w:rFonts w:hint="eastAsia" w:ascii="ＭＳ 明朝" w:hAnsi="ＭＳ 明朝" w:eastAsia="ＭＳ 明朝"/>
                <w:b w:val="0"/>
                <w:color w:val="000000"/>
                <w:kern w:val="0"/>
                <w:sz w:val="20"/>
                <w:highlight w:val="none"/>
                <w:u w:val="none" w:color="auto"/>
              </w:rPr>
              <w:t>41.6</w:t>
            </w:r>
            <w:r>
              <w:rPr>
                <w:rFonts w:hint="eastAsia" w:ascii="ＭＳ 明朝" w:hAnsi="ＭＳ 明朝" w:eastAsia="ＭＳ 明朝"/>
                <w:b w:val="0"/>
                <w:color w:val="000000"/>
                <w:kern w:val="0"/>
                <w:sz w:val="20"/>
                <w:highlight w:val="none"/>
                <w:u w:val="none" w:color="auto"/>
              </w:rPr>
              <w:t>％</w:t>
            </w:r>
          </w:p>
          <w:p>
            <w:pPr>
              <w:pStyle w:val="0"/>
              <w:autoSpaceDE w:val="0"/>
              <w:autoSpaceDN w:val="0"/>
              <w:adjustRightInd w:val="0"/>
              <w:snapToGrid w:val="0"/>
              <w:spacing w:line="280" w:lineRule="exact"/>
              <w:ind w:left="0" w:firstLine="0"/>
              <w:jc w:val="both"/>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大腸：</w:t>
            </w:r>
            <w:r>
              <w:rPr>
                <w:rFonts w:hint="eastAsia" w:ascii="ＭＳ 明朝" w:hAnsi="ＭＳ 明朝" w:eastAsia="ＭＳ 明朝"/>
                <w:b w:val="0"/>
                <w:color w:val="000000"/>
                <w:kern w:val="0"/>
                <w:sz w:val="20"/>
                <w:highlight w:val="none"/>
                <w:u w:val="none" w:color="auto"/>
              </w:rPr>
              <w:t>46.6</w:t>
            </w:r>
            <w:r>
              <w:rPr>
                <w:rFonts w:hint="eastAsia" w:ascii="ＭＳ 明朝" w:hAnsi="ＭＳ 明朝" w:eastAsia="ＭＳ 明朝"/>
                <w:b w:val="0"/>
                <w:color w:val="000000"/>
                <w:kern w:val="0"/>
                <w:sz w:val="20"/>
                <w:highlight w:val="none"/>
                <w:u w:val="none" w:color="auto"/>
              </w:rPr>
              <w:t>％　子宮頸：</w:t>
            </w:r>
            <w:r>
              <w:rPr>
                <w:rFonts w:hint="eastAsia" w:ascii="ＭＳ 明朝" w:hAnsi="ＭＳ 明朝" w:eastAsia="ＭＳ 明朝"/>
                <w:b w:val="0"/>
                <w:color w:val="000000"/>
                <w:kern w:val="0"/>
                <w:sz w:val="20"/>
                <w:highlight w:val="none"/>
                <w:u w:val="none" w:color="auto"/>
              </w:rPr>
              <w:t>47.4</w:t>
            </w:r>
            <w:r>
              <w:rPr>
                <w:rFonts w:hint="eastAsia" w:ascii="ＭＳ 明朝" w:hAnsi="ＭＳ 明朝" w:eastAsia="ＭＳ 明朝"/>
                <w:b w:val="0"/>
                <w:color w:val="000000"/>
                <w:kern w:val="0"/>
                <w:sz w:val="20"/>
                <w:highlight w:val="none"/>
                <w:u w:val="none" w:color="auto"/>
              </w:rPr>
              <w:t>％</w:t>
            </w:r>
          </w:p>
          <w:p>
            <w:pPr>
              <w:pStyle w:val="0"/>
              <w:autoSpaceDE w:val="0"/>
              <w:autoSpaceDN w:val="0"/>
              <w:adjustRightInd w:val="0"/>
              <w:snapToGrid w:val="0"/>
              <w:spacing w:line="280" w:lineRule="exact"/>
              <w:ind w:left="0" w:firstLine="0"/>
              <w:jc w:val="both"/>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乳　：</w:t>
            </w:r>
            <w:r>
              <w:rPr>
                <w:rFonts w:hint="eastAsia" w:ascii="ＭＳ 明朝" w:hAnsi="ＭＳ 明朝" w:eastAsia="ＭＳ 明朝"/>
                <w:b w:val="0"/>
                <w:color w:val="000000"/>
                <w:kern w:val="0"/>
                <w:sz w:val="20"/>
                <w:highlight w:val="none"/>
                <w:u w:val="none" w:color="auto"/>
              </w:rPr>
              <w:t>51.7</w:t>
            </w:r>
            <w:r>
              <w:rPr>
                <w:rFonts w:hint="eastAsia" w:ascii="ＭＳ 明朝" w:hAnsi="ＭＳ 明朝" w:eastAsia="ＭＳ 明朝"/>
                <w:b w:val="0"/>
                <w:color w:val="000000"/>
                <w:kern w:val="0"/>
                <w:sz w:val="20"/>
                <w:highlight w:val="none"/>
                <w:u w:val="none" w:color="auto"/>
              </w:rPr>
              <w:t>％</w:t>
            </w:r>
          </w:p>
        </w:tc>
        <w:tc>
          <w:tcPr>
            <w:tcW w:w="1857" w:type="dxa"/>
            <w:vAlign w:val="center"/>
          </w:tcPr>
          <w:p>
            <w:pPr>
              <w:pStyle w:val="0"/>
              <w:spacing w:line="280" w:lineRule="exact"/>
              <w:ind w:left="0" w:leftChars="0" w:firstLine="0" w:firstLineChars="0"/>
              <w:jc w:val="center"/>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60</w:t>
            </w:r>
            <w:r>
              <w:rPr>
                <w:rFonts w:hint="eastAsia" w:ascii="ＭＳ 明朝" w:hAnsi="ＭＳ 明朝" w:eastAsia="ＭＳ 明朝"/>
                <w:b w:val="0"/>
                <w:color w:val="000000"/>
                <w:kern w:val="0"/>
                <w:sz w:val="20"/>
                <w:highlight w:val="none"/>
                <w:u w:val="none" w:color="auto"/>
              </w:rPr>
              <w:t>％以上</w:t>
            </w:r>
          </w:p>
        </w:tc>
        <w:tc>
          <w:tcPr>
            <w:tcW w:w="1743" w:type="dxa"/>
            <w:vAlign w:val="center"/>
          </w:tcPr>
          <w:p>
            <w:pPr>
              <w:pStyle w:val="0"/>
              <w:autoSpaceDE w:val="0"/>
              <w:autoSpaceDN w:val="0"/>
              <w:adjustRightInd w:val="0"/>
              <w:snapToGrid w:val="0"/>
              <w:spacing w:line="240" w:lineRule="exact"/>
              <w:ind w:left="0" w:firstLine="0"/>
              <w:jc w:val="left"/>
              <w:rPr>
                <w:rFonts w:hint="eastAsia" w:ascii="ＭＳ 明朝" w:hAnsi="ＭＳ 明朝" w:eastAsia="ＭＳ 明朝"/>
                <w:color w:val="000000"/>
                <w:kern w:val="0"/>
                <w:sz w:val="18"/>
                <w:highlight w:val="none"/>
                <w:u w:val="none" w:color="auto"/>
              </w:rPr>
            </w:pPr>
            <w:r>
              <w:rPr>
                <w:rFonts w:hint="eastAsia" w:ascii="ＭＳ 明朝" w:hAnsi="ＭＳ 明朝" w:eastAsia="ＭＳ 明朝"/>
                <w:color w:val="000000"/>
                <w:kern w:val="0"/>
                <w:sz w:val="20"/>
                <w:highlight w:val="none"/>
                <w:u w:val="none" w:color="auto"/>
              </w:rPr>
              <w:t>高知県健康対策課調査（</w:t>
            </w:r>
            <w:r>
              <w:rPr>
                <w:rFonts w:hint="eastAsia" w:ascii="ＭＳ 明朝" w:hAnsi="ＭＳ 明朝" w:eastAsia="ＭＳ 明朝"/>
                <w:color w:val="000000"/>
                <w:kern w:val="0"/>
                <w:sz w:val="20"/>
                <w:highlight w:val="none"/>
                <w:u w:val="none" w:color="auto"/>
              </w:rPr>
              <w:t>R4</w:t>
            </w:r>
            <w:r>
              <w:rPr>
                <w:rFonts w:hint="eastAsia" w:ascii="ＭＳ 明朝" w:hAnsi="ＭＳ 明朝" w:eastAsia="ＭＳ 明朝"/>
                <w:color w:val="000000"/>
                <w:kern w:val="0"/>
                <w:sz w:val="20"/>
                <w:highlight w:val="none"/>
                <w:u w:val="none" w:color="auto"/>
              </w:rPr>
              <w:t>）</w:t>
            </w:r>
          </w:p>
        </w:tc>
      </w:tr>
      <w:tr>
        <w:trPr>
          <w:trHeight w:val="1040" w:hRule="atLeast"/>
        </w:trPr>
        <w:tc>
          <w:tcPr>
            <w:tcW w:w="306" w:type="dxa"/>
            <w:shd w:val="clear" w:color="auto" w:fill="DAEEF3"/>
            <w:vAlign w:val="center"/>
          </w:tcPr>
          <w:p>
            <w:pPr>
              <w:pStyle w:val="0"/>
              <w:ind w:left="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P</w:t>
            </w:r>
          </w:p>
        </w:tc>
        <w:tc>
          <w:tcPr>
            <w:tcW w:w="1944" w:type="dxa"/>
            <w:shd w:val="clear" w:color="auto" w:fill="DAEEF3"/>
            <w:vAlign w:val="center"/>
          </w:tcPr>
          <w:p>
            <w:pPr>
              <w:pStyle w:val="0"/>
              <w:snapToGrid w:val="0"/>
              <w:spacing w:line="280" w:lineRule="exact"/>
              <w:jc w:val="left"/>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がん検診の精密検査受診率（地域）</w:t>
            </w:r>
          </w:p>
        </w:tc>
        <w:tc>
          <w:tcPr>
            <w:tcW w:w="3150" w:type="dxa"/>
            <w:vAlign w:val="center"/>
          </w:tcPr>
          <w:p>
            <w:pPr>
              <w:pStyle w:val="0"/>
              <w:autoSpaceDE w:val="0"/>
              <w:autoSpaceDN w:val="0"/>
              <w:adjustRightInd w:val="0"/>
              <w:snapToGrid w:val="0"/>
              <w:spacing w:line="280" w:lineRule="exact"/>
              <w:ind w:left="0" w:firstLine="0"/>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肺　：</w:t>
            </w:r>
            <w:r>
              <w:rPr>
                <w:rFonts w:hint="eastAsia" w:ascii="ＭＳ 明朝" w:hAnsi="ＭＳ 明朝" w:eastAsia="ＭＳ 明朝"/>
                <w:b w:val="0"/>
                <w:color w:val="000000"/>
                <w:kern w:val="0"/>
                <w:sz w:val="20"/>
                <w:highlight w:val="none"/>
                <w:u w:val="none" w:color="auto"/>
              </w:rPr>
              <w:t>90.4</w:t>
            </w:r>
            <w:r>
              <w:rPr>
                <w:rFonts w:hint="eastAsia" w:ascii="ＭＳ 明朝" w:hAnsi="ＭＳ 明朝" w:eastAsia="ＭＳ 明朝"/>
                <w:b w:val="0"/>
                <w:color w:val="000000"/>
                <w:kern w:val="0"/>
                <w:sz w:val="20"/>
                <w:highlight w:val="none"/>
                <w:u w:val="none" w:color="auto"/>
              </w:rPr>
              <w:t>％　胃　</w:t>
            </w:r>
            <w:r>
              <w:rPr>
                <w:rFonts w:hint="eastAsia" w:ascii="ＭＳ 明朝" w:hAnsi="ＭＳ 明朝" w:eastAsia="ＭＳ 明朝"/>
                <w:b w:val="0"/>
                <w:color w:val="000000"/>
                <w:kern w:val="0"/>
                <w:sz w:val="20"/>
                <w:highlight w:val="none"/>
                <w:u w:val="none" w:color="auto"/>
              </w:rPr>
              <w:t xml:space="preserve">  </w:t>
            </w:r>
            <w:r>
              <w:rPr>
                <w:rFonts w:hint="eastAsia" w:ascii="ＭＳ 明朝" w:hAnsi="ＭＳ 明朝" w:eastAsia="ＭＳ 明朝"/>
                <w:b w:val="0"/>
                <w:color w:val="000000"/>
                <w:kern w:val="0"/>
                <w:sz w:val="20"/>
                <w:highlight w:val="none"/>
                <w:u w:val="none" w:color="auto"/>
              </w:rPr>
              <w:t>：</w:t>
            </w:r>
            <w:r>
              <w:rPr>
                <w:rFonts w:hint="eastAsia" w:ascii="ＭＳ 明朝" w:hAnsi="ＭＳ 明朝" w:eastAsia="ＭＳ 明朝"/>
                <w:b w:val="0"/>
                <w:color w:val="000000"/>
                <w:kern w:val="0"/>
                <w:sz w:val="20"/>
                <w:highlight w:val="none"/>
                <w:u w:val="none" w:color="auto"/>
              </w:rPr>
              <w:t>91.7</w:t>
            </w:r>
            <w:r>
              <w:rPr>
                <w:rFonts w:hint="eastAsia" w:ascii="ＭＳ 明朝" w:hAnsi="ＭＳ 明朝" w:eastAsia="ＭＳ 明朝"/>
                <w:b w:val="0"/>
                <w:color w:val="000000"/>
                <w:kern w:val="0"/>
                <w:sz w:val="20"/>
                <w:highlight w:val="none"/>
                <w:u w:val="none" w:color="auto"/>
              </w:rPr>
              <w:t>％</w:t>
            </w:r>
          </w:p>
          <w:p>
            <w:pPr>
              <w:pStyle w:val="0"/>
              <w:autoSpaceDE w:val="0"/>
              <w:autoSpaceDN w:val="0"/>
              <w:adjustRightInd w:val="0"/>
              <w:snapToGrid w:val="0"/>
              <w:spacing w:line="280" w:lineRule="exact"/>
              <w:ind w:left="0" w:firstLine="0"/>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大腸：</w:t>
            </w:r>
            <w:r>
              <w:rPr>
                <w:rFonts w:hint="eastAsia" w:ascii="ＭＳ 明朝" w:hAnsi="ＭＳ 明朝" w:eastAsia="ＭＳ 明朝"/>
                <w:b w:val="0"/>
                <w:color w:val="000000"/>
                <w:kern w:val="0"/>
                <w:sz w:val="20"/>
                <w:highlight w:val="none"/>
                <w:u w:val="none" w:color="auto"/>
              </w:rPr>
              <w:t>84.6</w:t>
            </w:r>
            <w:r>
              <w:rPr>
                <w:rFonts w:hint="eastAsia" w:ascii="ＭＳ 明朝" w:hAnsi="ＭＳ 明朝" w:eastAsia="ＭＳ 明朝"/>
                <w:b w:val="0"/>
                <w:color w:val="000000"/>
                <w:kern w:val="0"/>
                <w:sz w:val="20"/>
                <w:highlight w:val="none"/>
                <w:u w:val="none" w:color="auto"/>
              </w:rPr>
              <w:t>％　子宮頸：</w:t>
            </w:r>
            <w:r>
              <w:rPr>
                <w:rFonts w:hint="eastAsia" w:ascii="ＭＳ 明朝" w:hAnsi="ＭＳ 明朝" w:eastAsia="ＭＳ 明朝"/>
                <w:b w:val="0"/>
                <w:color w:val="000000"/>
                <w:kern w:val="0"/>
                <w:sz w:val="20"/>
                <w:highlight w:val="none"/>
                <w:u w:val="none" w:color="auto"/>
              </w:rPr>
              <w:t>80.0</w:t>
            </w:r>
            <w:r>
              <w:rPr>
                <w:rFonts w:hint="eastAsia" w:ascii="ＭＳ 明朝" w:hAnsi="ＭＳ 明朝" w:eastAsia="ＭＳ 明朝"/>
                <w:b w:val="0"/>
                <w:color w:val="000000"/>
                <w:kern w:val="0"/>
                <w:sz w:val="20"/>
                <w:highlight w:val="none"/>
                <w:u w:val="none" w:color="auto"/>
              </w:rPr>
              <w:t>％</w:t>
            </w:r>
          </w:p>
          <w:p>
            <w:pPr>
              <w:pStyle w:val="0"/>
              <w:autoSpaceDE w:val="0"/>
              <w:autoSpaceDN w:val="0"/>
              <w:adjustRightInd w:val="0"/>
              <w:snapToGrid w:val="0"/>
              <w:spacing w:line="280" w:lineRule="exact"/>
              <w:ind w:left="0" w:firstLine="0"/>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乳　：</w:t>
            </w:r>
            <w:r>
              <w:rPr>
                <w:rFonts w:hint="eastAsia" w:ascii="ＭＳ 明朝" w:hAnsi="ＭＳ 明朝" w:eastAsia="ＭＳ 明朝"/>
                <w:b w:val="0"/>
                <w:color w:val="000000"/>
                <w:kern w:val="0"/>
                <w:sz w:val="20"/>
                <w:highlight w:val="none"/>
                <w:u w:val="none" w:color="auto"/>
              </w:rPr>
              <w:t>96.6</w:t>
            </w:r>
            <w:r>
              <w:rPr>
                <w:rFonts w:hint="eastAsia" w:ascii="ＭＳ 明朝" w:hAnsi="ＭＳ 明朝" w:eastAsia="ＭＳ 明朝"/>
                <w:b w:val="0"/>
                <w:color w:val="000000"/>
                <w:kern w:val="0"/>
                <w:sz w:val="20"/>
                <w:highlight w:val="none"/>
                <w:u w:val="none" w:color="auto"/>
              </w:rPr>
              <w:t>％</w:t>
            </w:r>
          </w:p>
        </w:tc>
        <w:tc>
          <w:tcPr>
            <w:tcW w:w="1857" w:type="dxa"/>
            <w:vAlign w:val="center"/>
          </w:tcPr>
          <w:p>
            <w:pPr>
              <w:pStyle w:val="0"/>
              <w:tabs>
                <w:tab w:val="clear" w:pos="797"/>
                <w:tab w:val="left" w:leader="none" w:pos="790"/>
              </w:tabs>
              <w:spacing w:line="280" w:lineRule="exact"/>
              <w:ind w:left="0" w:leftChars="0" w:firstLine="0" w:firstLineChars="0"/>
              <w:jc w:val="center"/>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90</w:t>
            </w:r>
            <w:r>
              <w:rPr>
                <w:rFonts w:hint="eastAsia" w:ascii="ＭＳ 明朝" w:hAnsi="ＭＳ 明朝" w:eastAsia="ＭＳ 明朝"/>
                <w:b w:val="0"/>
                <w:color w:val="000000"/>
                <w:kern w:val="0"/>
                <w:sz w:val="20"/>
                <w:highlight w:val="none"/>
                <w:u w:val="none" w:color="auto"/>
              </w:rPr>
              <w:t>％以上</w:t>
            </w:r>
          </w:p>
        </w:tc>
        <w:tc>
          <w:tcPr>
            <w:tcW w:w="1743" w:type="dxa"/>
            <w:vAlign w:val="center"/>
          </w:tcPr>
          <w:p>
            <w:pPr>
              <w:pStyle w:val="0"/>
              <w:snapToGrid w:val="0"/>
              <w:spacing w:line="280" w:lineRule="exact"/>
              <w:jc w:val="left"/>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地域保健健・健康増進事業報告（</w:t>
            </w:r>
            <w:r>
              <w:rPr>
                <w:rFonts w:hint="eastAsia" w:ascii="ＭＳ 明朝" w:hAnsi="ＭＳ 明朝" w:eastAsia="ＭＳ 明朝"/>
                <w:color w:val="000000"/>
                <w:kern w:val="0"/>
                <w:sz w:val="20"/>
                <w:highlight w:val="none"/>
                <w:u w:val="none" w:color="auto"/>
              </w:rPr>
              <w:t>R2</w:t>
            </w:r>
            <w:r>
              <w:rPr>
                <w:rFonts w:hint="eastAsia" w:ascii="ＭＳ 明朝" w:hAnsi="ＭＳ 明朝" w:eastAsia="ＭＳ 明朝"/>
                <w:color w:val="000000"/>
                <w:kern w:val="0"/>
                <w:sz w:val="20"/>
                <w:highlight w:val="none"/>
                <w:u w:val="none" w:color="auto"/>
              </w:rPr>
              <w:t>）</w:t>
            </w:r>
          </w:p>
        </w:tc>
      </w:tr>
      <w:tr>
        <w:trPr>
          <w:trHeight w:val="1040" w:hRule="atLeast"/>
        </w:trPr>
        <w:tc>
          <w:tcPr>
            <w:tcW w:w="306" w:type="dxa"/>
            <w:shd w:val="clear" w:color="auto" w:fill="DAEEF3"/>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P</w:t>
            </w:r>
          </w:p>
        </w:tc>
        <w:tc>
          <w:tcPr>
            <w:tcW w:w="1944" w:type="dxa"/>
            <w:shd w:val="clear" w:color="auto" w:fill="DAEEF3"/>
            <w:vAlign w:val="center"/>
          </w:tcPr>
          <w:p>
            <w:pPr>
              <w:pStyle w:val="0"/>
              <w:snapToGrid w:val="0"/>
              <w:rPr>
                <w:rFonts w:hint="eastAsia" w:ascii="ＭＳ 明朝" w:hAnsi="ＭＳ 明朝" w:eastAsia="ＭＳ 明朝"/>
                <w:sz w:val="20"/>
                <w:highlight w:val="none"/>
              </w:rPr>
            </w:pPr>
            <w:r>
              <w:rPr>
                <w:rFonts w:hint="eastAsia" w:ascii="ＭＳ 明朝" w:hAnsi="ＭＳ 明朝" w:eastAsia="ＭＳ 明朝"/>
                <w:sz w:val="20"/>
                <w:highlight w:val="none"/>
              </w:rPr>
              <w:t>がん検診の精密検査受診率（地域・職域）</w:t>
            </w:r>
          </w:p>
        </w:tc>
        <w:tc>
          <w:tcPr>
            <w:tcW w:w="3150" w:type="dxa"/>
            <w:vAlign w:val="center"/>
          </w:tcPr>
          <w:p>
            <w:pPr>
              <w:pStyle w:val="0"/>
              <w:autoSpaceDE w:val="0"/>
              <w:autoSpaceDN w:val="0"/>
              <w:adjustRightInd w:val="0"/>
              <w:snapToGrid w:val="0"/>
              <w:spacing w:line="280" w:lineRule="exact"/>
              <w:ind w:left="0" w:firstLine="0"/>
              <w:jc w:val="both"/>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肺　：</w:t>
            </w:r>
            <w:r>
              <w:rPr>
                <w:rFonts w:hint="eastAsia" w:ascii="ＭＳ 明朝" w:hAnsi="ＭＳ 明朝" w:eastAsia="ＭＳ 明朝"/>
                <w:b w:val="0"/>
                <w:color w:val="auto"/>
                <w:kern w:val="0"/>
                <w:sz w:val="20"/>
                <w:highlight w:val="none"/>
                <w:u w:val="none" w:color="auto"/>
              </w:rPr>
              <w:t>71.4</w:t>
            </w:r>
            <w:r>
              <w:rPr>
                <w:rFonts w:hint="eastAsia" w:ascii="ＭＳ 明朝" w:hAnsi="ＭＳ 明朝" w:eastAsia="ＭＳ 明朝"/>
                <w:b w:val="0"/>
                <w:color w:val="auto"/>
                <w:kern w:val="0"/>
                <w:sz w:val="20"/>
                <w:highlight w:val="none"/>
                <w:u w:val="none" w:color="auto"/>
              </w:rPr>
              <w:t>％　</w:t>
            </w:r>
            <w:r>
              <w:rPr>
                <w:rFonts w:hint="eastAsia" w:ascii="ＭＳ 明朝" w:hAnsi="ＭＳ 明朝" w:eastAsia="ＭＳ 明朝"/>
                <w:b w:val="0"/>
                <w:color w:val="auto"/>
                <w:kern w:val="0"/>
                <w:sz w:val="20"/>
                <w:highlight w:val="none"/>
                <w:u w:val="none" w:color="auto"/>
              </w:rPr>
              <w:t xml:space="preserve"> </w:t>
            </w:r>
            <w:r>
              <w:rPr>
                <w:rFonts w:hint="eastAsia" w:ascii="ＭＳ 明朝" w:hAnsi="ＭＳ 明朝" w:eastAsia="ＭＳ 明朝"/>
                <w:b w:val="0"/>
                <w:color w:val="auto"/>
                <w:kern w:val="0"/>
                <w:sz w:val="20"/>
                <w:highlight w:val="none"/>
                <w:u w:val="none" w:color="auto"/>
              </w:rPr>
              <w:t>胃　</w:t>
            </w:r>
            <w:r>
              <w:rPr>
                <w:rFonts w:hint="eastAsia" w:ascii="ＭＳ 明朝" w:hAnsi="ＭＳ 明朝" w:eastAsia="ＭＳ 明朝"/>
                <w:b w:val="0"/>
                <w:color w:val="auto"/>
                <w:kern w:val="0"/>
                <w:sz w:val="20"/>
                <w:highlight w:val="none"/>
                <w:u w:val="none" w:color="auto"/>
              </w:rPr>
              <w:t xml:space="preserve">  </w:t>
            </w:r>
            <w:r>
              <w:rPr>
                <w:rFonts w:hint="eastAsia" w:ascii="ＭＳ 明朝" w:hAnsi="ＭＳ 明朝" w:eastAsia="ＭＳ 明朝"/>
                <w:b w:val="0"/>
                <w:color w:val="auto"/>
                <w:kern w:val="0"/>
                <w:sz w:val="20"/>
                <w:highlight w:val="none"/>
                <w:u w:val="none" w:color="auto"/>
              </w:rPr>
              <w:t>：</w:t>
            </w:r>
            <w:r>
              <w:rPr>
                <w:rFonts w:hint="eastAsia" w:ascii="ＭＳ 明朝" w:hAnsi="ＭＳ 明朝" w:eastAsia="ＭＳ 明朝"/>
                <w:b w:val="0"/>
                <w:color w:val="auto"/>
                <w:kern w:val="0"/>
                <w:sz w:val="20"/>
                <w:highlight w:val="none"/>
                <w:u w:val="none" w:color="auto"/>
              </w:rPr>
              <w:t>62.0</w:t>
            </w:r>
            <w:r>
              <w:rPr>
                <w:rFonts w:hint="eastAsia" w:ascii="ＭＳ 明朝" w:hAnsi="ＭＳ 明朝" w:eastAsia="ＭＳ 明朝"/>
                <w:b w:val="0"/>
                <w:color w:val="auto"/>
                <w:kern w:val="0"/>
                <w:sz w:val="20"/>
                <w:highlight w:val="none"/>
                <w:u w:val="none" w:color="auto"/>
              </w:rPr>
              <w:t>％</w:t>
            </w:r>
          </w:p>
          <w:p>
            <w:pPr>
              <w:pStyle w:val="0"/>
              <w:autoSpaceDE w:val="0"/>
              <w:autoSpaceDN w:val="0"/>
              <w:adjustRightInd w:val="0"/>
              <w:snapToGrid w:val="0"/>
              <w:spacing w:line="280" w:lineRule="exact"/>
              <w:ind w:left="0" w:firstLine="0"/>
              <w:jc w:val="both"/>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大腸：</w:t>
            </w:r>
            <w:r>
              <w:rPr>
                <w:rFonts w:hint="eastAsia" w:ascii="ＭＳ 明朝" w:hAnsi="ＭＳ 明朝" w:eastAsia="ＭＳ 明朝"/>
                <w:b w:val="0"/>
                <w:color w:val="auto"/>
                <w:kern w:val="0"/>
                <w:sz w:val="20"/>
                <w:highlight w:val="none"/>
                <w:u w:val="none" w:color="auto"/>
              </w:rPr>
              <w:t>56.6</w:t>
            </w:r>
            <w:r>
              <w:rPr>
                <w:rFonts w:hint="eastAsia" w:ascii="ＭＳ 明朝" w:hAnsi="ＭＳ 明朝" w:eastAsia="ＭＳ 明朝"/>
                <w:b w:val="0"/>
                <w:color w:val="auto"/>
                <w:kern w:val="0"/>
                <w:sz w:val="20"/>
                <w:highlight w:val="none"/>
                <w:u w:val="none" w:color="auto"/>
              </w:rPr>
              <w:t>％　</w:t>
            </w:r>
            <w:r>
              <w:rPr>
                <w:rFonts w:hint="eastAsia" w:ascii="ＭＳ 明朝" w:hAnsi="ＭＳ 明朝" w:eastAsia="ＭＳ 明朝"/>
                <w:b w:val="0"/>
                <w:color w:val="auto"/>
                <w:kern w:val="0"/>
                <w:sz w:val="20"/>
                <w:highlight w:val="none"/>
                <w:u w:val="none" w:color="auto"/>
              </w:rPr>
              <w:t xml:space="preserve"> </w:t>
            </w:r>
            <w:r>
              <w:rPr>
                <w:rFonts w:hint="eastAsia" w:ascii="ＭＳ 明朝" w:hAnsi="ＭＳ 明朝" w:eastAsia="ＭＳ 明朝"/>
                <w:b w:val="0"/>
                <w:color w:val="auto"/>
                <w:kern w:val="0"/>
                <w:sz w:val="20"/>
                <w:highlight w:val="none"/>
                <w:u w:val="none" w:color="auto"/>
              </w:rPr>
              <w:t>子宮頸：</w:t>
            </w:r>
            <w:r>
              <w:rPr>
                <w:rFonts w:hint="eastAsia" w:ascii="ＭＳ 明朝" w:hAnsi="ＭＳ 明朝" w:eastAsia="ＭＳ 明朝"/>
                <w:b w:val="0"/>
                <w:color w:val="auto"/>
                <w:kern w:val="0"/>
                <w:sz w:val="20"/>
                <w:highlight w:val="none"/>
                <w:u w:val="none" w:color="auto"/>
              </w:rPr>
              <w:t>57.7</w:t>
            </w:r>
            <w:r>
              <w:rPr>
                <w:rFonts w:hint="eastAsia" w:ascii="ＭＳ 明朝" w:hAnsi="ＭＳ 明朝" w:eastAsia="ＭＳ 明朝"/>
                <w:b w:val="0"/>
                <w:color w:val="auto"/>
                <w:kern w:val="0"/>
                <w:sz w:val="20"/>
                <w:highlight w:val="none"/>
                <w:u w:val="none" w:color="auto"/>
              </w:rPr>
              <w:t>％</w:t>
            </w:r>
          </w:p>
          <w:p>
            <w:pPr>
              <w:pStyle w:val="0"/>
              <w:autoSpaceDE w:val="0"/>
              <w:autoSpaceDN w:val="0"/>
              <w:adjustRightInd w:val="0"/>
              <w:snapToGrid w:val="0"/>
              <w:spacing w:line="280" w:lineRule="exact"/>
              <w:ind w:left="0" w:firstLine="0"/>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乳　：</w:t>
            </w:r>
            <w:r>
              <w:rPr>
                <w:rFonts w:hint="eastAsia" w:ascii="ＭＳ 明朝" w:hAnsi="ＭＳ 明朝" w:eastAsia="ＭＳ 明朝"/>
                <w:b w:val="0"/>
                <w:color w:val="auto"/>
                <w:kern w:val="0"/>
                <w:sz w:val="20"/>
                <w:highlight w:val="none"/>
                <w:u w:val="none" w:color="auto"/>
              </w:rPr>
              <w:t>89.9</w:t>
            </w:r>
            <w:r>
              <w:rPr>
                <w:rFonts w:hint="eastAsia" w:ascii="ＭＳ 明朝" w:hAnsi="ＭＳ 明朝" w:eastAsia="ＭＳ 明朝"/>
                <w:b w:val="0"/>
                <w:color w:val="auto"/>
                <w:kern w:val="0"/>
                <w:sz w:val="20"/>
                <w:highlight w:val="none"/>
                <w:u w:val="none" w:color="auto"/>
              </w:rPr>
              <w:t>％</w:t>
            </w:r>
          </w:p>
        </w:tc>
        <w:tc>
          <w:tcPr>
            <w:tcW w:w="1857"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90</w:t>
            </w:r>
            <w:r>
              <w:rPr>
                <w:rFonts w:hint="eastAsia" w:ascii="ＭＳ 明朝" w:hAnsi="ＭＳ 明朝" w:eastAsia="ＭＳ 明朝"/>
                <w:sz w:val="20"/>
                <w:highlight w:val="none"/>
              </w:rPr>
              <w:t>％以上</w:t>
            </w:r>
          </w:p>
        </w:tc>
        <w:tc>
          <w:tcPr>
            <w:tcW w:w="1743" w:type="dxa"/>
            <w:vAlign w:val="center"/>
          </w:tcPr>
          <w:p>
            <w:pPr>
              <w:pStyle w:val="0"/>
              <w:snapToGrid w:val="0"/>
              <w:rPr>
                <w:rFonts w:hint="eastAsia" w:ascii="ＭＳ 明朝" w:hAnsi="ＭＳ 明朝" w:eastAsia="ＭＳ 明朝"/>
                <w:sz w:val="18"/>
                <w:highlight w:val="none"/>
              </w:rPr>
            </w:pPr>
            <w:r>
              <w:rPr>
                <w:rFonts w:hint="eastAsia" w:ascii="ＭＳ 明朝" w:hAnsi="ＭＳ 明朝" w:eastAsia="ＭＳ 明朝"/>
                <w:color w:val="000000"/>
                <w:kern w:val="0"/>
                <w:sz w:val="20"/>
                <w:highlight w:val="none"/>
                <w:u w:val="none" w:color="auto"/>
              </w:rPr>
              <w:t>高知県健康対策課調査（</w:t>
            </w:r>
            <w:r>
              <w:rPr>
                <w:rFonts w:hint="eastAsia" w:ascii="ＭＳ 明朝" w:hAnsi="ＭＳ 明朝" w:eastAsia="ＭＳ 明朝"/>
                <w:color w:val="000000"/>
                <w:kern w:val="0"/>
                <w:sz w:val="20"/>
                <w:highlight w:val="none"/>
                <w:u w:val="none" w:color="auto"/>
              </w:rPr>
              <w:t>R4</w:t>
            </w:r>
            <w:r>
              <w:rPr>
                <w:rFonts w:hint="eastAsia" w:ascii="ＭＳ 明朝" w:hAnsi="ＭＳ 明朝" w:eastAsia="ＭＳ 明朝"/>
                <w:color w:val="000000"/>
                <w:kern w:val="0"/>
                <w:sz w:val="20"/>
                <w:highlight w:val="none"/>
                <w:u w:val="none" w:color="auto"/>
              </w:rPr>
              <w:t>）</w:t>
            </w:r>
          </w:p>
        </w:tc>
      </w:tr>
      <w:tr>
        <w:trPr>
          <w:trHeight w:val="1261" w:hRule="atLeast"/>
        </w:trPr>
        <w:tc>
          <w:tcPr>
            <w:tcW w:w="306" w:type="dxa"/>
            <w:shd w:val="clear" w:color="auto" w:fill="DAEEF3"/>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P</w:t>
            </w:r>
          </w:p>
        </w:tc>
        <w:tc>
          <w:tcPr>
            <w:tcW w:w="1944" w:type="dxa"/>
            <w:shd w:val="clear" w:color="auto" w:fill="DAEEF3"/>
            <w:vAlign w:val="center"/>
          </w:tcPr>
          <w:p>
            <w:pPr>
              <w:pStyle w:val="0"/>
              <w:snapToGrid w:val="0"/>
              <w:rPr>
                <w:rFonts w:hint="eastAsia" w:ascii="ＭＳ 明朝" w:hAnsi="ＭＳ 明朝" w:eastAsia="ＭＳ 明朝"/>
                <w:sz w:val="20"/>
                <w:highlight w:val="none"/>
              </w:rPr>
            </w:pPr>
            <w:r>
              <w:rPr>
                <w:rFonts w:hint="eastAsia" w:ascii="ＭＳ 明朝" w:hAnsi="ＭＳ 明朝" w:eastAsia="ＭＳ 明朝"/>
                <w:sz w:val="20"/>
                <w:highlight w:val="none"/>
              </w:rPr>
              <w:t>各療法の実施件数</w:t>
            </w:r>
          </w:p>
        </w:tc>
        <w:tc>
          <w:tcPr>
            <w:tcW w:w="3150" w:type="dxa"/>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手術療法　：</w:t>
            </w:r>
            <w:r>
              <w:rPr>
                <w:rFonts w:hint="eastAsia" w:ascii="ＭＳ 明朝" w:hAnsi="ＭＳ 明朝" w:eastAsia="ＭＳ 明朝"/>
                <w:color w:val="auto"/>
                <w:sz w:val="20"/>
                <w:highlight w:val="none"/>
              </w:rPr>
              <w:t>3,464</w:t>
            </w:r>
            <w:r>
              <w:rPr>
                <w:rFonts w:hint="eastAsia" w:ascii="ＭＳ 明朝" w:hAnsi="ＭＳ 明朝" w:eastAsia="ＭＳ 明朝"/>
                <w:color w:val="auto"/>
                <w:sz w:val="20"/>
                <w:highlight w:val="none"/>
              </w:rPr>
              <w:t>件</w:t>
            </w:r>
          </w:p>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放射線療法：</w:t>
            </w:r>
            <w:r>
              <w:rPr>
                <w:rFonts w:hint="eastAsia" w:ascii="ＭＳ 明朝" w:hAnsi="ＭＳ 明朝" w:eastAsia="ＭＳ 明朝"/>
                <w:color w:val="auto"/>
                <w:sz w:val="20"/>
                <w:highlight w:val="none"/>
              </w:rPr>
              <w:t>1,105</w:t>
            </w:r>
            <w:r>
              <w:rPr>
                <w:rFonts w:hint="eastAsia" w:ascii="ＭＳ 明朝" w:hAnsi="ＭＳ 明朝" w:eastAsia="ＭＳ 明朝"/>
                <w:color w:val="auto"/>
                <w:sz w:val="20"/>
                <w:highlight w:val="none"/>
              </w:rPr>
              <w:t>件</w:t>
            </w:r>
          </w:p>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薬物療法　：</w:t>
            </w:r>
            <w:r>
              <w:rPr>
                <w:rFonts w:hint="eastAsia" w:ascii="ＭＳ 明朝" w:hAnsi="ＭＳ 明朝" w:eastAsia="ＭＳ 明朝"/>
                <w:color w:val="auto"/>
                <w:sz w:val="20"/>
                <w:highlight w:val="none"/>
              </w:rPr>
              <w:t>21,947</w:t>
            </w:r>
            <w:r>
              <w:rPr>
                <w:rFonts w:hint="eastAsia" w:ascii="ＭＳ 明朝" w:hAnsi="ＭＳ 明朝" w:eastAsia="ＭＳ 明朝"/>
                <w:color w:val="auto"/>
                <w:sz w:val="20"/>
                <w:highlight w:val="none"/>
              </w:rPr>
              <w:t>件</w:t>
            </w:r>
          </w:p>
        </w:tc>
        <w:tc>
          <w:tcPr>
            <w:tcW w:w="1857"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増加</w:t>
            </w:r>
          </w:p>
        </w:tc>
        <w:tc>
          <w:tcPr>
            <w:tcW w:w="1743" w:type="dxa"/>
            <w:vAlign w:val="center"/>
          </w:tcPr>
          <w:p>
            <w:pPr>
              <w:pStyle w:val="0"/>
              <w:snapToGrid w:val="0"/>
              <w:rPr>
                <w:rFonts w:hint="eastAsia" w:ascii="ＭＳ 明朝" w:hAnsi="ＭＳ 明朝" w:eastAsia="ＭＳ 明朝"/>
                <w:sz w:val="18"/>
                <w:highlight w:val="none"/>
              </w:rPr>
            </w:pPr>
            <w:r>
              <w:rPr>
                <w:rFonts w:hint="eastAsia" w:ascii="ＭＳ 明朝" w:hAnsi="ＭＳ 明朝" w:eastAsia="ＭＳ 明朝"/>
                <w:sz w:val="20"/>
                <w:highlight w:val="none"/>
              </w:rPr>
              <w:t>病床機能報告</w:t>
            </w:r>
            <w:r>
              <w:rPr>
                <w:rFonts w:hint="eastAsia" w:ascii="ＭＳ 明朝" w:hAnsi="ＭＳ 明朝" w:eastAsia="ＭＳ 明朝"/>
                <w:sz w:val="14"/>
                <w:highlight w:val="none"/>
              </w:rPr>
              <w:t>（手術療法・放射線療法）</w:t>
            </w:r>
            <w:r>
              <w:rPr>
                <w:rFonts w:hint="eastAsia" w:ascii="ＭＳ 明朝" w:hAnsi="ＭＳ 明朝" w:eastAsia="ＭＳ 明朝"/>
                <w:sz w:val="20"/>
                <w:highlight w:val="none"/>
              </w:rPr>
              <w:t>（</w:t>
            </w:r>
            <w:r>
              <w:rPr>
                <w:rFonts w:hint="eastAsia" w:ascii="ＭＳ 明朝" w:hAnsi="ＭＳ 明朝" w:eastAsia="ＭＳ 明朝"/>
                <w:sz w:val="20"/>
                <w:highlight w:val="none"/>
              </w:rPr>
              <w:t>R3</w:t>
            </w:r>
            <w:r>
              <w:rPr>
                <w:rFonts w:hint="eastAsia" w:ascii="ＭＳ 明朝" w:hAnsi="ＭＳ 明朝" w:eastAsia="ＭＳ 明朝"/>
                <w:sz w:val="20"/>
                <w:highlight w:val="none"/>
              </w:rPr>
              <w:t>）</w:t>
            </w:r>
          </w:p>
          <w:p>
            <w:pPr>
              <w:pStyle w:val="0"/>
              <w:snapToGrid w:val="0"/>
              <w:rPr>
                <w:rFonts w:hint="eastAsia" w:ascii="ＭＳ 明朝" w:hAnsi="ＭＳ 明朝" w:eastAsia="ＭＳ 明朝"/>
                <w:sz w:val="18"/>
                <w:highlight w:val="none"/>
              </w:rPr>
            </w:pPr>
            <w:r>
              <w:rPr>
                <w:rFonts w:hint="eastAsia" w:ascii="ＭＳ 明朝" w:hAnsi="ＭＳ 明朝" w:eastAsia="ＭＳ 明朝"/>
                <w:sz w:val="20"/>
                <w:highlight w:val="none"/>
              </w:rPr>
              <w:t>外来機能報告</w:t>
            </w:r>
            <w:r>
              <w:rPr>
                <w:rFonts w:hint="eastAsia" w:ascii="ＭＳ 明朝" w:hAnsi="ＭＳ 明朝" w:eastAsia="ＭＳ 明朝"/>
                <w:sz w:val="14"/>
                <w:highlight w:val="none"/>
              </w:rPr>
              <w:t>（薬物療法）</w:t>
            </w:r>
            <w:r>
              <w:rPr>
                <w:rFonts w:hint="eastAsia" w:ascii="ＭＳ 明朝" w:hAnsi="ＭＳ 明朝" w:eastAsia="ＭＳ 明朝"/>
                <w:sz w:val="20"/>
                <w:highlight w:val="none"/>
              </w:rPr>
              <w:t>（</w:t>
            </w:r>
            <w:r>
              <w:rPr>
                <w:rFonts w:hint="eastAsia" w:ascii="ＭＳ 明朝" w:hAnsi="ＭＳ 明朝" w:eastAsia="ＭＳ 明朝"/>
                <w:sz w:val="20"/>
                <w:highlight w:val="none"/>
              </w:rPr>
              <w:t>R3</w:t>
            </w:r>
            <w:r>
              <w:rPr>
                <w:rFonts w:hint="eastAsia" w:ascii="ＭＳ 明朝" w:hAnsi="ＭＳ 明朝" w:eastAsia="ＭＳ 明朝"/>
                <w:sz w:val="20"/>
                <w:highlight w:val="none"/>
              </w:rPr>
              <w:t>）</w:t>
            </w:r>
          </w:p>
        </w:tc>
      </w:tr>
      <w:tr>
        <w:trPr>
          <w:trHeight w:val="1449" w:hRule="atLeast"/>
        </w:trPr>
        <w:tc>
          <w:tcPr>
            <w:tcW w:w="306" w:type="dxa"/>
            <w:shd w:val="clear" w:color="auto" w:fill="DAEEF3"/>
            <w:vAlign w:val="center"/>
          </w:tcPr>
          <w:p>
            <w:pPr>
              <w:pStyle w:val="0"/>
              <w:ind w:left="0" w:leftChars="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rPr>
              <w:t>O</w:t>
            </w:r>
          </w:p>
        </w:tc>
        <w:tc>
          <w:tcPr>
            <w:tcW w:w="1944" w:type="dxa"/>
            <w:shd w:val="clear" w:color="auto" w:fill="DAEEF3"/>
            <w:vAlign w:val="center"/>
          </w:tcPr>
          <w:p>
            <w:pPr>
              <w:pStyle w:val="0"/>
              <w:autoSpaceDE w:val="0"/>
              <w:autoSpaceDN w:val="0"/>
              <w:adjustRightInd w:val="0"/>
              <w:snapToGrid w:val="0"/>
              <w:spacing w:line="0" w:lineRule="atLeast"/>
              <w:ind w:left="0" w:firstLine="0"/>
              <w:jc w:val="left"/>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がんの年齢調整</w:t>
            </w:r>
          </w:p>
          <w:p>
            <w:pPr>
              <w:pStyle w:val="0"/>
              <w:autoSpaceDE w:val="0"/>
              <w:autoSpaceDN w:val="0"/>
              <w:adjustRightInd w:val="0"/>
              <w:snapToGrid w:val="0"/>
              <w:spacing w:line="0" w:lineRule="atLeast"/>
              <w:ind w:left="0" w:firstLine="0"/>
              <w:jc w:val="left"/>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死亡率</w:t>
            </w:r>
          </w:p>
        </w:tc>
        <w:tc>
          <w:tcPr>
            <w:tcW w:w="3150" w:type="dxa"/>
            <w:vAlign w:val="center"/>
          </w:tcPr>
          <w:p>
            <w:pPr>
              <w:pStyle w:val="0"/>
              <w:autoSpaceDE w:val="0"/>
              <w:autoSpaceDN w:val="0"/>
              <w:adjustRightInd w:val="0"/>
              <w:ind w:left="0" w:firstLine="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男性：</w:t>
            </w:r>
            <w:r>
              <w:rPr>
                <w:rFonts w:hint="eastAsia" w:ascii="ＭＳ 明朝" w:hAnsi="ＭＳ 明朝" w:eastAsia="ＭＳ 明朝"/>
                <w:color w:val="auto"/>
                <w:kern w:val="0"/>
                <w:sz w:val="20"/>
                <w:highlight w:val="none"/>
                <w:u w:val="none" w:color="auto"/>
              </w:rPr>
              <w:t>183.96</w:t>
            </w:r>
          </w:p>
          <w:p>
            <w:pPr>
              <w:pStyle w:val="0"/>
              <w:autoSpaceDE w:val="0"/>
              <w:autoSpaceDN w:val="0"/>
              <w:adjustRightInd w:val="0"/>
              <w:ind w:left="0" w:firstLine="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（全国平均</w:t>
            </w:r>
            <w:r>
              <w:rPr>
                <w:rFonts w:hint="eastAsia" w:ascii="ＭＳ 明朝" w:hAnsi="ＭＳ 明朝" w:eastAsia="ＭＳ 明朝"/>
                <w:color w:val="auto"/>
                <w:kern w:val="0"/>
                <w:sz w:val="20"/>
                <w:highlight w:val="none"/>
                <w:u w:val="none" w:color="auto"/>
              </w:rPr>
              <w:t>160.00</w:t>
            </w:r>
            <w:r>
              <w:rPr>
                <w:rFonts w:hint="eastAsia" w:ascii="ＭＳ 明朝" w:hAnsi="ＭＳ 明朝" w:eastAsia="ＭＳ 明朝"/>
                <w:color w:val="auto"/>
                <w:kern w:val="0"/>
                <w:sz w:val="20"/>
                <w:highlight w:val="none"/>
                <w:u w:val="none" w:color="auto"/>
              </w:rPr>
              <w:t>）</w:t>
            </w:r>
          </w:p>
          <w:p>
            <w:pPr>
              <w:pStyle w:val="0"/>
              <w:autoSpaceDE w:val="0"/>
              <w:autoSpaceDN w:val="0"/>
              <w:adjustRightInd w:val="0"/>
              <w:ind w:left="0" w:firstLine="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女性：</w:t>
            </w:r>
            <w:r>
              <w:rPr>
                <w:rFonts w:hint="eastAsia" w:ascii="ＭＳ 明朝" w:hAnsi="ＭＳ 明朝" w:eastAsia="ＭＳ 明朝"/>
                <w:color w:val="auto"/>
                <w:kern w:val="0"/>
                <w:sz w:val="20"/>
                <w:highlight w:val="none"/>
                <w:u w:val="none" w:color="auto"/>
              </w:rPr>
              <w:t xml:space="preserve"> 88.3</w:t>
            </w:r>
          </w:p>
          <w:p>
            <w:pPr>
              <w:pStyle w:val="0"/>
              <w:autoSpaceDE w:val="0"/>
              <w:autoSpaceDN w:val="0"/>
              <w:adjustRightInd w:val="0"/>
              <w:ind w:left="0" w:firstLine="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w:t>
            </w:r>
            <w:r>
              <w:rPr>
                <w:rFonts w:hint="eastAsia" w:ascii="ＭＳ 明朝" w:hAnsi="ＭＳ 明朝" w:eastAsia="ＭＳ 明朝"/>
                <w:color w:val="auto"/>
                <w:kern w:val="0"/>
                <w:sz w:val="20"/>
                <w:highlight w:val="none"/>
                <w:u w:val="none" w:color="auto"/>
              </w:rPr>
              <w:t>（全国平均</w:t>
            </w:r>
            <w:r>
              <w:rPr>
                <w:rFonts w:hint="eastAsia" w:ascii="ＭＳ 明朝" w:hAnsi="ＭＳ 明朝" w:eastAsia="ＭＳ 明朝"/>
                <w:color w:val="auto"/>
                <w:kern w:val="0"/>
                <w:sz w:val="20"/>
                <w:highlight w:val="none"/>
                <w:u w:val="none" w:color="auto"/>
              </w:rPr>
              <w:t xml:space="preserve"> 93.56</w:t>
            </w:r>
            <w:r>
              <w:rPr>
                <w:rFonts w:hint="eastAsia" w:ascii="ＭＳ 明朝" w:hAnsi="ＭＳ 明朝" w:eastAsia="ＭＳ 明朝"/>
                <w:color w:val="auto"/>
                <w:kern w:val="0"/>
                <w:sz w:val="20"/>
                <w:highlight w:val="none"/>
                <w:u w:val="none" w:color="auto"/>
              </w:rPr>
              <w:t>）</w:t>
            </w:r>
          </w:p>
        </w:tc>
        <w:tc>
          <w:tcPr>
            <w:tcW w:w="1857" w:type="dxa"/>
            <w:vAlign w:val="center"/>
          </w:tcPr>
          <w:p>
            <w:pPr>
              <w:pStyle w:val="0"/>
              <w:autoSpaceDE w:val="0"/>
              <w:autoSpaceDN w:val="0"/>
              <w:adjustRightInd w:val="0"/>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男性：全国以下</w:t>
            </w:r>
          </w:p>
          <w:p>
            <w:pPr>
              <w:pStyle w:val="0"/>
              <w:autoSpaceDE w:val="0"/>
              <w:autoSpaceDN w:val="0"/>
              <w:adjustRightInd w:val="0"/>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女性：</w:t>
            </w:r>
            <w:r>
              <w:rPr>
                <w:rFonts w:hint="eastAsia" w:ascii="ＭＳ 明朝" w:hAnsi="ＭＳ 明朝" w:eastAsia="ＭＳ 明朝"/>
                <w:color w:val="000000"/>
                <w:kern w:val="0"/>
                <w:sz w:val="20"/>
                <w:highlight w:val="none"/>
                <w:u w:val="none" w:color="auto"/>
              </w:rPr>
              <w:t>R3</w:t>
            </w:r>
            <w:r>
              <w:rPr>
                <w:rFonts w:hint="eastAsia" w:ascii="ＭＳ 明朝" w:hAnsi="ＭＳ 明朝" w:eastAsia="ＭＳ 明朝"/>
                <w:color w:val="000000"/>
                <w:kern w:val="0"/>
                <w:sz w:val="20"/>
                <w:highlight w:val="none"/>
                <w:u w:val="none" w:color="auto"/>
              </w:rPr>
              <w:t>以下</w:t>
            </w:r>
          </w:p>
        </w:tc>
        <w:tc>
          <w:tcPr>
            <w:tcW w:w="1743" w:type="dxa"/>
            <w:vAlign w:val="center"/>
          </w:tcPr>
          <w:p>
            <w:pPr>
              <w:pStyle w:val="0"/>
              <w:autoSpaceDE w:val="0"/>
              <w:autoSpaceDN w:val="0"/>
              <w:adjustRightInd w:val="0"/>
              <w:snapToGrid w:val="0"/>
              <w:spacing w:line="240" w:lineRule="exact"/>
              <w:ind w:left="0" w:firstLine="0"/>
              <w:jc w:val="left"/>
              <w:rPr>
                <w:rFonts w:hint="eastAsia" w:ascii="ＭＳ 明朝" w:hAnsi="ＭＳ 明朝" w:eastAsia="ＭＳ 明朝"/>
                <w:color w:val="000000"/>
                <w:kern w:val="0"/>
                <w:sz w:val="18"/>
                <w:highlight w:val="none"/>
                <w:u w:val="none" w:color="auto"/>
              </w:rPr>
            </w:pPr>
            <w:r>
              <w:rPr>
                <w:rFonts w:hint="eastAsia" w:ascii="ＭＳ 明朝" w:hAnsi="ＭＳ 明朝" w:eastAsia="ＭＳ 明朝"/>
                <w:color w:val="000000"/>
                <w:kern w:val="0"/>
                <w:sz w:val="20"/>
                <w:highlight w:val="none"/>
                <w:u w:val="none" w:color="auto"/>
              </w:rPr>
              <w:t>人口動態統計（</w:t>
            </w:r>
            <w:r>
              <w:rPr>
                <w:rFonts w:hint="eastAsia" w:ascii="ＭＳ 明朝" w:hAnsi="ＭＳ 明朝" w:eastAsia="ＭＳ 明朝"/>
                <w:color w:val="000000"/>
                <w:kern w:val="0"/>
                <w:sz w:val="20"/>
                <w:highlight w:val="none"/>
                <w:u w:val="none" w:color="auto"/>
              </w:rPr>
              <w:t>R3</w:t>
            </w:r>
            <w:r>
              <w:rPr>
                <w:rFonts w:hint="eastAsia" w:ascii="ＭＳ 明朝" w:hAnsi="ＭＳ 明朝" w:eastAsia="ＭＳ 明朝"/>
                <w:color w:val="000000"/>
                <w:kern w:val="0"/>
                <w:sz w:val="20"/>
                <w:highlight w:val="none"/>
                <w:u w:val="none" w:color="auto"/>
              </w:rPr>
              <w:t>）</w:t>
            </w:r>
          </w:p>
        </w:tc>
      </w:tr>
      <w:tr>
        <w:trPr>
          <w:trHeight w:val="805" w:hRule="atLeast"/>
        </w:trPr>
        <w:tc>
          <w:tcPr>
            <w:tcW w:w="306" w:type="dxa"/>
            <w:shd w:val="clear" w:color="auto" w:fill="DAEEF3"/>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O</w:t>
            </w:r>
          </w:p>
        </w:tc>
        <w:tc>
          <w:tcPr>
            <w:tcW w:w="1944" w:type="dxa"/>
            <w:shd w:val="clear" w:color="auto" w:fill="DAEEF3"/>
            <w:vAlign w:val="center"/>
          </w:tcPr>
          <w:p>
            <w:pPr>
              <w:pStyle w:val="0"/>
              <w:snapToGrid w:val="0"/>
              <w:rPr>
                <w:rFonts w:hint="eastAsia" w:ascii="ＭＳ 明朝" w:hAnsi="ＭＳ 明朝" w:eastAsia="ＭＳ 明朝"/>
                <w:sz w:val="20"/>
                <w:highlight w:val="none"/>
              </w:rPr>
            </w:pPr>
            <w:r>
              <w:rPr>
                <w:rFonts w:hint="eastAsia" w:ascii="ＭＳ 明朝" w:hAnsi="ＭＳ 明朝" w:eastAsia="ＭＳ 明朝"/>
                <w:sz w:val="20"/>
                <w:highlight w:val="none"/>
              </w:rPr>
              <w:t>受けた治療等に満足している患者の割合</w:t>
            </w:r>
          </w:p>
        </w:tc>
        <w:tc>
          <w:tcPr>
            <w:tcW w:w="315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72.2</w:t>
            </w:r>
            <w:r>
              <w:rPr>
                <w:rFonts w:hint="eastAsia" w:ascii="ＭＳ 明朝" w:hAnsi="ＭＳ 明朝" w:eastAsia="ＭＳ 明朝"/>
                <w:sz w:val="20"/>
                <w:highlight w:val="none"/>
              </w:rPr>
              <w:t>％</w:t>
            </w:r>
          </w:p>
        </w:tc>
        <w:tc>
          <w:tcPr>
            <w:tcW w:w="1857"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向上</w:t>
            </w:r>
          </w:p>
        </w:tc>
        <w:tc>
          <w:tcPr>
            <w:tcW w:w="1743" w:type="dxa"/>
            <w:vAlign w:val="center"/>
          </w:tcPr>
          <w:p>
            <w:pPr>
              <w:pStyle w:val="0"/>
              <w:snapToGrid w:val="0"/>
              <w:rPr>
                <w:rFonts w:hint="eastAsia" w:ascii="ＭＳ 明朝" w:hAnsi="ＭＳ 明朝" w:eastAsia="ＭＳ 明朝"/>
                <w:sz w:val="18"/>
                <w:highlight w:val="none"/>
              </w:rPr>
            </w:pPr>
            <w:r>
              <w:rPr>
                <w:rFonts w:hint="eastAsia" w:ascii="ＭＳ 明朝" w:hAnsi="ＭＳ 明朝" w:eastAsia="ＭＳ 明朝"/>
                <w:sz w:val="20"/>
                <w:highlight w:val="none"/>
              </w:rPr>
              <w:t>高知県患者満足度等調査（</w:t>
            </w:r>
            <w:r>
              <w:rPr>
                <w:rFonts w:hint="eastAsia" w:ascii="ＭＳ 明朝" w:hAnsi="ＭＳ 明朝" w:eastAsia="ＭＳ 明朝"/>
                <w:sz w:val="20"/>
                <w:highlight w:val="none"/>
              </w:rPr>
              <w:t>R5</w:t>
            </w:r>
            <w:r>
              <w:rPr>
                <w:rFonts w:hint="eastAsia" w:ascii="ＭＳ 明朝" w:hAnsi="ＭＳ 明朝" w:eastAsia="ＭＳ 明朝"/>
                <w:sz w:val="20"/>
                <w:highlight w:val="none"/>
              </w:rPr>
              <w:t>）</w:t>
            </w:r>
          </w:p>
        </w:tc>
      </w:tr>
    </w:tbl>
    <w:p>
      <w:pPr>
        <w:pStyle w:val="0"/>
        <w:rPr>
          <w:rFonts w:hint="eastAsia"/>
          <w:highlight w:val="none"/>
        </w:rPr>
      </w:pPr>
      <w:r>
        <w:rPr>
          <w:rFonts w:hint="eastAsia"/>
        </w:rPr>
        <mc:AlternateContent>
          <mc:Choice Requires="wps">
            <w:drawing>
              <wp:anchor simplePos="0" relativeHeight="17" behindDoc="0" locked="0" layoutInCell="1" hidden="0" allowOverlap="1">
                <wp:simplePos x="0" y="0"/>
                <wp:positionH relativeFrom="page">
                  <wp:posOffset>886460</wp:posOffset>
                </wp:positionH>
                <wp:positionV relativeFrom="page">
                  <wp:posOffset>9022080</wp:posOffset>
                </wp:positionV>
                <wp:extent cx="5720715" cy="428625"/>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5720715" cy="428625"/>
                        </a:xfrm>
                        <a:prstGeom prst="rect">
                          <a:avLst/>
                        </a:prstGeom>
                        <a:solidFill>
                          <a:srgbClr val="FFFFFF"/>
                        </a:solidFill>
                        <a:ln w="6350" cmpd="sng">
                          <a:solidFill>
                            <a:srgbClr val="000000"/>
                          </a:solidFill>
                        </a:ln>
                      </wps:spPr>
                      <wps:txbx>
                        <w:txbxContent>
                          <w:p>
                            <w:pPr>
                              <w:pStyle w:val="0"/>
                              <w:snapToGrid w:val="0"/>
                              <w:ind w:left="0" w:firstLine="0"/>
                              <w:rPr>
                                <w:rFonts w:hint="default"/>
                              </w:rPr>
                            </w:pPr>
                            <w:r>
                              <w:rPr>
                                <w:rFonts w:hint="default" w:ascii="ＭＳ 明朝" w:hAnsi="ＭＳ 明朝" w:eastAsia="ＭＳ 明朝"/>
                                <w:color w:val="000000"/>
                                <w:sz w:val="16"/>
                              </w:rPr>
                              <w:t>区分の欄　Ｓ（ストラクチャー指標）：医療サービスを提供する物的・人的資源及び組織体制等を測る指標</w:t>
                            </w:r>
                          </w:p>
                          <w:p>
                            <w:pPr>
                              <w:pStyle w:val="0"/>
                              <w:snapToGrid w:val="0"/>
                              <w:ind w:left="0" w:leftChars="0" w:firstLine="880" w:firstLineChars="500"/>
                              <w:rPr>
                                <w:rFonts w:hint="default"/>
                              </w:rPr>
                            </w:pPr>
                            <w:r>
                              <w:rPr>
                                <w:rFonts w:hint="default" w:ascii="ＭＳ 明朝" w:hAnsi="ＭＳ 明朝" w:eastAsia="ＭＳ 明朝"/>
                                <w:color w:val="000000"/>
                                <w:sz w:val="16"/>
                              </w:rPr>
                              <w:t>Ｐ（プロセス指標）：実際にサービスを提供する主体の活動や、他機関との連携体制を測る指標</w:t>
                            </w:r>
                          </w:p>
                          <w:p>
                            <w:pPr>
                              <w:pStyle w:val="0"/>
                              <w:snapToGrid w:val="0"/>
                              <w:ind w:left="0" w:firstLine="0"/>
                              <w:rPr>
                                <w:rFonts w:hint="default"/>
                              </w:rPr>
                            </w:pPr>
                            <w:r>
                              <w:rPr>
                                <w:rFonts w:hint="default" w:ascii="ＭＳ 明朝" w:hAnsi="ＭＳ 明朝" w:eastAsia="ＭＳ 明朝"/>
                                <w:color w:val="000000"/>
                                <w:sz w:val="16"/>
                              </w:rPr>
                              <w:t>　　　　　Ｏ（アウトカム指標）：医療サービスの結果として住民の健康状態や患者の状態を測る指標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710.4pt;mso-position-vertical-relative:page;mso-position-horizontal-relative:page;position:absolute;height:33.75pt;width:450.45pt;margin-left:69.8pt;z-index:17;" o:spid="_x0000_s105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firstLine="0"/>
                        <w:rPr>
                          <w:rFonts w:hint="default"/>
                        </w:rPr>
                      </w:pPr>
                      <w:r>
                        <w:rPr>
                          <w:rFonts w:hint="default" w:ascii="ＭＳ 明朝" w:hAnsi="ＭＳ 明朝" w:eastAsia="ＭＳ 明朝"/>
                          <w:color w:val="000000"/>
                          <w:sz w:val="16"/>
                        </w:rPr>
                        <w:t>区分の欄　Ｓ（ストラクチャー指標）：医療サービスを提供する物的・人的資源及び組織体制等を測る指標</w:t>
                      </w:r>
                    </w:p>
                    <w:p>
                      <w:pPr>
                        <w:pStyle w:val="0"/>
                        <w:snapToGrid w:val="0"/>
                        <w:ind w:left="0" w:leftChars="0" w:firstLine="880" w:firstLineChars="500"/>
                        <w:rPr>
                          <w:rFonts w:hint="default"/>
                        </w:rPr>
                      </w:pPr>
                      <w:r>
                        <w:rPr>
                          <w:rFonts w:hint="default" w:ascii="ＭＳ 明朝" w:hAnsi="ＭＳ 明朝" w:eastAsia="ＭＳ 明朝"/>
                          <w:color w:val="000000"/>
                          <w:sz w:val="16"/>
                        </w:rPr>
                        <w:t>Ｐ（プロセス指標）：実際にサービスを提供する主体の活動や、他機関との連携体制を測る指標</w:t>
                      </w:r>
                    </w:p>
                    <w:p>
                      <w:pPr>
                        <w:pStyle w:val="0"/>
                        <w:snapToGrid w:val="0"/>
                        <w:ind w:left="0" w:firstLine="0"/>
                        <w:rPr>
                          <w:rFonts w:hint="default"/>
                        </w:rPr>
                      </w:pPr>
                      <w:r>
                        <w:rPr>
                          <w:rFonts w:hint="default" w:ascii="ＭＳ 明朝" w:hAnsi="ＭＳ 明朝" w:eastAsia="ＭＳ 明朝"/>
                          <w:color w:val="000000"/>
                          <w:sz w:val="16"/>
                        </w:rPr>
                        <w:t>　　　　　Ｏ（アウトカム指標）：医療サービスの結果として住民の健康状態や患者の状態を測る指標</w:t>
                      </w:r>
                    </w:p>
                  </w:txbxContent>
                </v:textbox>
                <v:imagedata o:title=""/>
                <w10:wrap type="none" anchorx="page" anchory="page"/>
              </v:shape>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p>
    <w:sectPr>
      <w:headerReference r:id="rId5" w:type="default"/>
      <w:footerReference r:id="rId6" w:type="default"/>
      <w:pgSz w:w="11906" w:h="16838"/>
      <w:pgMar w:top="1418" w:right="1418" w:bottom="1418" w:left="1418" w:header="567" w:footer="720" w:gutter="0"/>
      <w:pgNumType w:fmt="numberInDash" w:start="105"/>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Mincho">
    <w:panose1 w:val="00000000000000000000"/>
    <w:charset w:val="80"/>
    <w:family w:val="roman"/>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- 106 -</w:t>
        </w:r>
        <w:r>
          <w:rPr>
            <w:rFonts w:hint="eastAsia"/>
          </w:rPr>
          <w:fldChar w:fldCharType="end"/>
        </w: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openxmlformats.org/officeDocument/2006/relationships/image" Target="media/image2.emf" /><Relationship Id="rId9" Type="http://schemas.openxmlformats.org/officeDocument/2006/relationships/image" Target="media/image3.png"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chart" Target="charts/chart1.xml" /><Relationship Id="rId18" Type="http://schemas.openxmlformats.org/officeDocument/2006/relationships/image" Target="media/image11.png" /><Relationship Id="rId19"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C:\Users\418531\Desktop\&#9675;&#12475;&#12459;&#12531;&#12489;&#12458;&#12500;&#12491;&#12458;&#12531;&#12398;&#29366;&#27841;.xlsx" TargetMode="External" /><Relationship Id="rId2" Type="http://schemas.microsoft.com/office/2011/relationships/chartColorStyle" Target="colors1.xml" /><Relationship Id="rId3" Type="http://schemas.microsoft.com/office/2011/relationships/chartStyle" Target="style1.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576878014936413e-002"/>
          <c:y val="0.22500000000000001"/>
          <c:w val="0.89276807980049877"/>
          <c:h val="0.77083333333333315"/>
        </c:manualLayout>
      </c:layout>
      <c:barChart>
        <c:barDir val="bar"/>
        <c:grouping val="stacked"/>
        <c:varyColors val="0"/>
        <c:ser>
          <c:idx val="0"/>
          <c:order val="0"/>
          <c:spPr>
            <a:solidFill>
              <a:schemeClr val="accent1">
                <a:lumMod val="75000"/>
              </a:schemeClr>
            </a:solidFill>
            <a:ln>
              <a:solidFill>
                <a:schemeClr val="accent1">
                  <a:lumMod val="75000"/>
                </a:schemeClr>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50" b="1" kern="1200">
                    <a:solidFill>
                      <a:schemeClr val="bg1"/>
                    </a:solidFill>
                    <a:latin typeface="Arial"/>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val>
            <c:numRef>
              <c:f>[○セカンドオピニオンの状況.xlsx]Sheet1!$B$2:$E$2</c:f>
              <c:numCache>
                <c:formatCode>General</c:formatCode>
                <c:ptCount val="4"/>
                <c:pt idx="0">
                  <c:v>12.3</c:v>
                </c:pt>
                <c:pt idx="1">
                  <c:v>29.8</c:v>
                </c:pt>
                <c:pt idx="2">
                  <c:v>35.6</c:v>
                </c:pt>
                <c:pt idx="3">
                  <c:v>71.5</c:v>
                </c:pt>
              </c:numCache>
            </c:numRef>
          </c:val>
        </c:ser>
        <c:ser>
          <c:idx val="1"/>
          <c:order val="1"/>
          <c:spPr>
            <a:solidFill>
              <a:schemeClr val="accent2"/>
            </a:solidFill>
            <a:ln/>
            <a:effectLst/>
          </c:spPr>
          <c:invertIfNegative val="0"/>
          <c:val>
            <c:numRef>
              <c:f>[○セカンドオピニオンの状況.xlsx]Sheet1!$B$3:$D$3</c:f>
              <c:numCache>
                <c:formatCode>General</c:formatCode>
                <c:ptCount val="3"/>
              </c:numCache>
            </c:numRef>
          </c:val>
        </c:ser>
        <c:ser>
          <c:idx val="2"/>
          <c:order val="2"/>
          <c:spPr>
            <a:solidFill>
              <a:schemeClr val="accent3"/>
            </a:solidFill>
            <a:ln/>
            <a:effectLst/>
          </c:spPr>
          <c:invertIfNegative val="0"/>
          <c:val>
            <c:numRef>
              <c:f>[○セカンドオピニオンの状況.xlsx]Sheet1!$B$4:$D$4</c:f>
              <c:numCache>
                <c:formatCode>General</c:formatCode>
                <c:ptCount val="3"/>
              </c:numCache>
            </c:numRef>
          </c:val>
        </c:ser>
        <c:ser>
          <c:idx val="3"/>
          <c:order val="3"/>
          <c:spPr>
            <a:solidFill>
              <a:schemeClr val="accent4"/>
            </a:solidFill>
            <a:ln/>
            <a:effectLst/>
          </c:spPr>
          <c:invertIfNegative val="0"/>
          <c:val>
            <c:numRef>
              <c:f>[○セカンドオピニオンの状況.xlsx]Sheet1!$B$5:$D$5</c:f>
              <c:numCache>
                <c:formatCode>General</c:formatCode>
                <c:ptCount val="3"/>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100"/>
        <c:axId val="1"/>
        <c:axId val="2"/>
      </c:barChart>
      <c:catAx>
        <c:axId val="1"/>
        <c:scaling>
          <c:orientation val="minMax"/>
        </c:scaling>
        <c:delete val="1"/>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max val="100"/>
        </c:scaling>
        <c:delete val="0"/>
        <c:axPos val="b"/>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lumMod val="95000"/>
                    <a:lumOff val="5000"/>
                  </a:schemeClr>
                </a:solidFill>
                <a:latin typeface="Arial"/>
                <a:ea typeface="+mn-ea"/>
                <a:cs typeface="+mn-cs"/>
              </a:defRPr>
            </a:pPr>
            <a:endParaRPr lang="ja-JP" altLang="en-US"/>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5116</TotalTime>
  <Pages>15</Pages>
  <Words>250</Words>
  <Characters>9206</Characters>
  <Application>Microsoft Office Word</Application>
  <Lines>13980</Lines>
  <Paragraphs>428</Paragraphs>
  <CharactersWithSpaces>9340</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2024-02-08T05:45:53Z</cp:lastPrinted>
  <dcterms:created xsi:type="dcterms:W3CDTF">2013-01-07T04:42:00Z</dcterms:created>
  <dcterms:modified xsi:type="dcterms:W3CDTF">2024-02-08T11:11:10Z</dcterms:modified>
  <cp:revision>371</cp:revision>
</cp:coreProperties>
</file>