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165" w:beforeLines="50" w:beforeAutospacing="0" w:after="165" w:afterLines="50" w:afterAutospacing="0" w:line="100" w:lineRule="exact"/>
        <w:rPr>
          <w:rFonts w:hint="default"/>
          <w:highlight w:val="none"/>
        </w:rPr>
      </w:pPr>
      <w:r>
        <w:rPr>
          <w:rFonts w:hint="eastAsia" w:ascii="ＭＳ 明朝" w:hAnsi="ＭＳ 明朝" w:eastAsia="ＭＳ 明朝"/>
          <w:b w:val="1"/>
          <w:i w:val="0"/>
          <w:color w:val="1F497D"/>
          <w:kern w:val="2"/>
          <w:sz w:val="28"/>
          <w:highlight w:val="none"/>
        </w:rPr>
        <w:t>第４節　医薬品等の適正使用</w:t>
      </w:r>
    </w:p>
    <w:p>
      <w:pPr>
        <w:pStyle w:val="0"/>
        <w:ind w:firstLine="227" w:firstLineChars="100"/>
        <w:rPr>
          <w:rFonts w:hint="default"/>
          <w:color w:val="000000" w:themeColor="text1"/>
          <w:highlight w:val="none"/>
          <w:u w:val="none" w:color="auto"/>
        </w:rPr>
      </w:pPr>
      <w:r>
        <w:rPr>
          <w:rFonts w:hint="eastAsia"/>
          <w:color w:val="auto"/>
          <w:highlight w:val="none"/>
          <w:u w:val="none" w:color="auto"/>
        </w:rPr>
        <w:t>医薬品等は、保健・医療に不可欠なものであり、不良医薬品等の製造・販売や医薬品等の不適正使用による事故の発生を防ぎ、薬物治療等の質的向上、県民の健康の維持・増進を図ることが必要です。このため、製造・流通・販売から服薬などに至るまでの</w:t>
      </w:r>
      <w:r>
        <w:rPr>
          <w:rFonts w:hint="eastAsia"/>
          <w:color w:val="000000" w:themeColor="text1"/>
          <w:highlight w:val="none"/>
          <w:u w:val="none" w:color="auto"/>
        </w:rPr>
        <w:t>品質、有効性及び安全性を確保します。</w:t>
      </w:r>
    </w:p>
    <w:p>
      <w:pPr>
        <w:pStyle w:val="0"/>
        <w:spacing w:line="180" w:lineRule="exact"/>
        <w:rPr>
          <w:rFonts w:hint="default"/>
          <w:highlight w:val="none"/>
          <w:bdr w:val="single" w:color="auto" w:sz="4" w:space="0"/>
        </w:rPr>
      </w:pPr>
    </w:p>
    <w:p>
      <w:pPr>
        <w:pStyle w:val="0"/>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現状と課題</w:t>
      </w:r>
    </w:p>
    <w:p>
      <w:pPr>
        <w:pStyle w:val="0"/>
        <w:rPr>
          <w:rFonts w:hint="default"/>
          <w:b w:val="1"/>
          <w:color w:val="0070C0"/>
          <w:highlight w:val="none"/>
        </w:rPr>
      </w:pPr>
      <w:r>
        <w:rPr>
          <w:rFonts w:hint="eastAsia"/>
          <w:b w:val="1"/>
          <w:color w:val="0070C0"/>
          <w:highlight w:val="none"/>
        </w:rPr>
        <w:t>１　医薬品等の適正使用</w:t>
      </w:r>
    </w:p>
    <w:p>
      <w:pPr>
        <w:pStyle w:val="0"/>
        <w:snapToGrid w:val="1"/>
        <w:spacing w:line="240" w:lineRule="auto"/>
        <w:rPr>
          <w:rFonts w:hint="eastAsia"/>
          <w:color w:val="auto"/>
          <w:highlight w:val="none"/>
          <w:u w:val="none" w:color="auto"/>
        </w:rPr>
      </w:pPr>
      <w:r>
        <w:rPr>
          <w:rFonts w:hint="eastAsia"/>
          <w:b w:val="1"/>
          <w:color w:val="000000" w:themeColor="text1"/>
          <w:highlight w:val="none"/>
        </w:rPr>
        <w:t>（１）医薬品等の</w:t>
      </w:r>
      <w:r>
        <w:rPr>
          <w:rFonts w:hint="eastAsia"/>
          <w:b w:val="1"/>
          <w:color w:val="auto"/>
          <w:highlight w:val="none"/>
          <w:u w:val="none" w:color="auto"/>
        </w:rPr>
        <w:t>安全対策の推進</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color w:val="auto"/>
          <w:highlight w:val="none"/>
          <w:u w:val="none" w:color="auto"/>
        </w:rPr>
        <w:t>本</w:t>
      </w:r>
      <w:r>
        <w:rPr>
          <w:rFonts w:hint="eastAsia" w:ascii="ＭＳ 明朝" w:hAnsi="ＭＳ 明朝" w:eastAsia="ＭＳ 明朝"/>
          <w:color w:val="auto"/>
          <w:highlight w:val="none"/>
          <w:u w:val="none" w:color="auto"/>
        </w:rPr>
        <w:t>県の薬事関係許可届出施設数は、令和５年３月末現在で</w:t>
      </w:r>
      <w:r>
        <w:rPr>
          <w:rFonts w:hint="eastAsia" w:ascii="ＭＳ 明朝" w:hAnsi="ＭＳ 明朝" w:eastAsia="ＭＳ 明朝"/>
          <w:color w:val="auto"/>
          <w:highlight w:val="none"/>
          <w:u w:val="none" w:color="auto"/>
        </w:rPr>
        <w:t>3,340</w:t>
      </w:r>
      <w:r>
        <w:rPr>
          <w:rFonts w:hint="eastAsia" w:ascii="ＭＳ 明朝" w:hAnsi="ＭＳ 明朝" w:eastAsia="ＭＳ 明朝"/>
          <w:color w:val="auto"/>
          <w:highlight w:val="none"/>
          <w:u w:val="none" w:color="auto"/>
        </w:rPr>
        <w:t>か所です。医薬品等は、生命と密接な関わりを持つことから、その品質、有効性及び安全性の確保が求められており、医薬品、医療機器等の品質、有効性及び安全性の確保等に関する法律に基づいた製造や販売に関する基準の遵守について、定期的かつ継続的な監視指導を行います。</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また、健康志向の高まりやインターネットによる通信販売の普及などにより、無承認無許可医薬品等による健康被害が散発しています。</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このため、これらを販売する業者な</w:t>
      </w:r>
      <w:bookmarkStart w:id="0" w:name="_GoBack"/>
      <w:bookmarkEnd w:id="0"/>
      <w:r>
        <w:rPr>
          <w:rFonts w:hint="eastAsia" w:ascii="ＭＳ 明朝" w:hAnsi="ＭＳ 明朝" w:eastAsia="ＭＳ 明朝"/>
          <w:color w:val="auto"/>
          <w:highlight w:val="none"/>
          <w:u w:val="none" w:color="auto"/>
        </w:rPr>
        <w:t>どに対する監視指導を行います。</w:t>
      </w:r>
    </w:p>
    <w:p>
      <w:pPr>
        <w:pStyle w:val="0"/>
        <w:spacing w:line="180" w:lineRule="exact"/>
        <w:ind w:leftChars="0" w:firstLineChars="0"/>
        <w:rPr>
          <w:rFonts w:hint="default"/>
          <w:color w:val="auto"/>
          <w:highlight w:val="none"/>
          <w:u w:val="none" w:color="auto"/>
        </w:rPr>
      </w:pPr>
    </w:p>
    <w:p>
      <w:pPr>
        <w:pStyle w:val="0"/>
        <w:snapToGrid w:val="1"/>
        <w:spacing w:line="240" w:lineRule="auto"/>
        <w:rPr>
          <w:rFonts w:hint="eastAsia"/>
          <w:color w:val="auto"/>
          <w:highlight w:val="none"/>
          <w:u w:val="none" w:color="auto"/>
        </w:rPr>
      </w:pPr>
      <w:r>
        <w:rPr>
          <w:rFonts w:hint="eastAsia"/>
          <w:b w:val="1"/>
          <w:color w:val="auto"/>
          <w:highlight w:val="none"/>
          <w:u w:val="none" w:color="auto"/>
        </w:rPr>
        <w:t>（２）医薬品等の正しい知識の普及啓発</w:t>
      </w:r>
    </w:p>
    <w:p>
      <w:pPr>
        <w:pStyle w:val="0"/>
        <w:snapToGrid w:val="1"/>
        <w:spacing w:line="240" w:lineRule="auto"/>
        <w:ind w:left="227" w:leftChars="100" w:firstLine="227" w:firstLineChars="100"/>
        <w:rPr>
          <w:rFonts w:hint="eastAsia"/>
          <w:color w:val="auto"/>
          <w:highlight w:val="none"/>
          <w:u w:val="none" w:color="auto"/>
        </w:rPr>
      </w:pPr>
      <w:r>
        <w:rPr>
          <w:rFonts w:hint="eastAsia"/>
          <w:color w:val="auto"/>
          <w:highlight w:val="none"/>
          <w:u w:val="none" w:color="auto"/>
        </w:rPr>
        <w:t>医薬品等の不適正使用による県民の健康被害を防止するため、「薬と健康の週間」事業などあらゆる機会を通じ、医薬品等の正しい知識を普及啓発しています。</w:t>
      </w:r>
    </w:p>
    <w:p>
      <w:pPr>
        <w:pStyle w:val="0"/>
        <w:snapToGrid w:val="1"/>
        <w:spacing w:line="240" w:lineRule="auto"/>
        <w:ind w:left="227" w:leftChars="100" w:firstLine="227" w:firstLineChars="100"/>
        <w:rPr>
          <w:rFonts w:hint="eastAsia"/>
          <w:color w:val="auto"/>
          <w:highlight w:val="none"/>
          <w:u w:val="none" w:color="auto"/>
        </w:rPr>
      </w:pPr>
      <w:r>
        <w:rPr>
          <w:rFonts w:hint="eastAsia"/>
          <w:color w:val="auto"/>
          <w:highlight w:val="none"/>
          <w:u w:val="none" w:color="auto"/>
        </w:rPr>
        <w:t>患者やその家族等が医薬品の服用方法や副作用等の留意点等について理解を深めることが適正な薬物治療には最も重要です。このため、薬局及び医薬品販売業者の薬剤師や登録販売者には、医薬品のリスクに応じた患者等への情報提供や、医薬品に関する相談を受けた場合の適切な対応等が求められてい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また、セルフメディケーション</w:t>
      </w:r>
      <w:r>
        <w:rPr>
          <w:rFonts w:hint="eastAsia"/>
          <w:color w:val="auto"/>
          <w:sz w:val="20"/>
          <w:highlight w:val="none"/>
          <w:u w:val="none" w:color="auto"/>
          <w:vertAlign w:val="superscript"/>
        </w:rPr>
        <w:t>（注</w:t>
      </w:r>
      <w:r>
        <w:rPr>
          <w:rFonts w:hint="eastAsia"/>
          <w:color w:val="auto"/>
          <w:sz w:val="20"/>
          <w:highlight w:val="none"/>
          <w:u w:val="none" w:color="auto"/>
          <w:vertAlign w:val="superscript"/>
        </w:rPr>
        <w:t>1</w:t>
      </w:r>
      <w:r>
        <w:rPr>
          <w:rFonts w:hint="eastAsia"/>
          <w:color w:val="auto"/>
          <w:sz w:val="20"/>
          <w:highlight w:val="none"/>
          <w:u w:val="none" w:color="auto"/>
          <w:vertAlign w:val="superscript"/>
        </w:rPr>
        <w:t>）</w:t>
      </w:r>
      <w:r>
        <w:rPr>
          <w:rFonts w:hint="eastAsia"/>
          <w:color w:val="auto"/>
          <w:highlight w:val="none"/>
          <w:u w:val="none" w:color="auto"/>
        </w:rPr>
        <w:t>を推進し、県民の自発的な健康管理や疾病予防の取組みを促進することが必要です。</w:t>
      </w:r>
    </w:p>
    <w:p>
      <w:pPr>
        <w:pStyle w:val="0"/>
        <w:ind w:left="0" w:leftChars="0" w:firstLine="167" w:firstLineChars="100"/>
        <w:rPr>
          <w:rFonts w:hint="default"/>
          <w:color w:val="auto"/>
          <w:highlight w:val="none"/>
          <w:u w:val="none" w:color="auto"/>
        </w:rPr>
      </w:pPr>
      <w:r>
        <w:rPr>
          <w:rFonts w:hint="eastAsia" w:ascii="ＭＳ 明朝" w:hAnsi="ＭＳ 明朝" w:eastAsia="ＭＳ 明朝"/>
          <w:color w:val="auto"/>
          <w:sz w:val="16"/>
          <w:highlight w:val="none"/>
          <w:u w:val="none" w:color="auto"/>
        </w:rPr>
        <w:t>（注１）</w:t>
      </w:r>
      <w:r>
        <w:rPr>
          <w:rFonts w:hint="eastAsia"/>
          <w:color w:val="auto"/>
          <w:sz w:val="16"/>
          <w:highlight w:val="none"/>
          <w:u w:val="none" w:color="auto"/>
        </w:rPr>
        <w:t>「自分自身の健康に責任を持ち、軽度な身体の不調は自分で手当てする」世界保健機構（ＷＨＯ）の定義</w:t>
      </w:r>
    </w:p>
    <w:p>
      <w:pPr>
        <w:pStyle w:val="0"/>
        <w:spacing w:line="180" w:lineRule="exact"/>
        <w:ind w:leftChars="0" w:firstLineChars="0"/>
        <w:rPr>
          <w:rFonts w:hint="default"/>
          <w:color w:val="auto"/>
          <w:highlight w:val="none"/>
          <w:u w:val="none" w:color="auto"/>
        </w:rPr>
      </w:pPr>
    </w:p>
    <w:p>
      <w:pPr>
        <w:pStyle w:val="0"/>
        <w:rPr>
          <w:rFonts w:hint="default"/>
          <w:color w:val="auto"/>
          <w:highlight w:val="none"/>
          <w:u w:val="none" w:color="auto"/>
        </w:rPr>
      </w:pPr>
      <w:r>
        <w:rPr>
          <w:rFonts w:hint="eastAsia"/>
          <w:b w:val="1"/>
          <w:color w:val="auto"/>
          <w:highlight w:val="none"/>
          <w:u w:val="none" w:color="auto"/>
        </w:rPr>
        <w:t>（３）後発医薬品の使用促進</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後発医薬品</w:t>
      </w:r>
      <w:r>
        <w:rPr>
          <w:rFonts w:hint="eastAsia"/>
          <w:color w:val="auto"/>
          <w:highlight w:val="none"/>
          <w:u w:val="none" w:color="auto"/>
          <w:vertAlign w:val="superscript"/>
        </w:rPr>
        <w:t>（注２）</w:t>
      </w:r>
      <w:r>
        <w:rPr>
          <w:rFonts w:hint="eastAsia"/>
          <w:color w:val="auto"/>
          <w:sz w:val="21"/>
          <w:highlight w:val="none"/>
          <w:u w:val="none" w:color="auto"/>
          <w:vertAlign w:val="baseline"/>
        </w:rPr>
        <w:t>の使用促進</w:t>
      </w:r>
      <w:r>
        <w:rPr>
          <w:rFonts w:hint="eastAsia"/>
          <w:color w:val="auto"/>
          <w:highlight w:val="none"/>
          <w:u w:val="none" w:color="auto"/>
        </w:rPr>
        <w:t>については、薬局薬剤師による</w:t>
      </w:r>
      <w:r>
        <w:rPr>
          <w:rFonts w:hint="eastAsia" w:ascii="ＭＳ Ｐゴシック" w:hAnsi="ＭＳ Ｐゴシック"/>
          <w:color w:val="auto"/>
          <w:highlight w:val="none"/>
          <w:u w:val="none" w:color="auto"/>
        </w:rPr>
        <w:t>品質、有効性及び安全性等に関する正しい知識の普及啓発や、</w:t>
      </w:r>
      <w:r>
        <w:rPr>
          <w:rFonts w:hint="eastAsia"/>
          <w:color w:val="auto"/>
          <w:highlight w:val="none"/>
          <w:u w:val="none" w:color="auto"/>
        </w:rPr>
        <w:t>保険者による差額通知事業（服用中の先発医薬品を後発医薬品に変更した場合の差額をお知らせするもの）の取組みを進めており、平成</w:t>
      </w:r>
      <w:r>
        <w:rPr>
          <w:rFonts w:hint="eastAsia"/>
          <w:color w:val="auto"/>
          <w:highlight w:val="none"/>
          <w:u w:val="none" w:color="auto"/>
        </w:rPr>
        <w:t>31</w:t>
      </w:r>
      <w:r>
        <w:rPr>
          <w:rFonts w:hint="eastAsia"/>
          <w:color w:val="auto"/>
          <w:highlight w:val="none"/>
          <w:u w:val="none" w:color="auto"/>
        </w:rPr>
        <w:t>年３月に</w:t>
      </w:r>
      <w:r>
        <w:rPr>
          <w:rFonts w:hint="eastAsia"/>
          <w:color w:val="auto"/>
          <w:highlight w:val="none"/>
          <w:u w:val="none" w:color="auto"/>
        </w:rPr>
        <w:t>73.5</w:t>
      </w:r>
      <w:r>
        <w:rPr>
          <w:rFonts w:hint="eastAsia"/>
          <w:color w:val="auto"/>
          <w:highlight w:val="none"/>
          <w:u w:val="none" w:color="auto"/>
        </w:rPr>
        <w:t>％であった使用割合は令和５年５月現在</w:t>
      </w:r>
      <w:r>
        <w:rPr>
          <w:rFonts w:hint="eastAsia"/>
          <w:color w:val="auto"/>
          <w:highlight w:val="none"/>
          <w:u w:val="none" w:color="auto"/>
        </w:rPr>
        <w:t>7.8</w:t>
      </w:r>
      <w:r>
        <w:rPr>
          <w:rFonts w:hint="eastAsia"/>
          <w:color w:val="auto"/>
          <w:highlight w:val="none"/>
          <w:u w:val="none" w:color="auto"/>
        </w:rPr>
        <w:t>％増加し、</w:t>
      </w:r>
      <w:r>
        <w:rPr>
          <w:rFonts w:hint="eastAsia"/>
          <w:color w:val="auto"/>
          <w:highlight w:val="none"/>
          <w:u w:val="none" w:color="auto"/>
        </w:rPr>
        <w:t>81.3</w:t>
      </w:r>
      <w:r>
        <w:rPr>
          <w:rFonts w:hint="eastAsia"/>
          <w:color w:val="auto"/>
          <w:highlight w:val="none"/>
          <w:u w:val="none" w:color="auto"/>
        </w:rPr>
        <w:t>％（全国平均</w:t>
      </w:r>
      <w:r>
        <w:rPr>
          <w:rFonts w:hint="eastAsia"/>
          <w:color w:val="auto"/>
          <w:highlight w:val="none"/>
          <w:u w:val="none" w:color="auto"/>
        </w:rPr>
        <w:t>84.5</w:t>
      </w:r>
      <w:r>
        <w:rPr>
          <w:rFonts w:hint="eastAsia"/>
          <w:color w:val="auto"/>
          <w:highlight w:val="none"/>
          <w:u w:val="none" w:color="auto"/>
        </w:rPr>
        <w:t>％）で全国</w:t>
      </w:r>
      <w:r>
        <w:rPr>
          <w:rFonts w:hint="eastAsia"/>
          <w:color w:val="auto"/>
          <w:highlight w:val="none"/>
          <w:u w:val="none" w:color="auto"/>
        </w:rPr>
        <w:t>45</w:t>
      </w:r>
      <w:r>
        <w:rPr>
          <w:rFonts w:hint="eastAsia"/>
          <w:color w:val="auto"/>
          <w:highlight w:val="none"/>
          <w:u w:val="none" w:color="auto"/>
        </w:rPr>
        <w:t>位となっており、今後も、継続的な普及啓発等の取組みが必要です。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また、地域フォーミュラリ</w:t>
      </w:r>
      <w:r>
        <w:rPr>
          <w:rFonts w:hint="eastAsia"/>
          <w:color w:val="auto"/>
          <w:highlight w:val="none"/>
          <w:u w:val="none" w:color="auto"/>
          <w:vertAlign w:val="superscript"/>
        </w:rPr>
        <w:t>（注３）</w:t>
      </w:r>
      <w:r>
        <w:rPr>
          <w:rFonts w:hint="eastAsia"/>
          <w:color w:val="auto"/>
          <w:highlight w:val="none"/>
          <w:u w:val="none" w:color="auto"/>
        </w:rPr>
        <w:t>やバイオシミラー</w:t>
      </w:r>
      <w:r>
        <w:rPr>
          <w:rFonts w:hint="eastAsia"/>
          <w:color w:val="auto"/>
          <w:highlight w:val="none"/>
          <w:u w:val="none" w:color="auto"/>
          <w:vertAlign w:val="superscript"/>
        </w:rPr>
        <w:t>（注４）</w:t>
      </w:r>
      <w:r>
        <w:rPr>
          <w:rFonts w:hint="eastAsia"/>
          <w:color w:val="auto"/>
          <w:highlight w:val="none"/>
          <w:u w:val="none" w:color="auto"/>
        </w:rPr>
        <w:t>の普及促進は、後発医薬品の使用促進のみならず、医療費適正化の取組みとしても重要視されています。</w:t>
      </w:r>
    </w:p>
    <w:p>
      <w:pPr>
        <w:pStyle w:val="0"/>
        <w:spacing w:line="200" w:lineRule="exact"/>
        <w:ind w:left="500" w:hanging="500" w:hangingChars="300"/>
        <w:jc w:val="both"/>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注２）後発医薬品：新薬（先発医薬品）と同じ有効成分で効能・効果が原則的に等しい医薬品。先発医薬品の特許が切れた後に、厚生労働大臣の承認のもとに新たに他社から製造販売されるため、「後発医薬品」とも言われる。開発コストが少ないため、先発医薬品よりも安価な薬。（出典：厚生労働省）</w:t>
      </w:r>
    </w:p>
    <w:p>
      <w:pPr>
        <w:pStyle w:val="0"/>
        <w:spacing w:line="200" w:lineRule="exact"/>
        <w:ind w:left="667" w:hanging="667" w:hangingChars="400"/>
        <w:jc w:val="both"/>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注３）地域フォーミュラリ：地域の医師、薬剤師などの医療従事者とその関係団体の協働により、有効性、安全性に加えて、経済性なども含めて総合的な観点から最適であると判断された医薬品が収載されている地域における医薬品集及びその使用方針。（出典：厚生労働省）</w:t>
      </w:r>
    </w:p>
    <w:p>
      <w:pPr>
        <w:pStyle w:val="0"/>
        <w:spacing w:line="200" w:lineRule="exact"/>
        <w:ind w:left="667" w:hanging="667" w:hangingChars="400"/>
        <w:jc w:val="both"/>
        <w:rPr>
          <w:rFonts w:hint="eastAsia" w:ascii="ＭＳ 明朝" w:hAnsi="ＭＳ 明朝" w:eastAsia="ＭＳ 明朝"/>
          <w:sz w:val="16"/>
          <w:highlight w:val="none"/>
          <w:u w:val="single" w:color="auto"/>
        </w:rPr>
      </w:pPr>
      <w:r>
        <w:rPr>
          <w:rFonts w:hint="eastAsia" w:ascii="ＭＳ 明朝" w:hAnsi="ＭＳ 明朝" w:eastAsia="ＭＳ 明朝"/>
          <w:color w:val="auto"/>
          <w:sz w:val="16"/>
          <w:highlight w:val="none"/>
          <w:u w:val="none" w:color="auto"/>
        </w:rPr>
        <w:t>（注４）バイオシミラー（バイオ後続品）：国内ですでに承認・販売されているバイオ医薬品（先行バイオ医薬品）の特許期間・再審査期間終了後に異なるメーカーから販売される、先行バイオ医薬品と同等</w:t>
      </w: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同質の製品。（出典：厚生労働省）</w:t>
      </w:r>
    </w:p>
    <w:p>
      <w:pPr>
        <w:pStyle w:val="0"/>
        <w:rPr>
          <w:rFonts w:hint="default"/>
          <w:b w:val="1"/>
          <w:color w:val="auto"/>
          <w:highlight w:val="none"/>
          <w:u w:val="none" w:color="auto"/>
        </w:rPr>
      </w:pPr>
      <w:r>
        <w:rPr>
          <w:rFonts w:hint="eastAsia"/>
          <w:b w:val="1"/>
          <w:color w:val="auto"/>
          <w:highlight w:val="none"/>
          <w:u w:val="none" w:color="auto"/>
        </w:rPr>
        <w:t>（４）重複投薬の是正等</w:t>
      </w:r>
    </w:p>
    <w:p>
      <w:pPr>
        <w:pStyle w:val="0"/>
        <w:snapToGrid w:val="0"/>
        <w:spacing w:line="320" w:lineRule="exact"/>
        <w:ind w:left="220" w:leftChars="100" w:firstLine="220" w:firstLineChars="100"/>
        <w:rPr>
          <w:rFonts w:hint="default"/>
          <w:color w:val="auto"/>
          <w:highlight w:val="none"/>
          <w:u w:val="none" w:color="auto"/>
        </w:rPr>
      </w:pPr>
      <w:r>
        <w:rPr>
          <w:rFonts w:hint="eastAsia"/>
          <w:color w:val="auto"/>
          <w:highlight w:val="none"/>
          <w:u w:val="none" w:color="auto"/>
        </w:rPr>
        <w:t>重複投薬の是正やポリファーマシー</w:t>
      </w:r>
      <w:r>
        <w:rPr>
          <w:rFonts w:hint="eastAsia"/>
          <w:color w:val="auto"/>
          <w:highlight w:val="none"/>
          <w:u w:val="none" w:color="auto"/>
          <w:vertAlign w:val="superscript"/>
        </w:rPr>
        <w:t>（注５）</w:t>
      </w:r>
      <w:r>
        <w:rPr>
          <w:rFonts w:hint="eastAsia"/>
          <w:color w:val="auto"/>
          <w:highlight w:val="none"/>
          <w:u w:val="none" w:color="auto"/>
        </w:rPr>
        <w:t>による健康被害の防止には、患者一人ひとりの服薬状況を把握することが重要です。そのため、お薬手帳（電子版を含む）のほか、ＥＨＲ</w:t>
      </w:r>
      <w:r>
        <w:rPr>
          <w:rFonts w:hint="eastAsia"/>
          <w:color w:val="auto"/>
          <w:sz w:val="21"/>
          <w:highlight w:val="none"/>
          <w:u w:val="none" w:color="auto"/>
          <w:vertAlign w:val="superscript"/>
        </w:rPr>
        <w:t>（注６）</w:t>
      </w:r>
      <w:r>
        <w:rPr>
          <w:rFonts w:hint="eastAsia"/>
          <w:color w:val="auto"/>
          <w:sz w:val="22"/>
          <w:highlight w:val="none"/>
          <w:u w:val="none" w:color="auto"/>
        </w:rPr>
        <w:t>などの医療ＤＸ</w:t>
      </w:r>
      <w:r>
        <w:rPr>
          <w:rFonts w:hint="eastAsia"/>
          <w:color w:val="auto"/>
          <w:highlight w:val="none"/>
          <w:u w:val="none" w:color="auto"/>
        </w:rPr>
        <w:t>の普及が期待されています。</w:t>
      </w:r>
    </w:p>
    <w:p>
      <w:pPr>
        <w:pStyle w:val="0"/>
        <w:snapToGrid w:val="0"/>
        <w:spacing w:line="320" w:lineRule="exact"/>
        <w:ind w:left="227" w:leftChars="100" w:firstLine="227" w:firstLineChars="100"/>
        <w:rPr>
          <w:rFonts w:hint="default"/>
          <w:color w:val="auto"/>
          <w:highlight w:val="none"/>
          <w:u w:val="none" w:color="auto"/>
        </w:rPr>
      </w:pPr>
      <w:r>
        <w:rPr>
          <w:rFonts w:hint="eastAsia"/>
          <w:color w:val="auto"/>
          <w:highlight w:val="none"/>
          <w:u w:val="none" w:color="auto"/>
        </w:rPr>
        <w:t>なお、こうした医療ＤＸが普及するまで、これまでどおり、かかりつけ薬剤師・薬局がお薬手帳を活用して服薬情報を一元的・継続的に管理する必要があります。</w:t>
      </w:r>
    </w:p>
    <w:p>
      <w:pPr>
        <w:pStyle w:val="0"/>
        <w:snapToGrid w:val="0"/>
        <w:spacing w:line="320" w:lineRule="exact"/>
        <w:ind w:left="227" w:leftChars="100" w:firstLine="227" w:firstLineChars="100"/>
        <w:rPr>
          <w:rFonts w:hint="default"/>
          <w:color w:val="auto"/>
          <w:highlight w:val="none"/>
          <w:u w:val="none" w:color="auto"/>
        </w:rPr>
      </w:pPr>
      <w:r>
        <w:rPr>
          <w:rFonts w:hint="eastAsia"/>
          <w:color w:val="auto"/>
          <w:highlight w:val="none"/>
          <w:u w:val="none" w:color="auto"/>
        </w:rPr>
        <w:t>また、保険者（高知県国保連合会、高知県後期高齢医療広域連合）から、被保険者に対して重複・多剤投薬をお知らせし、かかりつけ医やかかりつけ薬剤師・薬局への相談を促すとともに、国保の被保険者には、服薬サポーター</w:t>
      </w:r>
      <w:r>
        <w:rPr>
          <w:rFonts w:hint="eastAsia"/>
          <w:color w:val="auto"/>
          <w:highlight w:val="none"/>
          <w:u w:val="none" w:color="auto"/>
          <w:vertAlign w:val="superscript"/>
        </w:rPr>
        <w:t>（注７）</w:t>
      </w:r>
      <w:r>
        <w:rPr>
          <w:rFonts w:hint="eastAsia"/>
          <w:color w:val="auto"/>
          <w:highlight w:val="none"/>
          <w:u w:val="none" w:color="auto"/>
        </w:rPr>
        <w:t>からの電話勧奨も行っています。</w:t>
      </w:r>
    </w:p>
    <w:p>
      <w:pPr>
        <w:pStyle w:val="0"/>
        <w:snapToGrid w:val="0"/>
        <w:spacing w:line="320" w:lineRule="exact"/>
        <w:ind w:left="227" w:leftChars="100" w:firstLine="227" w:firstLineChars="100"/>
        <w:rPr>
          <w:rFonts w:hint="default"/>
          <w:color w:val="auto"/>
          <w:sz w:val="16"/>
          <w:highlight w:val="none"/>
          <w:u w:val="none" w:color="auto"/>
        </w:rPr>
      </w:pPr>
      <w:r>
        <w:rPr>
          <w:rFonts w:hint="eastAsia"/>
          <w:color w:val="auto"/>
          <w:highlight w:val="none"/>
          <w:u w:val="none" w:color="auto"/>
        </w:rPr>
        <w:t>さらに、市町村と協働して、「高齢者の医薬品適正使用の指針」を踏まえ、地域の薬剤師が保健師等とともに患者宅を訪問するなど、生活環境にあった服薬指導を行い、適正な薬物治療につなげる取組みを実施しています。</w:t>
      </w:r>
    </w:p>
    <w:p>
      <w:pPr>
        <w:pStyle w:val="0"/>
        <w:snapToGrid w:val="0"/>
        <w:spacing w:line="180" w:lineRule="exact"/>
        <w:ind w:left="667" w:hanging="667" w:hangingChars="400"/>
        <w:jc w:val="both"/>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（注５）ポリファーマシー：単に服用する薬剤数が多いのみならず、それに関連して薬物有害事象のリスク増加、服用過誤、服薬アドヒアランス低下等の問題につながる状態（出典：厚生労働省）</w:t>
      </w:r>
    </w:p>
    <w:p>
      <w:pPr>
        <w:pStyle w:val="0"/>
        <w:snapToGrid w:val="0"/>
        <w:spacing w:line="180" w:lineRule="exact"/>
        <w:jc w:val="both"/>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（注６）ＥＨＲ：</w:t>
      </w:r>
      <w:r>
        <w:rPr>
          <w:rFonts w:hint="eastAsia" w:ascii="ＭＳ 明朝" w:hAnsi="ＭＳ 明朝" w:eastAsia="ＭＳ 明朝"/>
          <w:color w:val="auto"/>
          <w:sz w:val="16"/>
          <w:highlight w:val="none"/>
          <w:u w:val="none" w:color="auto"/>
        </w:rPr>
        <w:t>Electronic Health Record</w:t>
      </w:r>
      <w:r>
        <w:rPr>
          <w:rFonts w:hint="eastAsia" w:ascii="ＭＳ 明朝" w:hAnsi="ＭＳ 明朝" w:eastAsia="ＭＳ 明朝"/>
          <w:color w:val="auto"/>
          <w:sz w:val="16"/>
          <w:highlight w:val="none"/>
          <w:u w:val="none" w:color="auto"/>
        </w:rPr>
        <w:t>の略語。個人の医療・健康等に係る情報の共有等を行うための医療情報</w:t>
      </w:r>
    </w:p>
    <w:p>
      <w:pPr>
        <w:pStyle w:val="0"/>
        <w:snapToGrid w:val="0"/>
        <w:spacing w:line="180" w:lineRule="exact"/>
        <w:ind w:firstLine="667" w:firstLineChars="400"/>
        <w:jc w:val="both"/>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連携ネットワークのこと。高知あんしんネット、はたまるねっと、高知家＠ライン、国のＥＨＲを指す。</w:t>
      </w:r>
    </w:p>
    <w:p>
      <w:pPr>
        <w:pStyle w:val="0"/>
        <w:snapToGrid w:val="0"/>
        <w:spacing w:line="180" w:lineRule="exact"/>
        <w:jc w:val="both"/>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（注７）服薬サポーター：重複・多剤通知対象者の中から特に服薬状況が気になる患者に電話連絡で通知内容の確認と</w:t>
      </w:r>
    </w:p>
    <w:p>
      <w:pPr>
        <w:pStyle w:val="0"/>
        <w:snapToGrid w:val="0"/>
        <w:spacing w:line="180" w:lineRule="exact"/>
        <w:ind w:left="683" w:leftChars="301" w:firstLineChars="0"/>
        <w:jc w:val="both"/>
        <w:rPr>
          <w:rFonts w:hint="default"/>
          <w:sz w:val="16"/>
          <w:highlight w:val="none"/>
          <w:u w:val="single" w:color="auto"/>
        </w:rPr>
      </w:pPr>
      <w:r>
        <w:rPr>
          <w:rFonts w:hint="eastAsia" w:ascii="ＭＳ 明朝" w:hAnsi="ＭＳ 明朝" w:eastAsia="ＭＳ 明朝"/>
          <w:color w:val="auto"/>
          <w:sz w:val="16"/>
          <w:highlight w:val="none"/>
          <w:u w:val="none" w:color="auto"/>
        </w:rPr>
        <w:t>かかりつけ医・薬剤師への相談を促す支援をする人。</w:t>
      </w:r>
    </w:p>
    <w:p>
      <w:pPr>
        <w:pStyle w:val="0"/>
        <w:spacing w:before="165" w:beforeLines="50" w:beforeAutospacing="0" w:line="80" w:lineRule="exact"/>
        <w:jc w:val="left"/>
        <w:rPr>
          <w:rFonts w:hint="default"/>
          <w:sz w:val="16"/>
          <w:highlight w:val="none"/>
        </w:rPr>
      </w:pPr>
    </w:p>
    <w:p>
      <w:pPr>
        <w:pStyle w:val="0"/>
        <w:rPr>
          <w:rFonts w:hint="default"/>
          <w:b w:val="1"/>
          <w:color w:val="0070C0"/>
          <w:highlight w:val="none"/>
        </w:rPr>
      </w:pPr>
      <w:r>
        <w:rPr>
          <w:rFonts w:hint="eastAsia"/>
          <w:b w:val="1"/>
          <w:color w:val="0070C0"/>
          <w:highlight w:val="none"/>
        </w:rPr>
        <w:t>２　毒物劇物による危害防止</w:t>
      </w:r>
    </w:p>
    <w:p>
      <w:pPr>
        <w:pStyle w:val="0"/>
        <w:snapToGrid w:val="0"/>
        <w:spacing w:line="320" w:lineRule="exact"/>
        <w:ind w:left="227" w:leftChars="100" w:firstLine="227" w:firstLineChars="100"/>
        <w:rPr>
          <w:rFonts w:hint="default"/>
          <w:b w:val="1"/>
          <w:color w:val="auto"/>
          <w:highlight w:val="none"/>
          <w:u w:val="none" w:color="auto"/>
        </w:rPr>
      </w:pPr>
      <w:r>
        <w:rPr>
          <w:rFonts w:hint="eastAsia" w:ascii="ＭＳ 明朝" w:hAnsi="ＭＳ 明朝" w:eastAsia="ＭＳ 明朝"/>
          <w:highlight w:val="none"/>
        </w:rPr>
        <w:t>本</w:t>
      </w:r>
      <w:r>
        <w:rPr>
          <w:rFonts w:hint="eastAsia" w:ascii="ＭＳ 明朝" w:hAnsi="ＭＳ 明朝" w:eastAsia="ＭＳ 明朝"/>
          <w:highlight w:val="none"/>
          <w:u w:val="none" w:color="auto"/>
        </w:rPr>
        <w:t>県の毒物劇物関係登録届出施設数は、</w:t>
      </w:r>
      <w:r>
        <w:rPr>
          <w:rFonts w:hint="eastAsia" w:ascii="ＭＳ 明朝" w:hAnsi="ＭＳ 明朝" w:eastAsia="ＭＳ 明朝"/>
          <w:color w:val="auto"/>
          <w:highlight w:val="none"/>
          <w:u w:val="none" w:color="auto"/>
        </w:rPr>
        <w:t>令和５年３月末現在で</w:t>
      </w:r>
      <w:r>
        <w:rPr>
          <w:rFonts w:hint="eastAsia" w:ascii="ＭＳ 明朝" w:hAnsi="ＭＳ 明朝" w:eastAsia="ＭＳ 明朝"/>
          <w:color w:val="auto"/>
          <w:highlight w:val="none"/>
          <w:u w:val="none" w:color="auto"/>
        </w:rPr>
        <w:t>422</w:t>
      </w:r>
      <w:r>
        <w:rPr>
          <w:rFonts w:hint="eastAsia" w:ascii="ＭＳ 明朝" w:hAnsi="ＭＳ 明朝" w:eastAsia="ＭＳ 明朝"/>
          <w:color w:val="auto"/>
          <w:highlight w:val="none"/>
          <w:u w:val="none" w:color="auto"/>
        </w:rPr>
        <w:t>か所です。毒物劇物は、化学工業薬品、農薬、塗料など種々の製品に広く用いられていますが、その毒性などにより保健衛生上重大な危害を及ぼすおそれがあるため、漏洩や紛失などの事故防止対策が不可欠です。そのため、南海トラフ地震などの災害時に流出や漏洩をすることがないよう対策を講じていくことが必要です。</w:t>
      </w:r>
    </w:p>
    <w:p>
      <w:pPr>
        <w:pStyle w:val="0"/>
        <w:snapToGrid w:val="0"/>
        <w:spacing w:line="320" w:lineRule="exact"/>
        <w:ind w:left="227" w:leftChars="100" w:firstLine="227" w:firstLineChars="100"/>
        <w:rPr>
          <w:rFonts w:hint="default"/>
          <w:b w:val="1"/>
          <w:color w:val="0070C0"/>
          <w:highlight w:val="none"/>
          <w:u w:val="single" w:color="auto"/>
        </w:rPr>
      </w:pPr>
      <w:r>
        <w:rPr>
          <w:rFonts w:hint="eastAsia" w:ascii="ＭＳ 明朝" w:hAnsi="ＭＳ 明朝" w:eastAsia="ＭＳ 明朝"/>
          <w:color w:val="auto"/>
          <w:highlight w:val="none"/>
          <w:u w:val="none" w:color="auto"/>
        </w:rPr>
        <w:t>また、爆発物の原料となる劇物を適正に管理する等、テロ等の未然防止のための取組みを推進することが重要です。</w:t>
      </w:r>
    </w:p>
    <w:p>
      <w:pPr>
        <w:pStyle w:val="0"/>
        <w:spacing w:line="180" w:lineRule="exact"/>
        <w:rPr>
          <w:rFonts w:hint="default"/>
          <w:b w:val="1"/>
          <w:color w:val="0070C0"/>
          <w:highlight w:val="none"/>
        </w:rPr>
      </w:pPr>
    </w:p>
    <w:p>
      <w:pPr>
        <w:pStyle w:val="0"/>
        <w:rPr>
          <w:rFonts w:hint="default"/>
          <w:b w:val="1"/>
          <w:color w:val="0070C0"/>
          <w:highlight w:val="none"/>
        </w:rPr>
      </w:pPr>
      <w:r>
        <w:rPr>
          <w:rFonts w:hint="eastAsia"/>
          <w:b w:val="1"/>
          <w:color w:val="0070C0"/>
          <w:highlight w:val="none"/>
        </w:rPr>
        <w:t>３　麻薬、</w:t>
      </w:r>
      <w:r>
        <w:rPr>
          <w:rFonts w:hint="eastAsia"/>
          <w:b w:val="1"/>
          <w:color w:val="0070C0"/>
          <w:highlight w:val="none"/>
          <w:u w:val="none" w:color="auto"/>
        </w:rPr>
        <w:t>覚醒剤、大麻</w:t>
      </w:r>
      <w:r>
        <w:rPr>
          <w:rFonts w:hint="eastAsia"/>
          <w:b w:val="1"/>
          <w:color w:val="0070C0"/>
          <w:highlight w:val="none"/>
        </w:rPr>
        <w:t>などの薬物乱用防止</w:t>
      </w:r>
    </w:p>
    <w:p>
      <w:pPr>
        <w:pStyle w:val="0"/>
        <w:snapToGrid w:val="0"/>
        <w:spacing w:line="320" w:lineRule="exact"/>
        <w:ind w:left="227" w:leftChars="100" w:firstLine="227" w:firstLineChars="100"/>
        <w:rPr>
          <w:rFonts w:hint="eastAsia"/>
          <w:color w:val="auto"/>
          <w:highlight w:val="none"/>
          <w:u w:val="none" w:color="auto"/>
        </w:rPr>
      </w:pPr>
      <w:r>
        <w:rPr>
          <w:rFonts w:hint="eastAsia"/>
          <w:color w:val="auto"/>
          <w:highlight w:val="none"/>
          <w:u w:val="none" w:color="auto"/>
        </w:rPr>
        <w:t>我が国においては、若年層を中心に大麻による検挙者が急増しており「大麻乱用期」とも言える状況となっています。本県においても令和４年の薬物事犯の検挙者数</w:t>
      </w:r>
      <w:r>
        <w:rPr>
          <w:rFonts w:hint="eastAsia"/>
          <w:color w:val="auto"/>
          <w:highlight w:val="none"/>
          <w:u w:val="none" w:color="auto"/>
        </w:rPr>
        <w:t>48</w:t>
      </w:r>
      <w:r>
        <w:rPr>
          <w:rFonts w:hint="eastAsia" w:ascii="ＭＳ 明朝" w:hAnsi="ＭＳ 明朝" w:eastAsia="ＭＳ 明朝"/>
          <w:color w:val="auto"/>
          <w:highlight w:val="none"/>
          <w:u w:val="none" w:color="auto"/>
        </w:rPr>
        <w:t>人</w:t>
      </w:r>
      <w:r>
        <w:rPr>
          <w:rFonts w:hint="eastAsia"/>
          <w:color w:val="auto"/>
          <w:highlight w:val="none"/>
          <w:u w:val="none" w:color="auto"/>
        </w:rPr>
        <w:t>のうち約半数を大麻事犯が占めており、大麻の乱用が拡大しています。</w:t>
      </w:r>
    </w:p>
    <w:p>
      <w:pPr>
        <w:pStyle w:val="0"/>
        <w:snapToGrid w:val="0"/>
        <w:spacing w:line="320" w:lineRule="exact"/>
        <w:ind w:left="227" w:leftChars="100" w:firstLine="227" w:firstLineChars="100"/>
        <w:rPr>
          <w:rFonts w:hint="eastAsia"/>
          <w:color w:val="auto"/>
          <w:highlight w:val="none"/>
          <w:u w:val="none" w:color="auto"/>
        </w:rPr>
      </w:pPr>
      <w:r>
        <w:rPr>
          <w:rFonts w:hint="eastAsia"/>
          <w:color w:val="auto"/>
          <w:highlight w:val="none"/>
          <w:u w:val="none" w:color="auto"/>
        </w:rPr>
        <w:t>この背景には、インターネットやＳＮＳ等の普及により違法薬物に関する情報へのアクセスが容易となり、若年層が大麻を入手しやすい環境にあることや、大麻は健康に良い等の誤った情報がインターネット等で氾濫していることに一因があると考えられています。そのため、乱用される薬物に関する正しい知識を持ち、薬物乱用を拒絶する意識向上のための取組みについて一層の強化が必要です。</w:t>
      </w:r>
    </w:p>
    <w:p>
      <w:pPr>
        <w:pStyle w:val="0"/>
        <w:snapToGrid w:val="0"/>
        <w:spacing w:line="320" w:lineRule="exact"/>
        <w:ind w:left="227" w:leftChars="100" w:firstLine="227" w:firstLineChars="100"/>
        <w:rPr>
          <w:rFonts w:hint="eastAsia"/>
          <w:color w:val="auto"/>
          <w:highlight w:val="none"/>
          <w:u w:val="none" w:color="auto"/>
        </w:rPr>
      </w:pPr>
      <w:r>
        <w:rPr>
          <w:rFonts w:hint="eastAsia"/>
          <w:color w:val="auto"/>
          <w:highlight w:val="none"/>
          <w:u w:val="none" w:color="auto"/>
        </w:rPr>
        <w:t>また、近年、若年層の間でオーバードーズ</w:t>
      </w:r>
      <w:r>
        <w:rPr>
          <w:rFonts w:hint="eastAsia"/>
          <w:color w:val="auto"/>
          <w:kern w:val="0"/>
          <w:sz w:val="20"/>
          <w:highlight w:val="none"/>
          <w:u w:val="none" w:color="auto"/>
          <w:vertAlign w:val="superscript"/>
        </w:rPr>
        <w:t>（注８）</w:t>
      </w:r>
      <w:r>
        <w:rPr>
          <w:rFonts w:hint="eastAsia"/>
          <w:color w:val="auto"/>
          <w:highlight w:val="none"/>
          <w:u w:val="none" w:color="auto"/>
        </w:rPr>
        <w:t>が広がり、社会問題化しています。乱用の要因とされる「不安や生きづらさ」を抱える若年層に対して、相談先を周知するとともに相談体制の強化を図ることが必要です。</w:t>
      </w:r>
    </w:p>
    <w:p>
      <w:pPr>
        <w:pStyle w:val="0"/>
        <w:snapToGrid w:val="0"/>
        <w:spacing w:line="320" w:lineRule="exact"/>
        <w:ind w:left="227" w:leftChars="100" w:firstLine="227" w:firstLineChars="100"/>
        <w:rPr>
          <w:rFonts w:hint="eastAsia"/>
          <w:color w:val="auto"/>
          <w:highlight w:val="none"/>
          <w:u w:val="none" w:color="auto"/>
        </w:rPr>
      </w:pPr>
      <w:r>
        <w:rPr>
          <w:rFonts w:hint="eastAsia"/>
          <w:color w:val="auto"/>
          <w:highlight w:val="none"/>
          <w:u w:val="none" w:color="auto"/>
        </w:rPr>
        <w:t>覚醒剤事犯は全国的に検挙人員が減少傾向にあるものの、再犯率は約７割と高水準のうえ、その割合は増加傾向にあります。再乱用防止のために、関係機関と連携して、薬物依存の問題を抱える方等への相談・支援体制の更なる充実を図ることが必要です。</w:t>
      </w:r>
    </w:p>
    <w:p>
      <w:pPr>
        <w:pStyle w:val="0"/>
        <w:ind w:leftChars="0" w:firstLineChars="0"/>
        <w:rPr>
          <w:rFonts w:hint="default"/>
          <w:color w:val="auto"/>
          <w:sz w:val="16"/>
          <w:highlight w:val="none"/>
          <w:u w:val="none" w:color="auto"/>
        </w:rPr>
      </w:pPr>
      <w:r>
        <w:rPr>
          <w:rFonts w:hint="eastAsia"/>
          <w:color w:val="auto"/>
          <w:kern w:val="0"/>
          <w:sz w:val="16"/>
          <w:highlight w:val="none"/>
          <w:u w:val="none" w:color="auto"/>
        </w:rPr>
        <w:t>（注８</w:t>
      </w:r>
      <w:r>
        <w:rPr>
          <w:rFonts w:hint="default"/>
          <w:color w:val="auto"/>
          <w:kern w:val="0"/>
          <w:sz w:val="16"/>
          <w:highlight w:val="none"/>
          <w:u w:val="none" w:color="auto"/>
        </w:rPr>
        <w:t>）</w:t>
      </w:r>
      <w:r>
        <w:rPr>
          <w:rFonts w:hint="eastAsia"/>
          <w:color w:val="auto"/>
          <w:kern w:val="0"/>
          <w:sz w:val="16"/>
          <w:highlight w:val="none"/>
          <w:u w:val="none" w:color="auto"/>
        </w:rPr>
        <w:t>オーバードーズ：医薬品を用法・用量を守らずに過剰に摂取。（出典：厚生労働省）</w:t>
      </w:r>
    </w:p>
    <w:p>
      <w:pPr>
        <w:pStyle w:val="0"/>
        <w:ind w:left="2506" w:leftChars="1105"/>
        <w:rPr>
          <w:rFonts w:hint="default"/>
          <w:sz w:val="16"/>
          <w:highlight w:val="none"/>
        </w:rPr>
      </w:pPr>
    </w:p>
    <w:p>
      <w:pPr>
        <w:pStyle w:val="0"/>
        <w:ind w:left="2506" w:leftChars="1105"/>
        <w:rPr>
          <w:rFonts w:hint="default"/>
          <w:sz w:val="16"/>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8-4-1</w:t>
      </w:r>
      <w:r>
        <w:rPr>
          <w:rFonts w:hint="eastAsia" w:ascii="ＭＳ ゴシック" w:hAnsi="ＭＳ ゴシック" w:eastAsia="ＭＳ ゴシック"/>
          <w:sz w:val="22"/>
          <w:highlight w:val="none"/>
        </w:rPr>
        <w:t>）法令別検挙者数の推移</w:t>
      </w:r>
      <w:r>
        <w:rPr>
          <w:rFonts w:hint="eastAsia" w:ascii="ＭＳ ゴシック" w:hAnsi="ＭＳ ゴシック" w:eastAsia="ＭＳ ゴシック"/>
          <w:sz w:val="21"/>
          <w:highlight w:val="none"/>
        </w:rPr>
        <w:t>　　　　　　　</w:t>
      </w:r>
      <w:r>
        <w:rPr>
          <w:rFonts w:hint="eastAsia"/>
          <w:sz w:val="21"/>
          <w:highlight w:val="none"/>
        </w:rPr>
        <w:t>　</w:t>
      </w:r>
      <w:r>
        <w:rPr>
          <w:rFonts w:hint="eastAsia"/>
          <w:sz w:val="16"/>
          <w:highlight w:val="none"/>
        </w:rPr>
        <w:t>単位：人</w:t>
      </w:r>
    </w:p>
    <w:tbl>
      <w:tblPr>
        <w:tblStyle w:val="11"/>
        <w:tblW w:w="8673" w:type="dxa"/>
        <w:jc w:val="left"/>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47"/>
        <w:gridCol w:w="1055"/>
        <w:gridCol w:w="1055"/>
        <w:gridCol w:w="1054"/>
        <w:gridCol w:w="1054"/>
        <w:gridCol w:w="1054"/>
        <w:gridCol w:w="1054"/>
      </w:tblGrid>
      <w:tr>
        <w:trPr/>
        <w:tc>
          <w:tcPr>
            <w:tcW w:w="2551" w:type="dxa"/>
            <w:shd w:val="clear" w:color="auto" w:fill="DAEEF3"/>
            <w:vAlign w:val="top"/>
          </w:tcPr>
          <w:p>
            <w:pPr>
              <w:pStyle w:val="0"/>
              <w:jc w:val="center"/>
              <w:rPr>
                <w:rFonts w:hint="default"/>
                <w:sz w:val="20"/>
                <w:highlight w:val="none"/>
              </w:rPr>
            </w:pPr>
            <w:r>
              <w:rPr>
                <w:rFonts w:hint="eastAsia"/>
                <w:highlight w:val="none"/>
              </w:rPr>
              <w:t>年</w:t>
            </w:r>
          </w:p>
        </w:tc>
        <w:tc>
          <w:tcPr>
            <w:tcW w:w="1134" w:type="dxa"/>
            <w:shd w:val="clear" w:color="auto" w:fill="DAEEF3"/>
            <w:vAlign w:val="top"/>
          </w:tcPr>
          <w:p>
            <w:pPr>
              <w:pStyle w:val="0"/>
              <w:jc w:val="center"/>
              <w:rPr>
                <w:rFonts w:hint="default"/>
                <w:sz w:val="20"/>
                <w:highlight w:val="none"/>
              </w:rPr>
            </w:pPr>
            <w:r>
              <w:rPr>
                <w:rFonts w:hint="eastAsia"/>
                <w:sz w:val="20"/>
                <w:highlight w:val="none"/>
              </w:rPr>
              <w:t>H29</w:t>
            </w:r>
          </w:p>
        </w:tc>
        <w:tc>
          <w:tcPr>
            <w:tcW w:w="1134" w:type="dxa"/>
            <w:shd w:val="clear" w:color="auto" w:fill="DAEEF3"/>
            <w:vAlign w:val="top"/>
          </w:tcPr>
          <w:p>
            <w:pPr>
              <w:pStyle w:val="0"/>
              <w:jc w:val="center"/>
              <w:rPr>
                <w:rFonts w:hint="default"/>
                <w:sz w:val="20"/>
                <w:highlight w:val="none"/>
              </w:rPr>
            </w:pPr>
            <w:r>
              <w:rPr>
                <w:rFonts w:hint="eastAsia"/>
                <w:sz w:val="20"/>
                <w:highlight w:val="none"/>
              </w:rPr>
              <w:t>H30</w:t>
            </w:r>
          </w:p>
        </w:tc>
        <w:tc>
          <w:tcPr>
            <w:tcW w:w="1134" w:type="dxa"/>
            <w:shd w:val="clear" w:color="auto" w:fill="DAEEF3"/>
            <w:vAlign w:val="top"/>
          </w:tcPr>
          <w:p>
            <w:pPr>
              <w:pStyle w:val="0"/>
              <w:jc w:val="center"/>
              <w:rPr>
                <w:rFonts w:hint="default"/>
                <w:sz w:val="20"/>
                <w:highlight w:val="none"/>
              </w:rPr>
            </w:pPr>
            <w:r>
              <w:rPr>
                <w:rFonts w:hint="eastAsia"/>
                <w:sz w:val="20"/>
                <w:highlight w:val="none"/>
              </w:rPr>
              <w:t>R1</w:t>
            </w:r>
          </w:p>
        </w:tc>
        <w:tc>
          <w:tcPr>
            <w:tcW w:w="1134" w:type="dxa"/>
            <w:shd w:val="clear" w:color="auto" w:fill="DAEEF3"/>
            <w:vAlign w:val="top"/>
          </w:tcPr>
          <w:p>
            <w:pPr>
              <w:pStyle w:val="0"/>
              <w:jc w:val="center"/>
              <w:rPr>
                <w:rFonts w:hint="default"/>
                <w:sz w:val="20"/>
                <w:highlight w:val="none"/>
              </w:rPr>
            </w:pPr>
            <w:r>
              <w:rPr>
                <w:rFonts w:hint="eastAsia"/>
                <w:sz w:val="20"/>
                <w:highlight w:val="none"/>
              </w:rPr>
              <w:t>R2</w:t>
            </w:r>
          </w:p>
        </w:tc>
        <w:tc>
          <w:tcPr>
            <w:tcW w:w="1134" w:type="dxa"/>
            <w:shd w:val="clear" w:color="auto" w:fill="DAEEF3"/>
            <w:vAlign w:val="top"/>
          </w:tcPr>
          <w:p>
            <w:pPr>
              <w:pStyle w:val="0"/>
              <w:jc w:val="center"/>
              <w:rPr>
                <w:rFonts w:hint="default"/>
                <w:color w:val="auto"/>
                <w:sz w:val="20"/>
                <w:highlight w:val="none"/>
                <w:u w:val="none" w:color="auto"/>
              </w:rPr>
            </w:pPr>
            <w:r>
              <w:rPr>
                <w:rFonts w:hint="eastAsia"/>
                <w:color w:val="auto"/>
                <w:sz w:val="20"/>
                <w:highlight w:val="none"/>
                <w:u w:val="none" w:color="auto"/>
              </w:rPr>
              <w:t>R3</w:t>
            </w:r>
          </w:p>
        </w:tc>
        <w:tc>
          <w:tcPr>
            <w:tcW w:w="1134" w:type="dxa"/>
            <w:shd w:val="clear" w:color="auto" w:fill="DAEEF3"/>
            <w:vAlign w:val="top"/>
          </w:tcPr>
          <w:p>
            <w:pPr>
              <w:pStyle w:val="0"/>
              <w:jc w:val="center"/>
              <w:rPr>
                <w:rFonts w:hint="default"/>
                <w:color w:val="auto"/>
                <w:sz w:val="20"/>
                <w:highlight w:val="none"/>
                <w:u w:val="none" w:color="auto"/>
              </w:rPr>
            </w:pPr>
            <w:r>
              <w:rPr>
                <w:rFonts w:hint="eastAsia"/>
                <w:color w:val="auto"/>
                <w:sz w:val="20"/>
                <w:highlight w:val="none"/>
                <w:u w:val="none" w:color="auto"/>
              </w:rPr>
              <w:t>R4</w:t>
            </w:r>
          </w:p>
        </w:tc>
      </w:tr>
      <w:tr>
        <w:trPr/>
        <w:tc>
          <w:tcPr>
            <w:tcW w:w="2551" w:type="dxa"/>
            <w:shd w:val="clear" w:color="auto" w:fill="DAEEF3"/>
            <w:vAlign w:val="center"/>
          </w:tcPr>
          <w:p>
            <w:pPr>
              <w:pStyle w:val="0"/>
              <w:jc w:val="center"/>
              <w:rPr>
                <w:rFonts w:hint="default"/>
                <w:sz w:val="20"/>
                <w:highlight w:val="none"/>
              </w:rPr>
            </w:pPr>
            <w:r>
              <w:rPr>
                <w:rFonts w:hint="eastAsia"/>
                <w:spacing w:val="0"/>
                <w:w w:val="94"/>
                <w:sz w:val="20"/>
                <w:highlight w:val="none"/>
                <w:fitText w:val="2070" w:id="1"/>
              </w:rPr>
              <w:t>麻薬及び向精神薬取締</w:t>
            </w:r>
            <w:r>
              <w:rPr>
                <w:rFonts w:hint="eastAsia"/>
                <w:spacing w:val="3"/>
                <w:w w:val="94"/>
                <w:sz w:val="20"/>
                <w:highlight w:val="none"/>
                <w:fitText w:val="2070" w:id="1"/>
              </w:rPr>
              <w:t>法</w:t>
            </w:r>
          </w:p>
        </w:tc>
        <w:tc>
          <w:tcPr>
            <w:tcW w:w="1134" w:type="dxa"/>
            <w:vAlign w:val="center"/>
          </w:tcPr>
          <w:p>
            <w:pPr>
              <w:pStyle w:val="0"/>
              <w:spacing w:line="0" w:lineRule="atLeast"/>
              <w:jc w:val="center"/>
              <w:rPr>
                <w:rFonts w:hint="default"/>
                <w:sz w:val="20"/>
                <w:highlight w:val="none"/>
              </w:rPr>
            </w:pPr>
            <w:r>
              <w:rPr>
                <w:rFonts w:hint="eastAsia"/>
                <w:sz w:val="20"/>
                <w:highlight w:val="none"/>
              </w:rPr>
              <w:t>505</w:t>
            </w:r>
          </w:p>
          <w:p>
            <w:pPr>
              <w:pStyle w:val="0"/>
              <w:spacing w:line="0" w:lineRule="atLeast"/>
              <w:jc w:val="center"/>
              <w:rPr>
                <w:rFonts w:hint="default"/>
                <w:sz w:val="20"/>
                <w:highlight w:val="none"/>
              </w:rPr>
            </w:pPr>
            <w:r>
              <w:rPr>
                <w:rFonts w:hint="eastAsia"/>
                <w:sz w:val="20"/>
                <w:highlight w:val="none"/>
              </w:rPr>
              <w:t>(1)</w:t>
            </w:r>
          </w:p>
        </w:tc>
        <w:tc>
          <w:tcPr>
            <w:tcW w:w="1134" w:type="dxa"/>
            <w:vAlign w:val="center"/>
          </w:tcPr>
          <w:p>
            <w:pPr>
              <w:pStyle w:val="0"/>
              <w:spacing w:line="0" w:lineRule="atLeast"/>
              <w:jc w:val="center"/>
              <w:rPr>
                <w:rFonts w:hint="default"/>
                <w:sz w:val="20"/>
                <w:highlight w:val="none"/>
              </w:rPr>
            </w:pPr>
            <w:r>
              <w:rPr>
                <w:rFonts w:hint="eastAsia"/>
                <w:sz w:val="20"/>
                <w:highlight w:val="none"/>
              </w:rPr>
              <w:t>528</w:t>
            </w:r>
          </w:p>
          <w:p>
            <w:pPr>
              <w:pStyle w:val="0"/>
              <w:spacing w:line="0" w:lineRule="atLeast"/>
              <w:jc w:val="center"/>
              <w:rPr>
                <w:rFonts w:hint="default"/>
                <w:sz w:val="20"/>
                <w:highlight w:val="none"/>
              </w:rPr>
            </w:pPr>
            <w:r>
              <w:rPr>
                <w:rFonts w:hint="eastAsia"/>
                <w:sz w:val="20"/>
                <w:highlight w:val="none"/>
              </w:rPr>
              <w:t>(1)</w:t>
            </w:r>
          </w:p>
        </w:tc>
        <w:tc>
          <w:tcPr>
            <w:tcW w:w="1134" w:type="dxa"/>
            <w:vAlign w:val="center"/>
          </w:tcPr>
          <w:p>
            <w:pPr>
              <w:pStyle w:val="0"/>
              <w:spacing w:line="0" w:lineRule="atLeast"/>
              <w:jc w:val="center"/>
              <w:rPr>
                <w:rFonts w:hint="default"/>
                <w:sz w:val="20"/>
                <w:highlight w:val="none"/>
              </w:rPr>
            </w:pPr>
            <w:r>
              <w:rPr>
                <w:rFonts w:hint="eastAsia"/>
                <w:sz w:val="20"/>
                <w:highlight w:val="none"/>
              </w:rPr>
              <w:t>558</w:t>
            </w:r>
          </w:p>
          <w:p>
            <w:pPr>
              <w:pStyle w:val="0"/>
              <w:spacing w:line="0" w:lineRule="atLeast"/>
              <w:jc w:val="center"/>
              <w:rPr>
                <w:rFonts w:hint="default"/>
                <w:sz w:val="20"/>
                <w:highlight w:val="none"/>
              </w:rPr>
            </w:pPr>
            <w:r>
              <w:rPr>
                <w:rFonts w:hint="eastAsia"/>
                <w:sz w:val="20"/>
                <w:highlight w:val="none"/>
              </w:rPr>
              <w:t>(0)</w:t>
            </w:r>
          </w:p>
        </w:tc>
        <w:tc>
          <w:tcPr>
            <w:tcW w:w="1134" w:type="dxa"/>
            <w:vAlign w:val="center"/>
          </w:tcPr>
          <w:p>
            <w:pPr>
              <w:pStyle w:val="0"/>
              <w:spacing w:line="0" w:lineRule="atLeast"/>
              <w:jc w:val="center"/>
              <w:rPr>
                <w:rFonts w:hint="default"/>
                <w:sz w:val="20"/>
                <w:highlight w:val="none"/>
              </w:rPr>
            </w:pPr>
            <w:r>
              <w:rPr>
                <w:rFonts w:hint="eastAsia"/>
                <w:sz w:val="20"/>
                <w:highlight w:val="none"/>
              </w:rPr>
              <w:t>638</w:t>
            </w:r>
          </w:p>
          <w:p>
            <w:pPr>
              <w:pStyle w:val="0"/>
              <w:spacing w:line="0" w:lineRule="atLeast"/>
              <w:jc w:val="center"/>
              <w:rPr>
                <w:rFonts w:hint="default"/>
                <w:sz w:val="20"/>
                <w:highlight w:val="none"/>
              </w:rPr>
            </w:pPr>
            <w:r>
              <w:rPr>
                <w:rFonts w:hint="eastAsia"/>
                <w:sz w:val="20"/>
                <w:highlight w:val="none"/>
              </w:rPr>
              <w:t>(3)</w:t>
            </w:r>
          </w:p>
        </w:tc>
        <w:tc>
          <w:tcPr>
            <w:tcW w:w="1134" w:type="dxa"/>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639</w:t>
            </w:r>
          </w:p>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(1)</w:t>
            </w:r>
          </w:p>
        </w:tc>
        <w:tc>
          <w:tcPr>
            <w:tcW w:w="1134" w:type="dxa"/>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783</w:t>
            </w:r>
          </w:p>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(2)</w:t>
            </w:r>
          </w:p>
        </w:tc>
      </w:tr>
      <w:tr>
        <w:trPr/>
        <w:tc>
          <w:tcPr>
            <w:tcW w:w="2551" w:type="dxa"/>
            <w:shd w:val="clear" w:color="auto" w:fill="DAEEF3"/>
            <w:vAlign w:val="center"/>
          </w:tcPr>
          <w:p>
            <w:pPr>
              <w:pStyle w:val="0"/>
              <w:jc w:val="center"/>
              <w:rPr>
                <w:rFonts w:hint="default"/>
                <w:sz w:val="20"/>
                <w:highlight w:val="none"/>
              </w:rPr>
            </w:pPr>
            <w:r>
              <w:rPr>
                <w:rFonts w:hint="eastAsia"/>
                <w:sz w:val="20"/>
                <w:highlight w:val="none"/>
              </w:rPr>
              <w:t>あへん法</w:t>
            </w:r>
          </w:p>
        </w:tc>
        <w:tc>
          <w:tcPr>
            <w:tcW w:w="1134" w:type="dxa"/>
            <w:vAlign w:val="center"/>
          </w:tcPr>
          <w:p>
            <w:pPr>
              <w:pStyle w:val="0"/>
              <w:spacing w:line="0" w:lineRule="atLeast"/>
              <w:jc w:val="center"/>
              <w:rPr>
                <w:rFonts w:hint="default"/>
                <w:sz w:val="20"/>
                <w:highlight w:val="none"/>
              </w:rPr>
            </w:pPr>
            <w:r>
              <w:rPr>
                <w:rFonts w:hint="eastAsia"/>
                <w:sz w:val="20"/>
                <w:highlight w:val="none"/>
              </w:rPr>
              <w:t>12</w:t>
            </w:r>
          </w:p>
          <w:p>
            <w:pPr>
              <w:pStyle w:val="0"/>
              <w:spacing w:line="0" w:lineRule="atLeast"/>
              <w:jc w:val="center"/>
              <w:rPr>
                <w:rFonts w:hint="default"/>
                <w:sz w:val="20"/>
                <w:highlight w:val="none"/>
              </w:rPr>
            </w:pPr>
            <w:r>
              <w:rPr>
                <w:rFonts w:hint="eastAsia"/>
                <w:sz w:val="20"/>
                <w:highlight w:val="none"/>
              </w:rPr>
              <w:t>(0)</w:t>
            </w:r>
          </w:p>
        </w:tc>
        <w:tc>
          <w:tcPr>
            <w:tcW w:w="1134" w:type="dxa"/>
            <w:vAlign w:val="center"/>
          </w:tcPr>
          <w:p>
            <w:pPr>
              <w:pStyle w:val="0"/>
              <w:spacing w:line="0" w:lineRule="atLeast"/>
              <w:jc w:val="center"/>
              <w:rPr>
                <w:rFonts w:hint="default"/>
                <w:sz w:val="20"/>
                <w:highlight w:val="none"/>
              </w:rPr>
            </w:pPr>
            <w:r>
              <w:rPr>
                <w:rFonts w:hint="eastAsia"/>
                <w:sz w:val="20"/>
                <w:highlight w:val="none"/>
              </w:rPr>
              <w:t>２</w:t>
            </w:r>
          </w:p>
          <w:p>
            <w:pPr>
              <w:pStyle w:val="0"/>
              <w:spacing w:line="0" w:lineRule="atLeast"/>
              <w:jc w:val="center"/>
              <w:rPr>
                <w:rFonts w:hint="default"/>
                <w:sz w:val="20"/>
                <w:highlight w:val="none"/>
              </w:rPr>
            </w:pPr>
            <w:r>
              <w:rPr>
                <w:rFonts w:hint="eastAsia"/>
                <w:sz w:val="20"/>
                <w:highlight w:val="none"/>
              </w:rPr>
              <w:t>(0)</w:t>
            </w:r>
          </w:p>
        </w:tc>
        <w:tc>
          <w:tcPr>
            <w:tcW w:w="1134" w:type="dxa"/>
            <w:vAlign w:val="center"/>
          </w:tcPr>
          <w:p>
            <w:pPr>
              <w:pStyle w:val="0"/>
              <w:spacing w:line="0" w:lineRule="atLeast"/>
              <w:jc w:val="center"/>
              <w:rPr>
                <w:rFonts w:hint="default"/>
                <w:sz w:val="20"/>
                <w:highlight w:val="none"/>
              </w:rPr>
            </w:pPr>
            <w:r>
              <w:rPr>
                <w:rFonts w:hint="eastAsia"/>
                <w:sz w:val="20"/>
                <w:highlight w:val="none"/>
              </w:rPr>
              <w:t>２</w:t>
            </w:r>
          </w:p>
          <w:p>
            <w:pPr>
              <w:pStyle w:val="0"/>
              <w:spacing w:line="0" w:lineRule="atLeast"/>
              <w:jc w:val="center"/>
              <w:rPr>
                <w:rFonts w:hint="default"/>
                <w:sz w:val="20"/>
                <w:highlight w:val="none"/>
              </w:rPr>
            </w:pPr>
            <w:r>
              <w:rPr>
                <w:rFonts w:hint="eastAsia"/>
                <w:sz w:val="20"/>
                <w:highlight w:val="none"/>
              </w:rPr>
              <w:t>(0)</w:t>
            </w:r>
          </w:p>
        </w:tc>
        <w:tc>
          <w:tcPr>
            <w:tcW w:w="1134" w:type="dxa"/>
            <w:vAlign w:val="center"/>
          </w:tcPr>
          <w:p>
            <w:pPr>
              <w:pStyle w:val="0"/>
              <w:spacing w:line="0" w:lineRule="atLeast"/>
              <w:jc w:val="center"/>
              <w:rPr>
                <w:rFonts w:hint="default"/>
                <w:sz w:val="20"/>
                <w:highlight w:val="none"/>
              </w:rPr>
            </w:pPr>
            <w:r>
              <w:rPr>
                <w:rFonts w:hint="eastAsia"/>
                <w:sz w:val="20"/>
                <w:highlight w:val="none"/>
              </w:rPr>
              <w:t xml:space="preserve">15 </w:t>
            </w:r>
          </w:p>
          <w:p>
            <w:pPr>
              <w:pStyle w:val="0"/>
              <w:spacing w:line="0" w:lineRule="atLeast"/>
              <w:jc w:val="center"/>
              <w:rPr>
                <w:rFonts w:hint="default"/>
                <w:sz w:val="20"/>
                <w:highlight w:val="none"/>
              </w:rPr>
            </w:pPr>
            <w:r>
              <w:rPr>
                <w:rFonts w:hint="eastAsia"/>
                <w:sz w:val="20"/>
                <w:highlight w:val="none"/>
              </w:rPr>
              <w:t>(0)</w:t>
            </w:r>
          </w:p>
        </w:tc>
        <w:tc>
          <w:tcPr>
            <w:tcW w:w="1134" w:type="dxa"/>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16</w:t>
            </w:r>
          </w:p>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(0)</w:t>
            </w:r>
          </w:p>
        </w:tc>
        <w:tc>
          <w:tcPr>
            <w:tcW w:w="1134" w:type="dxa"/>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３</w:t>
            </w:r>
          </w:p>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(0)</w:t>
            </w:r>
          </w:p>
        </w:tc>
      </w:tr>
      <w:tr>
        <w:trPr/>
        <w:tc>
          <w:tcPr>
            <w:tcW w:w="2551" w:type="dxa"/>
            <w:shd w:val="clear" w:color="auto" w:fill="DAEEF3"/>
            <w:vAlign w:val="center"/>
          </w:tcPr>
          <w:p>
            <w:pPr>
              <w:pStyle w:val="0"/>
              <w:jc w:val="center"/>
              <w:rPr>
                <w:rFonts w:hint="default"/>
                <w:sz w:val="20"/>
                <w:highlight w:val="none"/>
              </w:rPr>
            </w:pPr>
            <w:r>
              <w:rPr>
                <w:rFonts w:hint="eastAsia"/>
                <w:sz w:val="20"/>
                <w:highlight w:val="none"/>
              </w:rPr>
              <w:t>大麻取締法</w:t>
            </w:r>
          </w:p>
        </w:tc>
        <w:tc>
          <w:tcPr>
            <w:tcW w:w="1134" w:type="dxa"/>
            <w:vAlign w:val="center"/>
          </w:tcPr>
          <w:p>
            <w:pPr>
              <w:pStyle w:val="0"/>
              <w:spacing w:line="0" w:lineRule="atLeast"/>
              <w:jc w:val="center"/>
              <w:rPr>
                <w:rFonts w:hint="default"/>
                <w:sz w:val="20"/>
                <w:highlight w:val="none"/>
              </w:rPr>
            </w:pPr>
            <w:r>
              <w:rPr>
                <w:rFonts w:hint="eastAsia"/>
                <w:sz w:val="20"/>
                <w:highlight w:val="none"/>
              </w:rPr>
              <w:t>3,218</w:t>
            </w:r>
          </w:p>
          <w:p>
            <w:pPr>
              <w:pStyle w:val="0"/>
              <w:spacing w:line="0" w:lineRule="atLeast"/>
              <w:jc w:val="center"/>
              <w:rPr>
                <w:rFonts w:hint="default"/>
                <w:sz w:val="20"/>
                <w:highlight w:val="none"/>
              </w:rPr>
            </w:pPr>
            <w:r>
              <w:rPr>
                <w:rFonts w:hint="eastAsia"/>
                <w:sz w:val="20"/>
                <w:highlight w:val="none"/>
              </w:rPr>
              <w:t>(18)</w:t>
            </w:r>
          </w:p>
        </w:tc>
        <w:tc>
          <w:tcPr>
            <w:tcW w:w="1134" w:type="dxa"/>
            <w:vAlign w:val="center"/>
          </w:tcPr>
          <w:p>
            <w:pPr>
              <w:pStyle w:val="0"/>
              <w:spacing w:line="0" w:lineRule="atLeast"/>
              <w:jc w:val="center"/>
              <w:rPr>
                <w:rFonts w:hint="default"/>
                <w:sz w:val="20"/>
                <w:highlight w:val="none"/>
              </w:rPr>
            </w:pPr>
            <w:r>
              <w:rPr>
                <w:rFonts w:hint="eastAsia"/>
                <w:sz w:val="20"/>
                <w:highlight w:val="none"/>
              </w:rPr>
              <w:t>3,762</w:t>
            </w:r>
          </w:p>
          <w:p>
            <w:pPr>
              <w:pStyle w:val="0"/>
              <w:spacing w:line="0" w:lineRule="atLeast"/>
              <w:jc w:val="center"/>
              <w:rPr>
                <w:rFonts w:hint="default"/>
                <w:sz w:val="20"/>
                <w:highlight w:val="none"/>
              </w:rPr>
            </w:pPr>
            <w:r>
              <w:rPr>
                <w:rFonts w:hint="eastAsia"/>
                <w:sz w:val="20"/>
                <w:highlight w:val="none"/>
              </w:rPr>
              <w:t>(29)</w:t>
            </w:r>
          </w:p>
        </w:tc>
        <w:tc>
          <w:tcPr>
            <w:tcW w:w="1134" w:type="dxa"/>
            <w:vAlign w:val="center"/>
          </w:tcPr>
          <w:p>
            <w:pPr>
              <w:pStyle w:val="0"/>
              <w:spacing w:line="0" w:lineRule="atLeast"/>
              <w:jc w:val="center"/>
              <w:rPr>
                <w:rFonts w:hint="default"/>
                <w:sz w:val="20"/>
                <w:highlight w:val="none"/>
              </w:rPr>
            </w:pPr>
            <w:r>
              <w:rPr>
                <w:rFonts w:hint="eastAsia"/>
                <w:sz w:val="20"/>
                <w:highlight w:val="none"/>
              </w:rPr>
              <w:t>4,570</w:t>
            </w:r>
          </w:p>
          <w:p>
            <w:pPr>
              <w:pStyle w:val="0"/>
              <w:spacing w:line="0" w:lineRule="atLeast"/>
              <w:jc w:val="center"/>
              <w:rPr>
                <w:rFonts w:hint="default"/>
                <w:sz w:val="20"/>
                <w:highlight w:val="none"/>
              </w:rPr>
            </w:pPr>
            <w:r>
              <w:rPr>
                <w:rFonts w:hint="eastAsia"/>
                <w:sz w:val="20"/>
                <w:highlight w:val="none"/>
              </w:rPr>
              <w:t>(21)</w:t>
            </w:r>
          </w:p>
        </w:tc>
        <w:tc>
          <w:tcPr>
            <w:tcW w:w="1134" w:type="dxa"/>
            <w:vAlign w:val="center"/>
          </w:tcPr>
          <w:p>
            <w:pPr>
              <w:pStyle w:val="0"/>
              <w:spacing w:line="0" w:lineRule="atLeast"/>
              <w:jc w:val="center"/>
              <w:rPr>
                <w:rFonts w:hint="default"/>
                <w:sz w:val="20"/>
                <w:highlight w:val="none"/>
              </w:rPr>
            </w:pPr>
            <w:r>
              <w:rPr>
                <w:rFonts w:hint="eastAsia"/>
                <w:sz w:val="20"/>
                <w:highlight w:val="none"/>
              </w:rPr>
              <w:t>5,260</w:t>
            </w:r>
          </w:p>
          <w:p>
            <w:pPr>
              <w:pStyle w:val="0"/>
              <w:spacing w:line="0" w:lineRule="atLeast"/>
              <w:jc w:val="center"/>
              <w:rPr>
                <w:rFonts w:hint="default"/>
                <w:sz w:val="20"/>
                <w:highlight w:val="none"/>
              </w:rPr>
            </w:pPr>
            <w:r>
              <w:rPr>
                <w:rFonts w:hint="eastAsia"/>
                <w:sz w:val="20"/>
                <w:highlight w:val="none"/>
              </w:rPr>
              <w:t>(24)</w:t>
            </w:r>
          </w:p>
        </w:tc>
        <w:tc>
          <w:tcPr>
            <w:tcW w:w="1134" w:type="dxa"/>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5,783</w:t>
            </w:r>
          </w:p>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(33)</w:t>
            </w:r>
          </w:p>
        </w:tc>
        <w:tc>
          <w:tcPr>
            <w:tcW w:w="1134" w:type="dxa"/>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5,546</w:t>
            </w:r>
          </w:p>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(26)</w:t>
            </w:r>
          </w:p>
        </w:tc>
      </w:tr>
      <w:tr>
        <w:trPr/>
        <w:tc>
          <w:tcPr>
            <w:tcW w:w="255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DAEEF3"/>
            <w:vAlign w:val="center"/>
          </w:tcPr>
          <w:p>
            <w:pPr>
              <w:pStyle w:val="0"/>
              <w:jc w:val="center"/>
              <w:rPr>
                <w:rFonts w:hint="default"/>
                <w:sz w:val="20"/>
                <w:highlight w:val="none"/>
              </w:rPr>
            </w:pPr>
            <w:r>
              <w:rPr>
                <w:rFonts w:hint="eastAsia"/>
                <w:sz w:val="20"/>
                <w:highlight w:val="none"/>
              </w:rPr>
              <w:t>覚醒剤取締法</w:t>
            </w: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sz w:val="20"/>
                <w:highlight w:val="none"/>
              </w:rPr>
            </w:pPr>
            <w:r>
              <w:rPr>
                <w:rFonts w:hint="eastAsia"/>
                <w:sz w:val="20"/>
                <w:highlight w:val="none"/>
              </w:rPr>
              <w:t>10,284</w:t>
            </w:r>
          </w:p>
          <w:p>
            <w:pPr>
              <w:pStyle w:val="0"/>
              <w:spacing w:line="0" w:lineRule="atLeast"/>
              <w:jc w:val="center"/>
              <w:rPr>
                <w:rFonts w:hint="default"/>
                <w:sz w:val="20"/>
                <w:highlight w:val="none"/>
              </w:rPr>
            </w:pPr>
            <w:r>
              <w:rPr>
                <w:rFonts w:hint="eastAsia"/>
                <w:sz w:val="20"/>
                <w:highlight w:val="none"/>
              </w:rPr>
              <w:t>(35)</w:t>
            </w: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sz w:val="20"/>
                <w:highlight w:val="none"/>
              </w:rPr>
            </w:pPr>
            <w:r>
              <w:rPr>
                <w:rFonts w:hint="eastAsia"/>
                <w:sz w:val="20"/>
                <w:highlight w:val="none"/>
              </w:rPr>
              <w:t>10,030</w:t>
            </w:r>
          </w:p>
          <w:p>
            <w:pPr>
              <w:pStyle w:val="0"/>
              <w:spacing w:line="0" w:lineRule="atLeast"/>
              <w:jc w:val="center"/>
              <w:rPr>
                <w:rFonts w:hint="default"/>
                <w:sz w:val="20"/>
                <w:highlight w:val="none"/>
              </w:rPr>
            </w:pPr>
            <w:r>
              <w:rPr>
                <w:rFonts w:hint="eastAsia"/>
                <w:sz w:val="20"/>
                <w:highlight w:val="none"/>
              </w:rPr>
              <w:t>(36)</w:t>
            </w: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sz w:val="20"/>
                <w:highlight w:val="none"/>
              </w:rPr>
            </w:pPr>
            <w:r>
              <w:rPr>
                <w:rFonts w:hint="eastAsia"/>
                <w:sz w:val="20"/>
                <w:highlight w:val="none"/>
              </w:rPr>
              <w:t>8,730</w:t>
            </w:r>
          </w:p>
          <w:p>
            <w:pPr>
              <w:pStyle w:val="0"/>
              <w:spacing w:line="0" w:lineRule="atLeast"/>
              <w:jc w:val="center"/>
              <w:rPr>
                <w:rFonts w:hint="default"/>
                <w:sz w:val="20"/>
                <w:highlight w:val="none"/>
              </w:rPr>
            </w:pPr>
            <w:r>
              <w:rPr>
                <w:rFonts w:hint="eastAsia"/>
                <w:sz w:val="20"/>
                <w:highlight w:val="none"/>
              </w:rPr>
              <w:t>(51)</w:t>
            </w: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sz w:val="20"/>
                <w:highlight w:val="none"/>
              </w:rPr>
            </w:pPr>
            <w:r>
              <w:rPr>
                <w:rFonts w:hint="eastAsia"/>
                <w:sz w:val="20"/>
                <w:highlight w:val="none"/>
              </w:rPr>
              <w:t>8,654</w:t>
            </w:r>
          </w:p>
          <w:p>
            <w:pPr>
              <w:pStyle w:val="0"/>
              <w:spacing w:line="0" w:lineRule="atLeast"/>
              <w:jc w:val="center"/>
              <w:rPr>
                <w:rFonts w:hint="default"/>
                <w:sz w:val="20"/>
                <w:highlight w:val="none"/>
              </w:rPr>
            </w:pPr>
            <w:r>
              <w:rPr>
                <w:rFonts w:hint="eastAsia"/>
                <w:sz w:val="20"/>
                <w:highlight w:val="none"/>
              </w:rPr>
              <w:t>(36)</w:t>
            </w: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7,970</w:t>
            </w:r>
          </w:p>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(32)</w:t>
            </w: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6,289</w:t>
            </w:r>
          </w:p>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(20)</w:t>
            </w:r>
          </w:p>
        </w:tc>
      </w:tr>
      <w:tr>
        <w:trPr/>
        <w:tc>
          <w:tcPr>
            <w:tcW w:w="2551"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default"/>
                <w:sz w:val="20"/>
                <w:highlight w:val="none"/>
              </w:rPr>
            </w:pPr>
            <w:r>
              <w:rPr>
                <w:rFonts w:hint="eastAsia"/>
                <w:sz w:val="20"/>
                <w:highlight w:val="none"/>
              </w:rPr>
              <w:t>合　　　計</w:t>
            </w:r>
          </w:p>
        </w:tc>
        <w:tc>
          <w:tcPr>
            <w:tcW w:w="113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0"/>
                <w:highlight w:val="none"/>
              </w:rPr>
            </w:pPr>
            <w:r>
              <w:rPr>
                <w:rFonts w:hint="eastAsia"/>
                <w:sz w:val="20"/>
                <w:highlight w:val="none"/>
              </w:rPr>
              <w:t>14,019</w:t>
            </w:r>
          </w:p>
          <w:p>
            <w:pPr>
              <w:pStyle w:val="0"/>
              <w:spacing w:line="0" w:lineRule="atLeast"/>
              <w:jc w:val="center"/>
              <w:rPr>
                <w:rFonts w:hint="default"/>
                <w:sz w:val="20"/>
                <w:highlight w:val="none"/>
              </w:rPr>
            </w:pPr>
            <w:r>
              <w:rPr>
                <w:rFonts w:hint="eastAsia"/>
                <w:sz w:val="20"/>
                <w:highlight w:val="none"/>
              </w:rPr>
              <w:t>(54)</w:t>
            </w:r>
          </w:p>
        </w:tc>
        <w:tc>
          <w:tcPr>
            <w:tcW w:w="113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0"/>
                <w:highlight w:val="none"/>
              </w:rPr>
            </w:pPr>
            <w:r>
              <w:rPr>
                <w:rFonts w:hint="eastAsia"/>
                <w:sz w:val="20"/>
                <w:highlight w:val="none"/>
              </w:rPr>
              <w:t>14,322</w:t>
            </w:r>
          </w:p>
          <w:p>
            <w:pPr>
              <w:pStyle w:val="0"/>
              <w:spacing w:line="0" w:lineRule="atLeast"/>
              <w:jc w:val="center"/>
              <w:rPr>
                <w:rFonts w:hint="default"/>
                <w:sz w:val="20"/>
                <w:highlight w:val="none"/>
              </w:rPr>
            </w:pPr>
            <w:r>
              <w:rPr>
                <w:rFonts w:hint="eastAsia"/>
                <w:sz w:val="20"/>
                <w:highlight w:val="none"/>
              </w:rPr>
              <w:t>(66)</w:t>
            </w:r>
          </w:p>
        </w:tc>
        <w:tc>
          <w:tcPr>
            <w:tcW w:w="113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0"/>
                <w:highlight w:val="none"/>
              </w:rPr>
            </w:pPr>
            <w:r>
              <w:rPr>
                <w:rFonts w:hint="eastAsia"/>
                <w:sz w:val="20"/>
                <w:highlight w:val="none"/>
              </w:rPr>
              <w:t>13,860</w:t>
            </w:r>
          </w:p>
          <w:p>
            <w:pPr>
              <w:pStyle w:val="0"/>
              <w:spacing w:line="0" w:lineRule="atLeast"/>
              <w:jc w:val="center"/>
              <w:rPr>
                <w:rFonts w:hint="default"/>
                <w:sz w:val="20"/>
                <w:highlight w:val="none"/>
              </w:rPr>
            </w:pPr>
            <w:r>
              <w:rPr>
                <w:rFonts w:hint="eastAsia"/>
                <w:sz w:val="20"/>
                <w:highlight w:val="none"/>
              </w:rPr>
              <w:t>(72)</w:t>
            </w:r>
          </w:p>
        </w:tc>
        <w:tc>
          <w:tcPr>
            <w:tcW w:w="113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0"/>
                <w:highlight w:val="none"/>
              </w:rPr>
            </w:pPr>
            <w:r>
              <w:rPr>
                <w:rFonts w:hint="eastAsia"/>
                <w:sz w:val="20"/>
                <w:highlight w:val="none"/>
              </w:rPr>
              <w:t>14,567</w:t>
            </w:r>
          </w:p>
          <w:p>
            <w:pPr>
              <w:pStyle w:val="0"/>
              <w:spacing w:line="0" w:lineRule="atLeast"/>
              <w:jc w:val="center"/>
              <w:rPr>
                <w:rFonts w:hint="default"/>
                <w:sz w:val="20"/>
                <w:highlight w:val="none"/>
              </w:rPr>
            </w:pPr>
            <w:r>
              <w:rPr>
                <w:rFonts w:hint="eastAsia"/>
                <w:sz w:val="20"/>
                <w:highlight w:val="none"/>
              </w:rPr>
              <w:t>(63)</w:t>
            </w:r>
          </w:p>
        </w:tc>
        <w:tc>
          <w:tcPr>
            <w:tcW w:w="113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14,408</w:t>
            </w:r>
          </w:p>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(66)</w:t>
            </w:r>
          </w:p>
        </w:tc>
        <w:tc>
          <w:tcPr>
            <w:tcW w:w="113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12,621</w:t>
            </w:r>
          </w:p>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(48)</w:t>
            </w:r>
          </w:p>
        </w:tc>
      </w:tr>
    </w:tbl>
    <w:p>
      <w:pPr>
        <w:pStyle w:val="0"/>
        <w:spacing w:line="0" w:lineRule="atLeast"/>
        <w:ind w:right="447" w:rightChars="197" w:firstLine="333" w:firstLineChars="200"/>
        <w:jc w:val="right"/>
        <w:rPr>
          <w:rFonts w:hint="default"/>
          <w:highlight w:val="none"/>
        </w:rPr>
      </w:pPr>
      <w:r>
        <w:rPr>
          <w:rFonts w:hint="eastAsia"/>
          <w:sz w:val="16"/>
          <w:highlight w:val="none"/>
        </w:rPr>
        <w:t>出典：厚生労働省、警察庁、海上保安庁の統計資料　　括弧内は高知県の検挙者数</w:t>
      </w:r>
    </w:p>
    <w:p>
      <w:pPr>
        <w:pStyle w:val="0"/>
        <w:spacing w:line="140" w:lineRule="exact"/>
        <w:rPr>
          <w:rFonts w:hint="default"/>
          <w:highlight w:val="none"/>
        </w:rPr>
      </w:pPr>
    </w:p>
    <w:p>
      <w:pPr>
        <w:pStyle w:val="0"/>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対策</w:t>
      </w:r>
    </w:p>
    <w:p>
      <w:pPr>
        <w:pStyle w:val="0"/>
        <w:ind w:firstLine="227" w:firstLineChars="100"/>
        <w:rPr>
          <w:rFonts w:hint="default"/>
          <w:highlight w:val="none"/>
        </w:rPr>
      </w:pPr>
      <w:r>
        <w:rPr>
          <w:rFonts w:hint="eastAsia"/>
          <w:highlight w:val="none"/>
        </w:rPr>
        <w:t>県は、以下の取組みを推進します。</w:t>
      </w:r>
    </w:p>
    <w:p>
      <w:pPr>
        <w:pStyle w:val="0"/>
        <w:rPr>
          <w:rFonts w:hint="default"/>
          <w:b w:val="1"/>
          <w:color w:val="0070C0"/>
          <w:highlight w:val="none"/>
        </w:rPr>
      </w:pPr>
      <w:r>
        <w:rPr>
          <w:rFonts w:hint="eastAsia"/>
          <w:b w:val="1"/>
          <w:color w:val="0070C0"/>
          <w:highlight w:val="none"/>
        </w:rPr>
        <w:t>１　医薬品等の適正使用</w:t>
      </w:r>
    </w:p>
    <w:p>
      <w:pPr>
        <w:pStyle w:val="0"/>
        <w:rPr>
          <w:rFonts w:hint="default"/>
          <w:b w:val="1"/>
          <w:color w:val="auto"/>
          <w:highlight w:val="none"/>
          <w:u w:val="none" w:color="auto"/>
        </w:rPr>
      </w:pPr>
      <w:r>
        <w:rPr>
          <w:rFonts w:hint="eastAsia"/>
          <w:b w:val="1"/>
          <w:highlight w:val="none"/>
        </w:rPr>
        <w:t>（１）医薬品等の</w:t>
      </w:r>
      <w:r>
        <w:rPr>
          <w:rFonts w:hint="eastAsia"/>
          <w:b w:val="1"/>
          <w:color w:val="auto"/>
          <w:highlight w:val="none"/>
          <w:u w:val="none" w:color="auto"/>
        </w:rPr>
        <w:t>安全対策の推進</w:t>
      </w:r>
    </w:p>
    <w:p>
      <w:pPr>
        <w:pStyle w:val="0"/>
        <w:snapToGrid w:val="1"/>
        <w:spacing w:line="240" w:lineRule="auto"/>
        <w:ind w:left="227" w:leftChars="100" w:firstLine="227" w:firstLineChars="100"/>
        <w:rPr>
          <w:rFonts w:hint="eastAsia"/>
          <w:color w:val="auto"/>
          <w:highlight w:val="none"/>
          <w:u w:val="none" w:color="auto"/>
        </w:rPr>
      </w:pPr>
      <w:r>
        <w:rPr>
          <w:rFonts w:hint="eastAsia"/>
          <w:color w:val="auto"/>
          <w:highlight w:val="none"/>
          <w:u w:val="none" w:color="auto"/>
        </w:rPr>
        <w:t>医薬品等の製造販売業者及び製造業者に対しては、計画的に立入検査を実施し、適正な製造管理又は品質管理などの実施状況について確認します。</w:t>
      </w:r>
    </w:p>
    <w:p>
      <w:pPr>
        <w:pStyle w:val="0"/>
        <w:snapToGrid w:val="1"/>
        <w:spacing w:line="240" w:lineRule="auto"/>
        <w:ind w:left="227" w:leftChars="100" w:firstLine="227" w:firstLineChars="100"/>
        <w:rPr>
          <w:rFonts w:hint="eastAsia"/>
          <w:color w:val="auto"/>
          <w:highlight w:val="none"/>
          <w:u w:val="none" w:color="auto"/>
        </w:rPr>
      </w:pPr>
      <w:r>
        <w:rPr>
          <w:rFonts w:hint="eastAsia"/>
          <w:color w:val="auto"/>
          <w:highlight w:val="none"/>
          <w:u w:val="none" w:color="auto"/>
        </w:rPr>
        <w:t>薬局や医薬品販売業者などに対しては、「薬局、医薬品販売業等監視指導ガイドライン」などに基づく定期的な立入検査を行い、流通・販売段階における医薬品等の品確保、不正表示及び薬剤師・登録販売者の適正な情報提供などについて確認し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また、無承認無許可医薬品等については、健康食品の買上調査や広告監視などを強化し、流通、販売の防止に努めます。</w:t>
      </w:r>
    </w:p>
    <w:p>
      <w:pPr>
        <w:pStyle w:val="0"/>
        <w:spacing w:line="200" w:lineRule="exact"/>
        <w:ind w:left="227" w:leftChars="100" w:firstLine="227" w:firstLineChars="100"/>
        <w:rPr>
          <w:rFonts w:hint="default"/>
          <w:color w:val="auto"/>
          <w:highlight w:val="none"/>
          <w:u w:val="none" w:color="auto"/>
        </w:rPr>
      </w:pPr>
    </w:p>
    <w:p>
      <w:pPr>
        <w:pStyle w:val="0"/>
        <w:snapToGrid w:val="1"/>
        <w:spacing w:line="240" w:lineRule="auto"/>
        <w:rPr>
          <w:rFonts w:hint="eastAsia"/>
          <w:color w:val="auto"/>
          <w:highlight w:val="none"/>
          <w:u w:val="none" w:color="auto"/>
        </w:rPr>
      </w:pPr>
      <w:r>
        <w:rPr>
          <w:rFonts w:hint="eastAsia"/>
          <w:b w:val="1"/>
          <w:color w:val="auto"/>
          <w:highlight w:val="none"/>
          <w:u w:val="none" w:color="auto"/>
        </w:rPr>
        <w:t>（２）医薬品等の正しい知識の普及啓発</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関係団体と連携し「薬と健康の週間」事業に併せて、高齢者など県民に対し医薬品の正しい知識について計画的な広報を行うとともに、若年層などに対しては薬物乱用防止教室などの機会に啓発を行います。さらに、一般用医薬品等の適正使用の普及啓発を行い、セルフメディケーションを推進します。</w:t>
      </w:r>
    </w:p>
    <w:p>
      <w:pPr>
        <w:pStyle w:val="0"/>
        <w:ind w:left="227" w:leftChars="100" w:firstLine="227" w:firstLineChars="100"/>
        <w:jc w:val="both"/>
        <w:rPr>
          <w:rFonts w:hint="default"/>
          <w:color w:val="auto"/>
          <w:highlight w:val="none"/>
          <w:u w:val="none" w:color="auto"/>
        </w:rPr>
      </w:pPr>
      <w:r>
        <w:rPr>
          <w:rFonts w:hint="eastAsia"/>
          <w:color w:val="auto"/>
          <w:highlight w:val="none"/>
          <w:u w:val="none" w:color="auto"/>
        </w:rPr>
        <w:t>こうした取組みを実効的かつ効果的に進めるために、医薬品等の製造や販売業者の関係団体等が法律の理解を深め、資質向上を図るために行う研修会等の開催を支援します。</w:t>
      </w:r>
    </w:p>
    <w:p>
      <w:pPr>
        <w:pStyle w:val="0"/>
        <w:spacing w:line="200" w:lineRule="exact"/>
        <w:rPr>
          <w:rFonts w:hint="default"/>
          <w:color w:val="auto"/>
          <w:highlight w:val="none"/>
          <w:u w:val="none" w:color="auto"/>
        </w:rPr>
      </w:pPr>
    </w:p>
    <w:p>
      <w:pPr>
        <w:pStyle w:val="0"/>
        <w:rPr>
          <w:rFonts w:hint="default"/>
          <w:color w:val="auto"/>
          <w:highlight w:val="none"/>
          <w:u w:val="none" w:color="auto"/>
        </w:rPr>
      </w:pPr>
      <w:r>
        <w:rPr>
          <w:rFonts w:hint="eastAsia"/>
          <w:b w:val="1"/>
          <w:color w:val="auto"/>
          <w:highlight w:val="none"/>
          <w:u w:val="none" w:color="auto"/>
        </w:rPr>
        <w:t>（３）後発医薬品の使用促進</w:t>
      </w:r>
    </w:p>
    <w:p>
      <w:pPr>
        <w:pStyle w:val="0"/>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医薬品の安定的な供給を基本としつつ、引き続き、高知県薬剤師会や保険者等と連携して、後発医薬品の品質、有効性や安全性に関する普及啓発や、個別の差額通知と服薬サポーターによる電話勧奨の取組みを推進します。</w:t>
      </w:r>
    </w:p>
    <w:p>
      <w:pPr>
        <w:pStyle w:val="0"/>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地域フォーミュラリは、モデル地域において地域の医師（会）や薬剤師（会）をはじめ、中核病院、保険者、自治体等の関係者による検討会を実施して取組みを進め、その実績と成果を基にその他の地域への横展開を図ります。</w:t>
      </w:r>
    </w:p>
    <w:p>
      <w:pPr>
        <w:pStyle w:val="0"/>
        <w:ind w:left="227" w:leftChars="100" w:firstLine="227" w:firstLineChars="100"/>
        <w:rPr>
          <w:rFonts w:hint="default"/>
          <w:highlight w:val="none"/>
        </w:rPr>
      </w:pPr>
      <w:r>
        <w:rPr>
          <w:rFonts w:hint="eastAsia" w:ascii="ＭＳ 明朝" w:hAnsi="ＭＳ 明朝" w:eastAsia="ＭＳ 明朝"/>
          <w:color w:val="auto"/>
          <w:sz w:val="22"/>
          <w:highlight w:val="none"/>
          <w:u w:val="none" w:color="auto"/>
        </w:rPr>
        <w:t>また、バイオシミラーの普及促進については、本県における流通や使用状況等の実態把握をしたうえで、医療関係者や保険者を含めた多様な主体と連携しながら方策を検討し、取組みを進めます。</w:t>
      </w:r>
    </w:p>
    <w:p>
      <w:pPr>
        <w:pStyle w:val="0"/>
        <w:rPr>
          <w:rFonts w:hint="default"/>
          <w:color w:val="auto"/>
          <w:highlight w:val="none"/>
          <w:u w:val="none" w:color="auto"/>
        </w:rPr>
      </w:pPr>
      <w:r>
        <w:rPr>
          <w:rFonts w:hint="eastAsia"/>
          <w:b w:val="1"/>
          <w:color w:val="auto"/>
          <w:highlight w:val="none"/>
          <w:u w:val="none" w:color="auto"/>
        </w:rPr>
        <w:t>（４）重複投薬の是正等</w:t>
      </w:r>
    </w:p>
    <w:p>
      <w:pPr>
        <w:pStyle w:val="0"/>
        <w:ind w:left="227" w:leftChars="100" w:right="0" w:rightChars="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引き続き、高知県薬剤師会と連携して、お薬手帳（電子版を含む）の効果的な活用方法を普及啓発し、服薬情報の一元的・継続的管理を行い、重複投薬等の是正を進めます。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また、保険者の重複・多剤服薬通知事業に協力するとともに、医療・介護の多職種連携により在宅患者の適正な薬物治療を推進します。</w:t>
      </w:r>
    </w:p>
    <w:p>
      <w:pPr>
        <w:pStyle w:val="0"/>
        <w:ind w:left="227" w:leftChars="100" w:firstLine="227" w:firstLineChars="100"/>
        <w:rPr>
          <w:rFonts w:hint="eastAsia"/>
          <w:highlight w:val="none"/>
          <w:u w:val="single" w:color="auto"/>
        </w:rPr>
      </w:pPr>
      <w:r>
        <w:rPr>
          <w:rFonts w:hint="eastAsia"/>
          <w:color w:val="auto"/>
          <w:highlight w:val="none"/>
          <w:u w:val="none" w:color="auto"/>
        </w:rPr>
        <w:t>さらに、高知県薬剤師会と連携して、薬局が高知あんしんネットの活用を促進するための方策を検討、実施します。</w:t>
      </w:r>
    </w:p>
    <w:p>
      <w:pPr>
        <w:pStyle w:val="0"/>
        <w:spacing w:line="200" w:lineRule="exact"/>
        <w:rPr>
          <w:rFonts w:hint="default"/>
          <w:highlight w:val="none"/>
          <w:bdr w:val="single" w:color="auto" w:sz="4" w:space="0"/>
        </w:rPr>
      </w:pPr>
    </w:p>
    <w:p>
      <w:pPr>
        <w:pStyle w:val="0"/>
        <w:rPr>
          <w:rFonts w:hint="default"/>
          <w:b w:val="1"/>
          <w:color w:val="0070C0"/>
          <w:highlight w:val="none"/>
        </w:rPr>
      </w:pPr>
      <w:r>
        <w:rPr>
          <w:rFonts w:hint="eastAsia"/>
          <w:b w:val="1"/>
          <w:color w:val="0070C0"/>
          <w:highlight w:val="none"/>
        </w:rPr>
        <w:t>２　毒物劇物による危害防止</w:t>
      </w:r>
    </w:p>
    <w:p>
      <w:pPr>
        <w:pStyle w:val="0"/>
        <w:ind w:left="227" w:leftChars="100" w:firstLine="227" w:firstLineChars="100"/>
        <w:rPr>
          <w:rFonts w:hint="default"/>
          <w:highlight w:val="none"/>
        </w:rPr>
      </w:pPr>
      <w:r>
        <w:rPr>
          <w:rFonts w:hint="eastAsia"/>
          <w:highlight w:val="none"/>
        </w:rPr>
        <w:t>毒物劇物営業者、業務上取扱者へ定期的に立入りし、毒物劇物の保管取扱上の基準、譲渡手続きなどの指導の徹底を図るとともに、講習会を開催し、</w:t>
      </w:r>
      <w:r>
        <w:rPr>
          <w:rFonts w:hint="eastAsia"/>
          <w:color w:val="auto"/>
          <w:highlight w:val="none"/>
          <w:u w:val="none" w:color="auto"/>
        </w:rPr>
        <w:t>南海トラフ地震</w:t>
      </w:r>
      <w:r>
        <w:rPr>
          <w:rFonts w:hint="eastAsia"/>
          <w:highlight w:val="none"/>
        </w:rPr>
        <w:t>などの発生時における毒物劇物の流出・漏洩などを想定した対応策を検討するよう指導します。</w:t>
      </w:r>
    </w:p>
    <w:p>
      <w:pPr>
        <w:pStyle w:val="0"/>
        <w:ind w:firstLine="453" w:firstLineChars="200"/>
        <w:rPr>
          <w:rFonts w:hint="default"/>
          <w:highlight w:val="none"/>
        </w:rPr>
      </w:pPr>
      <w:r>
        <w:rPr>
          <w:rFonts w:hint="eastAsia"/>
          <w:highlight w:val="none"/>
        </w:rPr>
        <w:t>また、監視時などに事故発生時の届出、連絡体制の整備について周知を図ります。</w:t>
      </w:r>
    </w:p>
    <w:p>
      <w:pPr>
        <w:pStyle w:val="0"/>
        <w:spacing w:line="160" w:lineRule="exact"/>
        <w:rPr>
          <w:rFonts w:hint="default"/>
          <w:highlight w:val="none"/>
        </w:rPr>
      </w:pPr>
    </w:p>
    <w:p>
      <w:pPr>
        <w:pStyle w:val="0"/>
        <w:rPr>
          <w:rFonts w:hint="default"/>
          <w:b w:val="1"/>
          <w:color w:val="0070C0"/>
          <w:highlight w:val="none"/>
        </w:rPr>
      </w:pPr>
      <w:r>
        <w:rPr>
          <w:rFonts w:hint="eastAsia"/>
          <w:b w:val="1"/>
          <w:color w:val="0070C0"/>
          <w:highlight w:val="none"/>
        </w:rPr>
        <w:t>３　麻薬、</w:t>
      </w:r>
      <w:r>
        <w:rPr>
          <w:rFonts w:hint="eastAsia"/>
          <w:b w:val="1"/>
          <w:color w:val="0070C0"/>
          <w:highlight w:val="none"/>
          <w:u w:val="none" w:color="auto"/>
        </w:rPr>
        <w:t>覚醒剤、大麻な</w:t>
      </w:r>
      <w:r>
        <w:rPr>
          <w:rFonts w:hint="eastAsia"/>
          <w:b w:val="1"/>
          <w:color w:val="0070C0"/>
          <w:highlight w:val="none"/>
        </w:rPr>
        <w:t>どの薬物乱用防止</w:t>
      </w:r>
    </w:p>
    <w:p>
      <w:pPr>
        <w:pStyle w:val="0"/>
        <w:rPr>
          <w:rFonts w:hint="default"/>
          <w:b w:val="1"/>
          <w:highlight w:val="none"/>
        </w:rPr>
      </w:pPr>
      <w:r>
        <w:rPr>
          <w:rFonts w:hint="eastAsia"/>
          <w:b w:val="1"/>
          <w:highlight w:val="none"/>
        </w:rPr>
        <w:t>（１）麻薬などの適正管理と適正使用</w:t>
      </w:r>
    </w:p>
    <w:p>
      <w:pPr>
        <w:pStyle w:val="0"/>
        <w:ind w:left="227" w:leftChars="100" w:firstLine="227" w:firstLineChars="100"/>
        <w:rPr>
          <w:rFonts w:hint="default"/>
          <w:color w:val="auto"/>
          <w:highlight w:val="none"/>
          <w:u w:val="none" w:color="auto"/>
        </w:rPr>
      </w:pPr>
      <w:r>
        <w:rPr>
          <w:rFonts w:hint="eastAsia"/>
          <w:highlight w:val="none"/>
        </w:rPr>
        <w:t>麻薬、</w:t>
      </w:r>
      <w:r>
        <w:rPr>
          <w:rFonts w:hint="eastAsia"/>
          <w:color w:val="auto"/>
          <w:highlight w:val="none"/>
          <w:u w:val="none" w:color="auto"/>
        </w:rPr>
        <w:t>覚醒剤、向精神薬など取扱施設に対する指導取締及び講習会を実施し、不適正な取扱の防止と適正な保管・管理の周知徹底を図り、盗難など事故防止の啓発に努めます。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また、医療機関や薬局等に対し医療用麻薬、向精神薬などの適正な管理と使用を求めます。</w:t>
      </w:r>
    </w:p>
    <w:p>
      <w:pPr>
        <w:pStyle w:val="0"/>
        <w:spacing w:line="200" w:lineRule="exact"/>
        <w:rPr>
          <w:rFonts w:hint="default"/>
          <w:color w:val="auto"/>
          <w:highlight w:val="none"/>
          <w:u w:val="none" w:color="auto"/>
        </w:rPr>
      </w:pPr>
    </w:p>
    <w:p>
      <w:pPr>
        <w:pStyle w:val="0"/>
        <w:rPr>
          <w:rFonts w:hint="default"/>
          <w:b w:val="1"/>
          <w:color w:val="auto"/>
          <w:highlight w:val="none"/>
          <w:u w:val="none" w:color="auto"/>
        </w:rPr>
      </w:pPr>
      <w:r>
        <w:rPr>
          <w:rFonts w:hint="eastAsia"/>
          <w:b w:val="1"/>
          <w:color w:val="auto"/>
          <w:highlight w:val="none"/>
          <w:u w:val="none" w:color="auto"/>
        </w:rPr>
        <w:t>（２）普及啓発活動</w:t>
      </w:r>
    </w:p>
    <w:p>
      <w:pPr>
        <w:pStyle w:val="0"/>
        <w:snapToGrid w:val="1"/>
        <w:spacing w:line="240" w:lineRule="auto"/>
        <w:ind w:left="227" w:leftChars="100" w:firstLine="227" w:firstLineChars="100"/>
        <w:rPr>
          <w:rFonts w:hint="eastAsia"/>
          <w:color w:val="auto"/>
          <w:highlight w:val="none"/>
          <w:u w:val="none" w:color="auto"/>
        </w:rPr>
      </w:pPr>
      <w:r>
        <w:rPr>
          <w:rFonts w:hint="eastAsia"/>
          <w:color w:val="auto"/>
          <w:highlight w:val="none"/>
          <w:u w:val="none" w:color="auto"/>
        </w:rPr>
        <w:t>高知県薬物乱用防止推進連合協議会を拠点に、薬物乱用防止推進員を中心とした地域に根差した薬物乱用防止活動の推進を図るとともに、国連決議による｢６．</w:t>
      </w:r>
      <w:r>
        <w:rPr>
          <w:rFonts w:hint="eastAsia"/>
          <w:color w:val="auto"/>
          <w:highlight w:val="none"/>
          <w:u w:val="none" w:color="auto"/>
        </w:rPr>
        <w:t xml:space="preserve">26 </w:t>
      </w:r>
      <w:r>
        <w:rPr>
          <w:rFonts w:hint="eastAsia"/>
          <w:color w:val="auto"/>
          <w:highlight w:val="none"/>
          <w:u w:val="none" w:color="auto"/>
        </w:rPr>
        <w:t>国際麻薬乱用撲滅デー｣に合わせ、官民一体となって｢ダメ。ゼッタイ。｣普及運動を実施するとともに、様々なイベントを通じて薬物乱用防止意識の高揚を図ります。</w:t>
      </w:r>
    </w:p>
    <w:p>
      <w:pPr>
        <w:pStyle w:val="0"/>
        <w:snapToGrid w:val="1"/>
        <w:spacing w:line="240" w:lineRule="auto"/>
        <w:ind w:left="227" w:leftChars="100" w:firstLine="227" w:firstLineChars="100"/>
        <w:rPr>
          <w:rFonts w:hint="eastAsia"/>
          <w:color w:val="auto"/>
          <w:highlight w:val="none"/>
          <w:u w:val="none" w:color="auto"/>
        </w:rPr>
      </w:pPr>
      <w:r>
        <w:rPr>
          <w:rFonts w:hint="eastAsia"/>
          <w:color w:val="auto"/>
          <w:highlight w:val="none"/>
          <w:u w:val="none" w:color="auto"/>
        </w:rPr>
        <w:t>特に、中・高校生を中心とした若年層に対しては、教育委員会、警察、学校薬剤師等と連携して薬物乱用防止教室を開催し、医薬品の適正使用や危険ドラッグも含めた乱用薬物に関する正しい知識の普及啓発を行うとともに、ＳＮＳ等の、より若年層の目に触れやすい広告媒体を活用し、効果的な広報・啓発を実施します。</w:t>
      </w:r>
    </w:p>
    <w:p>
      <w:pPr>
        <w:pStyle w:val="0"/>
        <w:ind w:left="227" w:leftChars="100" w:firstLine="227" w:firstLineChars="100"/>
        <w:rPr>
          <w:rFonts w:hint="eastAsia"/>
          <w:color w:val="auto"/>
          <w:highlight w:val="none"/>
          <w:u w:val="none" w:color="auto"/>
        </w:rPr>
      </w:pPr>
      <w:r>
        <w:rPr>
          <w:rFonts w:hint="eastAsia"/>
          <w:color w:val="auto"/>
          <w:highlight w:val="none"/>
          <w:u w:val="none" w:color="auto"/>
        </w:rPr>
        <w:t>また、薬物依存に関する悩みを抱えている人やその家族等に対して、精神保健福祉センター、福祉保健所、県庁に薬物相談窓口を設置し、薬物に関する相談に対応するほか、地域のイベント等で相談窓口を周知し、薬物相談対応の充実を図ります。</w:t>
      </w:r>
    </w:p>
    <w:p>
      <w:pPr>
        <w:pStyle w:val="0"/>
        <w:snapToGrid w:val="1"/>
        <w:spacing w:line="240" w:lineRule="auto"/>
        <w:ind w:left="227" w:leftChars="100" w:firstLine="227" w:firstLineChars="100"/>
        <w:rPr>
          <w:rFonts w:hint="eastAsia"/>
          <w:highlight w:val="none"/>
        </w:rPr>
      </w:pPr>
      <w:r>
        <w:rPr>
          <w:rFonts w:hint="eastAsia"/>
          <w:color w:val="auto"/>
          <w:highlight w:val="none"/>
          <w:u w:val="none" w:color="auto"/>
        </w:rPr>
        <w:t>加えて、学校や地域での薬物乱用防止教室に携わる方や、地域で相談支援を行う薬物乱用防止推進員に対しては研修会を開催し、資質向上を図ります。</w:t>
      </w:r>
    </w:p>
    <w:p>
      <w:pPr>
        <w:pStyle w:val="0"/>
        <w:rPr>
          <w:rFonts w:hint="eastAsia"/>
          <w:highlight w:val="none"/>
        </w:rPr>
      </w:pPr>
    </w:p>
    <w:sectPr>
      <w:footerReference r:id="rId5" w:type="default"/>
      <w:pgSz w:w="11906" w:h="16838"/>
      <w:pgMar w:top="1418" w:right="1418" w:bottom="1418" w:left="1418" w:header="567" w:footer="720" w:gutter="0"/>
      <w:pgNumType w:fmt="numberInDash" w:start="340"/>
      <w:cols w:space="720"/>
      <w:noEndnote w:val="1"/>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ヒラギノ明朝 Pro W3">
    <w:panose1 w:val="00000000000000000000"/>
    <w:charset w:val="80"/>
    <w:family w:val="roman"/>
    <w:pitch w:val="fixed"/>
    <w:sig w:usb0="00000000" w:usb1="00000000" w:usb2="00000000" w:usb3="00000000" w:csb0="00020000" w:csb1="00000000"/>
  </w:font>
  <w:font w:name="Mincho">
    <w:panose1 w:val="00000000000000000000"/>
    <w:charset w:val="80"/>
    <w:family w:val="roman"/>
    <w:pitch w:val="fixed"/>
    <w:sig w:usb0="00000000" w:usb1="00000000" w:usb2="00000000" w:usb3="00000000" w:csb0="00000200" w:csb1="00000000"/>
  </w:font>
  <w:font w:name="Meiryo UI">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- 341 -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oNotTrackFormatting/>
  <w:defaultTabStop w:val="720"/>
  <w:hyphenationZone w:val="0"/>
  <w:doNotHyphenateCaps/>
  <w:defaultTableStyle w:val="45"/>
  <w:drawingGridHorizontalSpacing w:val="225"/>
  <w:drawingGridVerticalSpacing w:val="175"/>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5109</TotalTime>
  <Pages>4</Pages>
  <Words>101</Words>
  <Characters>5069</Characters>
  <Application>JUST Note</Application>
  <Lines>232</Lines>
  <Paragraphs>142</Paragraphs>
  <CharactersWithSpaces>5093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509031</cp:lastModifiedBy>
  <cp:lastPrinted>2024-02-08T05:45:53Z</cp:lastPrinted>
  <dcterms:created xsi:type="dcterms:W3CDTF">2013-01-07T04:42:00Z</dcterms:created>
  <dcterms:modified xsi:type="dcterms:W3CDTF">2024-02-08T10:44:20Z</dcterms:modified>
  <cp:revision>365</cp:revision>
</cp:coreProperties>
</file>