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令和６</w:t>
      </w:r>
      <w:r>
        <w:rPr>
          <w:rFonts w:hint="default" w:ascii="ＭＳ ゴシック" w:hAnsi="ＭＳ ゴシック" w:eastAsia="ＭＳ ゴシック"/>
          <w:sz w:val="24"/>
        </w:rPr>
        <w:t>年</w:t>
      </w:r>
      <w:r>
        <w:rPr>
          <w:rFonts w:hint="default" w:ascii="ＭＳ ゴシック" w:hAnsi="ＭＳ ゴシック" w:eastAsia="ＭＳ ゴシック"/>
          <w:sz w:val="24"/>
        </w:rPr>
        <w:t>○</w:t>
      </w:r>
      <w:r>
        <w:rPr>
          <w:rFonts w:hint="default" w:ascii="ＭＳ ゴシック" w:hAnsi="ＭＳ ゴシック" w:eastAsia="ＭＳ ゴシック"/>
          <w:sz w:val="24"/>
        </w:rPr>
        <w:t>月</w:t>
      </w:r>
      <w:r>
        <w:rPr>
          <w:rFonts w:hint="default" w:ascii="ＭＳ ゴシック" w:hAnsi="ＭＳ ゴシック" w:eastAsia="ＭＳ ゴシック"/>
          <w:sz w:val="24"/>
        </w:rPr>
        <w:t>○</w:t>
      </w:r>
      <w:r>
        <w:rPr>
          <w:rFonts w:hint="default" w:ascii="ＭＳ ゴシック" w:hAnsi="ＭＳ ゴシック" w:eastAsia="ＭＳ ゴシック"/>
          <w:sz w:val="24"/>
        </w:rPr>
        <w:t>日</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高知県</w:t>
      </w:r>
      <w:bookmarkStart w:id="0" w:name="_GoBack"/>
      <w:bookmarkEnd w:id="0"/>
      <w:r>
        <w:rPr>
          <w:rFonts w:hint="eastAsia" w:ascii="ＭＳ ゴシック" w:hAnsi="ＭＳ ゴシック" w:eastAsia="ＭＳ ゴシック"/>
          <w:sz w:val="24"/>
        </w:rPr>
        <w:t>知事　殿</w:t>
      </w:r>
    </w:p>
    <w:p>
      <w:pPr>
        <w:pStyle w:val="0"/>
        <w:rPr>
          <w:rFonts w:hint="default" w:ascii="ＭＳ ゴシック" w:hAnsi="ＭＳ ゴシック" w:eastAsia="ＭＳ ゴシック"/>
          <w:sz w:val="24"/>
        </w:rPr>
      </w:pPr>
    </w:p>
    <w:p>
      <w:pPr>
        <w:pStyle w:val="0"/>
        <w:spacing w:line="300" w:lineRule="auto"/>
        <w:ind w:firstLine="3926" w:firstLineChars="2053"/>
        <w:rPr>
          <w:rFonts w:hint="default" w:ascii="ＭＳ ゴシック" w:hAnsi="ＭＳ ゴシック" w:eastAsia="ＭＳ ゴシック"/>
          <w:sz w:val="24"/>
          <w:u w:val="single" w:color="auto"/>
        </w:rPr>
      </w:pPr>
      <w:r>
        <w:rPr>
          <w:rFonts w:hint="eastAsia" w:ascii="ＭＳ ゴシック" w:hAnsi="ＭＳ ゴシック" w:eastAsia="ＭＳ ゴシック"/>
          <w:w w:val="80"/>
          <w:sz w:val="24"/>
          <w:u w:val="single" w:color="auto"/>
        </w:rPr>
        <w:t>保険医療機関コード</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p>
    <w:p>
      <w:pPr>
        <w:pStyle w:val="0"/>
        <w:spacing w:line="300" w:lineRule="auto"/>
        <w:ind w:firstLine="3960" w:firstLineChars="1650"/>
        <w:rPr>
          <w:rFonts w:hint="default" w:ascii="ＭＳ ゴシック" w:hAnsi="ＭＳ ゴシック" w:eastAsia="ＭＳ ゴシック"/>
          <w:sz w:val="24"/>
          <w:u w:val="single" w:color="auto"/>
        </w:rPr>
      </w:pPr>
      <w:r>
        <w:rPr>
          <w:rFonts w:hint="eastAsia" w:ascii="ＭＳ ゴシック" w:hAnsi="ＭＳ ゴシック" w:eastAsia="ＭＳ ゴシック"/>
          <w:kern w:val="0"/>
          <w:sz w:val="24"/>
          <w:u w:val="single" w:color="auto"/>
          <w:fitText w:val="1680" w:id="1"/>
        </w:rPr>
        <w:t>保険医療機関名</w:t>
      </w:r>
      <w:r>
        <w:rPr>
          <w:rFonts w:hint="eastAsia" w:ascii="ＭＳ ゴシック" w:hAnsi="ＭＳ ゴシック" w:eastAsia="ＭＳ ゴシック"/>
          <w:sz w:val="24"/>
          <w:u w:val="single" w:color="auto"/>
        </w:rPr>
        <w:t>：　　　　　　　　　　　　　</w:t>
      </w:r>
    </w:p>
    <w:p>
      <w:pPr>
        <w:pStyle w:val="0"/>
        <w:spacing w:line="300" w:lineRule="auto"/>
        <w:ind w:firstLine="3965" w:firstLineChars="826"/>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kern w:val="0"/>
          <w:sz w:val="24"/>
          <w:u w:val="single" w:color="auto"/>
          <w:fitText w:val="1680" w:id="2"/>
        </w:rPr>
        <w:t>管理者</w:t>
      </w:r>
      <w:r>
        <w:rPr>
          <w:rFonts w:hint="eastAsia" w:ascii="ＭＳ ゴシック" w:hAnsi="ＭＳ ゴシック" w:eastAsia="ＭＳ ゴシック"/>
          <w:kern w:val="0"/>
          <w:sz w:val="24"/>
          <w:u w:val="single" w:color="auto"/>
          <w:fitText w:val="1680" w:id="2"/>
        </w:rPr>
        <w:t>名</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看護補助者処遇改善事業に係る賃金改善開始（予定）の報告</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看護補助者の処遇改善事業に係る賃金改善の開始について、別紙１又は別紙２を添えて、以下のとおり報告いたします。</w:t>
      </w:r>
    </w:p>
    <w:p>
      <w:pPr>
        <w:pStyle w:val="0"/>
        <w:rPr>
          <w:rFonts w:hint="default" w:ascii="ＭＳ ゴシック" w:hAnsi="ＭＳ ゴシック" w:eastAsia="ＭＳ ゴシック"/>
          <w:sz w:val="24"/>
        </w:rPr>
      </w:pPr>
    </w:p>
    <w:p>
      <w:pPr>
        <w:pStyle w:val="19"/>
        <w:numPr>
          <w:ilvl w:val="0"/>
          <w:numId w:val="1"/>
        </w:numPr>
        <w:ind w:leftChars="0"/>
        <w:rPr>
          <w:rFonts w:hint="default" w:ascii="ＭＳ ゴシック" w:hAnsi="ＭＳ ゴシック" w:eastAsia="ＭＳ ゴシック"/>
          <w:sz w:val="24"/>
        </w:rPr>
      </w:pPr>
      <w:r>
        <w:rPr>
          <w:rFonts w:hint="eastAsia" w:ascii="ＭＳ ゴシック" w:hAnsi="ＭＳ ゴシック" w:eastAsia="ＭＳ ゴシック"/>
          <w:sz w:val="24"/>
        </w:rPr>
        <w:t>対象医療機関であることの申出　　※該当する要件にチェックを入れること</w:t>
      </w:r>
    </w:p>
    <w:p>
      <w:pPr>
        <w:pStyle w:val="0"/>
        <w:spacing w:before="180" w:beforeLines="50" w:beforeAutospacing="0"/>
        <w:ind w:left="600" w:hanging="600" w:hangingChars="250"/>
        <w:rPr>
          <w:rFonts w:hint="default" w:ascii="ＭＳ ゴシック" w:hAnsi="ＭＳ ゴシック" w:eastAsia="ＭＳ ゴシック"/>
          <w:sz w:val="24"/>
        </w:rPr>
      </w:pPr>
      <w:r>
        <w:rPr>
          <w:rFonts w:hint="eastAsia" w:ascii="ＭＳ ゴシック" w:hAnsi="ＭＳ ゴシック" w:eastAsia="ＭＳ ゴシック"/>
          <w:sz w:val="24"/>
        </w:rPr>
        <w:t>　</w:t>
      </w:r>
      <w:sdt>
        <w:sdtPr>
          <w:rPr>
            <w:rFonts w:hint="default" w:ascii="ＭＳ ゴシック" w:hAnsi="ＭＳ ゴシック" w:eastAsia="ＭＳ ゴシック"/>
            <w:sz w:val="24"/>
          </w:rPr>
          <w:id w:val="5720914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令和６年２月１日時点において、別紙１に掲げる診療報酬のいずれかを算定している病院であること。</w:t>
      </w:r>
    </w:p>
    <w:p>
      <w:pPr>
        <w:pStyle w:val="0"/>
        <w:spacing w:before="180" w:beforeLines="50" w:beforeAutospacing="0"/>
        <w:ind w:left="600" w:hanging="600" w:hangingChars="250"/>
        <w:rPr>
          <w:rFonts w:hint="default" w:ascii="ＭＳ ゴシック" w:hAnsi="ＭＳ ゴシック" w:eastAsia="ＭＳ ゴシック"/>
          <w:sz w:val="24"/>
        </w:rPr>
      </w:pPr>
      <w:r>
        <w:rPr>
          <w:rFonts w:hint="eastAsia" w:ascii="ＭＳ ゴシック" w:hAnsi="ＭＳ ゴシック" w:eastAsia="ＭＳ ゴシック"/>
          <w:sz w:val="24"/>
        </w:rPr>
        <w:t>　</w:t>
      </w:r>
      <w:sdt>
        <w:sdtPr>
          <w:rPr>
            <w:rFonts w:hint="default" w:ascii="ＭＳ ゴシック" w:hAnsi="ＭＳ ゴシック" w:eastAsia="ＭＳ ゴシック"/>
            <w:sz w:val="24"/>
          </w:rPr>
          <w:id w:val="188475468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4"/>
            </w:rPr>
            <w:t>☐</w:t>
          </w:r>
        </w:sdtContent>
      </w:sdt>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令和６年２月１日時点において、別紙２に掲げる診療報酬のいずれかを算定している有床診療所であること。</w:t>
      </w:r>
    </w:p>
    <w:p>
      <w:pPr>
        <w:pStyle w:val="0"/>
        <w:snapToGrid w:val="0"/>
        <w:rPr>
          <w:rFonts w:hint="default" w:ascii="ＭＳ ゴシック" w:hAnsi="ＭＳ ゴシック" w:eastAsia="ＭＳ ゴシック"/>
          <w:sz w:val="24"/>
        </w:rPr>
      </w:pPr>
    </w:p>
    <w:p>
      <w:pPr>
        <w:pStyle w:val="19"/>
        <w:numPr>
          <w:ilvl w:val="0"/>
          <w:numId w:val="1"/>
        </w:numPr>
        <w:spacing w:before="180" w:beforeLines="50" w:beforeAutospacing="0"/>
        <w:ind w:leftChars="0"/>
        <w:rPr>
          <w:rFonts w:hint="default" w:ascii="ＭＳ ゴシック" w:hAnsi="ＭＳ ゴシック" w:eastAsia="ＭＳ ゴシック"/>
          <w:sz w:val="24"/>
        </w:rPr>
      </w:pPr>
      <w:r>
        <w:rPr>
          <w:rFonts w:hint="eastAsia" w:ascii="ＭＳ ゴシック" w:hAnsi="ＭＳ ゴシック" w:eastAsia="ＭＳ ゴシック"/>
          <w:sz w:val="24"/>
        </w:rPr>
        <w:t>基本給の引上げ等の開始（予定）時期及び方法に係る報告</w:t>
      </w:r>
    </w:p>
    <w:p>
      <w:pPr>
        <w:pStyle w:val="19"/>
        <w:spacing w:after="72" w:afterLines="20" w:afterAutospacing="0"/>
        <w:ind w:left="357" w:leftChars="0" w:firstLine="360" w:firstLineChars="150"/>
        <w:rPr>
          <w:rFonts w:hint="default" w:ascii="ＭＳ ゴシック" w:hAnsi="ＭＳ ゴシック" w:eastAsia="ＭＳ ゴシック"/>
          <w:sz w:val="24"/>
        </w:rPr>
      </w:pPr>
      <w:r>
        <w:rPr>
          <w:rFonts w:hint="eastAsia" w:ascii="ＭＳ ゴシック" w:hAnsi="ＭＳ ゴシック" w:eastAsia="ＭＳ ゴシック"/>
          <w:sz w:val="24"/>
        </w:rPr>
        <w:t>※該当する項目に「○」を付すこと</w:t>
      </w:r>
    </w:p>
    <w:tbl>
      <w:tblPr>
        <w:tblStyle w:val="23"/>
        <w:tblW w:w="8505" w:type="dxa"/>
        <w:tblInd w:w="421" w:type="dxa"/>
        <w:tblLayout w:type="fixed"/>
        <w:tblLook w:firstRow="1" w:lastRow="0" w:firstColumn="1" w:lastColumn="0" w:noHBand="0" w:noVBand="1" w:val="04A0"/>
      </w:tblPr>
      <w:tblGrid>
        <w:gridCol w:w="2409"/>
        <w:gridCol w:w="2032"/>
        <w:gridCol w:w="2032"/>
        <w:gridCol w:w="2032"/>
      </w:tblGrid>
      <w:tr>
        <w:trPr>
          <w:trHeight w:val="980" w:hRule="atLeast"/>
        </w:trPr>
        <w:tc>
          <w:tcPr>
            <w:tcW w:w="240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napToGrid w:val="0"/>
              <w:spacing w:before="72" w:beforeLines="20" w:beforeAutospacing="0" w:line="200" w:lineRule="exac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基本給の引上げ</w:t>
            </w:r>
          </w:p>
          <w:p>
            <w:pPr>
              <w:pStyle w:val="0"/>
              <w:snapToGrid w:val="0"/>
              <w:spacing w:before="72" w:beforeLines="20" w:beforeAutospacing="0" w:line="200" w:lineRule="exact"/>
              <w:ind w:firstLine="1100" w:firstLineChars="550"/>
              <w:rPr>
                <w:rFonts w:hint="default" w:ascii="ＭＳ ゴシック" w:hAnsi="ＭＳ ゴシック" w:eastAsia="ＭＳ ゴシック"/>
                <w:sz w:val="20"/>
              </w:rPr>
            </w:pPr>
            <w:r>
              <w:rPr>
                <w:rFonts w:hint="eastAsia" w:ascii="ＭＳ ゴシック" w:hAnsi="ＭＳ ゴシック" w:eastAsia="ＭＳ ゴシック"/>
                <w:sz w:val="20"/>
              </w:rPr>
              <w:t>等の開始月</w:t>
            </w:r>
          </w:p>
          <w:p>
            <w:pPr>
              <w:pStyle w:val="0"/>
              <w:snapToGrid w:val="0"/>
              <w:spacing w:before="252" w:beforeLines="70" w:beforeAutospacing="0"/>
              <w:rPr>
                <w:rFonts w:hint="default" w:ascii="ＭＳ ゴシック" w:hAnsi="ＭＳ ゴシック" w:eastAsia="ＭＳ ゴシック"/>
                <w:sz w:val="20"/>
              </w:rPr>
            </w:pPr>
            <w:r>
              <w:rPr>
                <w:rFonts w:hint="eastAsia" w:ascii="ＭＳ ゴシック" w:hAnsi="ＭＳ ゴシック" w:eastAsia="ＭＳ ゴシック"/>
                <w:sz w:val="20"/>
              </w:rPr>
              <w:t>賃金改善の方法</w:t>
            </w:r>
          </w:p>
        </w:tc>
        <w:tc>
          <w:tcPr>
            <w:tcW w:w="2032" w:type="dxa"/>
            <w:vAlign w:val="center"/>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２月</w:t>
            </w:r>
          </w:p>
        </w:tc>
        <w:tc>
          <w:tcPr>
            <w:tcW w:w="2032" w:type="dxa"/>
            <w:vAlign w:val="center"/>
          </w:tcPr>
          <w:p>
            <w:pPr>
              <w:pStyle w:val="0"/>
              <w:snapToGrid w:val="0"/>
              <w:spacing w:before="108" w:beforeLines="30" w:beforeAutospacing="0"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24"/>
              </w:rPr>
              <w:t>３月</w:t>
            </w:r>
            <w:r>
              <w:rPr>
                <w:rFonts w:hint="eastAsia" w:ascii="ＭＳ ゴシック" w:hAnsi="ＭＳ ゴシック" w:eastAsia="ＭＳ ゴシック"/>
                <w:sz w:val="18"/>
              </w:rPr>
              <w:t>（同月までに</w:t>
            </w:r>
          </w:p>
          <w:p>
            <w:pPr>
              <w:pStyle w:val="0"/>
              <w:snapToGrid w:val="0"/>
              <w:spacing w:before="108" w:beforeLines="30" w:beforeAutospacing="0"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２月分の賃金改善分も一時金等で支給）</w:t>
            </w:r>
          </w:p>
        </w:tc>
        <w:tc>
          <w:tcPr>
            <w:tcW w:w="2032" w:type="dxa"/>
            <w:vAlign w:val="center"/>
          </w:tcPr>
          <w:p>
            <w:pPr>
              <w:pStyle w:val="0"/>
              <w:snapToGrid w:val="0"/>
              <w:spacing w:before="108" w:beforeLines="30" w:beforeAutospacing="0" w:line="260" w:lineRule="exact"/>
              <w:jc w:val="center"/>
              <w:rPr>
                <w:rFonts w:hint="default" w:ascii="ＭＳ ゴシック" w:hAnsi="ＭＳ ゴシック" w:eastAsia="ＭＳ ゴシック"/>
                <w:sz w:val="18"/>
              </w:rPr>
            </w:pPr>
            <w:r>
              <w:rPr>
                <w:rFonts w:hint="eastAsia" w:ascii="ＭＳ ゴシック" w:hAnsi="ＭＳ ゴシック" w:eastAsia="ＭＳ ゴシック"/>
                <w:sz w:val="24"/>
              </w:rPr>
              <w:t>４月</w:t>
            </w:r>
            <w:r>
              <w:rPr>
                <w:rFonts w:hint="eastAsia" w:ascii="ＭＳ ゴシック" w:hAnsi="ＭＳ ゴシック" w:eastAsia="ＭＳ ゴシック"/>
                <w:sz w:val="18"/>
              </w:rPr>
              <w:t>（同月までに</w:t>
            </w:r>
          </w:p>
          <w:p>
            <w:pPr>
              <w:pStyle w:val="0"/>
              <w:snapToGrid w:val="0"/>
              <w:spacing w:before="108" w:beforeLines="30" w:beforeAutospacing="0" w:line="260" w:lineRule="exact"/>
              <w:jc w:val="center"/>
              <w:rPr>
                <w:rFonts w:hint="default" w:ascii="ＭＳ ゴシック" w:hAnsi="ＭＳ ゴシック" w:eastAsia="ＭＳ ゴシック"/>
                <w:sz w:val="20"/>
              </w:rPr>
            </w:pPr>
            <w:r>
              <w:rPr>
                <w:rFonts w:hint="eastAsia" w:ascii="ＭＳ ゴシック" w:hAnsi="ＭＳ ゴシック" w:eastAsia="ＭＳ ゴシック"/>
                <w:sz w:val="18"/>
              </w:rPr>
              <w:t>２～３月分の賃金改善分も一時金等で支給）</w:t>
            </w:r>
          </w:p>
        </w:tc>
      </w:tr>
      <w:tr>
        <w:trPr>
          <w:trHeight w:val="752" w:hRule="atLeast"/>
        </w:trPr>
        <w:tc>
          <w:tcPr>
            <w:tcW w:w="2409" w:type="dxa"/>
            <w:vAlign w:val="center"/>
          </w:tcPr>
          <w:p>
            <w:pPr>
              <w:pStyle w:val="0"/>
              <w:snapToGrid w:val="0"/>
              <w:rPr>
                <w:rFonts w:hint="default" w:ascii="ＭＳ ゴシック" w:hAnsi="ＭＳ ゴシック" w:eastAsia="ＭＳ ゴシック"/>
                <w:sz w:val="22"/>
              </w:rPr>
            </w:pPr>
            <w:bookmarkStart w:id="1" w:name="_Hlk153972249"/>
            <w:r>
              <w:rPr>
                <w:rFonts w:hint="eastAsia" w:ascii="ＭＳ ゴシック" w:hAnsi="ＭＳ ゴシック" w:eastAsia="ＭＳ ゴシック"/>
                <w:sz w:val="22"/>
              </w:rPr>
              <w:t>基本給の引上げ</w:t>
            </w:r>
            <w:bookmarkEnd w:id="1"/>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r>
      <w:tr>
        <w:trPr>
          <w:trHeight w:val="752" w:hRule="atLeast"/>
        </w:trPr>
        <w:tc>
          <w:tcPr>
            <w:tcW w:w="2409" w:type="dxa"/>
            <w:vAlign w:val="center"/>
          </w:tcPr>
          <w:p>
            <w:pPr>
              <w:pStyle w:val="0"/>
              <w:snapToGrid w:val="0"/>
              <w:rPr>
                <w:rFonts w:hint="default" w:ascii="ＭＳ ゴシック" w:hAnsi="ＭＳ ゴシック" w:eastAsia="ＭＳ ゴシック"/>
                <w:sz w:val="22"/>
              </w:rPr>
            </w:pPr>
            <w:r>
              <w:rPr>
                <w:rFonts w:hint="eastAsia" w:ascii="ＭＳ ゴシック" w:hAnsi="ＭＳ ゴシック" w:eastAsia="ＭＳ ゴシック"/>
                <w:sz w:val="22"/>
              </w:rPr>
              <w:t>決まって毎月支払われる手当の引上げ</w:t>
            </w:r>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c>
          <w:tcPr>
            <w:tcW w:w="2032" w:type="dxa"/>
            <w:vAlign w:val="center"/>
          </w:tcPr>
          <w:p>
            <w:pPr>
              <w:pStyle w:val="0"/>
              <w:spacing w:before="108" w:beforeLines="30" w:beforeAutospacing="0"/>
              <w:jc w:val="center"/>
              <w:rPr>
                <w:rFonts w:hint="default" w:ascii="ＭＳ ゴシック" w:hAnsi="ＭＳ ゴシック" w:eastAsia="ＭＳ ゴシック"/>
                <w:sz w:val="24"/>
              </w:rPr>
            </w:pPr>
          </w:p>
        </w:tc>
      </w:tr>
    </w:tbl>
    <w:p>
      <w:pPr>
        <w:pStyle w:val="0"/>
        <w:spacing w:before="108" w:beforeLines="30" w:beforeAutospacing="0"/>
        <w:ind w:left="566" w:leftChars="67" w:hanging="425" w:hangingChars="177"/>
        <w:rPr>
          <w:rFonts w:hint="default" w:ascii="ＭＳ ゴシック" w:hAnsi="ＭＳ ゴシック" w:eastAsia="ＭＳ ゴシック"/>
        </w:rPr>
      </w:pPr>
      <w:r>
        <w:rPr>
          <w:rFonts w:hint="eastAsia" w:ascii="ＭＳ ゴシック" w:hAnsi="ＭＳ ゴシック" w:eastAsia="ＭＳ ゴシック"/>
          <w:sz w:val="24"/>
        </w:rPr>
        <w:t>　</w:t>
      </w:r>
      <w:r>
        <w:rPr>
          <w:rFonts w:hint="eastAsia" w:ascii="ＭＳ ゴシック" w:hAnsi="ＭＳ ゴシック" w:eastAsia="ＭＳ ゴシック"/>
        </w:rPr>
        <w:t>※就業規則の変更に時間を要する等により、３月以降に基本給の引上げ等を行う場合には、２月分から基本給の引上げ等を開始する月の前月分までの賃金改善分は当該開始月までに一時金等により支給すること。</w:t>
      </w:r>
    </w:p>
    <w:p>
      <w:pPr>
        <w:pStyle w:val="0"/>
        <w:spacing w:before="108" w:beforeLines="30" w:beforeAutospacing="0" w:line="20" w:lineRule="exact"/>
        <w:rPr>
          <w:rFonts w:hint="default" w:ascii="ＭＳ ゴシック" w:hAnsi="ＭＳ ゴシック" w:eastAsia="ＭＳ ゴシック"/>
          <w:sz w:val="2"/>
        </w:rPr>
      </w:pPr>
    </w:p>
    <w:p>
      <w:pPr>
        <w:pStyle w:val="0"/>
        <w:spacing w:line="300" w:lineRule="auto"/>
        <w:ind w:firstLine="4255" w:firstLineChars="1576"/>
        <w:rPr>
          <w:rFonts w:hint="default" w:ascii="ＭＳ ゴシック" w:hAnsi="ＭＳ ゴシック" w:eastAsia="ＭＳ ゴシック"/>
          <w:sz w:val="24"/>
          <w:u w:val="single" w:color="auto"/>
        </w:rPr>
      </w:pPr>
      <w:r>
        <w:rPr>
          <w:rFonts w:hint="eastAsia" w:ascii="ＭＳ ゴシック" w:hAnsi="ＭＳ ゴシック" w:eastAsia="ＭＳ ゴシック"/>
          <w:spacing w:val="24"/>
          <w:kern w:val="0"/>
          <w:sz w:val="24"/>
          <w:u w:val="single" w:color="auto"/>
          <w:fitText w:val="1680" w:id="3"/>
        </w:rPr>
        <w:t>事務担当者</w:t>
      </w:r>
      <w:r>
        <w:rPr>
          <w:rFonts w:hint="eastAsia" w:ascii="ＭＳ ゴシック" w:hAnsi="ＭＳ ゴシック" w:eastAsia="ＭＳ ゴシック"/>
          <w:spacing w:val="45"/>
          <w:kern w:val="0"/>
          <w:sz w:val="24"/>
          <w:u w:val="single" w:color="auto"/>
          <w:fitText w:val="1680" w:id="3"/>
        </w:rPr>
        <w:t>名</w:t>
      </w:r>
      <w:r>
        <w:rPr>
          <w:rFonts w:hint="eastAsia" w:ascii="ＭＳ ゴシック" w:hAnsi="ＭＳ ゴシック" w:eastAsia="ＭＳ ゴシック"/>
          <w:sz w:val="24"/>
          <w:u w:val="single" w:color="auto"/>
        </w:rPr>
        <w:t>：　　　　　　　　　　　　</w:t>
      </w:r>
    </w:p>
    <w:p>
      <w:pPr>
        <w:pStyle w:val="0"/>
        <w:spacing w:line="300" w:lineRule="auto"/>
        <w:ind w:firstLine="4253" w:firstLineChars="886"/>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kern w:val="0"/>
          <w:sz w:val="24"/>
          <w:u w:val="single" w:color="auto"/>
          <w:fitText w:val="1680" w:id="4"/>
        </w:rPr>
        <w:t>電話番</w:t>
      </w:r>
      <w:r>
        <w:rPr>
          <w:rFonts w:hint="eastAsia" w:ascii="ＭＳ ゴシック" w:hAnsi="ＭＳ ゴシック" w:eastAsia="ＭＳ ゴシック"/>
          <w:kern w:val="0"/>
          <w:sz w:val="24"/>
          <w:u w:val="single" w:color="auto"/>
          <w:fitText w:val="1680" w:id="4"/>
        </w:rPr>
        <w:t>号</w:t>
      </w:r>
      <w:r>
        <w:rPr>
          <w:rFonts w:hint="eastAsia" w:ascii="ＭＳ ゴシック" w:hAnsi="ＭＳ ゴシック" w:eastAsia="ＭＳ ゴシック"/>
          <w:sz w:val="24"/>
          <w:u w:val="single" w:color="auto"/>
        </w:rPr>
        <w:t>：　　　　　　　　　　　　</w:t>
      </w:r>
    </w:p>
    <w:p>
      <w:pPr>
        <w:pStyle w:val="0"/>
        <w:spacing w:line="300" w:lineRule="auto"/>
        <w:ind w:firstLine="4253" w:firstLineChars="1772"/>
        <w:rPr>
          <w:rFonts w:hint="default" w:ascii="ＭＳ ゴシック" w:hAnsi="ＭＳ ゴシック" w:eastAsia="ＭＳ ゴシック"/>
          <w:sz w:val="24"/>
          <w:u w:val="single" w:color="auto"/>
        </w:rPr>
        <w:sectPr>
          <w:headerReference r:id="rId7" w:type="even"/>
          <w:headerReference r:id="rId8" w:type="default"/>
          <w:footerReference r:id="rId10" w:type="even"/>
          <w:footerReference r:id="rId11" w:type="default"/>
          <w:headerReference r:id="rId6" w:type="first"/>
          <w:footerReference r:id="rId9" w:type="first"/>
          <w:pgSz w:w="11906" w:h="16838"/>
          <w:pgMar w:top="1560" w:right="1418" w:bottom="1276" w:left="1418" w:header="851" w:footer="992" w:gutter="0"/>
          <w:cols w:space="720"/>
          <w:titlePg w:val="1"/>
          <w:textDirection w:val="lrTb"/>
          <w:docGrid w:type="lines" w:linePitch="360"/>
        </w:sectPr>
      </w:pPr>
      <w:r>
        <w:rPr>
          <w:rFonts w:hint="eastAsia" w:ascii="ＭＳ ゴシック" w:hAnsi="ＭＳ ゴシック" w:eastAsia="ＭＳ ゴシック"/>
          <w:sz w:val="24"/>
          <w:u w:val="single" w:color="auto"/>
        </w:rPr>
        <w:t>メールアドレス：　　　　　　　　　　　　</w:t>
      </w:r>
    </w:p>
    <w:p>
      <w:pPr>
        <w:pStyle w:val="0"/>
        <w:spacing w:line="120" w:lineRule="auto"/>
        <w:ind w:firstLine="3926" w:firstLineChars="2053"/>
        <w:rPr>
          <w:rFonts w:hint="default" w:ascii="ＭＳ ゴシック" w:hAnsi="ＭＳ ゴシック" w:eastAsia="ＭＳ ゴシック"/>
          <w:sz w:val="24"/>
          <w:u w:val="single" w:color="auto"/>
        </w:rPr>
      </w:pPr>
      <w:r>
        <w:rPr>
          <w:rFonts w:hint="eastAsia" w:ascii="ＭＳ ゴシック" w:hAnsi="ＭＳ ゴシック" w:eastAsia="ＭＳ ゴシック"/>
          <w:w w:val="80"/>
          <w:sz w:val="24"/>
          <w:u w:val="single" w:color="auto"/>
        </w:rPr>
        <w:t>保険医療機関コード</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p>
    <w:p>
      <w:pPr>
        <w:pStyle w:val="0"/>
        <w:spacing w:line="120" w:lineRule="auto"/>
        <w:ind w:firstLine="3960" w:firstLineChars="1650"/>
        <w:rPr>
          <w:rFonts w:hint="default" w:ascii="ＭＳ ゴシック" w:hAnsi="ＭＳ ゴシック" w:eastAsia="ＭＳ ゴシック"/>
          <w:sz w:val="24"/>
          <w:u w:val="single" w:color="auto"/>
        </w:rPr>
      </w:pPr>
      <w:r>
        <w:rPr>
          <w:rFonts w:hint="eastAsia" w:ascii="ＭＳ ゴシック" w:hAnsi="ＭＳ ゴシック" w:eastAsia="ＭＳ ゴシック"/>
          <w:kern w:val="0"/>
          <w:sz w:val="24"/>
          <w:u w:val="single" w:color="auto"/>
          <w:fitText w:val="1680" w:id="5"/>
        </w:rPr>
        <w:t>保険医療機関名</w:t>
      </w:r>
      <w:r>
        <w:rPr>
          <w:rFonts w:hint="eastAsia" w:ascii="ＭＳ ゴシック" w:hAnsi="ＭＳ ゴシック" w:eastAsia="ＭＳ ゴシック"/>
          <w:sz w:val="24"/>
          <w:u w:val="single" w:color="auto"/>
        </w:rPr>
        <w:t>：　　　　　　　　　　　　　</w:t>
      </w:r>
    </w:p>
    <w:p>
      <w:pPr>
        <w:pStyle w:val="0"/>
        <w:spacing w:line="120" w:lineRule="auto"/>
        <w:ind w:firstLine="3965" w:firstLineChars="826"/>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kern w:val="0"/>
          <w:sz w:val="24"/>
          <w:u w:val="single" w:color="auto"/>
          <w:fitText w:val="1680" w:id="6"/>
        </w:rPr>
        <w:t>管理者</w:t>
      </w:r>
      <w:r>
        <w:rPr>
          <w:rFonts w:hint="eastAsia" w:ascii="ＭＳ ゴシック" w:hAnsi="ＭＳ ゴシック" w:eastAsia="ＭＳ ゴシック"/>
          <w:kern w:val="0"/>
          <w:sz w:val="24"/>
          <w:u w:val="single" w:color="auto"/>
          <w:fitText w:val="1680" w:id="6"/>
        </w:rPr>
        <w:t>名</w:t>
      </w:r>
      <w:r>
        <w:rPr>
          <w:rFonts w:hint="eastAsia" w:ascii="ＭＳ ゴシック" w:hAnsi="ＭＳ ゴシック" w:eastAsia="ＭＳ ゴシック"/>
          <w:sz w:val="24"/>
          <w:u w:val="single" w:color="auto"/>
        </w:rPr>
        <w:t>：　　　　　　　　　　　　　</w:t>
      </w:r>
    </w:p>
    <w:p>
      <w:pPr>
        <w:pStyle w:val="0"/>
        <w:jc w:val="center"/>
        <w:rPr>
          <w:rFonts w:hint="default" w:ascii="ＭＳ ゴシック" w:hAnsi="ＭＳ ゴシック" w:eastAsia="ＭＳ ゴシック"/>
          <w:b w:val="1"/>
          <w:sz w:val="24"/>
        </w:rPr>
      </w:pPr>
    </w:p>
    <w:p>
      <w:pPr>
        <w:pStyle w:val="0"/>
        <w:spacing w:line="60" w:lineRule="auto"/>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看護補助者の配置を要件とする診療報酬項目（病院）</w:t>
      </w:r>
    </w:p>
    <w:p>
      <w:pPr>
        <w:pStyle w:val="19"/>
        <w:numPr>
          <w:ilvl w:val="0"/>
          <w:numId w:val="2"/>
        </w:numPr>
        <w:spacing w:line="60" w:lineRule="auto"/>
        <w:ind w:leftChars="0"/>
        <w:rPr>
          <w:rFonts w:hint="default" w:ascii="ＭＳ ゴシック" w:hAnsi="ＭＳ ゴシック" w:eastAsia="ＭＳ ゴシック"/>
          <w:sz w:val="24"/>
        </w:rPr>
      </w:pPr>
      <w:r>
        <w:rPr>
          <w:rFonts w:hint="eastAsia" w:ascii="ＭＳ ゴシック" w:hAnsi="ＭＳ ゴシック" w:eastAsia="ＭＳ ゴシック"/>
          <w:sz w:val="24"/>
        </w:rPr>
        <w:t>令和６年２月１日時点で算定している項目のチェック欄に「○」を付すこと。</w:t>
      </w:r>
    </w:p>
    <w:tbl>
      <w:tblPr>
        <w:tblStyle w:val="11"/>
        <w:tblW w:w="9346" w:type="dxa"/>
        <w:tblInd w:w="0" w:type="dxa"/>
        <w:tblLayout w:type="fixed"/>
        <w:tblCellMar>
          <w:left w:w="99" w:type="dxa"/>
          <w:right w:w="99" w:type="dxa"/>
        </w:tblCellMar>
        <w:tblLook w:firstRow="1" w:lastRow="0" w:firstColumn="1" w:lastColumn="0" w:noHBand="0" w:noVBand="1" w:val="04A0"/>
      </w:tblPr>
      <w:tblGrid>
        <w:gridCol w:w="804"/>
        <w:gridCol w:w="7266"/>
        <w:gridCol w:w="1276"/>
      </w:tblGrid>
      <w:tr>
        <w:trPr>
          <w:trHeight w:val="510" w:hRule="exac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項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チェック</w:t>
            </w: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A101 </w:t>
            </w:r>
            <w:r>
              <w:rPr>
                <w:rFonts w:hint="eastAsia" w:ascii="ＭＳ ゴシック" w:hAnsi="ＭＳ ゴシック" w:eastAsia="ＭＳ ゴシック"/>
                <w:color w:val="000000"/>
                <w:kern w:val="0"/>
                <w:sz w:val="24"/>
              </w:rPr>
              <w:t>療養病棟入院基本料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A306 </w:t>
            </w:r>
            <w:r>
              <w:rPr>
                <w:rFonts w:hint="eastAsia" w:ascii="ＭＳ ゴシック" w:hAnsi="ＭＳ ゴシック" w:eastAsia="ＭＳ ゴシック"/>
                <w:color w:val="000000"/>
                <w:kern w:val="0"/>
                <w:sz w:val="24"/>
              </w:rPr>
              <w:t>特殊疾患入院医療管理料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A308 </w:t>
            </w:r>
            <w:r>
              <w:rPr>
                <w:rFonts w:hint="eastAsia" w:ascii="ＭＳ ゴシック" w:hAnsi="ＭＳ ゴシック" w:eastAsia="ＭＳ ゴシック"/>
                <w:color w:val="000000"/>
                <w:kern w:val="0"/>
                <w:sz w:val="24"/>
              </w:rPr>
              <w:t>回復期リハビリテーション病棟入院料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A309 </w:t>
            </w:r>
            <w:r>
              <w:rPr>
                <w:rFonts w:hint="eastAsia" w:ascii="ＭＳ ゴシック" w:hAnsi="ＭＳ ゴシック" w:eastAsia="ＭＳ ゴシック"/>
                <w:color w:val="000000"/>
                <w:kern w:val="0"/>
                <w:sz w:val="24"/>
              </w:rPr>
              <w:t>特殊疾患病棟入院料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A311-2 </w:t>
            </w:r>
            <w:r>
              <w:rPr>
                <w:rFonts w:hint="eastAsia" w:ascii="ＭＳ ゴシック" w:hAnsi="ＭＳ ゴシック" w:eastAsia="ＭＳ ゴシック"/>
                <w:color w:val="000000"/>
                <w:kern w:val="0"/>
                <w:sz w:val="24"/>
              </w:rPr>
              <w:t>精神科急性期治療病棟入院料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A312 </w:t>
            </w:r>
            <w:r>
              <w:rPr>
                <w:rFonts w:hint="eastAsia" w:ascii="ＭＳ ゴシック" w:hAnsi="ＭＳ ゴシック" w:eastAsia="ＭＳ ゴシック"/>
                <w:color w:val="000000"/>
                <w:kern w:val="0"/>
                <w:sz w:val="24"/>
              </w:rPr>
              <w:t>精神療養病棟入院料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A314 </w:t>
            </w:r>
            <w:r>
              <w:rPr>
                <w:rFonts w:hint="eastAsia" w:ascii="ＭＳ ゴシック" w:hAnsi="ＭＳ ゴシック" w:eastAsia="ＭＳ ゴシック"/>
                <w:color w:val="000000"/>
                <w:kern w:val="0"/>
                <w:sz w:val="24"/>
              </w:rPr>
              <w:t>認知症治療病棟入院料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A318 </w:t>
            </w:r>
            <w:r>
              <w:rPr>
                <w:rFonts w:hint="eastAsia" w:ascii="ＭＳ ゴシック" w:hAnsi="ＭＳ ゴシック" w:eastAsia="ＭＳ ゴシック"/>
                <w:color w:val="000000"/>
                <w:kern w:val="0"/>
                <w:sz w:val="24"/>
              </w:rPr>
              <w:t>地域移行機能強化病棟入院料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A319 </w:t>
            </w:r>
            <w:r>
              <w:rPr>
                <w:rFonts w:hint="eastAsia" w:ascii="ＭＳ ゴシック" w:hAnsi="ＭＳ ゴシック" w:eastAsia="ＭＳ ゴシック"/>
                <w:color w:val="000000"/>
                <w:kern w:val="0"/>
                <w:sz w:val="24"/>
              </w:rPr>
              <w:t>特定機能病院リハビリテーション病棟入院料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A207-3</w:t>
            </w:r>
            <w:r>
              <w:rPr>
                <w:rFonts w:hint="eastAsia" w:ascii="ＭＳ ゴシック" w:hAnsi="ＭＳ ゴシック" w:eastAsia="ＭＳ ゴシック"/>
                <w:color w:val="000000"/>
                <w:kern w:val="0"/>
                <w:sz w:val="24"/>
              </w:rPr>
              <w:t>急性期看護補助体制加算</w:t>
            </w:r>
          </w:p>
        </w:tc>
        <w:tc>
          <w:tcPr>
            <w:tcW w:w="1276" w:type="dxa"/>
            <w:tcBorders>
              <w:top w:val="nil"/>
              <w:left w:val="single" w:color="auto" w:sz="4" w:space="0"/>
              <w:bottom w:val="nil"/>
              <w:right w:val="single" w:color="auto" w:sz="4" w:space="0"/>
              <w:tl2br w:val="none" w:color="auto" w:sz="0" w:space="0"/>
              <w:tr2bl w:val="single" w:color="auto" w:sz="4"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25</w:t>
            </w:r>
            <w:r>
              <w:rPr>
                <w:rFonts w:hint="eastAsia" w:ascii="ＭＳ ゴシック" w:hAnsi="ＭＳ ゴシック" w:eastAsia="ＭＳ ゴシック"/>
                <w:color w:val="000000"/>
                <w:kern w:val="0"/>
                <w:sz w:val="24"/>
              </w:rPr>
              <w:t>対１急性期看護補助体制加算（看護補助者５割以上）</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25</w:t>
            </w:r>
            <w:r>
              <w:rPr>
                <w:rFonts w:hint="eastAsia" w:ascii="ＭＳ ゴシック" w:hAnsi="ＭＳ ゴシック" w:eastAsia="ＭＳ ゴシック"/>
                <w:color w:val="000000"/>
                <w:kern w:val="0"/>
                <w:sz w:val="24"/>
              </w:rPr>
              <w:t>対１急性期看護補助体制加算（看護補助者５割未満）</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50</w:t>
            </w:r>
            <w:r>
              <w:rPr>
                <w:rFonts w:hint="eastAsia" w:ascii="ＭＳ ゴシック" w:hAnsi="ＭＳ ゴシック" w:eastAsia="ＭＳ ゴシック"/>
                <w:color w:val="000000"/>
                <w:kern w:val="0"/>
                <w:sz w:val="24"/>
              </w:rPr>
              <w:t>対１急性期看護補助体制加算</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75</w:t>
            </w:r>
            <w:r>
              <w:rPr>
                <w:rFonts w:hint="eastAsia" w:ascii="ＭＳ ゴシック" w:hAnsi="ＭＳ ゴシック" w:eastAsia="ＭＳ ゴシック"/>
                <w:color w:val="000000"/>
                <w:kern w:val="0"/>
                <w:sz w:val="24"/>
              </w:rPr>
              <w:t>対１急性期看護補助体制加算</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A211</w:t>
            </w:r>
            <w:r>
              <w:rPr>
                <w:rFonts w:hint="eastAsia" w:ascii="ＭＳ ゴシック" w:hAnsi="ＭＳ ゴシック" w:eastAsia="ＭＳ ゴシック"/>
                <w:color w:val="000000"/>
                <w:kern w:val="0"/>
                <w:sz w:val="24"/>
              </w:rPr>
              <w:t>特殊疾患入院施設管理加算</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A214</w:t>
            </w:r>
            <w:r>
              <w:rPr>
                <w:rFonts w:hint="eastAsia" w:ascii="ＭＳ ゴシック" w:hAnsi="ＭＳ ゴシック" w:eastAsia="ＭＳ ゴシック"/>
                <w:color w:val="000000"/>
                <w:kern w:val="0"/>
                <w:sz w:val="24"/>
              </w:rPr>
              <w:t>看護補助加算</w:t>
            </w:r>
          </w:p>
        </w:tc>
        <w:tc>
          <w:tcPr>
            <w:tcW w:w="1276" w:type="dxa"/>
            <w:tcBorders>
              <w:top w:val="nil"/>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看護補助加算１</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看護補助加算２</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2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看護補助加算３</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ind w:left="240" w:hanging="240" w:hanging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A106</w:t>
            </w:r>
            <w:r>
              <w:rPr>
                <w:rFonts w:hint="eastAsia" w:ascii="ＭＳ ゴシック" w:hAnsi="ＭＳ ゴシック" w:eastAsia="ＭＳ ゴシック"/>
                <w:color w:val="000000"/>
                <w:kern w:val="0"/>
                <w:sz w:val="24"/>
              </w:rPr>
              <w:t>障害者施設等入院基本料の「注９」に規定する看護補助加算又は看護補助体制充実加算</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atLeast"/>
        </w:trPr>
        <w:tc>
          <w:tcPr>
            <w:tcW w:w="8070" w:type="dxa"/>
            <w:gridSpan w:val="2"/>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napToGrid w:val="0"/>
              <w:ind w:left="240" w:hanging="240" w:hanging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A308-3</w:t>
            </w:r>
            <w:r>
              <w:rPr>
                <w:rFonts w:hint="eastAsia" w:ascii="ＭＳ ゴシック" w:hAnsi="ＭＳ ゴシック" w:eastAsia="ＭＳ ゴシック"/>
                <w:color w:val="000000"/>
                <w:kern w:val="0"/>
                <w:sz w:val="24"/>
              </w:rPr>
              <w:t>地域包括ケア病棟入院料の「注４」に規定する看護補助者配置加算又は看護補助体制充実加算</w:t>
            </w:r>
          </w:p>
        </w:tc>
        <w:tc>
          <w:tcPr>
            <w:tcW w:w="127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bl>
    <w:p>
      <w:pPr>
        <w:rPr>
          <w:rFonts w:hint="default" w:ascii="ＭＳ ゴシック" w:hAnsi="ＭＳ ゴシック" w:eastAsia="ＭＳ ゴシック"/>
          <w:sz w:val="24"/>
        </w:rPr>
        <w:sectPr>
          <w:headerReference r:id="rId12" w:type="first"/>
          <w:pgSz w:w="11906" w:h="16838"/>
          <w:pgMar w:top="1560" w:right="1418" w:bottom="1276" w:left="1418" w:header="851" w:footer="992" w:gutter="0"/>
          <w:cols w:space="720"/>
          <w:titlePg w:val="1"/>
          <w:textDirection w:val="lrTb"/>
          <w:docGrid w:type="lines" w:linePitch="360"/>
        </w:sectPr>
      </w:pPr>
    </w:p>
    <w:p>
      <w:pPr>
        <w:pStyle w:val="0"/>
        <w:spacing w:line="300" w:lineRule="auto"/>
        <w:ind w:firstLine="3926" w:firstLineChars="2053"/>
        <w:rPr>
          <w:rFonts w:hint="default" w:ascii="ＭＳ ゴシック" w:hAnsi="ＭＳ ゴシック" w:eastAsia="ＭＳ ゴシック"/>
          <w:sz w:val="24"/>
          <w:u w:val="single" w:color="auto"/>
        </w:rPr>
      </w:pPr>
      <w:r>
        <w:rPr>
          <w:rFonts w:hint="eastAsia" w:ascii="ＭＳ ゴシック" w:hAnsi="ＭＳ ゴシック" w:eastAsia="ＭＳ ゴシック"/>
          <w:w w:val="80"/>
          <w:sz w:val="24"/>
          <w:u w:val="single" w:color="auto"/>
        </w:rPr>
        <w:t>保険医療機関コード</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r>
        <w:rPr>
          <w:rFonts w:hint="default"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xml:space="preserve"> </w:t>
      </w:r>
    </w:p>
    <w:p>
      <w:pPr>
        <w:pStyle w:val="0"/>
        <w:spacing w:line="300" w:lineRule="auto"/>
        <w:ind w:firstLine="3960" w:firstLineChars="1650"/>
        <w:rPr>
          <w:rFonts w:hint="default" w:ascii="ＭＳ ゴシック" w:hAnsi="ＭＳ ゴシック" w:eastAsia="ＭＳ ゴシック"/>
          <w:sz w:val="24"/>
          <w:u w:val="single" w:color="auto"/>
        </w:rPr>
      </w:pPr>
      <w:r>
        <w:rPr>
          <w:rFonts w:hint="eastAsia" w:ascii="ＭＳ ゴシック" w:hAnsi="ＭＳ ゴシック" w:eastAsia="ＭＳ ゴシック"/>
          <w:kern w:val="0"/>
          <w:sz w:val="24"/>
          <w:u w:val="single" w:color="auto"/>
          <w:fitText w:val="1680" w:id="7"/>
        </w:rPr>
        <w:t>保険医療機関名</w:t>
      </w:r>
      <w:r>
        <w:rPr>
          <w:rFonts w:hint="eastAsia" w:ascii="ＭＳ ゴシック" w:hAnsi="ＭＳ ゴシック" w:eastAsia="ＭＳ ゴシック"/>
          <w:sz w:val="24"/>
          <w:u w:val="single" w:color="auto"/>
        </w:rPr>
        <w:t>：　　　　　　　　　　　　　</w:t>
      </w:r>
    </w:p>
    <w:p>
      <w:pPr>
        <w:pStyle w:val="0"/>
        <w:spacing w:line="300" w:lineRule="auto"/>
        <w:ind w:firstLine="3965" w:firstLineChars="826"/>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kern w:val="0"/>
          <w:sz w:val="24"/>
          <w:u w:val="single" w:color="auto"/>
          <w:fitText w:val="1680" w:id="8"/>
        </w:rPr>
        <w:t>管理者</w:t>
      </w:r>
      <w:r>
        <w:rPr>
          <w:rFonts w:hint="eastAsia" w:ascii="ＭＳ ゴシック" w:hAnsi="ＭＳ ゴシック" w:eastAsia="ＭＳ ゴシック"/>
          <w:kern w:val="0"/>
          <w:sz w:val="24"/>
          <w:u w:val="single" w:color="auto"/>
          <w:fitText w:val="1680" w:id="8"/>
        </w:rPr>
        <w:t>名</w:t>
      </w:r>
      <w:r>
        <w:rPr>
          <w:rFonts w:hint="eastAsia"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看護補助者の配置を要件とする診療報酬項目（有床診療所）</w:t>
      </w:r>
    </w:p>
    <w:p>
      <w:pPr>
        <w:pStyle w:val="0"/>
        <w:jc w:val="center"/>
        <w:rPr>
          <w:rFonts w:hint="default" w:ascii="ＭＳ ゴシック" w:hAnsi="ＭＳ ゴシック" w:eastAsia="ＭＳ ゴシック"/>
          <w:b w:val="1"/>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令和６年２月１日時点で算定している項目のチェック欄に「○」を付すこと。</w:t>
      </w:r>
    </w:p>
    <w:tbl>
      <w:tblPr>
        <w:tblStyle w:val="11"/>
        <w:tblW w:w="9204" w:type="dxa"/>
        <w:tblInd w:w="0" w:type="dxa"/>
        <w:tblLayout w:type="fixed"/>
        <w:tblCellMar>
          <w:left w:w="99" w:type="dxa"/>
          <w:right w:w="99" w:type="dxa"/>
        </w:tblCellMar>
        <w:tblLook w:firstRow="1" w:lastRow="0" w:firstColumn="1" w:lastColumn="0" w:noHBand="0" w:noVBand="1" w:val="04A0"/>
      </w:tblPr>
      <w:tblGrid>
        <w:gridCol w:w="841"/>
        <w:gridCol w:w="7087"/>
        <w:gridCol w:w="1276"/>
      </w:tblGrid>
      <w:tr>
        <w:trPr>
          <w:trHeight w:val="510" w:hRule="exact"/>
        </w:trPr>
        <w:tc>
          <w:tcPr>
            <w:tcW w:w="7928"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項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チェック</w:t>
            </w:r>
          </w:p>
        </w:tc>
      </w:tr>
      <w:tr>
        <w:trPr>
          <w:trHeight w:val="510" w:hRule="exact"/>
        </w:trPr>
        <w:tc>
          <w:tcPr>
            <w:tcW w:w="7928"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A109 </w:t>
            </w:r>
            <w:r>
              <w:rPr>
                <w:rFonts w:hint="eastAsia" w:ascii="ＭＳ ゴシック" w:hAnsi="ＭＳ ゴシック" w:eastAsia="ＭＳ ゴシック"/>
                <w:color w:val="000000"/>
                <w:kern w:val="0"/>
                <w:sz w:val="24"/>
              </w:rPr>
              <w:t>有床診療所療養病床入院基本料</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exact"/>
        </w:trPr>
        <w:tc>
          <w:tcPr>
            <w:tcW w:w="7928" w:type="dxa"/>
            <w:gridSpan w:val="2"/>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xml:space="preserve">A108 </w:t>
            </w:r>
            <w:r>
              <w:rPr>
                <w:rFonts w:hint="eastAsia" w:ascii="ＭＳ ゴシック" w:hAnsi="ＭＳ ゴシック" w:eastAsia="ＭＳ ゴシック"/>
                <w:color w:val="000000"/>
                <w:kern w:val="0"/>
                <w:sz w:val="24"/>
              </w:rPr>
              <w:t>有床診療所入院基本料の「注６」に規定する看護補助配置加算</w:t>
            </w:r>
          </w:p>
        </w:tc>
        <w:tc>
          <w:tcPr>
            <w:tcW w:w="1276" w:type="dxa"/>
            <w:tcBorders>
              <w:top w:val="nil"/>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exact"/>
        </w:trPr>
        <w:tc>
          <w:tcPr>
            <w:tcW w:w="841" w:type="dxa"/>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0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看護補助配置加算１</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r>
        <w:trPr>
          <w:trHeight w:val="510" w:hRule="exact"/>
        </w:trPr>
        <w:tc>
          <w:tcPr>
            <w:tcW w:w="841"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napToGrid w:val="0"/>
              <w:ind w:firstLine="240" w:firstLineChars="10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w:t>
            </w:r>
          </w:p>
        </w:tc>
        <w:tc>
          <w:tcPr>
            <w:tcW w:w="7087"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napToGrid w:val="0"/>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看護補助配置加算２</w:t>
            </w:r>
          </w:p>
        </w:tc>
        <w:tc>
          <w:tcPr>
            <w:tcW w:w="1276"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napToGrid w:val="0"/>
              <w:jc w:val="center"/>
              <w:rPr>
                <w:rFonts w:hint="default" w:ascii="ＭＳ ゴシック" w:hAnsi="ＭＳ ゴシック" w:eastAsia="ＭＳ ゴシック"/>
                <w:color w:val="000000"/>
                <w:kern w:val="0"/>
                <w:sz w:val="24"/>
              </w:rPr>
            </w:pPr>
          </w:p>
        </w:tc>
      </w:tr>
    </w:tbl>
    <w:p>
      <w:pPr>
        <w:pStyle w:val="0"/>
        <w:rPr>
          <w:rFonts w:hint="default" w:ascii="ＭＳ ゴシック" w:hAnsi="ＭＳ ゴシック" w:eastAsia="ＭＳ ゴシック"/>
          <w:sz w:val="24"/>
        </w:rPr>
      </w:pPr>
    </w:p>
    <w:sectPr>
      <w:pgSz w:w="11906" w:h="16838"/>
      <w:pgMar w:top="1560" w:right="1418" w:bottom="1276"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4"/>
      </w:rPr>
    </w:pPr>
    <w:r>
      <w:rPr>
        <w:rFonts w:hint="eastAsia" w:ascii="ＭＳ ゴシック" w:hAnsi="ＭＳ ゴシック" w:eastAsia="ＭＳ ゴシック"/>
        <w:sz w:val="24"/>
      </w:rPr>
      <w:t>別紙２</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ゴシック" w:hAnsi="ＭＳ ゴシック" w:eastAsia="ＭＳ ゴシック"/>
        <w:sz w:val="24"/>
      </w:rPr>
      <w:t>別紙１</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E96515A"/>
    <w:lvl w:ilvl="0" w:tplc="75B06A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A5A530E"/>
    <w:lvl w:ilvl="0" w:tplc="5664A934">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Revision"/>
    <w:next w:val="20"/>
    <w:link w:val="0"/>
    <w:uiPriority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3</Pages>
  <Words>20</Words>
  <Characters>1137</Characters>
  <Application>JUST Note</Application>
  <Lines>128</Lines>
  <Paragraphs>75</Paragraphs>
  <Company>厚生労働省</Company>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草野 哲也(kusano-tetsuya)</dc:creator>
  <cp:lastModifiedBy>509305</cp:lastModifiedBy>
  <cp:lastPrinted>2023-12-22T04:49:00Z</cp:lastPrinted>
  <dcterms:created xsi:type="dcterms:W3CDTF">2021-12-22T10:19:00Z</dcterms:created>
  <dcterms:modified xsi:type="dcterms:W3CDTF">2024-01-24T02:14:36Z</dcterms:modified>
  <cp:revision>45</cp:revision>
</cp:coreProperties>
</file>