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8"/>
        </w:rPr>
      </w:pPr>
      <w:bookmarkStart w:id="0" w:name="_GoBack"/>
      <w:bookmarkEnd w:id="0"/>
      <w:r>
        <w:rPr>
          <w:rFonts w:hint="eastAsia" w:asciiTheme="minorEastAsia" w:hAnsiTheme="minorEastAsia" w:eastAsiaTheme="minorEastAsia"/>
          <w:sz w:val="28"/>
        </w:rPr>
        <w:t>高知県ボランティアセンター事業費補助金交付要綱</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（趣旨）</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第１条　この要綱は、高知県補助金等交付規則（昭和</w:t>
      </w:r>
      <w:r>
        <w:rPr>
          <w:rFonts w:hint="eastAsia" w:asciiTheme="minorEastAsia" w:hAnsiTheme="minorEastAsia" w:eastAsiaTheme="minorEastAsia"/>
        </w:rPr>
        <w:t>43</w:t>
      </w:r>
      <w:r>
        <w:rPr>
          <w:rFonts w:hint="eastAsia" w:asciiTheme="minorEastAsia" w:hAnsiTheme="minorEastAsia" w:eastAsiaTheme="minorEastAsia"/>
        </w:rPr>
        <w:t>年高知県規則第７号。以下「規則」という。）第</w:t>
      </w:r>
      <w:r>
        <w:rPr>
          <w:rFonts w:hint="eastAsia" w:asciiTheme="minorEastAsia" w:hAnsiTheme="minorEastAsia" w:eastAsiaTheme="minorEastAsia"/>
        </w:rPr>
        <w:t>24</w:t>
      </w:r>
      <w:r>
        <w:rPr>
          <w:rFonts w:hint="eastAsia" w:asciiTheme="minorEastAsia" w:hAnsiTheme="minorEastAsia" w:eastAsiaTheme="minorEastAsia"/>
        </w:rPr>
        <w:t>条の規定に基づき、高知県ボランティアセンター事業費補助金（以下「補助金」という。）の交付に関し必要な事項を定めるものとする。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（補助目的及び補助対象事業）</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第２条　県は、平時及び災害時におけるボランティア活動の活性化を目的として、高知県社会福祉協議会（以下「補助事業者」という。）が行う別表第１に定める事業に要する経費に対し、予算の範囲内で補助する。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（補助基準額及び補助対象経費）</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第３条　前条に規定する補助対象事業（以下「補助事業」という。）の補助基準額及び補助対象経費は、別表第１に定めるとおりとし、補助基準額と補助対象経費の実支出額とを比較して少ない方の額と総事業費から当該事業費に係る収入額（寄附金を除く。）を控除した額とを比較して、少ない方の額を交付額とする。ただし、算出された額に</w:t>
      </w:r>
      <w:r>
        <w:rPr>
          <w:rFonts w:hint="eastAsia" w:asciiTheme="minorEastAsia" w:hAnsiTheme="minorEastAsia" w:eastAsiaTheme="minorEastAsia"/>
        </w:rPr>
        <w:t>1,000</w:t>
      </w:r>
      <w:r>
        <w:rPr>
          <w:rFonts w:hint="eastAsia" w:asciiTheme="minorEastAsia" w:hAnsiTheme="minorEastAsia" w:eastAsiaTheme="minorEastAsia"/>
        </w:rPr>
        <w:t>円未満の端数を生じた場合は、これを切り捨てるものとする。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（補助金等交付申請書等）</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第４条　規則第３条第１項の補助金等交付申請書の様式は、別記第１号様式によるものとする。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２　補助事業者は、補助金の交付を申請するに当たって、当該補助金に関する消費税仕入控除税額等（補助対象経費に含まれる消費税及び地方消費税相当額のうち、消費税法（昭和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eastAsiaTheme="minorEastAsia"/>
        </w:rPr>
        <w:t>63</w:t>
      </w:r>
      <w:r>
        <w:rPr>
          <w:rFonts w:hint="eastAsia" w:asciiTheme="minorEastAsia" w:hAnsiTheme="minorEastAsia" w:eastAsiaTheme="minorEastAsia"/>
        </w:rPr>
        <w:t>年法律第</w:t>
      </w:r>
      <w:r>
        <w:rPr>
          <w:rFonts w:hint="eastAsia" w:asciiTheme="minorEastAsia" w:hAnsiTheme="minorEastAsia" w:eastAsiaTheme="minorEastAsia"/>
        </w:rPr>
        <w:t>108</w:t>
      </w:r>
      <w:r>
        <w:rPr>
          <w:rFonts w:hint="eastAsia" w:asciiTheme="minorEastAsia" w:hAnsiTheme="minorEastAsia" w:eastAsiaTheme="minorEastAsia"/>
        </w:rPr>
        <w:t>号）の規定により仕入れに係る消費税額として控除することができる部分の金額及び当該金額に地方税法（昭和</w:t>
      </w:r>
      <w:r>
        <w:rPr>
          <w:rFonts w:hint="eastAsia" w:asciiTheme="minorEastAsia" w:hAnsiTheme="minorEastAsia" w:eastAsiaTheme="minorEastAsia"/>
        </w:rPr>
        <w:t>25</w:t>
      </w:r>
      <w:r>
        <w:rPr>
          <w:rFonts w:hint="eastAsia" w:asciiTheme="minorEastAsia" w:hAnsiTheme="minorEastAsia" w:eastAsiaTheme="minorEastAsia"/>
        </w:rPr>
        <w:t>年法律第</w:t>
      </w:r>
      <w:r>
        <w:rPr>
          <w:rFonts w:hint="eastAsia" w:asciiTheme="minorEastAsia" w:hAnsiTheme="minorEastAsia" w:eastAsiaTheme="minorEastAsia"/>
        </w:rPr>
        <w:t>226</w:t>
      </w:r>
      <w:r>
        <w:rPr>
          <w:rFonts w:hint="eastAsia" w:asciiTheme="minorEastAsia" w:hAnsiTheme="minorEastAsia" w:eastAsiaTheme="minorEastAsia"/>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（補助の条件）</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第５条　補助金の交付の目的を達成するため、補助事業者は、次に掲げる事項を遵守しなければならない。</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（１）補助事業の内容を変更する場合及び補助事業に要する補助対象経費の各区分間の配分の変更（区分の配分額のいずれか低い方の額の</w:t>
      </w:r>
      <w:r>
        <w:rPr>
          <w:rFonts w:hint="eastAsia" w:asciiTheme="minorEastAsia" w:hAnsiTheme="minorEastAsia" w:eastAsiaTheme="minorEastAsia"/>
        </w:rPr>
        <w:t>20</w:t>
      </w:r>
      <w:r>
        <w:rPr>
          <w:rFonts w:hint="eastAsia" w:asciiTheme="minorEastAsia" w:hAnsiTheme="minorEastAsia" w:eastAsiaTheme="minorEastAsia"/>
        </w:rPr>
        <w:t>パーセント以内の変更を除く。）をする場合又は補助事業を中止し、若しくは廃止する場合は、事前に別記第２号様式による補助事業変更（中止・廃止）承認申請書を提出し、知事の承認を受けなければならないこと。</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（２）補助事業が予定の期間内に完了しない場合又は補助事業の遂行が困難となった場合は、速やかに知事に報告し、その指示を受けなければならないこと。</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（３）補助事業の実施において物品等を調達する場合は、県が定める「高知県グリーン購入基本方針」に基づき、環境物品等の調達に努めるものとすること。</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（４）補助事業により取得し、又は効用の増加した単価</w:t>
      </w:r>
      <w:r>
        <w:rPr>
          <w:rFonts w:hint="eastAsia" w:asciiTheme="minorEastAsia" w:hAnsiTheme="minorEastAsia" w:eastAsiaTheme="minorEastAsia"/>
        </w:rPr>
        <w:t>50</w:t>
      </w:r>
      <w:r>
        <w:rPr>
          <w:rFonts w:hint="eastAsia" w:asciiTheme="minorEastAsia" w:hAnsiTheme="minorEastAsia" w:eastAsiaTheme="minorEastAsia"/>
        </w:rPr>
        <w:t>万円以上の財産については、補助金等に係る予算の適正化に関する法律施行令（昭和</w:t>
      </w:r>
      <w:r>
        <w:rPr>
          <w:rFonts w:hint="eastAsia" w:asciiTheme="minorEastAsia" w:hAnsiTheme="minorEastAsia" w:eastAsiaTheme="minorEastAsia"/>
        </w:rPr>
        <w:t>39</w:t>
      </w:r>
      <w:r>
        <w:rPr>
          <w:rFonts w:hint="eastAsia" w:asciiTheme="minorEastAsia" w:hAnsiTheme="minorEastAsia" w:eastAsiaTheme="minorEastAsia"/>
        </w:rPr>
        <w:t>年政令第</w:t>
      </w:r>
      <w:r>
        <w:rPr>
          <w:rFonts w:hint="eastAsia" w:asciiTheme="minorEastAsia" w:hAnsiTheme="minorEastAsia" w:eastAsiaTheme="minorEastAsia"/>
        </w:rPr>
        <w:t>255</w:t>
      </w:r>
      <w:r>
        <w:rPr>
          <w:rFonts w:hint="eastAsia" w:asciiTheme="minorEastAsia" w:hAnsiTheme="minorEastAsia" w:eastAsiaTheme="minorEastAsia"/>
        </w:rPr>
        <w:t>号）第</w:t>
      </w:r>
      <w:r>
        <w:rPr>
          <w:rFonts w:hint="eastAsia" w:asciiTheme="minorEastAsia" w:hAnsiTheme="minorEastAsia" w:eastAsiaTheme="minorEastAsia"/>
        </w:rPr>
        <w:t>14</w:t>
      </w:r>
      <w:r>
        <w:rPr>
          <w:rFonts w:hint="eastAsia" w:asciiTheme="minorEastAsia" w:hAnsiTheme="minorEastAsia" w:eastAsiaTheme="minorEastAsia"/>
        </w:rPr>
        <w:t>条第１項第２号の規定により厚生労働大臣が別に定める期間を経過するまで、知事の承認を受けないで補助金の交付の目的に反して使用し、譲渡し、交換し、貸し付け、廃棄し、又は担保に供してはならないこと。</w:t>
      </w:r>
      <w:r>
        <w:rPr>
          <w:rFonts w:hint="eastAsia" w:asciiTheme="minorEastAsia" w:hAnsiTheme="minorEastAsia" w:eastAsiaTheme="minorEastAsia"/>
        </w:rPr>
        <w:t xml:space="preserve">                                         </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（５）補助事業により取得し、又は効用の増加した財産については、補助事業の完了後においても善良な管理者の注意をもって管理するとともに、その効率的な運営を図らなければならないこと。</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（６）知事の承認を受けて財産を処分することにより収入があった場合は、その収入の全部又は一部を県に納付させることがあること。</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（７）補助事業に関する収入及び支出を明らかにした帳簿を備え、当該収入及び支出について証拠書類を整備し、当該帳簿及び証拠書類を補助事業の完了後５年間保管しておかなければならないこと。</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８）補助事業又は補助事業者に関して、高知県情報公開条例（平成２年高知県条例第１号）に基づく開示請求があった場合は、同条例第６条第１項の規定による非開示項目以外の項目は、原則として開示すること。</w:t>
      </w:r>
    </w:p>
    <w:p>
      <w:pPr>
        <w:pStyle w:val="0"/>
        <w:ind w:left="630" w:leftChars="100" w:hanging="420" w:hangingChars="200"/>
        <w:rPr>
          <w:rFonts w:hint="eastAsia" w:asciiTheme="minorEastAsia" w:hAnsiTheme="minorEastAsia" w:eastAsiaTheme="minorEastAsia"/>
        </w:rPr>
      </w:pPr>
      <w:r>
        <w:rPr>
          <w:rFonts w:hint="eastAsia" w:asciiTheme="minorEastAsia" w:hAnsiTheme="minorEastAsia" w:eastAsiaTheme="minorEastAsia"/>
        </w:rPr>
        <w:t>（９）補助事業の執行に際しては、県が行う契約手続の取扱いに準じて行わなければならないこと。</w:t>
      </w:r>
    </w:p>
    <w:p>
      <w:pPr>
        <w:pStyle w:val="0"/>
        <w:ind w:left="630" w:leftChars="100" w:hanging="420" w:hanging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10</w:t>
      </w:r>
      <w:r>
        <w:rPr>
          <w:rFonts w:hint="eastAsia" w:asciiTheme="minorEastAsia" w:hAnsiTheme="minorEastAsia" w:eastAsiaTheme="minorEastAsia"/>
        </w:rPr>
        <w:t>）補助事業の実施に当たっては、別表第２に掲げるいずれかに該当すると認められるものを間接補助事業者又は契約の相手方としないこと等暴力団等の排除に係る県の取扱いに準じて行わなければならないこと。</w:t>
      </w:r>
    </w:p>
    <w:p>
      <w:pPr>
        <w:pStyle w:val="0"/>
        <w:ind w:left="630" w:leftChars="100" w:hanging="420" w:hanging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11</w:t>
      </w:r>
      <w:r>
        <w:rPr>
          <w:rFonts w:hint="eastAsia" w:asciiTheme="minorEastAsia" w:hAnsiTheme="minorEastAsia" w:eastAsiaTheme="minorEastAsia"/>
        </w:rPr>
        <w:t>）補助事業者は、間接補助金の交付に当たっては、間接補助事業者に対して、第４号から第７号まで及び前号の条件を付さなければならないこと。</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12</w:t>
      </w:r>
      <w:r>
        <w:rPr>
          <w:rFonts w:hint="eastAsia" w:asciiTheme="minorEastAsia" w:hAnsiTheme="minorEastAsia" w:eastAsiaTheme="minorEastAsia"/>
        </w:rPr>
        <w:t>）県税の滞納がないこと。</w:t>
      </w:r>
    </w:p>
    <w:p>
      <w:pPr>
        <w:pStyle w:val="0"/>
        <w:ind w:left="0" w:firstLine="0" w:firstLineChars="0"/>
        <w:rPr>
          <w:rFonts w:hint="eastAsia" w:asciiTheme="minorEastAsia" w:hAnsiTheme="minorEastAsia" w:eastAsiaTheme="minorEastAsia"/>
        </w:rPr>
      </w:pPr>
    </w:p>
    <w:p>
      <w:pPr>
        <w:pStyle w:val="0"/>
        <w:ind w:left="0" w:firstLine="0" w:firstLineChars="0"/>
        <w:rPr>
          <w:rFonts w:hint="eastAsia" w:asciiTheme="minorEastAsia" w:hAnsiTheme="minorEastAsia" w:eastAsiaTheme="minorEastAsia"/>
        </w:rPr>
      </w:pPr>
      <w:r>
        <w:rPr>
          <w:rFonts w:hint="eastAsia" w:asciiTheme="minorEastAsia" w:hAnsiTheme="minorEastAsia" w:eastAsiaTheme="minorEastAsia"/>
        </w:rPr>
        <w:t>　（概算払）　　　　　</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第６条　知事は、補助事業を遂行するために必要があると認めたときは、概算払をすることができる。</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補助事業者は、前項の規定に基づく概算払を請求しようとするときは、別記第３号様式による概算払請求書を提出しなければならない。</w:t>
      </w:r>
    </w:p>
    <w:p>
      <w:pPr>
        <w:pStyle w:val="0"/>
        <w:ind w:left="0" w:firstLine="0" w:firstLineChars="0"/>
        <w:rPr>
          <w:rFonts w:hint="eastAsia" w:asciiTheme="minorEastAsia" w:hAnsiTheme="minorEastAsia" w:eastAsiaTheme="minorEastAsia"/>
        </w:rPr>
      </w:pPr>
    </w:p>
    <w:p>
      <w:pPr>
        <w:pStyle w:val="0"/>
        <w:ind w:left="0" w:firstLine="0" w:firstLineChars="0"/>
        <w:rPr>
          <w:rFonts w:hint="eastAsia" w:asciiTheme="minorEastAsia" w:hAnsiTheme="minorEastAsia" w:eastAsiaTheme="minorEastAsia"/>
        </w:rPr>
      </w:pPr>
      <w:r>
        <w:rPr>
          <w:rFonts w:hint="eastAsia" w:asciiTheme="minorEastAsia" w:hAnsiTheme="minorEastAsia" w:eastAsiaTheme="minorEastAsia"/>
        </w:rPr>
        <w:t>　（実績報告）</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第７条　規則第</w:t>
      </w:r>
      <w:r>
        <w:rPr>
          <w:rFonts w:hint="eastAsia" w:asciiTheme="minorEastAsia" w:hAnsiTheme="minorEastAsia" w:eastAsiaTheme="minorEastAsia"/>
        </w:rPr>
        <w:t>11</w:t>
      </w:r>
      <w:r>
        <w:rPr>
          <w:rFonts w:hint="eastAsia" w:asciiTheme="minorEastAsia" w:hAnsiTheme="minorEastAsia" w:eastAsiaTheme="minorEastAsia"/>
        </w:rPr>
        <w:t>条第１項の補助事業等実績報告書の様式は、別記第４号様式によるものとし、補助事業の完了後１月以内又は翌年度の４月</w:t>
      </w:r>
      <w:r>
        <w:rPr>
          <w:rFonts w:hint="eastAsia" w:asciiTheme="minorEastAsia" w:hAnsiTheme="minorEastAsia" w:eastAsiaTheme="minorEastAsia"/>
        </w:rPr>
        <w:t>15</w:t>
      </w:r>
      <w:r>
        <w:rPr>
          <w:rFonts w:hint="eastAsia" w:asciiTheme="minorEastAsia" w:hAnsiTheme="minorEastAsia" w:eastAsiaTheme="minorEastAsia"/>
        </w:rPr>
        <w:t>日のいずれか早い日までに提出しなければならない。</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補助事業者は、第４条第２項ただし書の規定により補助金の交付を申請した場合であって、前項の実績報告書の提出に当たって、当該補助金に係る消費税仕入控除税額等が明らかになったときは、これを補助金額から減額して報告しなければならない。</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補助事業者は、第４条第２項ただし書の規定により補助金の交付を申請した場合であって、第１項の実績報告書を提出した後に、消費税の申告により当該補助金に係る消費税仕入控除税額等が確定したときは、その金額を速やかに別記第５号様式により知事に報告するとともに、当該金額を知事に返還しなければならない。</w:t>
      </w:r>
    </w:p>
    <w:p>
      <w:pPr>
        <w:pStyle w:val="0"/>
        <w:ind w:left="0" w:firstLine="0" w:firstLineChars="0"/>
        <w:rPr>
          <w:rFonts w:hint="eastAsia" w:asciiTheme="minorEastAsia" w:hAnsiTheme="minorEastAsia" w:eastAsiaTheme="minorEastAsia"/>
        </w:rPr>
      </w:pPr>
    </w:p>
    <w:p>
      <w:pPr>
        <w:pStyle w:val="0"/>
        <w:ind w:left="0" w:firstLine="0" w:firstLineChars="0"/>
        <w:rPr>
          <w:rFonts w:hint="eastAsia" w:asciiTheme="minorEastAsia" w:hAnsiTheme="minorEastAsia" w:eastAsiaTheme="minorEastAsia"/>
        </w:rPr>
      </w:pPr>
      <w:r>
        <w:rPr>
          <w:rFonts w:hint="eastAsia" w:asciiTheme="minorEastAsia" w:hAnsiTheme="minorEastAsia" w:eastAsiaTheme="minorEastAsia"/>
        </w:rPr>
        <w:t>　　　附　則</w:t>
      </w:r>
    </w:p>
    <w:p>
      <w:pPr>
        <w:pStyle w:val="0"/>
        <w:ind w:left="0" w:firstLine="0" w:firstLineChars="0"/>
        <w:rPr>
          <w:rFonts w:hint="eastAsia" w:asciiTheme="minorEastAsia" w:hAnsiTheme="minorEastAsia" w:eastAsiaTheme="minorEastAsia"/>
        </w:rPr>
      </w:pPr>
      <w:r>
        <w:rPr>
          <w:rFonts w:hint="eastAsia" w:asciiTheme="minorEastAsia" w:hAnsiTheme="minorEastAsia" w:eastAsiaTheme="minorEastAsia"/>
        </w:rPr>
        <w:t>　１　この要綱は、平成</w:t>
      </w:r>
      <w:r>
        <w:rPr>
          <w:rFonts w:hint="eastAsia" w:asciiTheme="minorEastAsia" w:hAnsiTheme="minorEastAsia" w:eastAsiaTheme="minorEastAsia"/>
        </w:rPr>
        <w:t>16</w:t>
      </w:r>
      <w:r>
        <w:rPr>
          <w:rFonts w:hint="eastAsia" w:asciiTheme="minorEastAsia" w:hAnsiTheme="minorEastAsia" w:eastAsiaTheme="minorEastAsia"/>
        </w:rPr>
        <w:t>年６月４日から施行し、平成</w:t>
      </w:r>
      <w:r>
        <w:rPr>
          <w:rFonts w:hint="eastAsia" w:asciiTheme="minorEastAsia" w:hAnsiTheme="minorEastAsia" w:eastAsiaTheme="minorEastAsia"/>
        </w:rPr>
        <w:t>16</w:t>
      </w:r>
      <w:r>
        <w:rPr>
          <w:rFonts w:hint="eastAsia" w:asciiTheme="minorEastAsia" w:hAnsiTheme="minorEastAsia" w:eastAsiaTheme="minorEastAsia"/>
        </w:rPr>
        <w:t>年４月１日から適用する。</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２　この要綱は、令和９年５月</w:t>
      </w:r>
      <w:r>
        <w:rPr>
          <w:rFonts w:hint="eastAsia" w:asciiTheme="minorEastAsia" w:hAnsiTheme="minorEastAsia" w:eastAsiaTheme="minorEastAsia"/>
        </w:rPr>
        <w:t>31</w:t>
      </w:r>
      <w:r>
        <w:rPr>
          <w:rFonts w:hint="eastAsia" w:asciiTheme="minorEastAsia" w:hAnsiTheme="minorEastAsia" w:eastAsiaTheme="minorEastAsia"/>
        </w:rPr>
        <w:t>日限り、その効力を失う。ただし、第５条第４号から第８号まで及び第７条第３項の規定については、同日以降もなおその効力を有する。</w:t>
      </w:r>
    </w:p>
    <w:p>
      <w:pPr>
        <w:pStyle w:val="0"/>
        <w:rPr>
          <w:rFonts w:hint="eastAsia" w:asciiTheme="minorEastAsia" w:hAnsiTheme="minorEastAsia" w:eastAsiaTheme="minorEastAsia"/>
        </w:rPr>
      </w:pPr>
      <w:r>
        <w:rPr>
          <w:rFonts w:hint="eastAsia" w:asciiTheme="minorEastAsia" w:hAnsiTheme="minorEastAsia" w:eastAsiaTheme="minorEastAsia"/>
        </w:rPr>
        <w:t>　　　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17</w:t>
      </w:r>
      <w:r>
        <w:rPr>
          <w:rFonts w:hint="eastAsia" w:asciiTheme="minorEastAsia" w:hAnsiTheme="minorEastAsia" w:eastAsiaTheme="minorEastAsia"/>
        </w:rPr>
        <w:t>年９月</w:t>
      </w:r>
      <w:r>
        <w:rPr>
          <w:rFonts w:hint="eastAsia" w:asciiTheme="minorEastAsia" w:hAnsiTheme="minorEastAsia" w:eastAsiaTheme="minorEastAsia"/>
        </w:rPr>
        <w:t>15</w:t>
      </w:r>
      <w:r>
        <w:rPr>
          <w:rFonts w:hint="eastAsia" w:asciiTheme="minorEastAsia" w:hAnsiTheme="minorEastAsia" w:eastAsiaTheme="minorEastAsia"/>
        </w:rPr>
        <w:t>日から施行し、平成</w:t>
      </w:r>
      <w:r>
        <w:rPr>
          <w:rFonts w:hint="eastAsia" w:asciiTheme="minorEastAsia" w:hAnsiTheme="minorEastAsia" w:eastAsiaTheme="minorEastAsia"/>
        </w:rPr>
        <w:t>17</w:t>
      </w:r>
      <w:r>
        <w:rPr>
          <w:rFonts w:hint="eastAsia" w:asciiTheme="minorEastAsia" w:hAnsiTheme="minorEastAsia" w:eastAsiaTheme="minorEastAsia"/>
        </w:rPr>
        <w:t>年４月１日から適用する。</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19</w:t>
      </w:r>
      <w:r>
        <w:rPr>
          <w:rFonts w:hint="eastAsia" w:asciiTheme="minorEastAsia" w:hAnsiTheme="minorEastAsia" w:eastAsiaTheme="minorEastAsia"/>
        </w:rPr>
        <w:t>年６月</w:t>
      </w:r>
      <w:r>
        <w:rPr>
          <w:rFonts w:hint="eastAsia" w:asciiTheme="minorEastAsia" w:hAnsiTheme="minorEastAsia" w:eastAsiaTheme="minorEastAsia"/>
        </w:rPr>
        <w:t>25</w:t>
      </w:r>
      <w:r>
        <w:rPr>
          <w:rFonts w:hint="eastAsia" w:asciiTheme="minorEastAsia" w:hAnsiTheme="minorEastAsia" w:eastAsiaTheme="minorEastAsia"/>
        </w:rPr>
        <w:t>日から施行し、平成</w:t>
      </w:r>
      <w:r>
        <w:rPr>
          <w:rFonts w:hint="eastAsia" w:asciiTheme="minorEastAsia" w:hAnsiTheme="minorEastAsia" w:eastAsiaTheme="minorEastAsia"/>
        </w:rPr>
        <w:t>19</w:t>
      </w:r>
      <w:r>
        <w:rPr>
          <w:rFonts w:hint="eastAsia" w:asciiTheme="minorEastAsia" w:hAnsiTheme="minorEastAsia" w:eastAsiaTheme="minorEastAsia"/>
        </w:rPr>
        <w:t>年４月１日から適用する。</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20</w:t>
      </w:r>
      <w:r>
        <w:rPr>
          <w:rFonts w:hint="eastAsia" w:asciiTheme="minorEastAsia" w:hAnsiTheme="minorEastAsia" w:eastAsiaTheme="minorEastAsia"/>
        </w:rPr>
        <w:t>年９月３日から施行し、平成</w:t>
      </w:r>
      <w:r>
        <w:rPr>
          <w:rFonts w:hint="eastAsia" w:asciiTheme="minorEastAsia" w:hAnsiTheme="minorEastAsia" w:eastAsiaTheme="minorEastAsia"/>
        </w:rPr>
        <w:t>20</w:t>
      </w:r>
      <w:r>
        <w:rPr>
          <w:rFonts w:hint="eastAsia" w:asciiTheme="minorEastAsia" w:hAnsiTheme="minorEastAsia" w:eastAsiaTheme="minorEastAsia"/>
        </w:rPr>
        <w:t>年４月１日から適用する。</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21</w:t>
      </w:r>
      <w:r>
        <w:rPr>
          <w:rFonts w:hint="eastAsia" w:asciiTheme="minorEastAsia" w:hAnsiTheme="minorEastAsia" w:eastAsiaTheme="minorEastAsia"/>
        </w:rPr>
        <w:t>年</w:t>
      </w:r>
      <w:r>
        <w:rPr>
          <w:rFonts w:hint="eastAsia" w:asciiTheme="minorEastAsia" w:hAnsiTheme="minorEastAsia" w:eastAsiaTheme="minorEastAsia"/>
        </w:rPr>
        <w:t>11</w:t>
      </w:r>
      <w:r>
        <w:rPr>
          <w:rFonts w:hint="eastAsia" w:asciiTheme="minorEastAsia" w:hAnsiTheme="minorEastAsia" w:eastAsiaTheme="minorEastAsia"/>
        </w:rPr>
        <w:t>月</w:t>
      </w:r>
      <w:r>
        <w:rPr>
          <w:rFonts w:hint="eastAsia" w:asciiTheme="minorEastAsia" w:hAnsiTheme="minorEastAsia" w:eastAsiaTheme="minorEastAsia"/>
        </w:rPr>
        <w:t>26</w:t>
      </w:r>
      <w:r>
        <w:rPr>
          <w:rFonts w:hint="eastAsia" w:asciiTheme="minorEastAsia" w:hAnsiTheme="minorEastAsia" w:eastAsiaTheme="minorEastAsia"/>
        </w:rPr>
        <w:t>日から施行し、同年４月１日から適用する。</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22</w:t>
      </w:r>
      <w:r>
        <w:rPr>
          <w:rFonts w:hint="eastAsia" w:asciiTheme="minorEastAsia" w:hAnsiTheme="minorEastAsia" w:eastAsiaTheme="minorEastAsia"/>
        </w:rPr>
        <w:t>年６月８日から施行し、同年４月１日から適用する。</w:t>
      </w:r>
    </w:p>
    <w:p>
      <w:pPr>
        <w:pStyle w:val="0"/>
        <w:rPr>
          <w:rFonts w:hint="eastAsia" w:asciiTheme="minorEastAsia" w:hAnsiTheme="minorEastAsia" w:eastAsiaTheme="minorEastAsia"/>
        </w:rPr>
      </w:pPr>
      <w:r>
        <w:rPr>
          <w:rFonts w:hint="eastAsia" w:asciiTheme="minorEastAsia" w:hAnsiTheme="minorEastAsia" w:eastAsiaTheme="minorEastAsia"/>
        </w:rPr>
        <w:t>　　　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25</w:t>
      </w:r>
      <w:r>
        <w:rPr>
          <w:rFonts w:hint="eastAsia" w:asciiTheme="minorEastAsia" w:hAnsiTheme="minorEastAsia" w:eastAsiaTheme="minorEastAsia"/>
        </w:rPr>
        <w:t>年４月１日から適用する。</w:t>
      </w:r>
    </w:p>
    <w:p>
      <w:pPr>
        <w:pStyle w:val="0"/>
        <w:rPr>
          <w:rFonts w:hint="eastAsia" w:asciiTheme="minorEastAsia" w:hAnsiTheme="minorEastAsia" w:eastAsiaTheme="minorEastAsia"/>
        </w:rPr>
      </w:pPr>
      <w:r>
        <w:rPr>
          <w:rFonts w:hint="eastAsia" w:asciiTheme="minorEastAsia" w:hAnsiTheme="minorEastAsia" w:eastAsiaTheme="minorEastAsia"/>
        </w:rPr>
        <w:t>　　　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27</w:t>
      </w:r>
      <w:r>
        <w:rPr>
          <w:rFonts w:hint="eastAsia" w:asciiTheme="minorEastAsia" w:hAnsiTheme="minorEastAsia" w:eastAsiaTheme="minorEastAsia"/>
        </w:rPr>
        <w:t>年９月７日から施行し、同年４月１日から適用する。</w:t>
      </w:r>
    </w:p>
    <w:p>
      <w:pPr>
        <w:pStyle w:val="0"/>
        <w:rPr>
          <w:rFonts w:hint="eastAsia" w:asciiTheme="minorEastAsia" w:hAnsiTheme="minorEastAsia" w:eastAsiaTheme="minorEastAsia"/>
        </w:rPr>
      </w:pPr>
      <w:r>
        <w:rPr>
          <w:rFonts w:hint="eastAsia" w:asciiTheme="minorEastAsia" w:hAnsiTheme="minorEastAsia" w:eastAsiaTheme="minorEastAsia"/>
        </w:rPr>
        <w:t>　　　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28</w:t>
      </w:r>
      <w:r>
        <w:rPr>
          <w:rFonts w:hint="eastAsia" w:asciiTheme="minorEastAsia" w:hAnsiTheme="minorEastAsia" w:eastAsiaTheme="minorEastAsia"/>
        </w:rPr>
        <w:t>年４月１日から施行する。</w:t>
      </w:r>
    </w:p>
    <w:p>
      <w:pPr>
        <w:pStyle w:val="0"/>
        <w:rPr>
          <w:rFonts w:hint="eastAsia" w:asciiTheme="minorEastAsia" w:hAnsiTheme="minorEastAsia" w:eastAsiaTheme="minorEastAsia"/>
        </w:rPr>
      </w:pPr>
      <w:r>
        <w:rPr>
          <w:rFonts w:hint="eastAsia" w:asciiTheme="minorEastAsia" w:hAnsiTheme="minorEastAsia" w:eastAsiaTheme="minorEastAsia"/>
        </w:rPr>
        <w:t>　　　附　則</w:t>
      </w:r>
    </w:p>
    <w:p>
      <w:pPr>
        <w:pStyle w:val="0"/>
        <w:rPr>
          <w:rFonts w:hint="eastAsia" w:asciiTheme="minorEastAsia" w:hAnsiTheme="minorEastAsia" w:eastAsiaTheme="minorEastAsia"/>
        </w:rPr>
      </w:pPr>
      <w:r>
        <w:rPr>
          <w:rFonts w:hint="eastAsia" w:asciiTheme="minorEastAsia" w:hAnsiTheme="minorEastAsia" w:eastAsiaTheme="minorEastAsia"/>
        </w:rPr>
        <w:t>　この要綱は、平成</w:t>
      </w:r>
      <w:r>
        <w:rPr>
          <w:rFonts w:hint="eastAsia" w:asciiTheme="minorEastAsia" w:hAnsiTheme="minorEastAsia" w:eastAsiaTheme="minorEastAsia"/>
        </w:rPr>
        <w:t>29</w:t>
      </w:r>
      <w:r>
        <w:rPr>
          <w:rFonts w:hint="eastAsia" w:asciiTheme="minorEastAsia" w:hAnsiTheme="minorEastAsia" w:eastAsiaTheme="minorEastAsia"/>
        </w:rPr>
        <w:t>年３月８日から施行し、平成</w:t>
      </w:r>
      <w:r>
        <w:rPr>
          <w:rFonts w:hint="eastAsia" w:asciiTheme="minorEastAsia" w:hAnsiTheme="minorEastAsia" w:eastAsiaTheme="minorEastAsia"/>
        </w:rPr>
        <w:t>28</w:t>
      </w:r>
      <w:r>
        <w:rPr>
          <w:rFonts w:hint="eastAsia" w:asciiTheme="minorEastAsia" w:hAnsiTheme="minorEastAsia" w:eastAsiaTheme="minorEastAsia"/>
        </w:rPr>
        <w:t>年４月１日から適用する。</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附　則</w:t>
      </w:r>
    </w:p>
    <w:p>
      <w:pPr>
        <w:pStyle w:val="0"/>
        <w:rPr>
          <w:rFonts w:hint="eastAsia" w:asciiTheme="minorEastAsia" w:hAnsiTheme="minorEastAsia" w:eastAsiaTheme="minorEastAsia"/>
        </w:rPr>
      </w:pPr>
      <w:r>
        <w:rPr>
          <w:rFonts w:hint="eastAsia" w:asciiTheme="minorEastAsia" w:hAnsiTheme="minorEastAsia" w:eastAsiaTheme="minorEastAsia"/>
        </w:rPr>
        <w:t>この要綱は、平成</w:t>
      </w:r>
      <w:r>
        <w:rPr>
          <w:rFonts w:hint="eastAsia" w:asciiTheme="minorEastAsia" w:hAnsiTheme="minorEastAsia" w:eastAsiaTheme="minorEastAsia"/>
        </w:rPr>
        <w:t>31</w:t>
      </w:r>
      <w:r>
        <w:rPr>
          <w:rFonts w:hint="eastAsia" w:asciiTheme="minorEastAsia" w:hAnsiTheme="minorEastAsia" w:eastAsiaTheme="minorEastAsia"/>
        </w:rPr>
        <w:t>年４月１日から施行する。</w:t>
      </w:r>
    </w:p>
    <w:p>
      <w:pPr>
        <w:pStyle w:val="0"/>
        <w:rPr>
          <w:rFonts w:hint="eastAsia" w:asciiTheme="minorEastAsia" w:hAnsiTheme="minorEastAsia" w:eastAsiaTheme="minorEastAsia"/>
        </w:rPr>
      </w:pPr>
      <w:r>
        <w:rPr>
          <w:rFonts w:hint="eastAsia" w:asciiTheme="minorEastAsia" w:hAnsiTheme="minorEastAsia" w:eastAsiaTheme="minorEastAsia"/>
        </w:rPr>
        <w:t>附　則</w:t>
      </w:r>
    </w:p>
    <w:p>
      <w:pPr>
        <w:pStyle w:val="0"/>
        <w:rPr>
          <w:rFonts w:hint="eastAsia" w:asciiTheme="minorEastAsia" w:hAnsiTheme="minorEastAsia" w:eastAsiaTheme="minorEastAsia"/>
        </w:rPr>
      </w:pPr>
      <w:r>
        <w:rPr>
          <w:rFonts w:hint="eastAsia" w:asciiTheme="minorEastAsia" w:hAnsiTheme="minorEastAsia" w:eastAsiaTheme="minorEastAsia"/>
        </w:rPr>
        <w:t>この要綱は、令和２年４月１日から施行する。</w:t>
      </w:r>
    </w:p>
    <w:p>
      <w:pPr>
        <w:pStyle w:val="0"/>
        <w:rPr>
          <w:rFonts w:hint="eastAsia" w:asciiTheme="minorEastAsia" w:hAnsiTheme="minorEastAsia" w:eastAsiaTheme="minorEastAsia"/>
        </w:rPr>
      </w:pPr>
      <w:r>
        <w:rPr>
          <w:rFonts w:hint="eastAsia" w:asciiTheme="minorEastAsia" w:hAnsiTheme="minorEastAsia" w:eastAsiaTheme="minorEastAsia"/>
        </w:rPr>
        <w:t>　　　附　則</w:t>
      </w:r>
    </w:p>
    <w:p>
      <w:pPr>
        <w:pStyle w:val="0"/>
        <w:rPr>
          <w:rFonts w:hint="eastAsia" w:asciiTheme="minorEastAsia" w:hAnsiTheme="minorEastAsia" w:eastAsiaTheme="minorEastAsia"/>
        </w:rPr>
      </w:pPr>
      <w:r>
        <w:rPr>
          <w:rFonts w:hint="eastAsia" w:asciiTheme="minorEastAsia" w:hAnsiTheme="minorEastAsia" w:eastAsiaTheme="minorEastAsia"/>
        </w:rPr>
        <w:t>この要綱は、令和２年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26</w:t>
      </w:r>
      <w:r>
        <w:rPr>
          <w:rFonts w:hint="eastAsia" w:asciiTheme="minorEastAsia" w:hAnsiTheme="minorEastAsia" w:eastAsiaTheme="minorEastAsia"/>
        </w:rPr>
        <w:t>日から施行し、令和２年４月１日から適用する。</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附　則</w:t>
      </w:r>
    </w:p>
    <w:p>
      <w:pPr>
        <w:pStyle w:val="0"/>
        <w:rPr>
          <w:rFonts w:hint="eastAsia" w:asciiTheme="minorEastAsia" w:hAnsiTheme="minorEastAsia" w:eastAsiaTheme="minorEastAsia"/>
        </w:rPr>
      </w:pPr>
      <w:r>
        <w:rPr>
          <w:rFonts w:hint="eastAsia" w:asciiTheme="minorEastAsia" w:hAnsiTheme="minorEastAsia" w:eastAsiaTheme="minorEastAsia"/>
        </w:rPr>
        <w:t>この要綱は、令和３年４月１日から施行する。</w:t>
      </w:r>
    </w:p>
    <w:p>
      <w:pPr>
        <w:pStyle w:val="0"/>
        <w:ind w:firstLine="630" w:firstLineChars="300"/>
        <w:rPr>
          <w:rFonts w:hint="eastAsia" w:asciiTheme="minorEastAsia" w:hAnsiTheme="minorEastAsia" w:eastAsiaTheme="minorEastAsia"/>
        </w:rPr>
      </w:pPr>
      <w:r>
        <w:rPr>
          <w:rFonts w:hint="eastAsia" w:asciiTheme="minorEastAsia" w:hAnsiTheme="minorEastAsia" w:eastAsiaTheme="minorEastAsia"/>
        </w:rPr>
        <w:t>附　則</w:t>
      </w:r>
    </w:p>
    <w:p>
      <w:pPr>
        <w:pStyle w:val="0"/>
        <w:rPr>
          <w:rFonts w:hint="eastAsia" w:asciiTheme="minorEastAsia" w:hAnsiTheme="minorEastAsia" w:eastAsiaTheme="minorEastAsia"/>
        </w:rPr>
      </w:pPr>
      <w:r>
        <w:rPr>
          <w:rFonts w:hint="eastAsia" w:asciiTheme="minorEastAsia" w:hAnsiTheme="minorEastAsia" w:eastAsiaTheme="minorEastAsia"/>
        </w:rPr>
        <w:t>この要綱は、令和６年４月１日から施行する。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別表第１（第３条関係）</w:t>
      </w:r>
    </w:p>
    <w:tbl>
      <w:tblPr>
        <w:tblStyle w:val="11"/>
        <w:tblpPr w:leftFromText="0" w:rightFromText="0" w:topFromText="0" w:bottomFromText="0" w:vertAnchor="text" w:horzAnchor="margin" w:tblpXSpec="left" w:tblpY="1"/>
        <w:tblOverlap w:val="never"/>
        <w:tblW w:w="8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260"/>
        <w:gridCol w:w="1260"/>
        <w:gridCol w:w="6300"/>
      </w:tblGrid>
      <w:tr>
        <w:trPr>
          <w:trHeight w:val="468" w:hRule="atLeast"/>
        </w:trPr>
        <w:tc>
          <w:tcPr>
            <w:tcW w:w="126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0"/>
              <w:kinsoku w:val="0"/>
              <w:overflowPunct w:val="0"/>
              <w:spacing w:line="360" w:lineRule="exact"/>
              <w:jc w:val="center"/>
              <w:rPr>
                <w:rFonts w:hint="eastAsia"/>
                <w:sz w:val="20"/>
                <w:u w:val="none" w:color="auto"/>
              </w:rPr>
            </w:pPr>
            <w:r>
              <w:rPr>
                <w:rFonts w:hint="eastAsia"/>
                <w:sz w:val="20"/>
                <w:u w:val="none" w:color="auto"/>
              </w:rPr>
              <w:t>補助事業の区　分</w:t>
            </w:r>
          </w:p>
        </w:tc>
        <w:tc>
          <w:tcPr>
            <w:tcW w:w="126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0"/>
              <w:spacing w:line="360" w:lineRule="exact"/>
              <w:rPr>
                <w:rFonts w:hint="eastAsia"/>
                <w:sz w:val="20"/>
                <w:u w:val="none" w:color="auto"/>
              </w:rPr>
            </w:pPr>
            <w:r>
              <w:rPr>
                <w:rFonts w:hint="eastAsia"/>
                <w:sz w:val="20"/>
                <w:u w:val="none" w:color="auto"/>
              </w:rPr>
              <w:t>補助基準額</w:t>
            </w:r>
          </w:p>
        </w:tc>
        <w:tc>
          <w:tcPr>
            <w:tcW w:w="630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0"/>
              <w:kinsoku w:val="0"/>
              <w:overflowPunct w:val="0"/>
              <w:spacing w:line="360" w:lineRule="exact"/>
              <w:jc w:val="center"/>
              <w:rPr>
                <w:rFonts w:hint="eastAsia"/>
                <w:sz w:val="20"/>
                <w:u w:val="none" w:color="auto"/>
              </w:rPr>
            </w:pPr>
            <w:r>
              <w:rPr>
                <w:rFonts w:hint="eastAsia"/>
                <w:sz w:val="20"/>
                <w:u w:val="none" w:color="auto"/>
              </w:rPr>
              <w:t>補助対象経費</w:t>
            </w:r>
          </w:p>
        </w:tc>
      </w:tr>
      <w:tr>
        <w:trPr>
          <w:trHeight w:val="2221" w:hRule="atLeast"/>
        </w:trPr>
        <w:tc>
          <w:tcPr>
            <w:tcW w:w="126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kinsoku w:val="0"/>
              <w:overflowPunct w:val="0"/>
              <w:spacing w:line="360" w:lineRule="exact"/>
              <w:rPr>
                <w:rFonts w:hint="eastAsia"/>
                <w:sz w:val="20"/>
                <w:u w:val="none" w:color="auto"/>
              </w:rPr>
            </w:pPr>
            <w:r>
              <w:rPr>
                <w:rFonts w:hint="eastAsia"/>
                <w:sz w:val="20"/>
                <w:u w:val="none" w:color="auto"/>
              </w:rPr>
              <w:t>災害ボランティアセンター等体制強化事業</w:t>
            </w:r>
          </w:p>
        </w:tc>
        <w:tc>
          <w:tcPr>
            <w:tcW w:w="126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spacing w:line="360" w:lineRule="exact"/>
              <w:rPr>
                <w:rFonts w:hint="eastAsia"/>
                <w:sz w:val="20"/>
                <w:u w:val="none" w:color="auto"/>
              </w:rPr>
            </w:pPr>
            <w:r>
              <w:rPr>
                <w:rFonts w:hint="eastAsia"/>
                <w:sz w:val="20"/>
                <w:u w:val="none" w:color="auto"/>
              </w:rPr>
              <w:t>知事が別に定める額</w:t>
            </w:r>
          </w:p>
        </w:tc>
        <w:tc>
          <w:tcPr>
            <w:tcW w:w="630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kinsoku w:val="0"/>
              <w:overflowPunct w:val="0"/>
              <w:spacing w:line="360" w:lineRule="exact"/>
              <w:rPr>
                <w:rFonts w:hint="default"/>
                <w:spacing w:val="2"/>
                <w:sz w:val="20"/>
                <w:u w:val="none" w:color="auto"/>
              </w:rPr>
            </w:pPr>
            <w:r>
              <w:rPr>
                <w:rFonts w:hint="eastAsia"/>
                <w:sz w:val="20"/>
                <w:u w:val="none" w:color="auto"/>
              </w:rPr>
              <w:t>　発災時の円滑な災害ボランティアセンターの設置・運営のため、平時に行う市町村社会福祉協議会への研修や訓練などの実施及び県域での支援体制の整備に必要な次に掲げる経費</w:t>
            </w:r>
          </w:p>
          <w:p>
            <w:pPr>
              <w:pStyle w:val="0"/>
              <w:kinsoku w:val="0"/>
              <w:overflowPunct w:val="0"/>
              <w:spacing w:line="360" w:lineRule="exact"/>
              <w:rPr>
                <w:rFonts w:hint="default"/>
                <w:spacing w:val="2"/>
                <w:sz w:val="20"/>
                <w:u w:val="none" w:color="auto"/>
              </w:rPr>
            </w:pPr>
          </w:p>
          <w:p>
            <w:pPr>
              <w:pStyle w:val="0"/>
              <w:kinsoku w:val="0"/>
              <w:overflowPunct w:val="0"/>
              <w:spacing w:line="360" w:lineRule="exact"/>
              <w:rPr>
                <w:rFonts w:hint="eastAsia"/>
                <w:sz w:val="20"/>
                <w:u w:val="none" w:color="auto"/>
              </w:rPr>
            </w:pPr>
            <w:r>
              <w:rPr>
                <w:rFonts w:hint="default"/>
                <w:sz w:val="20"/>
                <w:u w:val="none" w:color="auto"/>
              </w:rPr>
              <w:t xml:space="preserve">  </w:t>
            </w:r>
            <w:r>
              <w:rPr>
                <w:rFonts w:hint="eastAsia"/>
                <w:sz w:val="20"/>
                <w:u w:val="none" w:color="auto"/>
              </w:rPr>
              <w:t>給料、職員手当等、共済費、報償費、旅費、賃金、需用費（消耗品費、燃料費、印刷製本費及び修繕料）、使用料及び賃借料、役務費（通信運搬費、保険料及び手数料）、委託料、備品購入費（単価</w:t>
            </w:r>
            <w:r>
              <w:rPr>
                <w:rFonts w:hint="eastAsia" w:ascii="ＭＳ 明朝" w:hAnsi="ＭＳ 明朝"/>
                <w:sz w:val="20"/>
                <w:u w:val="none" w:color="auto"/>
              </w:rPr>
              <w:t>30</w:t>
            </w:r>
            <w:r>
              <w:rPr>
                <w:rFonts w:hint="eastAsia"/>
                <w:sz w:val="20"/>
                <w:u w:val="none" w:color="auto"/>
              </w:rPr>
              <w:t>万円以上の備品及びパソコン本体を除く。）並びに助成金</w:t>
            </w:r>
          </w:p>
          <w:p>
            <w:pPr>
              <w:pStyle w:val="0"/>
              <w:kinsoku w:val="0"/>
              <w:overflowPunct w:val="0"/>
              <w:spacing w:line="360" w:lineRule="exact"/>
              <w:rPr>
                <w:rFonts w:hint="eastAsia"/>
                <w:sz w:val="20"/>
                <w:u w:val="none" w:color="auto"/>
              </w:rPr>
            </w:pPr>
          </w:p>
        </w:tc>
      </w:tr>
      <w:tr>
        <w:trPr>
          <w:trHeight w:val="2221" w:hRule="atLeast"/>
        </w:trPr>
        <w:tc>
          <w:tcPr>
            <w:tcW w:w="126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spacing w:line="360" w:lineRule="exact"/>
              <w:rPr>
                <w:rFonts w:hint="eastAsia"/>
                <w:sz w:val="20"/>
                <w:u w:val="none" w:color="auto"/>
              </w:rPr>
            </w:pPr>
            <w:r>
              <w:rPr>
                <w:rFonts w:hint="eastAsia"/>
                <w:sz w:val="20"/>
                <w:u w:val="none" w:color="auto"/>
              </w:rPr>
              <w:t>ボランティア活動推進事業</w:t>
            </w:r>
          </w:p>
        </w:tc>
        <w:tc>
          <w:tcPr>
            <w:tcW w:w="126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spacing w:line="360" w:lineRule="exact"/>
              <w:rPr>
                <w:rFonts w:hint="eastAsia"/>
                <w:sz w:val="20"/>
                <w:u w:val="none" w:color="auto"/>
              </w:rPr>
            </w:pPr>
            <w:r>
              <w:rPr>
                <w:rFonts w:hint="eastAsia"/>
                <w:sz w:val="20"/>
                <w:u w:val="none" w:color="auto"/>
              </w:rPr>
              <w:t>知事が別に定める額</w:t>
            </w:r>
          </w:p>
        </w:tc>
        <w:tc>
          <w:tcPr>
            <w:tcW w:w="630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kinsoku w:val="0"/>
              <w:overflowPunct w:val="0"/>
              <w:spacing w:line="360" w:lineRule="exact"/>
              <w:ind w:firstLine="200" w:firstLineChars="100"/>
              <w:rPr>
                <w:rFonts w:hint="default"/>
                <w:spacing w:val="2"/>
                <w:sz w:val="20"/>
                <w:u w:val="none" w:color="auto"/>
              </w:rPr>
            </w:pPr>
            <w:r>
              <w:rPr>
                <w:rFonts w:hint="eastAsia"/>
                <w:sz w:val="20"/>
                <w:u w:val="none" w:color="auto"/>
              </w:rPr>
              <w:t>地域のボランティア活動の活性化のため、福祉教育やボランティア学習を推進する体制の整備及びボランティア活動に参加しやすい環境整備に必要な次に掲げる経費</w:t>
            </w:r>
          </w:p>
          <w:p>
            <w:pPr>
              <w:pStyle w:val="0"/>
              <w:kinsoku w:val="0"/>
              <w:overflowPunct w:val="0"/>
              <w:spacing w:line="360" w:lineRule="exact"/>
              <w:ind w:firstLine="200" w:firstLineChars="100"/>
              <w:rPr>
                <w:rFonts w:hint="default"/>
                <w:spacing w:val="2"/>
                <w:sz w:val="20"/>
                <w:u w:val="none" w:color="auto"/>
              </w:rPr>
            </w:pPr>
          </w:p>
          <w:p>
            <w:pPr>
              <w:pStyle w:val="0"/>
              <w:spacing w:line="360" w:lineRule="exact"/>
              <w:rPr>
                <w:rFonts w:hint="eastAsia"/>
                <w:sz w:val="20"/>
                <w:u w:val="none" w:color="auto"/>
              </w:rPr>
            </w:pPr>
            <w:r>
              <w:rPr>
                <w:rFonts w:hint="default"/>
                <w:sz w:val="20"/>
                <w:u w:val="none" w:color="auto"/>
              </w:rPr>
              <w:t xml:space="preserve">  </w:t>
            </w:r>
            <w:r>
              <w:rPr>
                <w:rFonts w:hint="eastAsia"/>
                <w:sz w:val="20"/>
                <w:u w:val="none" w:color="auto"/>
              </w:rPr>
              <w:t>給料、職員手当等、共済費、報償費、旅費、賃金、需用費（消耗品費、燃料費、印刷製本費及び修繕料）、使用料及び賃借料、役務費（通信運搬費、保険料及び手数料）、委託料、備品購入費（単価</w:t>
            </w:r>
            <w:r>
              <w:rPr>
                <w:rFonts w:hint="eastAsia" w:ascii="ＭＳ 明朝" w:hAnsi="ＭＳ 明朝"/>
                <w:sz w:val="20"/>
                <w:u w:val="none" w:color="auto"/>
              </w:rPr>
              <w:t>30</w:t>
            </w:r>
            <w:r>
              <w:rPr>
                <w:rFonts w:hint="eastAsia"/>
                <w:sz w:val="20"/>
                <w:u w:val="none" w:color="auto"/>
              </w:rPr>
              <w:t>万円以上の備品及びパソコン本体を除く。）並びに助成金</w:t>
            </w:r>
          </w:p>
          <w:p>
            <w:pPr>
              <w:pStyle w:val="0"/>
              <w:spacing w:line="360" w:lineRule="exact"/>
              <w:rPr>
                <w:rFonts w:hint="eastAsia"/>
                <w:sz w:val="20"/>
                <w:u w:val="none" w:color="auto"/>
              </w:rPr>
            </w:pPr>
          </w:p>
        </w:tc>
      </w:tr>
      <w:tr>
        <w:trPr>
          <w:trHeight w:val="1389" w:hRule="atLeast"/>
        </w:trPr>
        <w:tc>
          <w:tcPr>
            <w:tcW w:w="126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spacing w:line="360" w:lineRule="exact"/>
              <w:rPr>
                <w:rFonts w:hint="eastAsia"/>
                <w:sz w:val="20"/>
                <w:u w:val="none" w:color="auto"/>
              </w:rPr>
            </w:pPr>
            <w:r>
              <w:rPr>
                <w:rFonts w:hint="eastAsia"/>
                <w:sz w:val="20"/>
                <w:u w:val="none" w:color="auto"/>
              </w:rPr>
              <w:t>バーチャルボランティアセンター事業</w:t>
            </w:r>
          </w:p>
        </w:tc>
        <w:tc>
          <w:tcPr>
            <w:tcW w:w="126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spacing w:line="360" w:lineRule="exact"/>
              <w:rPr>
                <w:rFonts w:hint="eastAsia"/>
                <w:sz w:val="20"/>
                <w:u w:val="none" w:color="auto"/>
              </w:rPr>
            </w:pPr>
            <w:r>
              <w:rPr>
                <w:rFonts w:hint="eastAsia"/>
                <w:sz w:val="20"/>
                <w:u w:val="none" w:color="auto"/>
              </w:rPr>
              <w:t>知事が別に定める額</w:t>
            </w:r>
          </w:p>
        </w:tc>
        <w:tc>
          <w:tcPr>
            <w:tcW w:w="6300"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top"/>
          </w:tcPr>
          <w:p>
            <w:pPr>
              <w:pStyle w:val="0"/>
              <w:spacing w:line="360" w:lineRule="exact"/>
              <w:ind w:firstLine="200" w:firstLineChars="100"/>
              <w:rPr>
                <w:rFonts w:hint="eastAsia"/>
                <w:sz w:val="20"/>
                <w:highlight w:val="yellow"/>
                <w:u w:val="none" w:color="auto"/>
              </w:rPr>
            </w:pPr>
            <w:r>
              <w:rPr>
                <w:rFonts w:hint="eastAsia"/>
                <w:sz w:val="20"/>
                <w:highlight w:val="none"/>
                <w:u w:val="none" w:color="auto"/>
              </w:rPr>
              <w:t>各ボランティア団体等が「こうちボランティア・</w:t>
            </w:r>
            <w:r>
              <w:rPr>
                <w:rFonts w:hint="eastAsia"/>
                <w:sz w:val="20"/>
                <w:highlight w:val="none"/>
                <w:u w:val="none" w:color="auto"/>
              </w:rPr>
              <w:t>NPO</w:t>
            </w:r>
            <w:r>
              <w:rPr>
                <w:rFonts w:hint="eastAsia"/>
                <w:sz w:val="20"/>
                <w:highlight w:val="none"/>
                <w:u w:val="none" w:color="auto"/>
              </w:rPr>
              <w:t>情報システム（ピッピネット）」を基盤又は媒体として、情報発信等の主体的な活動を行うことを支援するバーチャルボランティアセンターの運営に必要な次に掲げる経費</w:t>
            </w:r>
          </w:p>
          <w:p>
            <w:pPr>
              <w:pStyle w:val="0"/>
              <w:spacing w:line="360" w:lineRule="exact"/>
              <w:ind w:firstLine="200" w:firstLineChars="100"/>
              <w:rPr>
                <w:rFonts w:hint="eastAsia"/>
                <w:sz w:val="20"/>
                <w:highlight w:val="yellow"/>
                <w:u w:val="none" w:color="auto"/>
              </w:rPr>
            </w:pPr>
          </w:p>
          <w:p>
            <w:pPr>
              <w:pStyle w:val="0"/>
              <w:spacing w:line="360" w:lineRule="exact"/>
              <w:ind w:firstLine="200" w:firstLineChars="100"/>
              <w:rPr>
                <w:rFonts w:hint="eastAsia"/>
                <w:sz w:val="20"/>
                <w:highlight w:val="yellow"/>
                <w:u w:val="none" w:color="auto"/>
              </w:rPr>
            </w:pPr>
            <w:r>
              <w:rPr>
                <w:rFonts w:hint="eastAsia"/>
                <w:sz w:val="20"/>
                <w:highlight w:val="none"/>
                <w:u w:val="none" w:color="auto"/>
              </w:rPr>
              <w:t>報償費、旅費、賃金、需用費（消耗品費、燃料費、印刷製本費及び修繕料）、使用料及び賃借料、役務費（通信運搬費、保険料及び手数料）、委託料並びに備品購入費（単価</w:t>
            </w:r>
            <w:r>
              <w:rPr>
                <w:rFonts w:hint="eastAsia" w:ascii="ＭＳ 明朝" w:hAnsi="ＭＳ 明朝"/>
                <w:sz w:val="20"/>
                <w:highlight w:val="none"/>
                <w:u w:val="none" w:color="auto"/>
              </w:rPr>
              <w:t>30</w:t>
            </w:r>
            <w:r>
              <w:rPr>
                <w:rFonts w:hint="eastAsia"/>
                <w:sz w:val="20"/>
                <w:highlight w:val="none"/>
                <w:u w:val="none" w:color="auto"/>
              </w:rPr>
              <w:t>万円以上の備品及びパソコン本体を除く。）</w:t>
            </w:r>
          </w:p>
          <w:p>
            <w:pPr>
              <w:pStyle w:val="0"/>
              <w:spacing w:line="360" w:lineRule="exact"/>
              <w:ind w:firstLine="200" w:firstLineChars="100"/>
              <w:rPr>
                <w:rFonts w:hint="eastAsia"/>
                <w:sz w:val="20"/>
                <w:highlight w:val="yellow"/>
                <w:u w:val="none" w:color="auto"/>
              </w:rPr>
            </w:pP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別表第２（第５条関係）</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１　暴力団（高知県暴力団排除条例（平成</w:t>
      </w:r>
      <w:r>
        <w:rPr>
          <w:rFonts w:hint="eastAsia" w:asciiTheme="minorEastAsia" w:hAnsiTheme="minorEastAsia" w:eastAsiaTheme="minorEastAsia"/>
        </w:rPr>
        <w:t>22</w:t>
      </w:r>
      <w:r>
        <w:rPr>
          <w:rFonts w:hint="eastAsia" w:asciiTheme="minorEastAsia" w:hAnsiTheme="minorEastAsia" w:eastAsiaTheme="minorEastAsia"/>
        </w:rPr>
        <w:t>年高知県条例第</w:t>
      </w:r>
      <w:r>
        <w:rPr>
          <w:rFonts w:hint="eastAsia" w:asciiTheme="minorEastAsia" w:hAnsiTheme="minorEastAsia" w:eastAsiaTheme="minorEastAsia"/>
        </w:rPr>
        <w:t>36</w:t>
      </w:r>
      <w:r>
        <w:rPr>
          <w:rFonts w:hint="eastAsia" w:asciiTheme="minorEastAsia" w:hAnsiTheme="minorEastAsia" w:eastAsiaTheme="minorEastAsia"/>
        </w:rPr>
        <w:t>号。以下「暴排条例」という。）第２条第１号に規定する暴力団をいう。以下同じ。）又は暴力団員等（同条第３号に規定する暴力団員等をいう。以下同じ。）であるとき。</w:t>
      </w:r>
    </w:p>
    <w:p>
      <w:pPr>
        <w:pStyle w:val="0"/>
        <w:rPr>
          <w:rFonts w:hint="eastAsia" w:asciiTheme="minorEastAsia" w:hAnsiTheme="minorEastAsia" w:eastAsiaTheme="minorEastAsia"/>
        </w:rPr>
      </w:pPr>
      <w:r>
        <w:rPr>
          <w:rFonts w:hint="eastAsia" w:asciiTheme="minorEastAsia" w:hAnsiTheme="minorEastAsia" w:eastAsiaTheme="minorEastAsia"/>
        </w:rPr>
        <w:t>２　暴排条例第</w:t>
      </w:r>
      <w:r>
        <w:rPr>
          <w:rFonts w:hint="eastAsia" w:asciiTheme="minorEastAsia" w:hAnsiTheme="minorEastAsia" w:eastAsiaTheme="minorEastAsia"/>
        </w:rPr>
        <w:t>18</w:t>
      </w:r>
      <w:r>
        <w:rPr>
          <w:rFonts w:hint="eastAsia" w:asciiTheme="minorEastAsia" w:hAnsiTheme="minorEastAsia" w:eastAsiaTheme="minorEastAsia"/>
        </w:rPr>
        <w:t>条又は第</w:t>
      </w:r>
      <w:r>
        <w:rPr>
          <w:rFonts w:hint="eastAsia" w:asciiTheme="minorEastAsia" w:hAnsiTheme="minorEastAsia" w:eastAsiaTheme="minorEastAsia"/>
        </w:rPr>
        <w:t>19</w:t>
      </w:r>
      <w:r>
        <w:rPr>
          <w:rFonts w:hint="eastAsia" w:asciiTheme="minorEastAsia" w:hAnsiTheme="minorEastAsia" w:eastAsiaTheme="minorEastAsia"/>
        </w:rPr>
        <w:t>条の規定に違反した事実があるとき。</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rPr>
          <w:rFonts w:hint="eastAsia" w:asciiTheme="minorEastAsia" w:hAnsiTheme="minorEastAsia" w:eastAsiaTheme="minorEastAsia"/>
        </w:rPr>
      </w:pPr>
      <w:r>
        <w:rPr>
          <w:rFonts w:hint="eastAsia" w:asciiTheme="minorEastAsia" w:hAnsiTheme="minorEastAsia" w:eastAsiaTheme="minorEastAsia"/>
        </w:rPr>
        <w:t>４　暴力団員等がその事業活動を支配しているとき。</w:t>
      </w:r>
    </w:p>
    <w:p>
      <w:pPr>
        <w:pStyle w:val="0"/>
        <w:rPr>
          <w:rFonts w:hint="eastAsia" w:asciiTheme="minorEastAsia" w:hAnsiTheme="minorEastAsia" w:eastAsiaTheme="minorEastAsia"/>
        </w:rPr>
      </w:pPr>
      <w:r>
        <w:rPr>
          <w:rFonts w:hint="eastAsia" w:asciiTheme="minorEastAsia" w:hAnsiTheme="minorEastAsia" w:eastAsiaTheme="minorEastAsia"/>
        </w:rPr>
        <w:t>５　暴力団員等をその業務に従事させ、又はその業務の補助者として使用しているとき。</w:t>
      </w:r>
    </w:p>
    <w:p>
      <w:pPr>
        <w:pStyle w:val="0"/>
        <w:rPr>
          <w:rFonts w:hint="eastAsia" w:asciiTheme="minorEastAsia" w:hAnsiTheme="minorEastAsia" w:eastAsiaTheme="minorEastAsia"/>
        </w:rPr>
      </w:pPr>
      <w:r>
        <w:rPr>
          <w:rFonts w:hint="eastAsia" w:asciiTheme="minorEastAsia" w:hAnsiTheme="minorEastAsia" w:eastAsiaTheme="minorEastAsia"/>
        </w:rPr>
        <w:t>６　暴力団又は暴力団員等がその経営又は運営に実質的に関与しているとき。</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８　業務に関し、暴力団又は暴力団員等が経営又は運営に実質的に関与していると認められる者であることを知りながら、これを利用したとき。</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９　その役員が、自己、その属する法人その他の団体若しくは第三者の利益を図り、又は第三者に損害を加えることを目的として、暴力団又は暴力団員等を利用したとき。</w:t>
      </w:r>
    </w:p>
    <w:p>
      <w:pPr>
        <w:pStyle w:val="0"/>
        <w:rPr>
          <w:rFonts w:hint="eastAsia"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その役員が暴力団又は暴力団員等と社会的に非難されるべき関係を有しているとき。</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2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16pt;mso-wrap-distance-bottom:0pt;margin-top:3.75pt;mso-position-vertical-relative:text;mso-position-horizontal-relative:text;position:absolute;height:599.1pt;mso-wrap-distance-top:0pt;width:423.85pt;mso-wrap-distance-left:16pt;margin-left:0pt;z-index:-503316478;" o:allowincell="t" o:allowoverlap="t" filled="f" stroked="f" strokecolor="#000000" strokeweight="0.5pt" o:spt="75" type="#_x0000_t75">
            <v:fill/>
            <v:stroke opacity="65536f" joinstyle="miter"/>
            <v:imagedata o:title="" r:id="rId7"/>
            <o:lock v:ext="edit" aspectratio="t"/>
            <w10:wrap type="none" anchorx="text" anchory="text"/>
          </v:shape>
          <o:OLEObject Type="Embed" ProgID="JUSTNote.DocObject.8" ShapeID="_x0000_s1026" DrawAspect="Content" ObjectID="" r:id="rId8"/>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wrap-distance-right:16pt;mso-wrap-distance-bottom:0pt;margin-top:3.75pt;mso-position-vertical-relative:text;mso-position-horizontal-relative:text;position:absolute;height:576.85pt;mso-wrap-distance-top:0pt;width:425.95pt;mso-wrap-distance-left:16pt;margin-left:0pt;z-index:-503316477;" o:allowincell="t" o:allowoverlap="t" filled="f" stroked="f" strokecolor="#000000" strokeweight="0.5pt" o:spt="75" type="#_x0000_t75">
            <v:fill/>
            <v:stroke opacity="65536f" joinstyle="miter"/>
            <v:imagedata o:title="" r:id="rId9"/>
            <o:lock v:ext="edit" aspectratio="t"/>
            <w10:wrap type="none" anchorx="text" anchory="text"/>
          </v:shape>
          <o:OLEObject Type="Embed" ProgID="JUSTNote.DocObject.8" ShapeID="_x0000_s1027" DrawAspect="Content" ObjectID="" r:id="rId10"/>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1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so-wrap-distance-right:16pt;mso-wrap-distance-bottom:0pt;margin-top:3.75pt;mso-position-vertical-relative:text;mso-position-horizontal-relative:text;position:absolute;height:580.6pt;mso-wrap-distance-top:0pt;width:423.2pt;mso-wrap-distance-left:16pt;margin-left:0pt;z-index:-503316476;" o:allowincell="t" o:allowoverlap="t" filled="f" stroked="f" strokecolor="#000000" strokeweight="0.5pt" o:spt="75" type="#_x0000_t75">
            <v:fill/>
            <v:stroke opacity="65536f" joinstyle="miter"/>
            <v:imagedata o:title="" r:id="rId11"/>
            <o:lock v:ext="edit" aspectratio="t"/>
            <w10:wrap type="none" anchorx="text" anchory="text"/>
          </v:shape>
          <o:OLEObject Type="Embed" ProgID="JUSTNote.DocObject.8" ShapeID="_x0000_s1028" DrawAspect="Content" ObjectID="" r:id="rId12"/>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2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mso-wrap-distance-right:16pt;mso-wrap-distance-bottom:0pt;margin-top:3.75pt;mso-position-vertical-relative:text;mso-position-horizontal-relative:text;position:absolute;height:620pt;mso-wrap-distance-top:0pt;width:430.8pt;mso-wrap-distance-left:16pt;margin-left:0pt;z-index:-503316475;" o:allowincell="t" o:allowoverlap="t" filled="f" stroked="f" strokecolor="#000000" strokeweight="0.5pt" o:spt="75" type="#_x0000_t75">
            <v:fill/>
            <v:stroke opacity="65536f" joinstyle="miter"/>
            <v:imagedata o:title="" r:id="rId13"/>
            <o:lock v:ext="edit" aspectratio="t"/>
            <w10:wrap type="none" anchorx="text" anchory="text"/>
          </v:shape>
          <o:OLEObject Type="Embed" ProgID="JUSTNote.DocObject.8" ShapeID="_x0000_s1029" DrawAspect="Content" ObjectID="" r:id="rId14"/>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835" w:dyaOrig="11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mso-wrap-distance-right:16pt;mso-wrap-distance-bottom:0pt;margin-top:3.75pt;mso-position-vertical-relative:text;mso-position-horizontal-relative:text;position:absolute;height:591.35pt;mso-wrap-distance-top:0pt;width:438.2pt;mso-wrap-distance-left:16pt;margin-left:0pt;z-index:-503316474;" o:allowincell="t" o:allowoverlap="t" filled="f" stroked="f" strokecolor="#000000" strokeweight="0.5pt" o:spt="75" type="#_x0000_t75">
            <v:fill/>
            <v:stroke opacity="65536f" joinstyle="miter"/>
            <v:imagedata o:title="" r:id="rId15"/>
            <o:lock v:ext="edit" aspectratio="t"/>
            <w10:wrap type="none" anchorx="text" anchory="text"/>
          </v:shape>
          <o:OLEObject Type="Embed" ProgID="JUSTNote.DocObject.8" ShapeID="_x0000_s1030" DrawAspect="Content" ObjectID="" r:id="rId16"/>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rPr>
          <w:rFonts w:hint="eastAsia" w:asciiTheme="minorEastAsia" w:hAnsiTheme="minorEastAsia" w:eastAsiaTheme="minorEastAsia"/>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rPr>
      </w:pPr>
      <w:r>
        <w:rPr>
          <w:rFonts w:hint="eastAsia"/>
        </w:rPr>
        <w:object w:dxaOrig="13605" w:dyaOrig="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mso-wrap-distance-right:16pt;mso-wrap-distance-bottom:0pt;margin-top:1.8pt;mso-position-vertical-relative:text;mso-position-horizontal-relative:text;position:absolute;height:412.95pt;mso-wrap-distance-top:0pt;width:675.85pt;mso-wrap-distance-left:16pt;margin-left:0pt;z-index:-503316473;" o:allowincell="t" o:allowoverlap="t" filled="f" stroked="f" strokecolor="#000000" o:spt="75" type="#_x0000_t75">
            <v:fill/>
            <v:stroke opacity="65536f" joinstyle="miter"/>
            <v:imagedata o:title="" r:id="rId17"/>
            <o:lock v:ext="edit" aspectratio="t"/>
            <w10:wrap type="none" anchorx="text" anchory="text"/>
          </v:shape>
          <o:OLEObject Type="Embed" ProgID="JUSTNote.DocObject.8" ShapeID="_x0000_s1031" DrawAspect="Content" ObjectID="" r:id="rId18"/>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rPr>
          <w:rFonts w:hint="eastAsia" w:asciiTheme="minorEastAsia" w:hAnsiTheme="minorEastAsia" w:eastAsiaTheme="minorEastAsia"/>
        </w:rPr>
        <w:sectPr>
          <w:pgSz w:w="16838" w:h="11906" w:orient="landscape"/>
          <w:pgMar w:top="1701" w:right="1985" w:bottom="1701"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rPr>
      </w:pPr>
      <w:r>
        <w:rPr>
          <w:rFonts w:hint="eastAsia"/>
        </w:rPr>
        <w:object w:dxaOrig="8505" w:dyaOrig="12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mso-wrap-distance-right:16pt;mso-wrap-distance-bottom:0pt;margin-top:3.75pt;mso-position-vertical-relative:text;mso-position-horizontal-relative:text;position:absolute;height:648.45000000000005pt;mso-wrap-distance-top:0pt;width:430.85pt;mso-wrap-distance-left:16pt;margin-left:0pt;z-index:-503316472;" o:allowincell="t" o:allowoverlap="t" filled="f" stroked="f" strokecolor="#000000" strokeweight="0.5pt" o:spt="75" type="#_x0000_t75">
            <v:fill/>
            <v:stroke opacity="65536f" joinstyle="miter"/>
            <v:imagedata o:title="" r:id="rId19"/>
            <o:lock v:ext="edit" aspectratio="t"/>
            <w10:wrap type="none" anchorx="text" anchory="text"/>
          </v:shape>
          <o:OLEObject Type="Embed" ProgID="JUSTNote.DocObject.8" ShapeID="_x0000_s1032" DrawAspect="Content" ObjectID="" r:id="rId20"/>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mso-wrap-distance-right:16pt;mso-wrap-distance-bottom:0pt;margin-top:3.75pt;mso-position-vertical-relative:text;mso-position-horizontal-relative:text;position:absolute;height:634.1pt;mso-wrap-distance-top:0pt;width:425.1pt;mso-wrap-distance-left:16pt;margin-left:0pt;z-index:-503316471;" o:allowincell="t" o:allowoverlap="t" filled="f" stroked="f" strokecolor="#000000" o:spt="75" type="#_x0000_t75">
            <v:fill/>
            <v:stroke opacity="65536f" joinstyle="miter"/>
            <v:imagedata o:title="" r:id="rId21"/>
            <o:lock v:ext="edit" aspectratio="t"/>
            <w10:wrap type="none" anchorx="text" anchory="text"/>
          </v:shape>
          <o:OLEObject Type="Embed" ProgID="JUSTNote.DocObject.8" ShapeID="_x0000_s1033" DrawAspect="Content" ObjectID="" r:id="rId22"/>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mso-wrap-distance-right:16pt;mso-wrap-distance-bottom:0pt;margin-top:3.75pt;mso-position-vertical-relative:text;mso-position-horizontal-relative:text;position:absolute;height:634.1pt;mso-wrap-distance-top:0pt;width:425.1pt;mso-wrap-distance-left:16pt;margin-left:0pt;z-index:-503316470;" o:allowincell="t" o:allowoverlap="t" filled="f" stroked="f" strokecolor="#000000" o:spt="75" type="#_x0000_t75">
            <v:fill/>
            <v:stroke opacity="65536f" joinstyle="miter"/>
            <v:imagedata o:title="" r:id="rId23"/>
            <o:lock v:ext="edit" aspectratio="t"/>
            <w10:wrap type="none" anchorx="text" anchory="text"/>
          </v:shape>
          <o:OLEObject Type="Embed" ProgID="JUSTNote.DocObject.8" ShapeID="_x0000_s1034" DrawAspect="Content" ObjectID="" r:id="rId24"/>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2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mso-wrap-distance-right:16pt;mso-wrap-distance-bottom:0pt;margin-top:3.75pt;mso-position-vertical-relative:text;mso-position-horizontal-relative:text;position:absolute;height:639pt;mso-wrap-distance-top:0pt;width:422.95pt;mso-wrap-distance-left:16pt;margin-left:0pt;z-index:-503316469;" o:allowincell="t" o:allowoverlap="t" filled="f" stroked="f" strokecolor="#000000" strokeweight="0.5pt" o:spt="75" type="#_x0000_t75">
            <v:fill/>
            <v:stroke opacity="65536f" joinstyle="miter"/>
            <v:imagedata o:title="" r:id="rId25"/>
            <o:lock v:ext="edit" aspectratio="t"/>
            <w10:wrap type="none" anchorx="text" anchory="text"/>
          </v:shape>
          <o:OLEObject Type="Embed" ProgID="JUSTNote.DocObject.8" ShapeID="_x0000_s1035" DrawAspect="Content" ObjectID="" r:id="rId26"/>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rPr>
          <w:rFonts w:hint="eastAsia" w:asciiTheme="minorEastAsia" w:hAnsiTheme="minorEastAsia" w:eastAsiaTheme="minorEastAsia"/>
        </w:rPr>
        <w:sectPr>
          <w:pgSz w:w="11906" w:h="16838"/>
          <w:pgMar w:top="1985" w:right="1701" w:bottom="1701" w:left="1701" w:header="851" w:footer="992" w:gutter="0"/>
          <w:pgBorders w:zOrder="front" w:display="allPages" w:offsetFrom="page"/>
          <w:pgNumType w:fmt="numberInDash"/>
          <w:cols w:space="720"/>
          <w:textDirection w:val="lrTb"/>
          <w:docGrid w:type="lines" w:linePitch="360"/>
        </w:sect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13155"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style="mso-wrap-distance-right:16pt;mso-wrap-distance-bottom:0pt;margin-top:3.75pt;mso-position-vertical-relative:text;mso-position-horizontal-relative:text;position:absolute;height:393.35pt;mso-wrap-distance-top:0pt;width:656.25pt;mso-wrap-distance-left:16pt;margin-left:0pt;z-index:-503316468;" o:allowincell="t" o:allowoverlap="t" filled="f" stroked="f" strokecolor="#000000" strokeweight="0.5pt" o:spt="75" type="#_x0000_t75">
            <v:fill/>
            <v:stroke opacity="65536f" joinstyle="miter"/>
            <v:imagedata o:title="" r:id="rId27"/>
            <o:lock v:ext="edit" aspectratio="t"/>
            <w10:wrap type="none" anchorx="text" anchory="text"/>
          </v:shape>
          <o:OLEObject Type="Embed" ProgID="JUSTNote.DocObject.8" ShapeID="_x0000_s1036" DrawAspect="Content" ObjectID="" r:id="rId28"/>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13890" w:dyaOrig="8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mso-wrap-distance-right:16pt;mso-wrap-distance-bottom:0pt;margin-top:3.75pt;mso-position-vertical-relative:text;mso-position-horizontal-relative:text;position:absolute;height:414pt;mso-wrap-distance-top:0pt;width:707.5pt;mso-wrap-distance-left:16pt;margin-left:0pt;z-index:-503316467;" o:allowincell="t" o:allowoverlap="t" filled="f" stroked="f" strokecolor="#000000" strokeweight="0.5pt" o:spt="75" type="#_x0000_t75">
            <v:fill/>
            <v:stroke opacity="65536f" joinstyle="miter"/>
            <v:imagedata o:title="" r:id="rId29"/>
            <o:lock v:ext="edit" aspectratio="t"/>
            <w10:wrap type="none" anchorx="text" anchory="text"/>
          </v:shape>
          <o:OLEObject Type="Embed" ProgID="JUSTNote.DocObject.8" ShapeID="_x0000_s1037" DrawAspect="Content" ObjectID="" r:id="rId30"/>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rPr>
          <w:rFonts w:hint="eastAsia" w:asciiTheme="minorEastAsia" w:hAnsiTheme="minorEastAsia" w:eastAsiaTheme="minorEastAsia"/>
        </w:rPr>
        <w:sectPr>
          <w:pgSz w:w="16838" w:h="11906" w:orient="landscape"/>
          <w:pgMar w:top="1701" w:right="1985" w:bottom="1701"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style="mso-wrap-distance-right:16pt;mso-wrap-distance-bottom:0pt;margin-top:3.75pt;mso-position-vertical-relative:text;mso-position-horizontal-relative:text;position:absolute;height:625.75pt;mso-wrap-distance-top:0pt;width:416.1pt;mso-wrap-distance-left:16pt;margin-left:0pt;z-index:-503316466;" o:allowincell="t" o:allowoverlap="t" filled="f" stroked="f" strokecolor="#000000" strokeweight="0.5pt" o:spt="75" type="#_x0000_t75">
            <v:fill/>
            <v:stroke opacity="65536f" joinstyle="miter"/>
            <v:imagedata o:title="" r:id="rId31"/>
            <o:lock v:ext="edit" aspectratio="t"/>
            <w10:wrap type="none" anchorx="text" anchory="text"/>
          </v:shape>
          <o:OLEObject Type="Embed" ProgID="JUSTNote.DocObject.8" ShapeID="_x0000_s1038" DrawAspect="Content" ObjectID="" r:id="rId32"/>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style="mso-wrap-distance-right:16pt;mso-wrap-distance-bottom:0pt;margin-top:3.75pt;mso-position-vertical-relative:text;mso-position-horizontal-relative:text;position:absolute;height:571.5pt;mso-wrap-distance-top:0pt;width:424.1pt;mso-wrap-distance-left:16pt;margin-left:0pt;z-index:-503316465;" o:allowincell="t" o:allowoverlap="t" filled="f" stroked="f" strokecolor="#000000" o:spt="75" type="#_x0000_t75">
            <v:fill/>
            <v:stroke opacity="65536f" joinstyle="miter"/>
            <v:imagedata o:title="" r:id="rId33"/>
            <o:lock v:ext="edit" aspectratio="t"/>
            <w10:wrap type="none" anchorx="text" anchory="text"/>
          </v:shape>
          <o:OLEObject Type="Embed" ProgID="JUSTNote.DocObject.8" ShapeID="_x0000_s1039" DrawAspect="Content" ObjectID="" r:id="rId34"/>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style="mso-wrap-distance-right:16pt;mso-wrap-distance-bottom:0pt;margin-top:3.75pt;mso-position-vertical-relative:text;mso-position-horizontal-relative:text;position:absolute;height:584.75pt;mso-wrap-distance-top:0pt;width:433.85pt;mso-wrap-distance-left:16pt;margin-left:0pt;z-index:-503316464;" o:allowincell="t" o:allowoverlap="t" filled="f" stroked="f" strokecolor="#000000" o:spt="75" type="#_x0000_t75">
            <v:fill/>
            <v:stroke opacity="65536f" joinstyle="miter"/>
            <v:imagedata o:title="" r:id="rId35"/>
            <o:lock v:ext="edit" aspectratio="t"/>
            <w10:wrap type="none" anchorx="text" anchory="text"/>
          </v:shape>
          <o:OLEObject Type="Embed" ProgID="JUSTNote.DocObject.8" ShapeID="_x0000_s1040" DrawAspect="Content" ObjectID="" r:id="rId36"/>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object w:dxaOrig="8505" w:dyaOrig="12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style="mso-wrap-distance-right:16pt;mso-wrap-distance-bottom:0pt;margin-top:3.7pt;mso-position-vertical-relative:text;mso-position-horizontal-relative:text;position:absolute;height:636.6pt;mso-wrap-distance-top:0pt;width:421.95pt;mso-wrap-distance-left:16pt;margin-left:0pt;z-index:-503316463;" o:allowincell="t" o:allowoverlap="t" filled="f" stroked="f" strokecolor="#000000" o:spt="75" type="#_x0000_t75">
            <v:fill/>
            <v:stroke opacity="65536f" joinstyle="miter"/>
            <v:imagedata o:title="" r:id="rId37"/>
            <o:lock v:ext="edit" aspectratio="t"/>
            <w10:wrap type="none" anchorx="text" anchory="text"/>
          </v:shape>
          <o:OLEObject Type="Embed" ProgID="JUSTNote.DocObject.8" ShapeID="_x0000_s1041" DrawAspect="Content" ObjectID="" r:id="rId38"/>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rPr>
          <w:rFonts w:hint="eastAsia" w:asciiTheme="minorEastAsia" w:hAnsiTheme="minorEastAsia" w:eastAsiaTheme="minorEastAsia"/>
        </w:rPr>
        <w:sectPr>
          <w:pgSz w:w="11906" w:h="16838"/>
          <w:pgMar w:top="1985" w:right="1701" w:bottom="1701"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rPr>
      </w:pPr>
      <w:r>
        <w:rPr>
          <w:rFonts w:hint="eastAsia"/>
        </w:rPr>
        <w:object w:dxaOrig="13155" w:dyaOrig="8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style="mso-wrap-distance-right:16pt;mso-wrap-distance-bottom:0pt;margin-top:17.850000000000001pt;mso-position-vertical-relative:text;mso-position-horizontal-relative:text;position:absolute;height:402.85pt;mso-wrap-distance-top:0pt;width:656.6pt;mso-wrap-distance-left:16pt;margin-left:0pt;z-index:-503316462;" o:allowincell="t" o:allowoverlap="t" filled="f" stroked="f" strokecolor="#000000" o:spt="75" type="#_x0000_t75">
            <v:fill/>
            <v:stroke opacity="65536f" joinstyle="miter"/>
            <v:imagedata o:title="" r:id="rId39"/>
            <o:lock v:ext="edit" aspectratio="t"/>
            <w10:wrap type="none" anchorx="text" anchory="text"/>
          </v:shape>
          <o:OLEObject Type="Embed" ProgID="JUSTNote.DocObject.8" ShapeID="_x0000_s1042" DrawAspect="Content" ObjectID="" r:id="rId40"/>
        </w:obje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6</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oleObject" Target="embeddings/oleObject1.bin" /><Relationship Id="rId9" Type="http://schemas.openxmlformats.org/officeDocument/2006/relationships/image" Target="media/image2.emf" /><Relationship Id="rId10" Type="http://schemas.openxmlformats.org/officeDocument/2006/relationships/oleObject" Target="embeddings/oleObject2.bin" /><Relationship Id="rId11" Type="http://schemas.openxmlformats.org/officeDocument/2006/relationships/image" Target="media/image3.emf" /><Relationship Id="rId12" Type="http://schemas.openxmlformats.org/officeDocument/2006/relationships/oleObject" Target="embeddings/oleObject3.bin" /><Relationship Id="rId13" Type="http://schemas.openxmlformats.org/officeDocument/2006/relationships/image" Target="media/image4.emf" /><Relationship Id="rId14" Type="http://schemas.openxmlformats.org/officeDocument/2006/relationships/oleObject" Target="embeddings/oleObject4.bin" /><Relationship Id="rId15" Type="http://schemas.openxmlformats.org/officeDocument/2006/relationships/image" Target="media/image5.emf" /><Relationship Id="rId16" Type="http://schemas.openxmlformats.org/officeDocument/2006/relationships/oleObject" Target="embeddings/oleObject5.bin" /><Relationship Id="rId17" Type="http://schemas.openxmlformats.org/officeDocument/2006/relationships/image" Target="media/image6.emf" /><Relationship Id="rId18" Type="http://schemas.openxmlformats.org/officeDocument/2006/relationships/oleObject" Target="embeddings/oleObject6.bin" /><Relationship Id="rId19" Type="http://schemas.openxmlformats.org/officeDocument/2006/relationships/image" Target="media/image7.emf" /><Relationship Id="rId20" Type="http://schemas.openxmlformats.org/officeDocument/2006/relationships/oleObject" Target="embeddings/oleObject7.bin" /><Relationship Id="rId21" Type="http://schemas.openxmlformats.org/officeDocument/2006/relationships/image" Target="media/image8.emf" /><Relationship Id="rId22" Type="http://schemas.openxmlformats.org/officeDocument/2006/relationships/oleObject" Target="embeddings/oleObject8.bin" /><Relationship Id="rId23" Type="http://schemas.openxmlformats.org/officeDocument/2006/relationships/image" Target="media/image9.emf" /><Relationship Id="rId24" Type="http://schemas.openxmlformats.org/officeDocument/2006/relationships/oleObject" Target="embeddings/oleObject9.bin" /><Relationship Id="rId25" Type="http://schemas.openxmlformats.org/officeDocument/2006/relationships/image" Target="media/image10.emf" /><Relationship Id="rId26" Type="http://schemas.openxmlformats.org/officeDocument/2006/relationships/oleObject" Target="embeddings/oleObject10.bin" /><Relationship Id="rId27" Type="http://schemas.openxmlformats.org/officeDocument/2006/relationships/image" Target="media/image11.emf" /><Relationship Id="rId28" Type="http://schemas.openxmlformats.org/officeDocument/2006/relationships/oleObject" Target="embeddings/oleObject11.bin" /><Relationship Id="rId29" Type="http://schemas.openxmlformats.org/officeDocument/2006/relationships/image" Target="media/image12.emf" /><Relationship Id="rId30" Type="http://schemas.openxmlformats.org/officeDocument/2006/relationships/oleObject" Target="embeddings/oleObject12.bin" /><Relationship Id="rId31" Type="http://schemas.openxmlformats.org/officeDocument/2006/relationships/image" Target="media/image13.emf" /><Relationship Id="rId32" Type="http://schemas.openxmlformats.org/officeDocument/2006/relationships/oleObject" Target="embeddings/oleObject13.bin" /><Relationship Id="rId33" Type="http://schemas.openxmlformats.org/officeDocument/2006/relationships/image" Target="media/image14.emf" /><Relationship Id="rId34" Type="http://schemas.openxmlformats.org/officeDocument/2006/relationships/oleObject" Target="embeddings/oleObject14.bin" /><Relationship Id="rId35" Type="http://schemas.openxmlformats.org/officeDocument/2006/relationships/image" Target="media/image15.emf" /><Relationship Id="rId36" Type="http://schemas.openxmlformats.org/officeDocument/2006/relationships/oleObject" Target="embeddings/oleObject15.bin" /><Relationship Id="rId37" Type="http://schemas.openxmlformats.org/officeDocument/2006/relationships/image" Target="media/image16.emf" /><Relationship Id="rId38" Type="http://schemas.openxmlformats.org/officeDocument/2006/relationships/oleObject" Target="embeddings/oleObject16.bin" /><Relationship Id="rId39" Type="http://schemas.openxmlformats.org/officeDocument/2006/relationships/image" Target="media/image17.emf" /><Relationship Id="rId40" Type="http://schemas.openxmlformats.org/officeDocument/2006/relationships/oleObject" Target="embeddings/oleObject17.bin" /><Relationship Id="rId4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23</Pages>
  <Words>50</Words>
  <Characters>4272</Characters>
  <Application>JUST Note</Application>
  <Lines>797</Lines>
  <Paragraphs>89</Paragraphs>
  <CharactersWithSpaces>4410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448969</dc:creator>
  <cp:lastModifiedBy>448969</cp:lastModifiedBy>
  <cp:lastPrinted>2024-03-06T14:09:25Z</cp:lastPrinted>
  <dcterms:created xsi:type="dcterms:W3CDTF">2021-02-28T02:59:00Z</dcterms:created>
  <dcterms:modified xsi:type="dcterms:W3CDTF">2024-03-07T00:47:34Z</dcterms:modified>
  <cp:revision>9</cp:revision>
</cp:coreProperties>
</file>