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embeddings/oleObject1.xlsx" ContentType="application/vnd.openxmlformats-officedocument.spreadsheetml.sheet"/>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2.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olors3.xml" ContentType="application/vnd.ms-office.chartcolorstyle+xml"/>
  <Override PartName="/word/charts/style3.xml" ContentType="application/vnd.ms-office.chart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olors5.xml" ContentType="application/vnd.ms-office.chartcolorstyle+xml"/>
  <Override PartName="/word/charts/style5.xml" ContentType="application/vnd.ms-office.chartstyl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after="165" w:afterLines="50" w:afterAutospacing="0"/>
        <w:rPr>
          <w:rFonts w:hint="eastAsia"/>
          <w:b w:val="1"/>
          <w:color w:val="1F497D"/>
          <w:spacing w:val="2"/>
          <w:sz w:val="32"/>
          <w:highlight w:val="none"/>
        </w:rPr>
      </w:pPr>
      <w:r>
        <w:rPr>
          <w:rFonts w:hint="eastAsia"/>
          <w:b w:val="1"/>
          <w:color w:val="1F497D"/>
          <w:spacing w:val="2"/>
          <w:sz w:val="32"/>
        </w:rPr>
        <w:t>第４章　医療従事者の確保と資質の向上</w:t>
      </w:r>
    </w:p>
    <w:p>
      <w:pPr>
        <w:pStyle w:val="0"/>
        <w:tabs>
          <w:tab w:val="left" w:leader="none" w:pos="4280"/>
        </w:tabs>
        <w:spacing w:after="165" w:afterLines="50" w:afterAutospacing="0"/>
        <w:rPr>
          <w:rFonts w:hint="eastAsia"/>
          <w:b w:val="1"/>
          <w:color w:val="1F497D"/>
          <w:sz w:val="28"/>
          <w:highlight w:val="none"/>
        </w:rPr>
      </w:pPr>
      <w:r>
        <w:rPr>
          <w:rFonts w:hint="eastAsia"/>
          <w:b w:val="1"/>
          <w:color w:val="1F497D"/>
          <w:sz w:val="28"/>
        </w:rPr>
        <w:t>第１節　医師（医師確保計画）</w:t>
      </w:r>
      <w:r>
        <w:rPr>
          <w:rFonts w:hint="default"/>
          <w:b w:val="1"/>
          <w:color w:val="1F497D"/>
          <w:sz w:val="28"/>
          <w:highlight w:val="none"/>
        </w:rPr>
        <w:tab/>
      </w:r>
    </w:p>
    <w:p>
      <w:pPr>
        <w:pStyle w:val="0"/>
        <w:spacing w:after="165" w:afterLines="50" w:afterAutospacing="0" w:line="240" w:lineRule="auto"/>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第１　基本的事項</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計画策定の趣旨</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医師の偏在は、地域間、診療科間のそれぞれにおいて、長きにわたり課題として認識されながら、現時点においても解消が図られていません。</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20</w:t>
      </w:r>
      <w:r>
        <w:rPr>
          <w:rFonts w:hint="eastAsia" w:ascii="ＭＳ 明朝" w:hAnsi="ＭＳ 明朝" w:eastAsia="ＭＳ 明朝"/>
          <w:kern w:val="2"/>
          <w:sz w:val="22"/>
          <w:highlight w:val="none"/>
        </w:rPr>
        <w:t>年度以降、地域枠を中心とした全国的な医師数の増加等が行われてきましたが、医師偏在対策が十分図られなければ、地域や診療科といったミクロの領域での医師不足の解消にはつながりません。</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このため、「医療従事者の需給に関する検討会医師需給分科会」において、早急に対応する必要のある実効的な医師偏在対策について検討が行われ、平成</w:t>
      </w:r>
      <w:r>
        <w:rPr>
          <w:rFonts w:hint="eastAsia" w:ascii="ＭＳ 明朝" w:hAnsi="ＭＳ 明朝" w:eastAsia="ＭＳ 明朝"/>
          <w:kern w:val="2"/>
          <w:sz w:val="22"/>
          <w:highlight w:val="none"/>
        </w:rPr>
        <w:t>29</w:t>
      </w:r>
      <w:r>
        <w:rPr>
          <w:rFonts w:hint="eastAsia" w:ascii="ＭＳ 明朝" w:hAnsi="ＭＳ 明朝" w:eastAsia="ＭＳ 明朝"/>
          <w:kern w:val="2"/>
          <w:sz w:val="22"/>
          <w:highlight w:val="none"/>
        </w:rPr>
        <w:t>年</w:t>
      </w:r>
      <w:r>
        <w:rPr>
          <w:rFonts w:hint="eastAsia" w:ascii="ＭＳ 明朝" w:hAnsi="ＭＳ 明朝" w:eastAsia="ＭＳ 明朝"/>
          <w:kern w:val="2"/>
          <w:sz w:val="22"/>
          <w:highlight w:val="none"/>
        </w:rPr>
        <w:t>12</w:t>
      </w:r>
      <w:r>
        <w:rPr>
          <w:rFonts w:hint="eastAsia" w:ascii="ＭＳ 明朝" w:hAnsi="ＭＳ 明朝" w:eastAsia="ＭＳ 明朝"/>
          <w:kern w:val="2"/>
          <w:sz w:val="22"/>
          <w:highlight w:val="none"/>
        </w:rPr>
        <w:t>月に第２次中間取りまとめがなされました。平成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年３月には、この取りまとめで示された具体的な医師偏在対策について、「医療法及び医師法の一部を改正する法律案」（以下「改正法」という。）が第</w:t>
      </w:r>
      <w:r>
        <w:rPr>
          <w:rFonts w:hint="eastAsia" w:ascii="ＭＳ 明朝" w:hAnsi="ＭＳ 明朝" w:eastAsia="ＭＳ 明朝"/>
          <w:kern w:val="2"/>
          <w:sz w:val="22"/>
          <w:highlight w:val="none"/>
        </w:rPr>
        <w:t>196</w:t>
      </w:r>
      <w:r>
        <w:rPr>
          <w:rFonts w:hint="eastAsia" w:ascii="ＭＳ 明朝" w:hAnsi="ＭＳ 明朝" w:eastAsia="ＭＳ 明朝"/>
          <w:kern w:val="2"/>
          <w:sz w:val="22"/>
          <w:highlight w:val="none"/>
        </w:rPr>
        <w:t>回通常国会に提出され、同年７月に成立しました。</w:t>
      </w:r>
    </w:p>
    <w:p>
      <w:pPr>
        <w:pStyle w:val="0"/>
        <w:spacing w:line="240" w:lineRule="auto"/>
        <w:ind w:left="227" w:leftChars="100" w:right="0" w:rightChars="0" w:firstLine="227" w:firstLineChars="100"/>
        <w:jc w:val="both"/>
        <w:rPr>
          <w:rFonts w:hint="eastAsia" w:ascii="游明朝" w:hAnsi="游明朝" w:eastAsia="游明朝"/>
          <w:b w:val="1"/>
          <w:color w:val="auto"/>
          <w:sz w:val="24"/>
          <w:highlight w:val="none"/>
          <w:u w:val="none" w:color="auto"/>
        </w:rPr>
      </w:pPr>
      <w:r>
        <w:rPr>
          <w:rFonts w:hint="eastAsia" w:ascii="ＭＳ 明朝" w:hAnsi="ＭＳ 明朝" w:eastAsia="ＭＳ 明朝"/>
          <w:kern w:val="2"/>
          <w:sz w:val="22"/>
          <w:highlight w:val="none"/>
        </w:rPr>
        <w:t>改正法に基づき、国において全国ベースで三次医療圏ごと及び二次医療圏ごとの医師の多寡を統一的、これまでより客観的に比較・評価した指標（以下「医師偏在指標」という。）が算定され、都道府県においては、三次医療圏間及び二次医療圏間の偏在是正に資する医師確保対策等を、医療計画の中に新たに「医師確保計画」として平成</w:t>
      </w:r>
      <w:r>
        <w:rPr>
          <w:rFonts w:hint="eastAsia" w:ascii="ＭＳ 明朝" w:hAnsi="ＭＳ 明朝" w:eastAsia="ＭＳ 明朝"/>
          <w:kern w:val="2"/>
          <w:sz w:val="22"/>
          <w:highlight w:val="none"/>
        </w:rPr>
        <w:t>31</w:t>
      </w:r>
      <w:r>
        <w:rPr>
          <w:rFonts w:hint="eastAsia" w:ascii="ＭＳ 明朝" w:hAnsi="ＭＳ 明朝" w:eastAsia="ＭＳ 明朝"/>
          <w:kern w:val="2"/>
          <w:sz w:val="22"/>
          <w:highlight w:val="none"/>
        </w:rPr>
        <w:t>年度中に策定することとなり</w:t>
      </w:r>
      <w:r>
        <w:rPr>
          <w:rFonts w:hint="eastAsia" w:ascii="ＭＳ 明朝" w:hAnsi="ＭＳ 明朝" w:eastAsia="ＭＳ 明朝"/>
          <w:color w:val="auto"/>
          <w:kern w:val="2"/>
          <w:sz w:val="22"/>
          <w:highlight w:val="none"/>
          <w:u w:val="none" w:color="auto"/>
        </w:rPr>
        <w:t>、本県おいては、医療計画の一部として「医師確保計画」を平成</w:t>
      </w:r>
      <w:r>
        <w:rPr>
          <w:rFonts w:hint="eastAsia" w:ascii="ＭＳ 明朝" w:hAnsi="ＭＳ 明朝" w:eastAsia="ＭＳ 明朝"/>
          <w:color w:val="auto"/>
          <w:kern w:val="2"/>
          <w:sz w:val="22"/>
          <w:highlight w:val="none"/>
          <w:u w:val="none" w:color="auto"/>
        </w:rPr>
        <w:t>31</w:t>
      </w:r>
      <w:r>
        <w:rPr>
          <w:rFonts w:hint="eastAsia" w:ascii="ＭＳ 明朝" w:hAnsi="ＭＳ 明朝" w:eastAsia="ＭＳ 明朝"/>
          <w:color w:val="auto"/>
          <w:kern w:val="2"/>
          <w:sz w:val="22"/>
          <w:highlight w:val="none"/>
          <w:u w:val="none" w:color="auto"/>
        </w:rPr>
        <w:t>年度に策定</w:t>
      </w:r>
      <w:r>
        <w:rPr>
          <w:rFonts w:hint="eastAsia" w:ascii="ＭＳ 明朝" w:hAnsi="ＭＳ 明朝" w:eastAsia="ＭＳ 明朝"/>
          <w:strike w:val="0"/>
          <w:dstrike w:val="0"/>
          <w:color w:val="auto"/>
          <w:kern w:val="2"/>
          <w:sz w:val="22"/>
          <w:highlight w:val="none"/>
          <w:u w:val="none" w:color="auto"/>
        </w:rPr>
        <w:t>しました。</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なお、第８期医師確保計画については、第８期保健医療計画に追加し策定することとし、「第４章　第１節　医師」の項目と合わせて記載しています。</w:t>
      </w:r>
    </w:p>
    <w:p>
      <w:pPr>
        <w:pStyle w:val="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計画の期間</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高知県保健医療計画（第</w:t>
      </w:r>
      <w:r>
        <w:rPr>
          <w:rFonts w:hint="eastAsia" w:ascii="ＭＳ 明朝" w:hAnsi="ＭＳ 明朝" w:eastAsia="ＭＳ 明朝"/>
          <w:color w:val="auto"/>
          <w:kern w:val="2"/>
          <w:sz w:val="22"/>
          <w:highlight w:val="none"/>
          <w:u w:val="none" w:color="auto"/>
        </w:rPr>
        <w:t>８期）に合わせ、令和６年度から令和</w:t>
      </w:r>
      <w:r>
        <w:rPr>
          <w:rFonts w:hint="eastAsia" w:ascii="ＭＳ 明朝" w:hAnsi="ＭＳ 明朝" w:eastAsia="ＭＳ 明朝"/>
          <w:color w:val="auto"/>
          <w:kern w:val="2"/>
          <w:sz w:val="22"/>
          <w:highlight w:val="none"/>
          <w:u w:val="none" w:color="auto"/>
        </w:rPr>
        <w:t>11</w:t>
      </w:r>
      <w:r>
        <w:rPr>
          <w:rFonts w:hint="eastAsia" w:ascii="ＭＳ 明朝" w:hAnsi="ＭＳ 明朝" w:eastAsia="ＭＳ 明朝"/>
          <w:kern w:val="2"/>
          <w:sz w:val="22"/>
          <w:highlight w:val="none"/>
        </w:rPr>
        <w:t>年度までの６年間とし、３年ごとに見直しを行い、本県における医師の偏在の解消をめざします。</w:t>
      </w:r>
    </w:p>
    <w:p>
      <w:pPr>
        <w:pStyle w:val="0"/>
        <w:jc w:val="both"/>
        <w:rPr>
          <w:rFonts w:hint="eastAsia"/>
          <w:kern w:val="2"/>
          <w:highlight w:val="none"/>
        </w:rPr>
      </w:pPr>
      <w:r>
        <w:rPr>
          <w:rFonts w:hint="eastAsia"/>
          <w:highlight w:val="none"/>
        </w:rPr>
        <mc:AlternateContent>
          <mc:Choice Requires="wps">
            <w:drawing>
              <wp:anchor distT="0" distB="0" distL="203200" distR="203200" simplePos="0" relativeHeight="17" behindDoc="0" locked="0" layoutInCell="1" hidden="0" allowOverlap="1">
                <wp:simplePos x="0" y="0"/>
                <wp:positionH relativeFrom="column">
                  <wp:align>center</wp:align>
                </wp:positionH>
                <wp:positionV relativeFrom="paragraph">
                  <wp:posOffset>105410</wp:posOffset>
                </wp:positionV>
                <wp:extent cx="2095500" cy="28321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a:spLocks noChangeArrowheads="1"/>
                      </wps:cNvSpPr>
                      <wps:spPr>
                        <a:xfrm>
                          <a:off x="0" y="0"/>
                          <a:ext cx="2095500" cy="283210"/>
                        </a:xfrm>
                        <a:prstGeom prst="rect">
                          <a:avLst/>
                        </a:prstGeom>
                        <a:noFill/>
                        <a:ln cap="flat" cmpd="sng">
                          <a:prstDash val="solid"/>
                          <a:miter lim="800000"/>
                          <a:headEnd type="none" w="med" len="med"/>
                          <a:tailEnd type="none" w="med" len="med"/>
                        </a:ln>
                      </wps:spPr>
                      <wps:txbx>
                        <w:txbxContent>
                          <w:p>
                            <w:pPr>
                              <w:pStyle w:val="0"/>
                              <w:jc w:val="center"/>
                              <w:rPr>
                                <w:rFonts w:hint="eastAsia"/>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4-1-1</w:t>
                            </w:r>
                            <w:r>
                              <w:rPr>
                                <w:rFonts w:hint="eastAsia" w:ascii="ＭＳ ゴシック" w:hAnsi="ＭＳ ゴシック" w:eastAsia="ＭＳ ゴシック"/>
                                <w:sz w:val="22"/>
                              </w:rPr>
                              <w:t>）計画の期間</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3000000000000007pt;mso-position-vertical-relative:text;mso-position-horizontal:center;mso-position-horizontal-relative:text;position:absolute;height:22.3pt;mso-wrap-distance-top:0pt;width:165pt;mso-wrap-distance-left:16pt;z-index:17;" o:spid="_x0000_s102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4-1-1</w:t>
                      </w:r>
                      <w:r>
                        <w:rPr>
                          <w:rFonts w:hint="eastAsia" w:ascii="ＭＳ ゴシック" w:hAnsi="ＭＳ ゴシック" w:eastAsia="ＭＳ ゴシック"/>
                          <w:sz w:val="22"/>
                        </w:rPr>
                        <w:t>）計画の期間</w:t>
                      </w:r>
                    </w:p>
                  </w:txbxContent>
                </v:textbox>
                <v:imagedata o:title=""/>
                <w10:wrap type="none" anchorx="text" anchory="text"/>
              </v:shape>
            </w:pict>
          </mc:Fallback>
        </mc:AlternateContent>
      </w:r>
    </w:p>
    <w:p>
      <w:pPr>
        <w:pStyle w:val="0"/>
        <w:spacing w:line="240" w:lineRule="auto"/>
        <w:jc w:val="both"/>
        <w:rPr>
          <w:rFonts w:hint="eastAsia"/>
          <w:kern w:val="2"/>
          <w:highlight w:val="none"/>
        </w:rPr>
      </w:pPr>
      <w:r>
        <w:rPr>
          <w:rFonts w:hint="eastAsia"/>
          <w:highlight w:val="none"/>
        </w:rPr>
        <w:object w:dxaOrig="11910"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style="mso-wrap-distance-right:16pt;mso-wrap-distance-bottom:0pt;margin-top:12.55pt;mso-position-vertical-relative:text;mso-position-horizontal:center;mso-position-horizontal-relative:text;position:absolute;height:99.4pt;mso-wrap-distance-top:0pt;width:450pt;mso-wrap-distance-left:16pt;z-index:-503316472;" o:allowincell="t" o:allowoverlap="t" filled="f" o:spt="75" type="#_x0000_t75">
            <v:fill/>
            <v:stroke joinstyle="miter"/>
            <v:imagedata o:title="" r:id="rId6"/>
            <o:lock v:ext="edit" aspectratio="t"/>
            <w10:wrap type="none" anchorx="text" anchory="text"/>
          </v:shape>
          <o:OLEObject Type="Embed" ProgID="Excel.Sheet.12" ShapeID="_x0000_s1027" DrawAspect="Content" ObjectID="" r:id="rId7"/>
        </w:object>
      </w:r>
    </w:p>
    <w:p>
      <w:pPr>
        <w:pStyle w:val="0"/>
        <w:spacing w:line="240" w:lineRule="auto"/>
        <w:jc w:val="both"/>
        <w:rPr>
          <w:rFonts w:hint="eastAsia"/>
          <w:kern w:val="2"/>
          <w:highlight w:val="none"/>
        </w:rPr>
      </w:pPr>
    </w:p>
    <w:p>
      <w:pPr>
        <w:pStyle w:val="0"/>
        <w:jc w:val="both"/>
        <w:rPr>
          <w:rFonts w:hint="eastAsia"/>
          <w:kern w:val="2"/>
          <w:highlight w:val="none"/>
        </w:rPr>
      </w:pPr>
    </w:p>
    <w:p>
      <w:pPr>
        <w:pStyle w:val="0"/>
        <w:spacing w:line="240" w:lineRule="auto"/>
        <w:jc w:val="both"/>
        <w:rPr>
          <w:rFonts w:hint="eastAsia"/>
          <w:kern w:val="2"/>
          <w:highlight w:val="none"/>
        </w:rPr>
      </w:pPr>
    </w:p>
    <w:p>
      <w:pPr>
        <w:pStyle w:val="0"/>
        <w:spacing w:line="240" w:lineRule="auto"/>
        <w:jc w:val="both"/>
        <w:rPr>
          <w:rFonts w:hint="eastAsia"/>
          <w:kern w:val="2"/>
          <w:highlight w:val="none"/>
        </w:rPr>
      </w:pPr>
    </w:p>
    <w:p>
      <w:pPr>
        <w:pStyle w:val="0"/>
        <w:spacing w:line="240" w:lineRule="auto"/>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計画の全体像</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計画では、厚生労働省令に基づき算出した「医師偏在指標」に基づき、県内の二次医療圏を「医師少数区域」、「医師多数区域」として設定し、それぞれの「医師確保の方針」と「目標医師数」を定めたうえで、「医師確保に向けた取組」を記載します。</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あわせて、産科及び小児科については、政策医療の観点、医師の長時間労働となる傾向、診療科と診療行為の対応も明らかにしやすいことから、全診療科を対象とした「医師確保計画」に加え、個別計画として策定します。</w:t>
      </w:r>
    </w:p>
    <w:p>
      <w:pPr>
        <w:pStyle w:val="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４　計画の対象区域</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計画の対象となる区域は、県全体及び県内の二次医療圏・周産期医療圏・小児医療圏を計画の区域とします。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auto"/>
          <w:sz w:val="22"/>
          <w:highlight w:val="none"/>
          <w:u w:val="non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w:t>
      </w:r>
      <w:r>
        <w:rPr>
          <w:rFonts w:hint="eastAsia" w:ascii="ＭＳ ゴシック" w:hAnsi="ＭＳ ゴシック" w:eastAsia="ＭＳ ゴシック"/>
          <w:color w:val="auto"/>
          <w:sz w:val="22"/>
          <w:highlight w:val="none"/>
          <w:u w:val="none" w:color="FF0000"/>
        </w:rPr>
        <w:t>）本計画における対象区域</w:t>
      </w:r>
    </w:p>
    <w:p>
      <w:pPr>
        <w:pStyle w:val="0"/>
        <w:spacing w:line="240" w:lineRule="auto"/>
        <w:rPr>
          <w:rFonts w:hint="eastAsia" w:ascii="ＭＳ 明朝" w:hAnsi="ＭＳ 明朝" w:eastAsia="ＭＳ 明朝"/>
          <w:b w:val="1"/>
          <w:i w:val="0"/>
          <w:color w:val="1F497D"/>
          <w:kern w:val="2"/>
          <w:sz w:val="22"/>
          <w:highlight w:val="none"/>
        </w:rPr>
      </w:pPr>
      <w:r>
        <w:rPr>
          <w:rFonts w:hint="eastAsia"/>
        </w:rPr>
        <mc:AlternateContent>
          <mc:Choice Requires="wpg">
            <w:drawing>
              <wp:anchor simplePos="0" relativeHeight="110" behindDoc="0" locked="0" layoutInCell="1" hidden="0" allowOverlap="1">
                <wp:simplePos x="0" y="0"/>
                <wp:positionH relativeFrom="column">
                  <wp:posOffset>144145</wp:posOffset>
                </wp:positionH>
                <wp:positionV relativeFrom="paragraph">
                  <wp:posOffset>98425</wp:posOffset>
                </wp:positionV>
                <wp:extent cx="5477510" cy="5527675"/>
                <wp:effectExtent l="635" t="635" r="29845" b="10795"/>
                <wp:wrapNone/>
                <wp:docPr id="1028" name="オブジェクト 0"/>
                <a:graphic xmlns:a="http://schemas.openxmlformats.org/drawingml/2006/main">
                  <a:graphicData uri="http://schemas.microsoft.com/office/word/2010/wordprocessingGroup">
                    <wpg:wgp>
                      <wpg:cNvGrpSpPr/>
                      <wpg:grpSpPr>
                        <a:xfrm>
                          <a:off x="0" y="0"/>
                          <a:ext cx="5477510" cy="5527675"/>
                          <a:chOff x="1645" y="5773"/>
                          <a:chExt cx="8626" cy="8705"/>
                        </a:xfrm>
                      </wpg:grpSpPr>
                      <pic:pic xmlns:pic="http://schemas.openxmlformats.org/drawingml/2006/picture">
                        <pic:nvPicPr>
                          <pic:cNvPr id="1029" name="オブジェクト 0"/>
                          <pic:cNvPicPr>
                            <a:picLocks noChangeAspect="1"/>
                          </pic:cNvPicPr>
                        </pic:nvPicPr>
                        <pic:blipFill>
                          <a:blip r:embed="rId8"/>
                          <a:stretch>
                            <a:fillRect/>
                          </a:stretch>
                        </pic:blipFill>
                        <pic:spPr>
                          <a:xfrm>
                            <a:off x="2659" y="6318"/>
                            <a:ext cx="6747" cy="4641"/>
                          </a:xfrm>
                          <a:prstGeom prst="rect">
                            <a:avLst/>
                          </a:prstGeom>
                          <a:noFill/>
                          <a:ln>
                            <a:miter/>
                          </a:ln>
                        </pic:spPr>
                      </pic:pic>
                      <wps:wsp>
                        <wps:cNvPr id="1030" name="オブジェクト 0"/>
                        <wps:cNvSpPr txBox="1">
                          <a:spLocks noChangeArrowheads="1"/>
                        </wps:cNvSpPr>
                        <wps:spPr>
                          <a:xfrm>
                            <a:off x="6639" y="10518"/>
                            <a:ext cx="3315" cy="3360"/>
                          </a:xfrm>
                          <a:prstGeom prst="rect">
                            <a:avLst/>
                          </a:prstGeom>
                          <a:noFill/>
                          <a:ln w="9525" cap="flat" cmpd="sng">
                            <a:solidFill>
                              <a:srgbClr val="000000"/>
                            </a:solidFill>
                            <a:prstDash val="solid"/>
                            <a:miter lim="800000"/>
                            <a:headEnd type="none" w="med" len="med"/>
                            <a:tailEnd type="none" w="med" len="med"/>
                          </a:ln>
                        </wps:spPr>
                        <wps:txbx>
                          <w:txbxContent>
                            <w:p>
                              <w:pPr>
                                <w:pStyle w:val="0"/>
                                <w:snapToGrid w:val="0"/>
                                <w:rPr>
                                  <w:rFonts w:hint="eastAsia" w:ascii="メイリオ" w:hAnsi="メイリオ" w:eastAsia="メイリオ"/>
                                  <w:sz w:val="18"/>
                                </w:rPr>
                              </w:pPr>
                              <w:r>
                                <w:rPr>
                                  <w:rFonts w:hint="eastAsia" w:ascii="メイリオ" w:hAnsi="メイリオ" w:eastAsia="メイリオ"/>
                                  <w:sz w:val="18"/>
                                </w:rPr>
                                <w:t>・本計画のうち、産科・小児科にお</w:t>
                              </w:r>
                            </w:p>
                            <w:p>
                              <w:pPr>
                                <w:pStyle w:val="0"/>
                                <w:snapToGrid w:val="0"/>
                                <w:ind w:left="0" w:leftChars="0" w:right="0" w:rightChars="0" w:firstLine="187" w:firstLineChars="100"/>
                                <w:rPr>
                                  <w:rFonts w:hint="eastAsia" w:ascii="メイリオ" w:hAnsi="メイリオ" w:eastAsia="メイリオ"/>
                                  <w:sz w:val="18"/>
                                </w:rPr>
                              </w:pPr>
                              <w:r>
                                <w:rPr>
                                  <w:rFonts w:hint="eastAsia" w:ascii="メイリオ" w:hAnsi="メイリオ" w:eastAsia="メイリオ"/>
                                  <w:sz w:val="18"/>
                                </w:rPr>
                                <w:t>ける医師確保計画においては、周</w:t>
                              </w:r>
                            </w:p>
                            <w:p>
                              <w:pPr>
                                <w:pStyle w:val="0"/>
                                <w:snapToGrid w:val="0"/>
                                <w:ind w:left="227" w:leftChars="100" w:right="0" w:rightChars="0" w:firstLine="0" w:firstLineChars="0"/>
                                <w:rPr>
                                  <w:rFonts w:hint="eastAsia" w:ascii="メイリオ" w:hAnsi="メイリオ" w:eastAsia="メイリオ"/>
                                  <w:sz w:val="18"/>
                                </w:rPr>
                              </w:pPr>
                              <w:r>
                                <w:rPr>
                                  <w:rFonts w:hint="eastAsia" w:ascii="メイリオ" w:hAnsi="メイリオ" w:eastAsia="メイリオ"/>
                                  <w:sz w:val="18"/>
                                </w:rPr>
                                <w:t>産期医療の提供体制に係る圏域を「周産期医療圏」と、小児医療の提供体制に係る圏域を「小児医療圏」と言います。</w:t>
                              </w:r>
                              <w:r>
                                <w:rPr>
                                  <w:rFonts w:hint="eastAsia" w:ascii="メイリオ" w:hAnsi="メイリオ" w:eastAsia="メイリオ"/>
                                  <w:sz w:val="18"/>
                                </w:rPr>
                                <w:t xml:space="preserve"> </w:t>
                              </w:r>
                            </w:p>
                            <w:p>
                              <w:pPr>
                                <w:pStyle w:val="0"/>
                                <w:snapToGrid w:val="0"/>
                                <w:ind w:left="0" w:leftChars="0" w:right="0" w:rightChars="0" w:hanging="187" w:hangingChars="100"/>
                                <w:rPr>
                                  <w:rFonts w:hint="eastAsia"/>
                                </w:rPr>
                              </w:pPr>
                              <w:r>
                                <w:rPr>
                                  <w:rFonts w:hint="eastAsia" w:ascii="メイリオ" w:hAnsi="メイリオ" w:eastAsia="メイリオ"/>
                                  <w:sz w:val="18"/>
                                </w:rPr>
                                <w:t>・本県の４つの二次医療圏はそれぞれ、「周産期医療圏」及び「小児医療圏」と合致します。</w:t>
                              </w:r>
                            </w:p>
                          </w:txbxContent>
                        </wps:txbx>
                        <wps:bodyPr vertOverflow="overflow" horzOverflow="overflow" wrap="square" lIns="74295" tIns="8890" rIns="74295" bIns="8890" upright="1"/>
                      </wps:wsp>
                      <wps:wsp>
                        <wps:cNvPr id="1031" name="オブジェクト 0"/>
                        <wps:cNvSpPr>
                          <a:spLocks noChangeArrowheads="1"/>
                        </wps:cNvSpPr>
                        <wps:spPr>
                          <a:xfrm>
                            <a:off x="5368" y="6046"/>
                            <a:ext cx="1725" cy="447"/>
                          </a:xfrm>
                          <a:prstGeom prst="roundRect">
                            <a:avLst>
                              <a:gd name="adj" fmla="val 16670"/>
                            </a:avLst>
                          </a:prstGeom>
                          <a:solidFill>
                            <a:srgbClr val="FFE9E9"/>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中央医療圏</w:t>
                              </w:r>
                            </w:p>
                          </w:txbxContent>
                        </wps:txbx>
                        <wps:bodyPr vertOverflow="overflow" horzOverflow="overflow" wrap="square" lIns="0" tIns="0" rIns="0" bIns="0" upright="1"/>
                      </wps:wsp>
                      <wps:wsp>
                        <wps:cNvPr id="1032" name="オブジェクト 0"/>
                        <wps:cNvSpPr>
                          <a:spLocks noChangeArrowheads="1"/>
                        </wps:cNvSpPr>
                        <wps:spPr>
                          <a:xfrm>
                            <a:off x="7865" y="9196"/>
                            <a:ext cx="1725" cy="447"/>
                          </a:xfrm>
                          <a:prstGeom prst="roundRect">
                            <a:avLst>
                              <a:gd name="adj" fmla="val 16670"/>
                            </a:avLst>
                          </a:prstGeom>
                          <a:solidFill>
                            <a:srgbClr val="CCFFFF"/>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安芸医療圏</w:t>
                              </w:r>
                            </w:p>
                          </w:txbxContent>
                        </wps:txbx>
                        <wps:bodyPr vertOverflow="overflow" horzOverflow="overflow" wrap="square" lIns="0" tIns="0" rIns="0" bIns="0" upright="1"/>
                      </wps:wsp>
                      <wps:wsp>
                        <wps:cNvPr id="1033" name="オブジェクト 0"/>
                        <wps:cNvSpPr>
                          <a:spLocks noChangeArrowheads="1"/>
                        </wps:cNvSpPr>
                        <wps:spPr>
                          <a:xfrm>
                            <a:off x="2326" y="7446"/>
                            <a:ext cx="1725" cy="447"/>
                          </a:xfrm>
                          <a:prstGeom prst="roundRect">
                            <a:avLst>
                              <a:gd name="adj" fmla="val 16670"/>
                            </a:avLst>
                          </a:prstGeom>
                          <a:solidFill>
                            <a:srgbClr val="CCFFCC"/>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高幡医療圏</w:t>
                              </w:r>
                            </w:p>
                          </w:txbxContent>
                        </wps:txbx>
                        <wps:bodyPr vertOverflow="overflow" horzOverflow="overflow" wrap="square" lIns="0" tIns="0" rIns="0" bIns="0" upright="1"/>
                      </wps:wsp>
                      <wps:wsp>
                        <wps:cNvPr id="1034" name="オブジェクト 0"/>
                        <wps:cNvSpPr>
                          <a:spLocks noChangeArrowheads="1"/>
                        </wps:cNvSpPr>
                        <wps:spPr>
                          <a:xfrm>
                            <a:off x="4530" y="10071"/>
                            <a:ext cx="1725" cy="447"/>
                          </a:xfrm>
                          <a:prstGeom prst="roundRect">
                            <a:avLst>
                              <a:gd name="adj" fmla="val 16670"/>
                            </a:avLst>
                          </a:prstGeom>
                          <a:solidFill>
                            <a:srgbClr val="FFFFA0"/>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幡多医療圏</w:t>
                              </w:r>
                            </w:p>
                          </w:txbxContent>
                        </wps:txbx>
                        <wps:bodyPr vertOverflow="overflow" horzOverflow="overflow" wrap="square" lIns="0" tIns="0" rIns="0" bIns="0" upright="1"/>
                      </wps:wsp>
                      <wps:wsp>
                        <wps:cNvPr id="1035" name="オブジェクト 0"/>
                        <wps:cNvSpPr/>
                        <wps:spPr>
                          <a:xfrm>
                            <a:off x="1645" y="5773"/>
                            <a:ext cx="8626" cy="8705"/>
                          </a:xfrm>
                          <a:prstGeom prst="rect">
                            <a:avLst/>
                          </a:prstGeom>
                          <a:noFill/>
                        </wps:spPr>
                        <wps:style>
                          <a:lnRef idx="2">
                            <a:schemeClr val="dk1"/>
                          </a:lnRef>
                          <a:fillRef idx="1">
                            <a:schemeClr val="lt1"/>
                          </a:fillRef>
                          <a:effectRef idx="0">
                            <a:schemeClr val="accent1"/>
                          </a:effectRef>
                          <a:fontRef idx="none">
                            <a:schemeClr val="dk1"/>
                          </a:fontRef>
                        </wps:style>
                        <wps:bodyPr/>
                      </wps:wsp>
                    </wpg:wgp>
                  </a:graphicData>
                </a:graphic>
              </wp:anchor>
            </w:drawing>
          </mc:Choice>
          <mc:Fallback>
            <w:pict>
              <v:group id="オブジェクト 0" style="margin-top:7.75pt;mso-position-vertical-relative:text;mso-position-horizontal-relative:text;position:absolute;height:435.25pt;width:431.3pt;margin-left:11.35pt;z-index:110;" coordsize="8626,8705" coordorigin="1645,5773" o:spid="_x0000_s102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641;width:6747;top:6318;left:2659;position:absolute;" o:spid="_x0000_s1029" filled="f" stroked="f" o:spt="75" type="#_x0000_t75">
                  <v:fill/>
                  <v:imagedata o:title="" r:id="rId8"/>
                  <w10:wrap type="none" anchorx="text" anchory="text"/>
                </v:shape>
                <v:shapetype id="_x0000_t202" coordsize="21600,21600" o:spt="202" path="m,l,21600r21600,l21600,xe">
                  <v:stroke joinstyle="miter"/>
                  <v:path gradientshapeok="t" o:connecttype="rect"/>
                </v:shapetype>
                <v:shape id="オブジェクト 0" style="height:3360;width:3315;top:10518;left:6639;position:absolute;" o:spid="_x0000_s1030"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inset="2.0637499999999998mm,0.24694444444444438mm,2.0637499999999998mm,0.24694444444444438mm">
                    <w:txbxContent>
                      <w:p>
                        <w:pPr>
                          <w:pStyle w:val="0"/>
                          <w:snapToGrid w:val="0"/>
                          <w:rPr>
                            <w:rFonts w:hint="eastAsia" w:ascii="メイリオ" w:hAnsi="メイリオ" w:eastAsia="メイリオ"/>
                            <w:sz w:val="18"/>
                          </w:rPr>
                        </w:pPr>
                        <w:r>
                          <w:rPr>
                            <w:rFonts w:hint="eastAsia" w:ascii="メイリオ" w:hAnsi="メイリオ" w:eastAsia="メイリオ"/>
                            <w:sz w:val="18"/>
                          </w:rPr>
                          <w:t>・本計画のうち、産科・小児科にお</w:t>
                        </w:r>
                      </w:p>
                      <w:p>
                        <w:pPr>
                          <w:pStyle w:val="0"/>
                          <w:snapToGrid w:val="0"/>
                          <w:ind w:left="0" w:leftChars="0" w:right="0" w:rightChars="0" w:firstLine="187" w:firstLineChars="100"/>
                          <w:rPr>
                            <w:rFonts w:hint="eastAsia" w:ascii="メイリオ" w:hAnsi="メイリオ" w:eastAsia="メイリオ"/>
                            <w:sz w:val="18"/>
                          </w:rPr>
                        </w:pPr>
                        <w:r>
                          <w:rPr>
                            <w:rFonts w:hint="eastAsia" w:ascii="メイリオ" w:hAnsi="メイリオ" w:eastAsia="メイリオ"/>
                            <w:sz w:val="18"/>
                          </w:rPr>
                          <w:t>ける医師確保計画においては、周</w:t>
                        </w:r>
                      </w:p>
                      <w:p>
                        <w:pPr>
                          <w:pStyle w:val="0"/>
                          <w:snapToGrid w:val="0"/>
                          <w:ind w:left="227" w:leftChars="100" w:right="0" w:rightChars="0" w:firstLine="0" w:firstLineChars="0"/>
                          <w:rPr>
                            <w:rFonts w:hint="eastAsia" w:ascii="メイリオ" w:hAnsi="メイリオ" w:eastAsia="メイリオ"/>
                            <w:sz w:val="18"/>
                          </w:rPr>
                        </w:pPr>
                        <w:r>
                          <w:rPr>
                            <w:rFonts w:hint="eastAsia" w:ascii="メイリオ" w:hAnsi="メイリオ" w:eastAsia="メイリオ"/>
                            <w:sz w:val="18"/>
                          </w:rPr>
                          <w:t>産期医療の提供体制に係る圏域を「周産期医療圏」と、小児医療の提供体制に係る圏域を「小児医療圏」と言います。</w:t>
                        </w:r>
                        <w:r>
                          <w:rPr>
                            <w:rFonts w:hint="eastAsia" w:ascii="メイリオ" w:hAnsi="メイリオ" w:eastAsia="メイリオ"/>
                            <w:sz w:val="18"/>
                          </w:rPr>
                          <w:t xml:space="preserve"> </w:t>
                        </w:r>
                      </w:p>
                      <w:p>
                        <w:pPr>
                          <w:pStyle w:val="0"/>
                          <w:snapToGrid w:val="0"/>
                          <w:ind w:left="0" w:leftChars="0" w:right="0" w:rightChars="0" w:hanging="187" w:hangingChars="100"/>
                          <w:rPr>
                            <w:rFonts w:hint="eastAsia"/>
                          </w:rPr>
                        </w:pPr>
                        <w:r>
                          <w:rPr>
                            <w:rFonts w:hint="eastAsia" w:ascii="メイリオ" w:hAnsi="メイリオ" w:eastAsia="メイリオ"/>
                            <w:sz w:val="18"/>
                          </w:rPr>
                          <w:t>・本県の４つの二次医療圏はそれぞれ、「周産期医療圏」及び「小児医療圏」と合致します。</w:t>
                        </w:r>
                      </w:p>
                    </w:txbxContent>
                  </v:textbox>
                  <v:imagedata o:title=""/>
                  <w10:wrap type="none" anchorx="text" anchory="text"/>
                </v:shape>
                <v:roundrect id="オブジェクト 0" style="height:447;width:1725;top:6046;left:5368;position:absolute;" o:spid="_x0000_s1031" filled="t" fillcolor="#ffe9e9"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中央医療圏</w:t>
                        </w:r>
                      </w:p>
                    </w:txbxContent>
                  </v:textbox>
                  <v:imagedata o:title=""/>
                  <w10:wrap type="none" anchorx="text" anchory="text"/>
                </v:roundrect>
                <v:roundrect id="オブジェクト 0" style="height:447;width:1725;top:9196;left:7865;position:absolute;" o:spid="_x0000_s1032" filled="t" fillcolor="#ccffff"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安芸医療圏</w:t>
                        </w:r>
                      </w:p>
                    </w:txbxContent>
                  </v:textbox>
                  <v:imagedata o:title=""/>
                  <w10:wrap type="none" anchorx="text" anchory="text"/>
                </v:roundrect>
                <v:roundrect id="オブジェクト 0" style="height:447;width:1725;top:7446;left:2326;position:absolute;" o:spid="_x0000_s1033" filled="t" fillcolor="#ccffcc"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高幡医療圏</w:t>
                        </w:r>
                      </w:p>
                    </w:txbxContent>
                  </v:textbox>
                  <v:imagedata o:title=""/>
                  <w10:wrap type="none" anchorx="text" anchory="text"/>
                </v:roundrect>
                <v:roundrect id="オブジェクト 0" style="height:447;width:1725;top:10071;left:4530;position:absolute;" o:spid="_x0000_s1034" filled="t" fillcolor="#ffffa0"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幡多医療圏</w:t>
                        </w:r>
                      </w:p>
                    </w:txbxContent>
                  </v:textbox>
                  <v:imagedata o:title=""/>
                  <w10:wrap type="none" anchorx="text" anchory="text"/>
                </v:roundrect>
                <v:rect id="オブジェクト 0" style="height:8705;width:8626;top:5773;left:1645;position:absolute;" o:spid="_x0000_s1035" filled="f" stroked="t" strokecolor="#000000 [3200]" strokeweight="1pt" o:spt="1">
                  <v:fill/>
                  <v:stroke linestyle="single" miterlimit="8" endcap="flat" dashstyle="solid" filltype="solid"/>
                  <v:textbox style="layout-flow:horizontal;"/>
                  <v:imagedata o:title=""/>
                  <w10:wrap type="none" anchorx="text" anchory="text"/>
                </v:rect>
                <w10:wrap type="none" anchorx="text" anchory="text"/>
              </v:group>
            </w:pict>
          </mc:Fallback>
        </mc:AlternateContent>
      </w:r>
      <w:r>
        <w:rPr>
          <w:rFonts w:hint="eastAsia"/>
          <w:color w:val="auto"/>
          <w:highlight w:val="none"/>
        </w:rPr>
        <w:br w:type="page"/>
      </w:r>
    </w:p>
    <w:p>
      <w:pPr>
        <w:pStyle w:val="0"/>
        <w:spacing w:line="240" w:lineRule="auto"/>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第２　本県の医師数等の状況</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医療施設従事医師数の推移</w:t>
      </w:r>
    </w:p>
    <w:p>
      <w:pPr>
        <w:pStyle w:val="0"/>
        <w:spacing w:before="0" w:beforeLines="0" w:beforeAutospacing="0" w:after="165" w:afterLines="5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本県の医療機関に従事する医師の数は、</w:t>
      </w:r>
      <w:r>
        <w:rPr>
          <w:rFonts w:hint="eastAsia" w:ascii="ＭＳ 明朝" w:hAnsi="ＭＳ 明朝" w:eastAsia="ＭＳ 明朝"/>
          <w:color w:val="auto"/>
          <w:kern w:val="2"/>
          <w:sz w:val="22"/>
          <w:highlight w:val="none"/>
          <w:u w:val="none" w:color="auto"/>
        </w:rPr>
        <w:t>令和２年末で</w:t>
      </w:r>
      <w:r>
        <w:rPr>
          <w:rFonts w:hint="eastAsia" w:ascii="ＭＳ 明朝" w:hAnsi="ＭＳ 明朝" w:eastAsia="ＭＳ 明朝"/>
          <w:color w:val="auto"/>
          <w:kern w:val="2"/>
          <w:sz w:val="22"/>
          <w:highlight w:val="none"/>
          <w:u w:val="none" w:color="auto"/>
        </w:rPr>
        <w:t>2,227</w:t>
      </w:r>
      <w:r>
        <w:rPr>
          <w:rFonts w:hint="eastAsia" w:ascii="ＭＳ 明朝" w:hAnsi="ＭＳ 明朝" w:eastAsia="ＭＳ 明朝"/>
          <w:color w:val="auto"/>
          <w:kern w:val="2"/>
          <w:sz w:val="22"/>
          <w:highlight w:val="none"/>
          <w:u w:val="none" w:color="auto"/>
        </w:rPr>
        <w:t>人となり平成</w:t>
      </w:r>
      <w:r>
        <w:rPr>
          <w:rFonts w:hint="eastAsia" w:ascii="ＭＳ 明朝" w:hAnsi="ＭＳ 明朝" w:eastAsia="ＭＳ 明朝"/>
          <w:color w:val="auto"/>
          <w:kern w:val="2"/>
          <w:sz w:val="22"/>
          <w:highlight w:val="none"/>
          <w:u w:val="none" w:color="auto"/>
        </w:rPr>
        <w:t>14</w:t>
      </w:r>
      <w:r>
        <w:rPr>
          <w:rFonts w:hint="eastAsia" w:ascii="ＭＳ 明朝" w:hAnsi="ＭＳ 明朝" w:eastAsia="ＭＳ 明朝"/>
          <w:color w:val="auto"/>
          <w:kern w:val="2"/>
          <w:sz w:val="22"/>
          <w:highlight w:val="none"/>
          <w:u w:val="none" w:color="auto"/>
        </w:rPr>
        <w:t>年から</w:t>
      </w:r>
      <w:r>
        <w:rPr>
          <w:rFonts w:hint="eastAsia" w:ascii="ＭＳ 明朝" w:hAnsi="ＭＳ 明朝" w:eastAsia="ＭＳ 明朝"/>
          <w:color w:val="auto"/>
          <w:kern w:val="2"/>
          <w:sz w:val="22"/>
          <w:highlight w:val="none"/>
          <w:u w:val="none" w:color="auto"/>
        </w:rPr>
        <w:t>133</w:t>
      </w:r>
      <w:r>
        <w:rPr>
          <w:rFonts w:hint="eastAsia" w:ascii="ＭＳ 明朝" w:hAnsi="ＭＳ 明朝" w:eastAsia="ＭＳ 明朝"/>
          <w:color w:val="auto"/>
          <w:kern w:val="2"/>
          <w:sz w:val="22"/>
          <w:highlight w:val="none"/>
          <w:u w:val="none" w:color="auto"/>
        </w:rPr>
        <w:t>人増加しています。人口</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万人当たりの医師数でみても年々増加しており、令和２年末では</w:t>
      </w:r>
      <w:r>
        <w:rPr>
          <w:rFonts w:hint="eastAsia" w:ascii="ＭＳ 明朝" w:hAnsi="ＭＳ 明朝" w:eastAsia="ＭＳ 明朝"/>
          <w:color w:val="auto"/>
          <w:kern w:val="2"/>
          <w:sz w:val="22"/>
          <w:highlight w:val="none"/>
          <w:u w:val="none" w:color="auto"/>
        </w:rPr>
        <w:t>322.0</w:t>
      </w:r>
      <w:r>
        <w:rPr>
          <w:rFonts w:hint="eastAsia" w:ascii="ＭＳ 明朝" w:hAnsi="ＭＳ 明朝" w:eastAsia="ＭＳ 明朝"/>
          <w:color w:val="auto"/>
          <w:kern w:val="2"/>
          <w:sz w:val="22"/>
          <w:highlight w:val="none"/>
          <w:u w:val="none" w:color="auto"/>
        </w:rPr>
        <w:t>人</w:t>
      </w:r>
      <w:r>
        <w:rPr>
          <w:rFonts w:hint="eastAsia" w:ascii="ＭＳ 明朝" w:hAnsi="ＭＳ 明朝" w:eastAsia="ＭＳ 明朝"/>
          <w:kern w:val="2"/>
          <w:sz w:val="22"/>
          <w:highlight w:val="none"/>
        </w:rPr>
        <w:t>で全国第３位となっています。</w:t>
      </w:r>
    </w:p>
    <w:p>
      <w:pPr>
        <w:pStyle w:val="0"/>
        <w:spacing w:before="0" w:beforeLines="0" w:beforeAutospacing="0" w:after="165" w:afterLines="5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しかしながら、年齢、地域及び診療科目ごとの医師数に着目すると、それぞれ大きな偏在があり、あわせて、人口</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万人あたり病床数が全国で最も多いことを背景に、病院病床あたり医師数は少ない状況にあり結果として地域の中核的な病院において医師不足の声が生じています。</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一方、女性医師も増加しており、出産や育児等のライフステージに応じた多様な働き</w:t>
      </w:r>
      <w:r>
        <w:rPr>
          <w:rFonts w:hint="eastAsia"/>
          <w:kern w:val="2"/>
          <w:highlight w:val="none"/>
        </w:rPr>
        <mc:AlternateContent>
          <mc:Choice Requires="wps">
            <w:drawing>
              <wp:anchor distT="0" distB="0" distL="203200" distR="203200" simplePos="0" relativeHeight="26" behindDoc="0" locked="0" layoutInCell="1" hidden="0" allowOverlap="1">
                <wp:simplePos x="0" y="0"/>
                <wp:positionH relativeFrom="column">
                  <wp:posOffset>-1879600</wp:posOffset>
                </wp:positionH>
                <wp:positionV relativeFrom="paragraph">
                  <wp:posOffset>412115</wp:posOffset>
                </wp:positionV>
                <wp:extent cx="760095" cy="222250"/>
                <wp:effectExtent l="0" t="0" r="635" b="635"/>
                <wp:wrapNone/>
                <wp:docPr id="1036" name="オブジェクト 0"/>
                <a:graphic xmlns:a="http://schemas.openxmlformats.org/drawingml/2006/main">
                  <a:graphicData uri="http://schemas.microsoft.com/office/word/2010/wordprocessingShape">
                    <wps:wsp>
                      <wps:cNvPr id="1036" name="オブジェクト 0"/>
                      <wps:cNvSpPr>
                        <a:spLocks noChangeArrowheads="1"/>
                      </wps:cNvSpPr>
                      <wps:spPr>
                        <a:xfrm>
                          <a:off x="0" y="0"/>
                          <a:ext cx="760095" cy="222250"/>
                        </a:xfrm>
                        <a:prstGeom prst="rect">
                          <a:avLst/>
                        </a:prstGeom>
                        <a:noFill/>
                        <a:ln cap="flat" cmpd="sng">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32.450000000000003pt;mso-position-vertical-relative:text;mso-position-horizontal-relative:text;position:absolute;height:17.5pt;mso-wrap-distance-top:0pt;width:59.85pt;mso-wrap-distance-left:16pt;margin-left:-148pt;z-index:26;" o:spid="_x0000_s1036" o:allowincell="t" o:allowoverlap="t" filled="f" stroked="f" o:spt="1">
                <v:fill/>
                <v:stroke linestyle="single" miterlimit="8" endcap="flat" dashstyle="solid" startarrow="none" startarrowwidth="medium" startarrowlength="medium" endarrow="none" endarrowwidth="medium" endarrowlength="medium"/>
                <v:textbox style="layout-flow:horizontal;"/>
                <v:imagedata o:title=""/>
                <w10:wrap type="none" anchorx="text" anchory="text"/>
              </v:rect>
            </w:pict>
          </mc:Fallback>
        </mc:AlternateContent>
      </w:r>
      <w:r>
        <w:rPr>
          <w:rFonts w:hint="eastAsia" w:ascii="ＭＳ 明朝" w:hAnsi="ＭＳ 明朝" w:eastAsia="ＭＳ 明朝"/>
          <w:kern w:val="2"/>
          <w:sz w:val="22"/>
          <w:highlight w:val="none"/>
        </w:rPr>
        <w:t>方への支援が必要となります。</w:t>
      </w:r>
    </w:p>
    <w:p>
      <w:pPr>
        <w:pStyle w:val="0"/>
        <w:jc w:val="both"/>
        <w:rPr>
          <w:rFonts w:hint="eastAsia"/>
          <w:kern w:val="2"/>
          <w:highlight w:val="none"/>
        </w:rPr>
      </w:pPr>
      <w:r>
        <w:rPr>
          <w:rFonts w:hint="eastAsia"/>
          <w:kern w:val="2"/>
          <w:highlight w:val="none"/>
        </w:rPr>
        <mc:AlternateContent>
          <mc:Choice Requires="wps">
            <w:drawing>
              <wp:anchor distT="0" distB="0" distL="203200" distR="203200" simplePos="0" relativeHeight="27" behindDoc="0" locked="0" layoutInCell="1" hidden="0" allowOverlap="1">
                <wp:simplePos x="0" y="0"/>
                <wp:positionH relativeFrom="column">
                  <wp:posOffset>5078730</wp:posOffset>
                </wp:positionH>
                <wp:positionV relativeFrom="paragraph">
                  <wp:posOffset>177165</wp:posOffset>
                </wp:positionV>
                <wp:extent cx="1016000" cy="325755"/>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a:spLocks noChangeArrowheads="1"/>
                      </wps:cNvSpPr>
                      <wps:spPr>
                        <a:xfrm>
                          <a:off x="0" y="0"/>
                          <a:ext cx="1016000" cy="32575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4"/>
                              </w:rPr>
                              <w:t>単位：人</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95pt;mso-position-vertical-relative:text;mso-position-horizontal-relative:text;position:absolute;height:25.65pt;mso-wrap-distance-top:0pt;width:80pt;mso-wrap-distance-left:16pt;margin-left:399.9pt;z-index:27;" o:spid="_x0000_s103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ascii="ＭＳ 明朝" w:hAnsi="ＭＳ 明朝" w:eastAsia="ＭＳ 明朝"/>
                        </w:rPr>
                      </w:pPr>
                      <w:r>
                        <w:rPr>
                          <w:rFonts w:hint="eastAsia" w:ascii="ＭＳ 明朝" w:hAnsi="ＭＳ 明朝" w:eastAsia="ＭＳ 明朝"/>
                          <w:sz w:val="14"/>
                        </w:rPr>
                        <w:t>単位：人</w:t>
                      </w:r>
                    </w:p>
                  </w:txbxContent>
                </v:textbox>
                <v:imagedata o:title=""/>
                <w10:wrap type="none" anchorx="text" anchory="text"/>
              </v:shape>
            </w:pict>
          </mc:Fallback>
        </mc:AlternateConten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w:t>
      </w:r>
      <w:r>
        <w:rPr>
          <w:rFonts w:hint="eastAsia" w:ascii="ＭＳ ゴシック" w:hAnsi="ＭＳ ゴシック" w:eastAsia="ＭＳ ゴシック"/>
          <w:color w:val="auto"/>
          <w:sz w:val="22"/>
          <w:highlight w:val="none"/>
          <w:u w:val="none" w:color="FF0000"/>
        </w:rPr>
        <w:t>）高知県の医療機関に従事する医師数</w:t>
      </w:r>
    </w:p>
    <w:tbl>
      <w:tblPr>
        <w:tblStyle w:val="11"/>
        <w:tblW w:w="5000" w:type="pct"/>
        <w:jc w:val="lef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435"/>
        <w:gridCol w:w="763"/>
        <w:gridCol w:w="763"/>
        <w:gridCol w:w="763"/>
        <w:gridCol w:w="763"/>
        <w:gridCol w:w="762"/>
        <w:gridCol w:w="763"/>
        <w:gridCol w:w="763"/>
        <w:gridCol w:w="763"/>
        <w:gridCol w:w="763"/>
        <w:gridCol w:w="759"/>
      </w:tblGrid>
      <w:tr>
        <w:trPr>
          <w:trHeight w:val="518" w:hRule="atLeast"/>
        </w:trPr>
        <w:tc>
          <w:tcPr>
            <w:tcW w:w="790"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年</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rPr>
              <w:t>H14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H16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H18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H20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H22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H24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H26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H28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H30</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R2</w:t>
            </w:r>
          </w:p>
        </w:tc>
      </w:tr>
      <w:tr>
        <w:trPr>
          <w:trHeight w:val="515"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医師総数</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rPr>
              <w:t>2,094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2,099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2,077</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2,100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2,095</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2,136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2,162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2,206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2,237</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2,227</w:t>
            </w:r>
          </w:p>
        </w:tc>
      </w:tr>
      <w:tr>
        <w:trPr>
          <w:trHeight w:val="515"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うち男性</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1,771</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1,770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1,728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1,719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1,692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1,730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1,734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1,742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1,759</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1,731</w:t>
            </w:r>
          </w:p>
        </w:tc>
      </w:tr>
      <w:tr>
        <w:trPr>
          <w:trHeight w:val="515"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うち女性</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323</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329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349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381</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403</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406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428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464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478</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496</w:t>
            </w:r>
          </w:p>
        </w:tc>
      </w:tr>
      <w:tr>
        <w:trPr>
          <w:trHeight w:val="418"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人口</w:t>
            </w:r>
            <w:r>
              <w:rPr>
                <w:rFonts w:hint="eastAsia" w:ascii="ＭＳ 明朝" w:hAnsi="ＭＳ 明朝" w:eastAsia="ＭＳ 明朝"/>
                <w:sz w:val="16"/>
                <w:highlight w:val="none"/>
              </w:rPr>
              <w:t>10</w:t>
            </w:r>
            <w:r>
              <w:rPr>
                <w:rFonts w:hint="eastAsia" w:ascii="ＭＳ 明朝" w:hAnsi="ＭＳ 明朝" w:eastAsia="ＭＳ 明朝"/>
                <w:sz w:val="16"/>
                <w:highlight w:val="none"/>
              </w:rPr>
              <w:t>万人</w:t>
            </w:r>
          </w:p>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16"/>
                <w:highlight w:val="none"/>
              </w:rPr>
              <w:t>当たりの医師数</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rPr>
              <w:t>258.5</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261.4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263.2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271.7</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274.1</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 xml:space="preserve">284.0 </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 xml:space="preserve">293.0 </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306.0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316.9</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322.0</w:t>
            </w:r>
          </w:p>
        </w:tc>
      </w:tr>
    </w:tbl>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7" behindDoc="0" locked="0" layoutInCell="1" hidden="0" allowOverlap="1">
                <wp:simplePos x="0" y="0"/>
                <wp:positionH relativeFrom="column">
                  <wp:posOffset>2811780</wp:posOffset>
                </wp:positionH>
                <wp:positionV relativeFrom="paragraph">
                  <wp:posOffset>47625</wp:posOffset>
                </wp:positionV>
                <wp:extent cx="2954020" cy="266700"/>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2954020"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75pt;mso-position-vertical-relative:text;mso-position-horizontal-relative:text;position:absolute;height:21pt;mso-wrap-distance-top:0pt;width:232.6pt;mso-wrap-distance-left:16pt;margin-left:221.4pt;z-index:7;" o:spid="_x0000_s103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w:t>
      </w:r>
      <w:r>
        <w:rPr>
          <w:rFonts w:hint="eastAsia" w:ascii="ＭＳ ゴシック" w:hAnsi="ＭＳ ゴシック" w:eastAsia="ＭＳ ゴシック"/>
          <w:color w:val="auto"/>
          <w:sz w:val="22"/>
          <w:highlight w:val="none"/>
          <w:u w:val="none" w:color="FF0000"/>
        </w:rPr>
        <w:t>）人口</w:t>
      </w:r>
      <w:r>
        <w:rPr>
          <w:rFonts w:hint="eastAsia" w:ascii="ＭＳ ゴシック" w:hAnsi="ＭＳ ゴシック" w:eastAsia="ＭＳ ゴシック"/>
          <w:color w:val="auto"/>
          <w:sz w:val="22"/>
          <w:highlight w:val="none"/>
          <w:u w:val="none" w:color="FF0000"/>
        </w:rPr>
        <w:t>10</w:t>
      </w:r>
      <w:r>
        <w:rPr>
          <w:rFonts w:hint="eastAsia" w:ascii="ＭＳ ゴシック" w:hAnsi="ＭＳ ゴシック" w:eastAsia="ＭＳ ゴシック"/>
          <w:color w:val="auto"/>
          <w:sz w:val="22"/>
          <w:highlight w:val="none"/>
          <w:u w:val="none" w:color="FF0000"/>
        </w:rPr>
        <w:t>万人当たり医師数（</w:t>
      </w:r>
      <w:r>
        <w:rPr>
          <w:rFonts w:hint="eastAsia" w:ascii="ＭＳ ゴシック" w:hAnsi="ＭＳ ゴシック" w:eastAsia="ＭＳ ゴシック"/>
          <w:color w:val="auto"/>
          <w:sz w:val="22"/>
          <w:highlight w:val="none"/>
          <w:u w:val="none" w:color="FF0000"/>
        </w:rPr>
        <w:t>R2</w:t>
      </w:r>
      <w:r>
        <w:rPr>
          <w:rFonts w:hint="eastAsia" w:ascii="ＭＳ ゴシック" w:hAnsi="ＭＳ ゴシック" w:eastAsia="ＭＳ ゴシック"/>
          <w:color w:val="auto"/>
          <w:sz w:val="22"/>
          <w:highlight w:val="none"/>
          <w:u w:val="none" w:color="FF0000"/>
        </w:rPr>
        <w:t>年</w:t>
      </w:r>
      <w:r>
        <w:rPr>
          <w:rFonts w:hint="eastAsia" w:ascii="ＭＳ ゴシック" w:hAnsi="ＭＳ ゴシック" w:eastAsia="ＭＳ ゴシック"/>
          <w:color w:val="auto"/>
          <w:sz w:val="22"/>
          <w:highlight w:val="none"/>
          <w:u w:val="none" w:color="FF0000"/>
        </w:rPr>
        <w:t>12</w:t>
      </w:r>
      <w:r>
        <w:rPr>
          <w:rFonts w:hint="eastAsia" w:ascii="ＭＳ ゴシック" w:hAnsi="ＭＳ ゴシック" w:eastAsia="ＭＳ ゴシック"/>
          <w:color w:val="auto"/>
          <w:sz w:val="22"/>
          <w:highlight w:val="none"/>
          <w:u w:val="none" w:color="FF0000"/>
        </w:rPr>
        <w:t>月</w:t>
      </w:r>
      <w:r>
        <w:rPr>
          <w:rFonts w:hint="eastAsia" w:ascii="ＭＳ ゴシック" w:hAnsi="ＭＳ ゴシック" w:eastAsia="ＭＳ ゴシック"/>
          <w:color w:val="auto"/>
          <w:sz w:val="22"/>
          <w:highlight w:val="none"/>
          <w:u w:val="none" w:color="FF0000"/>
        </w:rPr>
        <w:t>31</w:t>
      </w:r>
      <w:r>
        <w:rPr>
          <w:rFonts w:hint="eastAsia" w:ascii="ＭＳ ゴシック" w:hAnsi="ＭＳ ゴシック" w:eastAsia="ＭＳ ゴシック"/>
          <w:color w:val="auto"/>
          <w:sz w:val="22"/>
          <w:highlight w:val="none"/>
          <w:u w:val="none" w:color="FF0000"/>
        </w:rPr>
        <w:t>日現在）</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18" behindDoc="0" locked="0" layoutInCell="1" hidden="0" allowOverlap="1">
                <wp:simplePos x="0" y="0"/>
                <wp:positionH relativeFrom="column">
                  <wp:posOffset>-386080</wp:posOffset>
                </wp:positionH>
                <wp:positionV relativeFrom="paragraph">
                  <wp:posOffset>40640</wp:posOffset>
                </wp:positionV>
                <wp:extent cx="6711950" cy="2835910"/>
                <wp:effectExtent l="0" t="635" r="0" b="635"/>
                <wp:wrapNone/>
                <wp:docPr id="1039" name="オブジェクト 0"/>
                <a:graphic xmlns:a="http://schemas.openxmlformats.org/drawingml/2006/main">
                  <a:graphicData uri="http://schemas.microsoft.com/office/word/2010/wordprocessingGroup">
                    <wpg:wgp>
                      <wpg:cNvGrpSpPr/>
                      <wpg:grpSpPr>
                        <a:xfrm>
                          <a:off x="0" y="0"/>
                          <a:ext cx="6711950" cy="2835910"/>
                          <a:chOff x="810" y="10255"/>
                          <a:chExt cx="10570" cy="4466"/>
                        </a:xfrm>
                      </wpg:grpSpPr>
                      <wps:wsp>
                        <wps:cNvPr id="1040" name="オブジェクト 0"/>
                        <wps:cNvSpPr txBox="1">
                          <a:spLocks noChangeArrowheads="1"/>
                        </wps:cNvSpPr>
                        <wps:spPr>
                          <a:xfrm>
                            <a:off x="5846" y="14226"/>
                            <a:ext cx="4652" cy="495"/>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p>
                              <w:pPr>
                                <w:pStyle w:val="0"/>
                                <w:ind w:right="227" w:rightChars="100"/>
                                <w:jc w:val="right"/>
                                <w:rPr>
                                  <w:rFonts w:hint="eastAsia" w:ascii="ＭＳ 明朝" w:hAnsi="ＭＳ 明朝" w:eastAsia="ＭＳ 明朝"/>
                                  <w:sz w:val="16"/>
                                </w:rPr>
                              </w:pPr>
                            </w:p>
                          </w:txbxContent>
                        </wps:txbx>
                        <wps:bodyPr vertOverflow="overflow" horzOverflow="overflow" wrap="square" lIns="74295" tIns="8890" rIns="74295" bIns="8890" upright="1"/>
                      </wps:wsp>
                      <pic:pic xmlns:pic="http://schemas.openxmlformats.org/drawingml/2006/picture">
                        <pic:nvPicPr>
                          <pic:cNvPr id="1041" name="オブジェクト 0"/>
                          <pic:cNvPicPr>
                            <a:picLocks noChangeAspect="1"/>
                          </pic:cNvPicPr>
                        </pic:nvPicPr>
                        <pic:blipFill>
                          <a:blip r:embed="rId9"/>
                          <a:stretch>
                            <a:fillRect/>
                          </a:stretch>
                        </pic:blipFill>
                        <pic:spPr>
                          <a:xfrm>
                            <a:off x="810" y="10331"/>
                            <a:ext cx="10570" cy="3811"/>
                          </a:xfrm>
                          <a:prstGeom prst="rect">
                            <a:avLst/>
                          </a:prstGeom>
                          <a:noFill/>
                          <a:ln>
                            <a:miter/>
                          </a:ln>
                        </pic:spPr>
                      </pic:pic>
                      <wps:wsp>
                        <wps:cNvPr id="1042" name="オブジェクト 0"/>
                        <wps:cNvSpPr>
                          <a:spLocks noChangeArrowheads="1"/>
                        </wps:cNvSpPr>
                        <wps:spPr>
                          <a:xfrm>
                            <a:off x="8377" y="10255"/>
                            <a:ext cx="1220" cy="607"/>
                          </a:xfrm>
                          <a:prstGeom prst="wedgeRectCallout">
                            <a:avLst>
                              <a:gd name="adj1" fmla="val -25421"/>
                              <a:gd name="adj2" fmla="val 72569"/>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220" w:lineRule="exact"/>
                                <w:jc w:val="center"/>
                                <w:rPr>
                                  <w:rFonts w:hint="eastAsia"/>
                                  <w:sz w:val="16"/>
                                </w:rPr>
                              </w:pPr>
                              <w:r>
                                <w:rPr>
                                  <w:rFonts w:hint="eastAsia"/>
                                  <w:sz w:val="16"/>
                                </w:rPr>
                                <w:t>322.0</w:t>
                              </w:r>
                              <w:r>
                                <w:rPr>
                                  <w:rFonts w:hint="eastAsia"/>
                                  <w:sz w:val="16"/>
                                </w:rPr>
                                <w:t>人</w:t>
                              </w:r>
                            </w:p>
                            <w:p>
                              <w:pPr>
                                <w:pStyle w:val="0"/>
                                <w:spacing w:before="0" w:beforeLines="0" w:beforeAutospacing="0" w:after="0" w:afterLines="0" w:afterAutospacing="0" w:line="220" w:lineRule="exact"/>
                                <w:jc w:val="center"/>
                                <w:rPr>
                                  <w:rFonts w:hint="eastAsia"/>
                                </w:rPr>
                              </w:pPr>
                              <w:r>
                                <w:rPr>
                                  <w:rFonts w:hint="eastAsia"/>
                                  <w:sz w:val="16"/>
                                </w:rPr>
                                <w:t>全国３位</w:t>
                              </w:r>
                            </w:p>
                          </w:txbxContent>
                        </wps:txbx>
                        <wps:bodyPr vertOverflow="overflow" horzOverflow="overflow" wrap="square" upright="1"/>
                      </wps:wsp>
                    </wpg:wgp>
                  </a:graphicData>
                </a:graphic>
              </wp:anchor>
            </w:drawing>
          </mc:Choice>
          <mc:Fallback>
            <w:pict>
              <v:group id="オブジェクト 0" style="margin-top:3.2pt;mso-position-vertical-relative:text;mso-position-horizontal-relative:text;position:absolute;height:223.3pt;width:528.5pt;margin-left:-30.4pt;z-index:118;" coordsize="10570,4466" coordorigin="810,10255" o:spid="_x0000_s1039" o:allowincell="t" o:allowoverlap="t">
                <v:shapetype id="_x0000_t202" coordsize="21600,21600" o:spt="202" path="m,l,21600r21600,l21600,xe">
                  <v:stroke joinstyle="miter"/>
                  <v:path gradientshapeok="t" o:connecttype="rect"/>
                </v:shapetype>
                <v:shape id="オブジェクト 0" style="height:495;width:4652;top:14226;left:5846;position:absolute;" o:spid="_x0000_s1040"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p>
                        <w:pPr>
                          <w:pStyle w:val="0"/>
                          <w:ind w:right="227" w:rightChars="100"/>
                          <w:jc w:val="right"/>
                          <w:rPr>
                            <w:rFonts w:hint="eastAsia" w:ascii="ＭＳ 明朝" w:hAnsi="ＭＳ 明朝" w:eastAsia="ＭＳ 明朝"/>
                            <w:sz w:val="16"/>
                          </w:rPr>
                        </w:pP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811;width:10570;top:10331;left:810;position:absolute;" o:spid="_x0000_s1041" filled="f" stroked="f" o:spt="75" type="#_x0000_t75">
                  <v:fill/>
                  <v:imagedata o:title="" r:id="rId9"/>
                  <w10:wrap type="none" anchorx="text" anchory="tex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height:607;width:1220;top:10255;left:8377;position:absolute;" o:spid="_x0000_s1042" filled="f" stroked="t" strokecolor="#000000" strokeweight="0.75pt" o:spt="61" type="#_x0000_t61" adj="5309,26475">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20" w:lineRule="exact"/>
                          <w:jc w:val="center"/>
                          <w:rPr>
                            <w:rFonts w:hint="eastAsia"/>
                            <w:sz w:val="16"/>
                          </w:rPr>
                        </w:pPr>
                        <w:r>
                          <w:rPr>
                            <w:rFonts w:hint="eastAsia"/>
                            <w:sz w:val="16"/>
                          </w:rPr>
                          <w:t>322.0</w:t>
                        </w:r>
                        <w:r>
                          <w:rPr>
                            <w:rFonts w:hint="eastAsia"/>
                            <w:sz w:val="16"/>
                          </w:rPr>
                          <w:t>人</w:t>
                        </w:r>
                      </w:p>
                      <w:p>
                        <w:pPr>
                          <w:pStyle w:val="0"/>
                          <w:spacing w:before="0" w:beforeLines="0" w:beforeAutospacing="0" w:after="0" w:afterLines="0" w:afterAutospacing="0" w:line="220" w:lineRule="exact"/>
                          <w:jc w:val="center"/>
                          <w:rPr>
                            <w:rFonts w:hint="eastAsia"/>
                          </w:rPr>
                        </w:pPr>
                        <w:r>
                          <w:rPr>
                            <w:rFonts w:hint="eastAsia"/>
                            <w:sz w:val="16"/>
                          </w:rPr>
                          <w:t>全国３位</w:t>
                        </w:r>
                      </w:p>
                    </w:txbxContent>
                  </v:textbox>
                  <v:imagedata o:title=""/>
                  <w10:wrap type="none" anchorx="text" anchory="text"/>
                </v:shape>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22" behindDoc="0" locked="0" layoutInCell="1" hidden="0" allowOverlap="1">
                <wp:simplePos x="0" y="0"/>
                <wp:positionH relativeFrom="column">
                  <wp:posOffset>558800</wp:posOffset>
                </wp:positionH>
                <wp:positionV relativeFrom="paragraph">
                  <wp:posOffset>133985</wp:posOffset>
                </wp:positionV>
                <wp:extent cx="4903470" cy="2353945"/>
                <wp:effectExtent l="0" t="0" r="635" b="635"/>
                <wp:wrapNone/>
                <wp:docPr id="1043" name="オブジェクト 0"/>
                <a:graphic xmlns:a="http://schemas.openxmlformats.org/drawingml/2006/main">
                  <a:graphicData uri="http://schemas.microsoft.com/office/word/2010/wordprocessingGroup">
                    <wpg:wgp>
                      <wpg:cNvGrpSpPr/>
                      <wpg:grpSpPr>
                        <a:xfrm>
                          <a:off x="0" y="0"/>
                          <a:ext cx="4903470" cy="2353945"/>
                          <a:chOff x="2298" y="1629"/>
                          <a:chExt cx="7722" cy="3707"/>
                        </a:xfrm>
                      </wpg:grpSpPr>
                      <wps:wsp>
                        <wps:cNvPr id="1044" name="オブジェクト 0"/>
                        <wps:cNvSpPr txBox="1">
                          <a:spLocks noChangeArrowheads="1"/>
                        </wps:cNvSpPr>
                        <wps:spPr>
                          <a:xfrm>
                            <a:off x="2872" y="1770"/>
                            <a:ext cx="693" cy="513"/>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4"/>
                                </w:rPr>
                                <w:t>人</w:t>
                              </w:r>
                            </w:p>
                          </w:txbxContent>
                        </wps:txbx>
                        <wps:bodyPr vertOverflow="overflow" horzOverflow="overflow" wrap="square" upright="1"/>
                      </wps:wsp>
                      <wpg:graphicFrame>
                        <wpg:cNvPr id="1045" name="オブジェクト 0"/>
                        <wpg:cNvFrPr/>
                        <wpg:xfrm>
                          <a:off x="2298" y="1736"/>
                          <a:ext cx="7306" cy="3302"/>
                        </wpg:xfrm>
                        <a:graphic>
                          <a:graphicData uri="http://schemas.openxmlformats.org/drawingml/2006/chart">
                            <c:chart xmlns:c="http://schemas.openxmlformats.org/drawingml/2006/chart" r:id="rId10"/>
                          </a:graphicData>
                        </a:graphic>
                      </wpg:graphicFrame>
                      <wps:wsp>
                        <wps:cNvPr id="1046" name="オブジェクト 0"/>
                        <wps:cNvSpPr txBox="1">
                          <a:spLocks noChangeArrowheads="1"/>
                        </wps:cNvSpPr>
                        <wps:spPr>
                          <a:xfrm>
                            <a:off x="5368" y="4916"/>
                            <a:ext cx="4652"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出典：医療施設（静態・動態）調査（厚生労働省）</w:t>
                              </w:r>
                            </w:p>
                          </w:txbxContent>
                        </wps:txbx>
                        <wps:bodyPr vertOverflow="overflow" horzOverflow="overflow" wrap="square" lIns="74295" tIns="8890" rIns="74295" bIns="8890" upright="1"/>
                      </wps:wsp>
                      <wps:wsp>
                        <wps:cNvPr id="1047" name="オブジェクト 0"/>
                        <wps:cNvSpPr txBox="1">
                          <a:spLocks noChangeArrowheads="1"/>
                        </wps:cNvSpPr>
                        <wps:spPr>
                          <a:xfrm>
                            <a:off x="2920" y="1629"/>
                            <a:ext cx="420" cy="368"/>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人</w:t>
                              </w:r>
                            </w:p>
                          </w:txbxContent>
                        </wps:txbx>
                        <wps:bodyPr vertOverflow="overflow" horzOverflow="overflow" wrap="square" lIns="74295" tIns="8890" rIns="74295" bIns="8890" upright="1"/>
                      </wps:wsp>
                    </wpg:wgp>
                  </a:graphicData>
                </a:graphic>
              </wp:anchor>
            </w:drawing>
          </mc:Choice>
          <mc:Fallback>
            <w:pict>
              <v:group id="オブジェクト 0" style="margin-top:10.55pt;mso-position-vertical-relative:text;mso-position-horizontal-relative:text;position:absolute;height:185.35pt;width:386.1pt;margin-left:44pt;z-index:122;" coordsize="7722,3707" coordorigin="2298,1629" o:spid="_x0000_s1043" o:allowincell="t" o:allowoverlap="t">
                <v:shapetype id="_x0000_t202" coordsize="21600,21600" o:spt="202" path="m,l,21600r21600,l21600,xe">
                  <v:stroke joinstyle="miter"/>
                  <v:path gradientshapeok="t" o:connecttype="rect"/>
                </v:shapetype>
                <v:shape id="オブジェクト 0" style="height:513;width:693;top:1770;left:2872;position:absolute;" o:spid="_x0000_s1044"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ascii="メイリオ" w:hAnsi="メイリオ" w:eastAsia="メイリオ"/>
                            <w:sz w:val="14"/>
                          </w:rPr>
                          <w:t>人</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302;width:7306;top:1736;left:2298;position:absolute;" o:spid="_x0000_s1045" filled="f" stroked="f" o:spt="75" type="#_x0000_t75">
                  <v:fill/>
                  <v:imagedata o:title="" r:id="rId11"/>
                  <w10:wrap type="none" anchorx="text" anchory="text"/>
                </v:shape>
                <v:shape id="オブジェクト 0" style="height:420;width:4652;top:4916;left:5368;position:absolute;" o:spid="_x0000_s1046"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出典：医療施設（静態・動態）調査（厚生労働省）</w:t>
                        </w:r>
                      </w:p>
                    </w:txbxContent>
                  </v:textbox>
                  <v:imagedata o:title=""/>
                  <w10:wrap type="none" anchorx="text" anchory="text"/>
                </v:shape>
                <v:shape id="オブジェクト 0" style="height:368;width:420;top:1629;left:2920;position:absolute;" o:spid="_x0000_s1047"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人</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4-1-5</w:t>
      </w:r>
      <w:r>
        <w:rPr>
          <w:rFonts w:hint="eastAsia" w:ascii="ＭＳ ゴシック" w:hAnsi="ＭＳ ゴシック" w:eastAsia="ＭＳ ゴシック"/>
          <w:color w:val="auto"/>
          <w:sz w:val="22"/>
          <w:highlight w:val="none"/>
          <w:u w:val="none" w:color="FF0000"/>
        </w:rPr>
        <w:t>）病院病床</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床あたり医師数</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exact"/>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exact"/>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医師の年齢構成をみると、平成</w:t>
      </w:r>
      <w:r>
        <w:rPr>
          <w:rFonts w:hint="eastAsia" w:ascii="ＭＳ 明朝" w:hAnsi="ＭＳ 明朝" w:eastAsia="ＭＳ 明朝"/>
          <w:kern w:val="2"/>
          <w:sz w:val="22"/>
          <w:highlight w:val="none"/>
        </w:rPr>
        <w:t>14</w:t>
      </w:r>
      <w:r>
        <w:rPr>
          <w:rFonts w:hint="eastAsia" w:ascii="ＭＳ 明朝" w:hAnsi="ＭＳ 明朝" w:eastAsia="ＭＳ 明朝"/>
          <w:kern w:val="2"/>
          <w:sz w:val="22"/>
          <w:highlight w:val="none"/>
        </w:rPr>
        <w:t>年には全体の</w:t>
      </w:r>
      <w:r>
        <w:rPr>
          <w:rFonts w:hint="eastAsia" w:ascii="ＭＳ 明朝" w:hAnsi="ＭＳ 明朝" w:eastAsia="ＭＳ 明朝"/>
          <w:kern w:val="2"/>
          <w:sz w:val="22"/>
          <w:highlight w:val="none"/>
        </w:rPr>
        <w:t>20</w:t>
      </w:r>
      <w:r>
        <w:rPr>
          <w:rFonts w:hint="eastAsia" w:ascii="ＭＳ 明朝" w:hAnsi="ＭＳ 明朝" w:eastAsia="ＭＳ 明朝"/>
          <w:kern w:val="2"/>
          <w:sz w:val="22"/>
          <w:highlight w:val="none"/>
        </w:rPr>
        <w:t>％だった</w:t>
      </w:r>
      <w:r>
        <w:rPr>
          <w:rFonts w:hint="eastAsia" w:ascii="ＭＳ 明朝" w:hAnsi="ＭＳ 明朝" w:eastAsia="ＭＳ 明朝"/>
          <w:kern w:val="2"/>
          <w:sz w:val="22"/>
          <w:highlight w:val="none"/>
        </w:rPr>
        <w:t>60</w:t>
      </w:r>
      <w:r>
        <w:rPr>
          <w:rFonts w:hint="eastAsia" w:ascii="ＭＳ 明朝" w:hAnsi="ＭＳ 明朝" w:eastAsia="ＭＳ 明朝"/>
          <w:kern w:val="2"/>
          <w:sz w:val="22"/>
          <w:highlight w:val="none"/>
        </w:rPr>
        <w:t>歳以上の医師が平成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年には全体の</w:t>
      </w:r>
      <w:r>
        <w:rPr>
          <w:rFonts w:hint="eastAsia" w:ascii="ＭＳ 明朝" w:hAnsi="ＭＳ 明朝" w:eastAsia="ＭＳ 明朝"/>
          <w:kern w:val="2"/>
          <w:sz w:val="22"/>
          <w:highlight w:val="none"/>
        </w:rPr>
        <w:t>3</w:t>
      </w:r>
      <w:r>
        <w:rPr>
          <w:rFonts w:hint="eastAsia" w:ascii="ＭＳ 明朝" w:hAnsi="ＭＳ 明朝" w:eastAsia="ＭＳ 明朝"/>
          <w:kern w:val="2"/>
          <w:sz w:val="22"/>
          <w:highlight w:val="none"/>
        </w:rPr>
        <w:t>割超を占める一方、</w:t>
      </w:r>
      <w:r>
        <w:rPr>
          <w:rFonts w:hint="eastAsia" w:ascii="ＭＳ 明朝" w:hAnsi="ＭＳ 明朝" w:eastAsia="ＭＳ 明朝"/>
          <w:kern w:val="2"/>
          <w:sz w:val="22"/>
          <w:highlight w:val="none"/>
        </w:rPr>
        <w:t>40</w:t>
      </w:r>
      <w:r>
        <w:rPr>
          <w:rFonts w:hint="eastAsia" w:ascii="ＭＳ 明朝" w:hAnsi="ＭＳ 明朝" w:eastAsia="ＭＳ 明朝"/>
          <w:kern w:val="2"/>
          <w:sz w:val="22"/>
          <w:highlight w:val="none"/>
        </w:rPr>
        <w:t>歳未満の医師は</w:t>
      </w:r>
      <w:r>
        <w:rPr>
          <w:rFonts w:hint="eastAsia" w:ascii="ＭＳ 明朝" w:hAnsi="ＭＳ 明朝" w:eastAsia="ＭＳ 明朝"/>
          <w:kern w:val="2"/>
          <w:sz w:val="22"/>
          <w:highlight w:val="none"/>
        </w:rPr>
        <w:t>36</w:t>
      </w:r>
      <w:r>
        <w:rPr>
          <w:rFonts w:hint="eastAsia" w:ascii="ＭＳ 明朝" w:hAnsi="ＭＳ 明朝" w:eastAsia="ＭＳ 明朝"/>
          <w:kern w:val="2"/>
          <w:sz w:val="22"/>
          <w:highlight w:val="none"/>
        </w:rPr>
        <w:t>％から</w:t>
      </w:r>
      <w:r>
        <w:rPr>
          <w:rFonts w:hint="eastAsia" w:ascii="ＭＳ 明朝" w:hAnsi="ＭＳ 明朝" w:eastAsia="ＭＳ 明朝"/>
          <w:kern w:val="2"/>
          <w:sz w:val="22"/>
          <w:highlight w:val="none"/>
        </w:rPr>
        <w:t>25</w:t>
      </w:r>
      <w:r>
        <w:rPr>
          <w:rFonts w:hint="eastAsia" w:ascii="ＭＳ 明朝" w:hAnsi="ＭＳ 明朝" w:eastAsia="ＭＳ 明朝"/>
          <w:kern w:val="2"/>
          <w:sz w:val="22"/>
          <w:highlight w:val="none"/>
        </w:rPr>
        <w:t>％に減少し、医師が</w:t>
      </w:r>
      <w:r>
        <w:rPr>
          <w:rFonts w:hint="eastAsia"/>
        </w:rPr>
        <mc:AlternateContent>
          <mc:Choice Requires="wpg">
            <w:drawing>
              <wp:anchor simplePos="0" relativeHeight="127" behindDoc="0" locked="0" layoutInCell="1" hidden="0" allowOverlap="1">
                <wp:simplePos x="0" y="0"/>
                <wp:positionH relativeFrom="column">
                  <wp:posOffset>327025</wp:posOffset>
                </wp:positionH>
                <wp:positionV relativeFrom="paragraph">
                  <wp:posOffset>641985</wp:posOffset>
                </wp:positionV>
                <wp:extent cx="5438775" cy="2574925"/>
                <wp:effectExtent l="0" t="0" r="635" b="0"/>
                <wp:wrapNone/>
                <wp:docPr id="1048" name="オブジェクト 0"/>
                <a:graphic xmlns:a="http://schemas.openxmlformats.org/drawingml/2006/main">
                  <a:graphicData uri="http://schemas.microsoft.com/office/word/2010/wordprocessingGroup">
                    <wpg:wgp>
                      <wpg:cNvGrpSpPr/>
                      <wpg:grpSpPr>
                        <a:xfrm>
                          <a:off x="0" y="0"/>
                          <a:ext cx="5438775" cy="2574925"/>
                          <a:chOff x="1933" y="6409"/>
                          <a:chExt cx="8565" cy="4055"/>
                        </a:xfrm>
                      </wpg:grpSpPr>
                      <wpg:graphicFrame>
                        <wpg:cNvPr id="1049" name="オブジェクト 0"/>
                        <wpg:cNvFrPr/>
                        <wpg:xfrm>
                          <a:off x="1933" y="6409"/>
                          <a:ext cx="8338" cy="4055"/>
                        </wpg:xfrm>
                        <a:graphic>
                          <a:graphicData uri="http://schemas.openxmlformats.org/drawingml/2006/chart">
                            <c:chart xmlns:c="http://schemas.openxmlformats.org/drawingml/2006/chart" r:id="rId12"/>
                          </a:graphicData>
                        </a:graphic>
                      </wpg:graphicFrame>
                      <wps:wsp>
                        <wps:cNvPr id="1050" name="オブジェクト 0"/>
                        <wps:cNvSpPr txBox="1">
                          <a:spLocks noChangeArrowheads="1"/>
                        </wps:cNvSpPr>
                        <wps:spPr>
                          <a:xfrm>
                            <a:off x="5846" y="9914"/>
                            <a:ext cx="4652"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wpg:wgp>
                  </a:graphicData>
                </a:graphic>
              </wp:anchor>
            </w:drawing>
          </mc:Choice>
          <mc:Fallback>
            <w:pict>
              <v:group id="オブジェクト 0" style="margin-top:50.55pt;mso-position-vertical-relative:text;mso-position-horizontal-relative:text;position:absolute;height:202.75pt;width:428.25pt;margin-left:25.75pt;z-index:127;" coordsize="8565,4055" coordorigin="1933,6409" o:spid="_x0000_s104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055;width:8338;top:6409;left:1933;position:absolute;" o:spid="_x0000_s1049" filled="f" stroked="f" o:spt="75" type="#_x0000_t75">
                  <v:fill/>
                  <v:imagedata o:title="" r:id="rId13"/>
                  <w10:wrap type="none" anchorx="text" anchory="text"/>
                </v:shape>
                <v:shapetype id="_x0000_t202" coordsize="21600,21600" o:spt="202" path="m,l,21600r21600,l21600,xe">
                  <v:stroke joinstyle="miter"/>
                  <v:path gradientshapeok="t" o:connecttype="rect"/>
                </v:shapetype>
                <v:shape id="オブジェクト 0" style="height:420;width:4652;top:9914;left:5846;position:absolute;" o:spid="_x0000_s1050"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10:wrap type="none" anchorx="text" anchory="text"/>
              </v:group>
            </w:pict>
          </mc:Fallback>
        </mc:AlternateContent>
      </w:r>
      <w:r>
        <w:rPr>
          <w:rFonts w:hint="eastAsia" w:ascii="ＭＳ 明朝" w:hAnsi="ＭＳ 明朝" w:eastAsia="ＭＳ 明朝"/>
          <w:kern w:val="2"/>
          <w:sz w:val="22"/>
          <w:highlight w:val="none"/>
        </w:rPr>
        <w:t>高齢化している状況にあります。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4-1-6</w:t>
      </w:r>
      <w:r>
        <w:rPr>
          <w:rFonts w:hint="eastAsia" w:ascii="ＭＳ ゴシック" w:hAnsi="ＭＳ ゴシック" w:eastAsia="ＭＳ ゴシック"/>
          <w:color w:val="auto"/>
          <w:sz w:val="22"/>
          <w:highlight w:val="none"/>
          <w:u w:val="none" w:color="FF0000"/>
        </w:rPr>
        <w:t>）医師の年齢構成の推移（高知県）</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14</w:t>
      </w:r>
      <w:r>
        <w:rPr>
          <w:rFonts w:hint="eastAsia" w:ascii="ＭＳ 明朝" w:hAnsi="ＭＳ 明朝" w:eastAsia="ＭＳ 明朝"/>
          <w:kern w:val="2"/>
          <w:sz w:val="22"/>
          <w:highlight w:val="none"/>
        </w:rPr>
        <w:t>年から</w:t>
      </w:r>
      <w:r>
        <w:rPr>
          <w:rFonts w:hint="eastAsia" w:ascii="ＭＳ 明朝" w:hAnsi="ＭＳ 明朝" w:eastAsia="ＭＳ 明朝"/>
          <w:color w:val="auto"/>
          <w:kern w:val="2"/>
          <w:sz w:val="22"/>
          <w:highlight w:val="none"/>
          <w:u w:val="none" w:color="auto"/>
        </w:rPr>
        <w:t>令和２年までの</w:t>
      </w:r>
      <w:r>
        <w:rPr>
          <w:rFonts w:hint="eastAsia" w:ascii="ＭＳ 明朝" w:hAnsi="ＭＳ 明朝" w:eastAsia="ＭＳ 明朝"/>
          <w:color w:val="auto"/>
          <w:kern w:val="2"/>
          <w:sz w:val="22"/>
          <w:highlight w:val="none"/>
          <w:u w:val="none" w:color="auto"/>
        </w:rPr>
        <w:t>18</w:t>
      </w:r>
      <w:r>
        <w:rPr>
          <w:rFonts w:hint="eastAsia" w:ascii="ＭＳ 明朝" w:hAnsi="ＭＳ 明朝" w:eastAsia="ＭＳ 明朝"/>
          <w:color w:val="auto"/>
          <w:kern w:val="2"/>
          <w:sz w:val="22"/>
          <w:highlight w:val="none"/>
          <w:u w:val="none" w:color="auto"/>
        </w:rPr>
        <w:t>年間における</w:t>
      </w:r>
      <w:r>
        <w:rPr>
          <w:rFonts w:hint="eastAsia" w:ascii="ＭＳ 明朝" w:hAnsi="ＭＳ 明朝" w:eastAsia="ＭＳ 明朝"/>
          <w:color w:val="auto"/>
          <w:kern w:val="2"/>
          <w:sz w:val="22"/>
          <w:highlight w:val="none"/>
          <w:u w:val="none" w:color="auto"/>
        </w:rPr>
        <w:t>40</w:t>
      </w:r>
      <w:r>
        <w:rPr>
          <w:rFonts w:hint="eastAsia" w:ascii="ＭＳ 明朝" w:hAnsi="ＭＳ 明朝" w:eastAsia="ＭＳ 明朝"/>
          <w:color w:val="auto"/>
          <w:kern w:val="2"/>
          <w:sz w:val="22"/>
          <w:highlight w:val="none"/>
          <w:u w:val="none" w:color="auto"/>
        </w:rPr>
        <w:t>歳未満の若手医師数は、平成</w:t>
      </w:r>
      <w:r>
        <w:rPr>
          <w:rFonts w:hint="eastAsia" w:ascii="ＭＳ 明朝" w:hAnsi="ＭＳ 明朝" w:eastAsia="ＭＳ 明朝"/>
          <w:color w:val="auto"/>
          <w:kern w:val="2"/>
          <w:sz w:val="22"/>
          <w:highlight w:val="none"/>
          <w:u w:val="none" w:color="auto"/>
        </w:rPr>
        <w:t>20</w:t>
      </w:r>
      <w:r>
        <w:rPr>
          <w:rFonts w:hint="eastAsia" w:ascii="ＭＳ 明朝" w:hAnsi="ＭＳ 明朝" w:eastAsia="ＭＳ 明朝"/>
          <w:color w:val="auto"/>
          <w:kern w:val="2"/>
          <w:sz w:val="22"/>
          <w:highlight w:val="none"/>
          <w:u w:val="none" w:color="auto"/>
        </w:rPr>
        <w:t>年度以降の医学部の臨時定員増などにより国全体では微増となっていますが、東京都は約</w:t>
      </w:r>
      <w:r>
        <w:rPr>
          <w:rFonts w:hint="eastAsia" w:ascii="ＭＳ 明朝" w:hAnsi="ＭＳ 明朝" w:eastAsia="ＭＳ 明朝"/>
          <w:color w:val="auto"/>
          <w:kern w:val="2"/>
          <w:sz w:val="22"/>
          <w:highlight w:val="none"/>
          <w:u w:val="none" w:color="auto"/>
        </w:rPr>
        <w:t>33</w:t>
      </w:r>
      <w:r>
        <w:rPr>
          <w:rFonts w:hint="eastAsia" w:ascii="ＭＳ 明朝" w:hAnsi="ＭＳ 明朝" w:eastAsia="ＭＳ 明朝"/>
          <w:color w:val="auto"/>
          <w:kern w:val="2"/>
          <w:sz w:val="22"/>
          <w:highlight w:val="none"/>
          <w:u w:val="none" w:color="auto"/>
        </w:rPr>
        <w:t>％も増加しています。</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一方、本県においては、平成</w:t>
      </w:r>
      <w:r>
        <w:rPr>
          <w:rFonts w:hint="eastAsia" w:ascii="ＭＳ 明朝" w:hAnsi="ＭＳ 明朝" w:eastAsia="ＭＳ 明朝"/>
          <w:color w:val="auto"/>
          <w:kern w:val="2"/>
          <w:sz w:val="22"/>
          <w:highlight w:val="none"/>
          <w:u w:val="none" w:color="auto"/>
        </w:rPr>
        <w:t>14</w:t>
      </w:r>
      <w:r>
        <w:rPr>
          <w:rFonts w:hint="eastAsia" w:ascii="ＭＳ 明朝" w:hAnsi="ＭＳ 明朝" w:eastAsia="ＭＳ 明朝"/>
          <w:color w:val="auto"/>
          <w:kern w:val="2"/>
          <w:sz w:val="22"/>
          <w:highlight w:val="none"/>
          <w:u w:val="none" w:color="auto"/>
        </w:rPr>
        <w:t>年に</w:t>
      </w:r>
      <w:r>
        <w:rPr>
          <w:rFonts w:hint="eastAsia" w:ascii="ＭＳ 明朝" w:hAnsi="ＭＳ 明朝" w:eastAsia="ＭＳ 明朝"/>
          <w:color w:val="auto"/>
          <w:kern w:val="2"/>
          <w:sz w:val="22"/>
          <w:highlight w:val="none"/>
          <w:u w:val="none" w:color="auto"/>
        </w:rPr>
        <w:t>750</w:t>
      </w:r>
      <w:r>
        <w:rPr>
          <w:rFonts w:hint="eastAsia" w:ascii="ＭＳ 明朝" w:hAnsi="ＭＳ 明朝" w:eastAsia="ＭＳ 明朝"/>
          <w:color w:val="auto"/>
          <w:kern w:val="2"/>
          <w:sz w:val="22"/>
          <w:highlight w:val="none"/>
          <w:u w:val="none" w:color="auto"/>
        </w:rPr>
        <w:t>人いた若手医師が、平成</w:t>
      </w:r>
      <w:r>
        <w:rPr>
          <w:rFonts w:hint="eastAsia" w:ascii="ＭＳ 明朝" w:hAnsi="ＭＳ 明朝" w:eastAsia="ＭＳ 明朝"/>
          <w:color w:val="auto"/>
          <w:kern w:val="2"/>
          <w:sz w:val="22"/>
          <w:highlight w:val="none"/>
          <w:u w:val="none" w:color="auto"/>
        </w:rPr>
        <w:t>26</w:t>
      </w:r>
      <w:r>
        <w:rPr>
          <w:rFonts w:hint="eastAsia" w:ascii="ＭＳ 明朝" w:hAnsi="ＭＳ 明朝" w:eastAsia="ＭＳ 明朝"/>
          <w:color w:val="auto"/>
          <w:kern w:val="2"/>
          <w:sz w:val="22"/>
          <w:highlight w:val="none"/>
          <w:u w:val="none" w:color="auto"/>
        </w:rPr>
        <w:t>年には</w:t>
      </w:r>
      <w:r>
        <w:rPr>
          <w:rFonts w:hint="eastAsia" w:ascii="ＭＳ 明朝" w:hAnsi="ＭＳ 明朝" w:eastAsia="ＭＳ 明朝"/>
          <w:color w:val="auto"/>
          <w:kern w:val="2"/>
          <w:sz w:val="22"/>
          <w:highlight w:val="none"/>
          <w:u w:val="none" w:color="auto"/>
        </w:rPr>
        <w:t>517</w:t>
      </w:r>
      <w:r>
        <w:rPr>
          <w:rFonts w:hint="eastAsia" w:ascii="ＭＳ 明朝" w:hAnsi="ＭＳ 明朝" w:eastAsia="ＭＳ 明朝"/>
          <w:color w:val="auto"/>
          <w:kern w:val="2"/>
          <w:sz w:val="22"/>
          <w:highlight w:val="none"/>
          <w:u w:val="none" w:color="auto"/>
        </w:rPr>
        <w:t>人（</w:t>
      </w:r>
      <w:r>
        <w:rPr>
          <w:rFonts w:hint="eastAsia" w:ascii="ＭＳ 明朝" w:hAnsi="ＭＳ 明朝" w:eastAsia="ＭＳ 明朝"/>
          <w:color w:val="auto"/>
          <w:kern w:val="2"/>
          <w:sz w:val="22"/>
          <w:highlight w:val="none"/>
          <w:u w:val="none" w:color="auto"/>
        </w:rPr>
        <w:t>31</w:t>
      </w:r>
      <w:r>
        <w:rPr>
          <w:rFonts w:hint="eastAsia" w:ascii="ＭＳ 明朝" w:hAnsi="ＭＳ 明朝" w:eastAsia="ＭＳ 明朝"/>
          <w:color w:val="auto"/>
          <w:kern w:val="2"/>
          <w:sz w:val="22"/>
          <w:highlight w:val="none"/>
          <w:u w:val="none" w:color="auto"/>
        </w:rPr>
        <w:t>％減）と年々減少し、平成</w:t>
      </w:r>
      <w:r>
        <w:rPr>
          <w:rFonts w:hint="eastAsia" w:ascii="ＭＳ 明朝" w:hAnsi="ＭＳ 明朝" w:eastAsia="ＭＳ 明朝"/>
          <w:color w:val="auto"/>
          <w:kern w:val="2"/>
          <w:sz w:val="22"/>
          <w:highlight w:val="none"/>
          <w:u w:val="none" w:color="auto"/>
        </w:rPr>
        <w:t>28</w:t>
      </w:r>
      <w:r>
        <w:rPr>
          <w:rFonts w:hint="eastAsia" w:ascii="ＭＳ 明朝" w:hAnsi="ＭＳ 明朝" w:eastAsia="ＭＳ 明朝"/>
          <w:color w:val="auto"/>
          <w:kern w:val="2"/>
          <w:sz w:val="22"/>
          <w:highlight w:val="none"/>
          <w:u w:val="none" w:color="auto"/>
        </w:rPr>
        <w:t>年以降は増加に転じ令和２年には</w:t>
      </w:r>
      <w:r>
        <w:rPr>
          <w:rFonts w:hint="eastAsia" w:ascii="ＭＳ 明朝" w:hAnsi="ＭＳ 明朝" w:eastAsia="ＭＳ 明朝"/>
          <w:color w:val="auto"/>
          <w:kern w:val="2"/>
          <w:sz w:val="22"/>
          <w:highlight w:val="none"/>
          <w:u w:val="none" w:color="auto"/>
        </w:rPr>
        <w:t>587</w:t>
      </w:r>
      <w:r>
        <w:rPr>
          <w:rFonts w:hint="eastAsia" w:ascii="ＭＳ 明朝" w:hAnsi="ＭＳ 明朝" w:eastAsia="ＭＳ 明朝"/>
          <w:color w:val="auto"/>
          <w:kern w:val="2"/>
          <w:sz w:val="22"/>
          <w:highlight w:val="none"/>
          <w:u w:val="none" w:color="auto"/>
        </w:rPr>
        <w:t>人まで回復しているものの、平成</w:t>
      </w:r>
      <w:r>
        <w:rPr>
          <w:rFonts w:hint="eastAsia" w:ascii="ＭＳ 明朝" w:hAnsi="ＭＳ 明朝" w:eastAsia="ＭＳ 明朝"/>
          <w:color w:val="auto"/>
          <w:kern w:val="2"/>
          <w:sz w:val="22"/>
          <w:highlight w:val="none"/>
          <w:u w:val="none" w:color="auto"/>
        </w:rPr>
        <w:t>14</w:t>
      </w:r>
      <w:r>
        <w:rPr>
          <w:rFonts w:hint="eastAsia" w:ascii="ＭＳ 明朝" w:hAnsi="ＭＳ 明朝" w:eastAsia="ＭＳ 明朝"/>
          <w:color w:val="auto"/>
          <w:kern w:val="2"/>
          <w:sz w:val="22"/>
          <w:highlight w:val="none"/>
          <w:u w:val="none" w:color="auto"/>
        </w:rPr>
        <w:t>年と比較すると</w:t>
      </w:r>
      <w:r>
        <w:rPr>
          <w:rFonts w:hint="eastAsia" w:ascii="ＭＳ 明朝" w:hAnsi="ＭＳ 明朝" w:eastAsia="ＭＳ 明朝"/>
          <w:color w:val="auto"/>
          <w:kern w:val="2"/>
          <w:sz w:val="22"/>
          <w:highlight w:val="none"/>
          <w:u w:val="none" w:color="auto"/>
        </w:rPr>
        <w:t>22</w:t>
      </w:r>
      <w:r>
        <w:rPr>
          <w:rFonts w:hint="eastAsia" w:ascii="ＭＳ 明朝" w:hAnsi="ＭＳ 明朝" w:eastAsia="ＭＳ 明朝"/>
          <w:kern w:val="2"/>
          <w:sz w:val="22"/>
          <w:highlight w:val="none"/>
        </w:rPr>
        <w:t>％の減少となっています。</w:t>
      </w: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このことから、首都圏などの都市部に若手医師が集まる一方で、地方では若手医師が減少していることが分かります。</w:t>
      </w:r>
    </w:p>
    <w:p>
      <w:pPr>
        <w:pStyle w:val="0"/>
        <w:spacing w:before="0" w:beforeLines="0" w:beforeAutospacing="0" w:after="0" w:afterLines="0" w:afterAutospacing="0" w:line="240" w:lineRule="auto"/>
        <w:ind w:firstLine="1814" w:firstLineChars="800"/>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13" behindDoc="0" locked="0" layoutInCell="1" hidden="0" allowOverlap="1">
                <wp:simplePos x="0" y="0"/>
                <wp:positionH relativeFrom="column">
                  <wp:posOffset>5072380</wp:posOffset>
                </wp:positionH>
                <wp:positionV relativeFrom="paragraph">
                  <wp:posOffset>36830</wp:posOffset>
                </wp:positionV>
                <wp:extent cx="693420" cy="233680"/>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a:spLocks noChangeArrowheads="1"/>
                      </wps:cNvSpPr>
                      <wps:spPr>
                        <a:xfrm>
                          <a:off x="0" y="0"/>
                          <a:ext cx="693420" cy="233680"/>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9pt;mso-position-vertical-relative:text;mso-position-horizontal-relative:text;position:absolute;height:18.39pt;mso-wrap-distance-top:0pt;width:54.6pt;mso-wrap-distance-left:16pt;margin-left:399.4pt;z-index:13;" o:spid="_x0000_s105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4-1-7</w:t>
      </w:r>
      <w:r>
        <w:rPr>
          <w:rFonts w:hint="eastAsia" w:ascii="ＭＳ ゴシック" w:hAnsi="ＭＳ ゴシック" w:eastAsia="ＭＳ ゴシック"/>
          <w:color w:val="auto"/>
          <w:sz w:val="22"/>
          <w:highlight w:val="none"/>
          <w:u w:val="none" w:color="FF0000"/>
        </w:rPr>
        <w:t>）医療機関に従事する</w:t>
      </w:r>
      <w:r>
        <w:rPr>
          <w:rFonts w:hint="eastAsia" w:ascii="ＭＳ ゴシック" w:hAnsi="ＭＳ ゴシック" w:eastAsia="ＭＳ ゴシック"/>
          <w:color w:val="auto"/>
          <w:sz w:val="22"/>
          <w:highlight w:val="none"/>
          <w:u w:val="none" w:color="FF0000"/>
        </w:rPr>
        <w:t>40</w:t>
      </w:r>
      <w:r>
        <w:rPr>
          <w:rFonts w:hint="eastAsia" w:ascii="ＭＳ ゴシック" w:hAnsi="ＭＳ ゴシック" w:eastAsia="ＭＳ ゴシック"/>
          <w:color w:val="auto"/>
          <w:sz w:val="22"/>
          <w:highlight w:val="none"/>
          <w:u w:val="none" w:color="FF0000"/>
        </w:rPr>
        <w:t>歳未満の医師数</w:t>
      </w:r>
    </w:p>
    <w:tbl>
      <w:tblPr>
        <w:tblStyle w:val="46"/>
        <w:tblW w:w="0" w:type="auto"/>
        <w:tblInd w:w="0" w:type="dxa"/>
        <w:tblLayout w:type="fixed"/>
        <w:tblLook w:firstRow="1" w:lastRow="0" w:firstColumn="1" w:lastColumn="0" w:noHBand="0" w:noVBand="1" w:val="04A0"/>
      </w:tblPr>
      <w:tblGrid>
        <w:gridCol w:w="824"/>
        <w:gridCol w:w="824"/>
        <w:gridCol w:w="824"/>
        <w:gridCol w:w="824"/>
        <w:gridCol w:w="824"/>
        <w:gridCol w:w="824"/>
        <w:gridCol w:w="824"/>
        <w:gridCol w:w="824"/>
        <w:gridCol w:w="824"/>
        <w:gridCol w:w="824"/>
        <w:gridCol w:w="824"/>
      </w:tblGrid>
      <w:tr>
        <w:trPr/>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年</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000000"/>
                <w:sz w:val="16"/>
                <w:highlight w:val="none"/>
              </w:rPr>
              <w:t>H14</w:t>
            </w:r>
          </w:p>
        </w:tc>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H16</w:t>
            </w:r>
          </w:p>
        </w:tc>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H18</w:t>
            </w:r>
          </w:p>
        </w:tc>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H20</w:t>
            </w:r>
          </w:p>
        </w:tc>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H22</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auto"/>
                <w:sz w:val="16"/>
                <w:highlight w:val="none"/>
                <w:u w:val="none" w:color="auto"/>
              </w:rPr>
              <w:t>H24</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auto"/>
                <w:sz w:val="16"/>
                <w:highlight w:val="none"/>
                <w:u w:val="none" w:color="auto"/>
              </w:rPr>
              <w:t>H26</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auto"/>
                <w:sz w:val="16"/>
                <w:highlight w:val="none"/>
                <w:u w:val="none" w:color="auto"/>
              </w:rPr>
              <w:t>H28</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H30</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000000"/>
                <w:sz w:val="16"/>
                <w:highlight w:val="none"/>
                <w:u w:val="none" w:color="FF0000"/>
              </w:rPr>
              <w:t>R2</w:t>
            </w:r>
          </w:p>
        </w:tc>
      </w:tr>
      <w:tr>
        <w:trPr/>
        <w:tc>
          <w:tcPr>
            <w:tcW w:w="824" w:type="dxa"/>
            <w:shd w:val="clear" w:color="auto" w:fill="DAEEF3"/>
            <w:vAlign w:val="top"/>
          </w:tcPr>
          <w:p>
            <w:pPr>
              <w:pStyle w:val="0"/>
              <w:jc w:val="center"/>
              <w:rPr>
                <w:rFonts w:hint="eastAsia" w:ascii="ＭＳ 明朝" w:hAnsi="ＭＳ 明朝" w:eastAsia="ＭＳ 明朝"/>
                <w:sz w:val="18"/>
              </w:rPr>
            </w:pPr>
            <w:r>
              <w:rPr>
                <w:rFonts w:hint="eastAsia" w:ascii="ＭＳ 明朝" w:hAnsi="ＭＳ 明朝" w:eastAsia="ＭＳ 明朝"/>
                <w:sz w:val="16"/>
              </w:rPr>
              <w:t>高知県</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750</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694</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651</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600</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551</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533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517</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552</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570</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587</w:t>
            </w:r>
          </w:p>
        </w:tc>
      </w:tr>
      <w:tr>
        <w:trPr/>
        <w:tc>
          <w:tcPr>
            <w:tcW w:w="824" w:type="dxa"/>
            <w:shd w:val="clear" w:color="auto" w:fill="DAEEF3"/>
            <w:vAlign w:val="top"/>
          </w:tcPr>
          <w:p>
            <w:pPr>
              <w:pStyle w:val="0"/>
              <w:jc w:val="center"/>
              <w:rPr>
                <w:rFonts w:hint="eastAsia" w:ascii="ＭＳ 明朝" w:hAnsi="ＭＳ 明朝" w:eastAsia="ＭＳ 明朝"/>
                <w:sz w:val="18"/>
              </w:rPr>
            </w:pPr>
            <w:r>
              <w:rPr>
                <w:rFonts w:hint="eastAsia" w:ascii="ＭＳ 明朝" w:hAnsi="ＭＳ 明朝" w:eastAsia="ＭＳ 明朝"/>
                <w:sz w:val="16"/>
              </w:rPr>
              <w:t>全国</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90,292</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89,817</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90,598</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90,596</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90,710</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91,229</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91,293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92,603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93,886</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97,819</w:t>
            </w:r>
          </w:p>
        </w:tc>
      </w:tr>
      <w:tr>
        <w:trPr/>
        <w:tc>
          <w:tcPr>
            <w:tcW w:w="824" w:type="dxa"/>
            <w:shd w:val="clear" w:color="auto" w:fill="DAEEF3"/>
            <w:vAlign w:val="top"/>
          </w:tcPr>
          <w:p>
            <w:pPr>
              <w:pStyle w:val="0"/>
              <w:jc w:val="center"/>
              <w:rPr>
                <w:rFonts w:hint="eastAsia" w:ascii="ＭＳ 明朝" w:hAnsi="ＭＳ 明朝" w:eastAsia="ＭＳ 明朝"/>
                <w:sz w:val="18"/>
              </w:rPr>
            </w:pPr>
            <w:r>
              <w:rPr>
                <w:rFonts w:hint="eastAsia" w:ascii="ＭＳ 明朝" w:hAnsi="ＭＳ 明朝" w:eastAsia="ＭＳ 明朝"/>
                <w:sz w:val="16"/>
              </w:rPr>
              <w:t>東京都</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12,165</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13,009</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13,184</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14,027</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14,684</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15,053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15,377</w:t>
            </w:r>
          </w:p>
        </w:tc>
        <w:tc>
          <w:tcPr>
            <w:tcW w:w="824" w:type="dxa"/>
            <w:vAlign w:val="top"/>
          </w:tcPr>
          <w:p>
            <w:pPr>
              <w:pStyle w:val="0"/>
              <w:jc w:val="right"/>
              <w:rPr>
                <w:rFonts w:hint="eastAsia" w:ascii="ＭＳ 明朝" w:hAnsi="ＭＳ 明朝" w:eastAsia="ＭＳ 明朝"/>
                <w:sz w:val="18"/>
              </w:rPr>
            </w:pPr>
            <w:r>
              <w:rPr>
                <w:rFonts w:hint="eastAsia"/>
              </w:rPr>
              <mc:AlternateContent>
                <mc:Choice Requires="wps">
                  <w:drawing>
                    <wp:anchor distT="0" distB="0" distL="203200" distR="203200" simplePos="0" relativeHeight="80" behindDoc="0" locked="0" layoutInCell="1" hidden="0" allowOverlap="1">
                      <wp:simplePos x="0" y="0"/>
                      <wp:positionH relativeFrom="column">
                        <wp:posOffset>-1287145</wp:posOffset>
                      </wp:positionH>
                      <wp:positionV relativeFrom="paragraph">
                        <wp:posOffset>173355</wp:posOffset>
                      </wp:positionV>
                      <wp:extent cx="2958465" cy="266700"/>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a:spLocks noChangeArrowheads="1"/>
                            </wps:cNvSpPr>
                            <wps:spPr>
                              <a:xfrm>
                                <a:off x="0" y="0"/>
                                <a:ext cx="2958465"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65pt;mso-position-vertical-relative:text;mso-position-horizontal-relative:text;position:absolute;height:21pt;mso-wrap-distance-top:0pt;width:232.95pt;mso-wrap-distance-left:16pt;margin-left:-101.35pt;z-index:80;" o:spid="_x0000_s105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r>
              <w:rPr>
                <w:rFonts w:hint="eastAsia" w:ascii="ＭＳ 明朝" w:hAnsi="ＭＳ 明朝" w:eastAsia="ＭＳ 明朝"/>
                <w:sz w:val="18"/>
              </w:rPr>
              <w:t>15,265</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15,523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16,163</w:t>
            </w:r>
          </w:p>
        </w:tc>
      </w:tr>
    </w:tbl>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4-1-8</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40</w:t>
      </w:r>
      <w:r>
        <w:rPr>
          <w:rFonts w:hint="eastAsia" w:ascii="ＭＳ ゴシック" w:hAnsi="ＭＳ ゴシック" w:eastAsia="ＭＳ ゴシック"/>
          <w:color w:val="auto"/>
          <w:sz w:val="22"/>
          <w:highlight w:val="none"/>
          <w:u w:val="none" w:color="FF0000"/>
        </w:rPr>
        <w:t>歳未満の医師数の推移（Ｈ</w:t>
      </w:r>
      <w:r>
        <w:rPr>
          <w:rFonts w:hint="eastAsia" w:ascii="ＭＳ ゴシック" w:hAnsi="ＭＳ ゴシック" w:eastAsia="ＭＳ ゴシック"/>
          <w:color w:val="auto"/>
          <w:sz w:val="22"/>
          <w:highlight w:val="none"/>
          <w:u w:val="none" w:color="FF0000"/>
        </w:rPr>
        <w:t>14</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30" behindDoc="0" locked="0" layoutInCell="1" hidden="0" allowOverlap="1">
                <wp:simplePos x="0" y="0"/>
                <wp:positionH relativeFrom="column">
                  <wp:posOffset>433070</wp:posOffset>
                </wp:positionH>
                <wp:positionV relativeFrom="paragraph">
                  <wp:posOffset>1270</wp:posOffset>
                </wp:positionV>
                <wp:extent cx="5464810" cy="2451735"/>
                <wp:effectExtent l="0" t="0" r="635" b="635"/>
                <wp:wrapNone/>
                <wp:docPr id="1053" name="オブジェクト 0"/>
                <a:graphic xmlns:a="http://schemas.openxmlformats.org/drawingml/2006/main">
                  <a:graphicData uri="http://schemas.microsoft.com/office/word/2010/wordprocessingGroup">
                    <wpg:wgp>
                      <wpg:cNvGrpSpPr/>
                      <wpg:grpSpPr>
                        <a:xfrm>
                          <a:off x="0" y="0"/>
                          <a:ext cx="5464810" cy="2451735"/>
                          <a:chOff x="2100" y="1770"/>
                          <a:chExt cx="8606" cy="3861"/>
                        </a:xfrm>
                      </wpg:grpSpPr>
                      <wps:wsp>
                        <wps:cNvPr id="1054" name="オブジェクト 0"/>
                        <wps:cNvSpPr txBox="1">
                          <a:spLocks noChangeArrowheads="1"/>
                        </wps:cNvSpPr>
                        <wps:spPr>
                          <a:xfrm>
                            <a:off x="5846" y="5211"/>
                            <a:ext cx="4860"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wpg:graphicFrame>
                        <wpg:cNvPr id="1055" name="オブジェクト 0"/>
                        <wpg:cNvFrPr/>
                        <wpg:xfrm>
                          <a:off x="2100" y="1770"/>
                          <a:ext cx="7180" cy="3471"/>
                        </wpg:xfrm>
                        <a:graphic>
                          <a:graphicData uri="http://schemas.openxmlformats.org/drawingml/2006/chart">
                            <c:chart xmlns:c="http://schemas.openxmlformats.org/drawingml/2006/chart" r:id="rId14"/>
                          </a:graphicData>
                        </a:graphic>
                      </wpg:graphicFrame>
                      <wps:wsp>
                        <wps:cNvPr id="1056" name="オブジェクト 0"/>
                        <wps:cNvSpPr/>
                        <wps:spPr>
                          <a:xfrm>
                            <a:off x="8177" y="3395"/>
                            <a:ext cx="1290" cy="528"/>
                          </a:xfrm>
                          <a:prstGeom prst="wedgeRectCallout">
                            <a:avLst>
                              <a:gd name="adj1" fmla="val 3709"/>
                              <a:gd name="adj2" fmla="val 67608"/>
                            </a:avLst>
                          </a:prstGeom>
                          <a:ln w="9525"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spacing w:line="200" w:lineRule="exact"/>
                                <w:jc w:val="center"/>
                                <w:rPr>
                                  <w:rFonts w:hint="eastAsia"/>
                                </w:rPr>
                              </w:pPr>
                              <w:r>
                                <w:rPr>
                                  <w:rFonts w:hint="eastAsia"/>
                                  <w:sz w:val="14"/>
                                </w:rPr>
                                <w:t>40</w:t>
                              </w:r>
                              <w:r>
                                <w:rPr>
                                  <w:rFonts w:hint="eastAsia"/>
                                  <w:sz w:val="14"/>
                                </w:rPr>
                                <w:t>歳未満が</w:t>
                              </w:r>
                            </w:p>
                            <w:p>
                              <w:pPr>
                                <w:pStyle w:val="0"/>
                                <w:spacing w:line="200" w:lineRule="exact"/>
                                <w:jc w:val="center"/>
                                <w:rPr>
                                  <w:rFonts w:hint="eastAsia"/>
                                </w:rPr>
                              </w:pPr>
                              <w:r>
                                <w:rPr>
                                  <w:rFonts w:hint="eastAsia"/>
                                  <w:sz w:val="14"/>
                                </w:rPr>
                                <w:t>増加</w:t>
                              </w:r>
                            </w:p>
                          </w:txbxContent>
                        </wps:txbx>
                        <wps:bodyPr vertOverflow="overflow" horzOverflow="overflow" wrap="square" anchor="ctr"/>
                      </wps:wsp>
                      <wps:wsp>
                        <wps:cNvPr id="1057" name="オブジェクト 0"/>
                        <wps:cNvSpPr txBox="1"/>
                        <wps:spPr>
                          <a:xfrm>
                            <a:off x="9017" y="1970"/>
                            <a:ext cx="1254" cy="412"/>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1"/>
                                </w:rPr>
                              </w:pPr>
                              <w:r>
                                <w:rPr>
                                  <w:rFonts w:hint="eastAsia"/>
                                  <w:sz w:val="16"/>
                                </w:rPr>
                                <w:t>東京</w:t>
                              </w:r>
                              <w:r>
                                <w:rPr>
                                  <w:rFonts w:hint="eastAsia"/>
                                  <w:sz w:val="16"/>
                                </w:rPr>
                                <w:t>133</w:t>
                              </w:r>
                            </w:p>
                          </w:txbxContent>
                        </wps:txbx>
                        <wps:bodyPr vertOverflow="overflow" horzOverflow="overflow" wrap="square" lIns="74295" tIns="8890" rIns="74295" bIns="8890"/>
                      </wps:wsp>
                      <wps:wsp>
                        <wps:cNvPr id="1058" name="オブジェクト 0"/>
                        <wps:cNvSpPr txBox="1"/>
                        <wps:spPr>
                          <a:xfrm>
                            <a:off x="9017" y="2840"/>
                            <a:ext cx="1254" cy="412"/>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1"/>
                                </w:rPr>
                              </w:pPr>
                              <w:r>
                                <w:rPr>
                                  <w:rFonts w:hint="eastAsia"/>
                                  <w:sz w:val="16"/>
                                </w:rPr>
                                <w:t>全国</w:t>
                              </w:r>
                              <w:r>
                                <w:rPr>
                                  <w:rFonts w:hint="eastAsia"/>
                                  <w:sz w:val="16"/>
                                </w:rPr>
                                <w:t>108</w:t>
                              </w:r>
                            </w:p>
                          </w:txbxContent>
                        </wps:txbx>
                        <wps:bodyPr vertOverflow="overflow" horzOverflow="overflow" wrap="square" lIns="74295" tIns="8890" rIns="74295" bIns="8890"/>
                      </wps:wsp>
                      <wps:wsp>
                        <wps:cNvPr id="1059" name="オブジェクト 0"/>
                        <wps:cNvSpPr txBox="1"/>
                        <wps:spPr>
                          <a:xfrm>
                            <a:off x="9080" y="3990"/>
                            <a:ext cx="1254" cy="412"/>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1"/>
                                </w:rPr>
                              </w:pPr>
                              <w:r>
                                <w:rPr>
                                  <w:rFonts w:hint="eastAsia"/>
                                  <w:sz w:val="16"/>
                                </w:rPr>
                                <w:t>高知</w:t>
                              </w:r>
                              <w:r>
                                <w:rPr>
                                  <w:rFonts w:hint="eastAsia"/>
                                  <w:sz w:val="16"/>
                                </w:rPr>
                                <w:t>78</w:t>
                              </w:r>
                            </w:p>
                          </w:txbxContent>
                        </wps:txbx>
                        <wps:bodyPr vertOverflow="overflow" horzOverflow="overflow" wrap="square" lIns="74295" tIns="8890" rIns="74295" bIns="8890"/>
                      </wps:wsp>
                    </wpg:wgp>
                  </a:graphicData>
                </a:graphic>
              </wp:anchor>
            </w:drawing>
          </mc:Choice>
          <mc:Fallback>
            <w:pict>
              <v:group id="オブジェクト 0" style="margin-top:0.1pt;mso-position-vertical-relative:text;mso-position-horizontal-relative:text;position:absolute;height:193.05pt;width:430.3pt;margin-left:34.1pt;z-index:130;" coordsize="8606,3861" coordorigin="2100,1770" o:spid="_x0000_s1053" o:allowincell="t" o:allowoverlap="t">
                <v:shapetype id="_x0000_t202" coordsize="21600,21600" o:spt="202" path="m,l,21600r21600,l21600,xe">
                  <v:stroke joinstyle="miter"/>
                  <v:path gradientshapeok="t" o:connecttype="rect"/>
                </v:shapetype>
                <v:shape id="オブジェクト 0" style="height:420;width:4860;top:5211;left:5846;position:absolute;" o:spid="_x0000_s1054"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471;width:7180;top:1770;left:2100;position:absolute;" o:spid="_x0000_s1055" filled="f" stroked="f" o:spt="75" type="#_x0000_t75">
                  <v:fill/>
                  <v:imagedata o:title="" r:id="rId15"/>
                  <w10:wrap type="none" anchorx="text" anchory="tex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height:528;width:1290;top:3395;left:8177;v-text-anchor:middle;position:absolute;" o:spid="_x0000_s1056" filled="t" fillcolor="#ffffff [3201]" stroked="t" strokecolor="#000000 [3200]" strokeweight="0.75pt" o:spt="61" type="#_x0000_t61" adj="11601,25403">
                  <v:fill/>
                  <v:stroke linestyle="single" miterlimit="8" endcap="flat" dashstyle="solid" filltype="solid"/>
                  <v:textbox style="layout-flow:horizontal;">
                    <w:txbxContent>
                      <w:p>
                        <w:pPr>
                          <w:pStyle w:val="0"/>
                          <w:spacing w:line="200" w:lineRule="exact"/>
                          <w:jc w:val="center"/>
                          <w:rPr>
                            <w:rFonts w:hint="eastAsia"/>
                          </w:rPr>
                        </w:pPr>
                        <w:r>
                          <w:rPr>
                            <w:rFonts w:hint="eastAsia"/>
                            <w:sz w:val="14"/>
                          </w:rPr>
                          <w:t>40</w:t>
                        </w:r>
                        <w:r>
                          <w:rPr>
                            <w:rFonts w:hint="eastAsia"/>
                            <w:sz w:val="14"/>
                          </w:rPr>
                          <w:t>歳未満が</w:t>
                        </w:r>
                      </w:p>
                      <w:p>
                        <w:pPr>
                          <w:pStyle w:val="0"/>
                          <w:spacing w:line="200" w:lineRule="exact"/>
                          <w:jc w:val="center"/>
                          <w:rPr>
                            <w:rFonts w:hint="eastAsia"/>
                          </w:rPr>
                        </w:pPr>
                        <w:r>
                          <w:rPr>
                            <w:rFonts w:hint="eastAsia"/>
                            <w:sz w:val="14"/>
                          </w:rPr>
                          <w:t>増加</w:t>
                        </w:r>
                      </w:p>
                    </w:txbxContent>
                  </v:textbox>
                  <v:imagedata o:title=""/>
                  <w10:wrap type="none" anchorx="text" anchory="text"/>
                </v:shape>
                <v:shape id="オブジェクト 0" style="height:412;width:1254;top:1970;left:9017;position:absolute;" o:spid="_x0000_s1057"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1"/>
                          </w:rPr>
                        </w:pPr>
                        <w:r>
                          <w:rPr>
                            <w:rFonts w:hint="eastAsia"/>
                            <w:sz w:val="16"/>
                          </w:rPr>
                          <w:t>東京</w:t>
                        </w:r>
                        <w:r>
                          <w:rPr>
                            <w:rFonts w:hint="eastAsia"/>
                            <w:sz w:val="16"/>
                          </w:rPr>
                          <w:t>133</w:t>
                        </w:r>
                      </w:p>
                    </w:txbxContent>
                  </v:textbox>
                  <v:imagedata o:title=""/>
                  <w10:wrap type="none" anchorx="text" anchory="text"/>
                </v:shape>
                <v:shape id="オブジェクト 0" style="height:412;width:1254;top:2840;left:9017;position:absolute;" o:spid="_x0000_s1058"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1"/>
                          </w:rPr>
                        </w:pPr>
                        <w:r>
                          <w:rPr>
                            <w:rFonts w:hint="eastAsia"/>
                            <w:sz w:val="16"/>
                          </w:rPr>
                          <w:t>全国</w:t>
                        </w:r>
                        <w:r>
                          <w:rPr>
                            <w:rFonts w:hint="eastAsia"/>
                            <w:sz w:val="16"/>
                          </w:rPr>
                          <w:t>108</w:t>
                        </w:r>
                      </w:p>
                    </w:txbxContent>
                  </v:textbox>
                  <v:imagedata o:title=""/>
                  <w10:wrap type="none" anchorx="text" anchory="text"/>
                </v:shape>
                <v:shape id="オブジェクト 0" style="height:412;width:1254;top:3990;left:9080;position:absolute;" o:spid="_x0000_s1059"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1"/>
                          </w:rPr>
                        </w:pPr>
                        <w:r>
                          <w:rPr>
                            <w:rFonts w:hint="eastAsia"/>
                            <w:sz w:val="16"/>
                          </w:rPr>
                          <w:t>高知</w:t>
                        </w:r>
                        <w:r>
                          <w:rPr>
                            <w:rFonts w:hint="eastAsia"/>
                            <w:sz w:val="16"/>
                          </w:rPr>
                          <w:t>78</w:t>
                        </w:r>
                      </w:p>
                    </w:txbxContent>
                  </v:textbox>
                  <v:imagedata o:title=""/>
                  <w10:wrap type="none" anchorx="text" anchory="text"/>
                </v:shape>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二次医療圏ごとの医師数の状況</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二次医療圏ごとの推移（Ｈ</w:t>
      </w:r>
      <w:r>
        <w:rPr>
          <w:rFonts w:hint="eastAsia" w:ascii="ＭＳ 明朝" w:hAnsi="ＭＳ 明朝" w:eastAsia="ＭＳ 明朝"/>
          <w:kern w:val="2"/>
          <w:sz w:val="22"/>
          <w:highlight w:val="none"/>
        </w:rPr>
        <w:t>14</w:t>
      </w:r>
      <w:r>
        <w:rPr>
          <w:rFonts w:hint="eastAsia" w:ascii="ＭＳ 明朝" w:hAnsi="ＭＳ 明朝" w:eastAsia="ＭＳ 明朝"/>
          <w:kern w:val="2"/>
          <w:sz w:val="22"/>
          <w:highlight w:val="none"/>
        </w:rPr>
        <w:t>年～</w:t>
      </w:r>
      <w:r>
        <w:rPr>
          <w:rFonts w:hint="eastAsia" w:ascii="ＭＳ 明朝" w:hAnsi="ＭＳ 明朝" w:eastAsia="ＭＳ 明朝"/>
          <w:color w:val="auto"/>
          <w:kern w:val="2"/>
          <w:sz w:val="22"/>
          <w:highlight w:val="none"/>
          <w:u w:val="none" w:color="auto"/>
        </w:rPr>
        <w:t>Ｒ２年）を見ると、中央医療圏が</w:t>
      </w:r>
      <w:r>
        <w:rPr>
          <w:rFonts w:hint="eastAsia" w:ascii="ＭＳ 明朝" w:hAnsi="ＭＳ 明朝" w:eastAsia="ＭＳ 明朝"/>
          <w:color w:val="auto"/>
          <w:kern w:val="2"/>
          <w:sz w:val="22"/>
          <w:highlight w:val="none"/>
          <w:u w:val="none" w:color="auto"/>
        </w:rPr>
        <w:t>11.4</w:t>
      </w:r>
      <w:r>
        <w:rPr>
          <w:rFonts w:hint="eastAsia" w:ascii="ＭＳ 明朝" w:hAnsi="ＭＳ 明朝" w:eastAsia="ＭＳ 明朝"/>
          <w:color w:val="auto"/>
          <w:kern w:val="2"/>
          <w:sz w:val="22"/>
          <w:highlight w:val="none"/>
          <w:u w:val="none" w:color="auto"/>
        </w:rPr>
        <w:t>％と大幅に増加する一方、安芸医療圏は微増、高幡医療圏、幡多医療圏</w:t>
      </w:r>
      <w:r>
        <w:rPr>
          <w:rFonts w:hint="eastAsia" w:ascii="ＭＳ 明朝" w:hAnsi="ＭＳ 明朝" w:eastAsia="ＭＳ 明朝"/>
          <w:kern w:val="2"/>
          <w:sz w:val="22"/>
          <w:highlight w:val="none"/>
        </w:rPr>
        <w:t>ではそれぞれ減少し、県中央部への一極集中が加速しています。</w:t>
      </w: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また、中央医療圏の中でも、高知市及び南国市を除く地域では</w:t>
      </w:r>
      <w:r>
        <w:rPr>
          <w:rFonts w:hint="eastAsia" w:ascii="ＭＳ 明朝" w:hAnsi="ＭＳ 明朝" w:eastAsia="ＭＳ 明朝"/>
          <w:color w:val="auto"/>
          <w:kern w:val="2"/>
          <w:sz w:val="22"/>
          <w:highlight w:val="none"/>
          <w:u w:val="none" w:color="auto"/>
        </w:rPr>
        <w:t>23</w:t>
      </w:r>
      <w:r>
        <w:rPr>
          <w:rFonts w:hint="eastAsia" w:ascii="ＭＳ 明朝" w:hAnsi="ＭＳ 明朝" w:eastAsia="ＭＳ 明朝"/>
          <w:kern w:val="2"/>
          <w:sz w:val="22"/>
          <w:highlight w:val="none"/>
        </w:rPr>
        <w:t>％減となっており、医療圏内での偏在も顕著になっています。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s">
            <w:drawing>
              <wp:anchor distT="0" distB="0" distL="203200" distR="203200" simplePos="0" relativeHeight="146" behindDoc="1" locked="0" layoutInCell="1" hidden="0" allowOverlap="1">
                <wp:simplePos x="0" y="0"/>
                <wp:positionH relativeFrom="column">
                  <wp:posOffset>5037455</wp:posOffset>
                </wp:positionH>
                <wp:positionV relativeFrom="paragraph">
                  <wp:posOffset>0</wp:posOffset>
                </wp:positionV>
                <wp:extent cx="728345" cy="325755"/>
                <wp:effectExtent l="0" t="0" r="635" b="635"/>
                <wp:wrapNone/>
                <wp:docPr id="1060" name="オブジェクト 0"/>
                <a:graphic xmlns:a="http://schemas.openxmlformats.org/drawingml/2006/main">
                  <a:graphicData uri="http://schemas.microsoft.com/office/word/2010/wordprocessingShape">
                    <wps:wsp>
                      <wps:cNvPr id="1060" name="オブジェクト 0"/>
                      <wps:cNvSpPr txBox="1">
                        <a:spLocks noChangeArrowheads="1"/>
                      </wps:cNvSpPr>
                      <wps:spPr>
                        <a:xfrm>
                          <a:off x="0" y="0"/>
                          <a:ext cx="728345" cy="32575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4"/>
                              </w:rPr>
                              <w:t>単位：人</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25.65pt;mso-wrap-distance-top:0pt;width:57.35pt;mso-wrap-distance-left:16pt;margin-left:396.65pt;z-index:-503316334;" o:spid="_x0000_s106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ascii="ＭＳ 明朝" w:hAnsi="ＭＳ 明朝" w:eastAsia="ＭＳ 明朝"/>
                        </w:rPr>
                      </w:pPr>
                      <w:r>
                        <w:rPr>
                          <w:rFonts w:hint="eastAsia" w:ascii="ＭＳ 明朝" w:hAnsi="ＭＳ 明朝" w:eastAsia="ＭＳ 明朝"/>
                          <w:sz w:val="14"/>
                        </w:rPr>
                        <w:t>単位：人</w:t>
                      </w:r>
                    </w:p>
                  </w:txbxContent>
                </v:textbox>
                <v:imagedata o:title=""/>
                <w10:wrap type="none" anchorx="text" anchory="text"/>
              </v:shape>
            </w:pict>
          </mc:Fallback>
        </mc:AlternateContent>
      </w:r>
      <w:r>
        <w:rPr>
          <w:rFonts w:hint="eastAsia"/>
        </w:rPr>
        <w:drawing>
          <wp:anchor distT="0" distB="0" distL="203200" distR="203200" simplePos="0" relativeHeight="147" behindDoc="1" locked="0" layoutInCell="1" hidden="0" allowOverlap="1">
            <wp:simplePos x="0" y="0"/>
            <wp:positionH relativeFrom="column">
              <wp:posOffset>6350</wp:posOffset>
            </wp:positionH>
            <wp:positionV relativeFrom="paragraph">
              <wp:posOffset>212725</wp:posOffset>
            </wp:positionV>
            <wp:extent cx="5759450" cy="1809750"/>
            <wp:effectExtent l="0" t="0" r="0" b="0"/>
            <wp:wrapSquare wrapText="bothSides"/>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16"/>
                    <a:stretch>
                      <a:fillRect/>
                    </a:stretch>
                  </pic:blipFill>
                  <pic:spPr>
                    <a:xfrm>
                      <a:off x="0" y="0"/>
                      <a:ext cx="5759450" cy="1809750"/>
                    </a:xfrm>
                    <a:prstGeom prst="rect">
                      <a:avLst/>
                    </a:prstGeom>
                  </pic:spPr>
                </pic:pic>
              </a:graphicData>
            </a:graphic>
          </wp:anchor>
        </w:drawing>
      </w:r>
      <w:r>
        <w:rPr>
          <w:rFonts w:hint="eastAsia"/>
        </w:rPr>
        <mc:AlternateContent>
          <mc:Choice Requires="wps">
            <w:drawing>
              <wp:anchor distT="0" distB="0" distL="203200" distR="203200" simplePos="0" relativeHeight="145" behindDoc="1" locked="0" layoutInCell="1" hidden="0" allowOverlap="1">
                <wp:simplePos x="0" y="0"/>
                <wp:positionH relativeFrom="column">
                  <wp:posOffset>2614930</wp:posOffset>
                </wp:positionH>
                <wp:positionV relativeFrom="paragraph">
                  <wp:posOffset>1993900</wp:posOffset>
                </wp:positionV>
                <wp:extent cx="3150870" cy="335280"/>
                <wp:effectExtent l="0" t="0" r="635" b="635"/>
                <wp:wrapNone/>
                <wp:docPr id="1062" name="オブジェクト 0"/>
                <a:graphic xmlns:a="http://schemas.openxmlformats.org/drawingml/2006/main">
                  <a:graphicData uri="http://schemas.microsoft.com/office/word/2010/wordprocessingShape">
                    <wps:wsp>
                      <wps:cNvPr id="1062" name="オブジェクト 0"/>
                      <wps:cNvSpPr txBox="1">
                        <a:spLocks noChangeArrowheads="1"/>
                      </wps:cNvSpPr>
                      <wps:spPr>
                        <a:xfrm>
                          <a:off x="0" y="0"/>
                          <a:ext cx="3150870" cy="33528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7pt;mso-position-vertical-relative:text;mso-position-horizontal-relative:text;position:absolute;height:26.4pt;mso-wrap-distance-top:0pt;width:248.1pt;mso-wrap-distance-left:16pt;margin-left:205.9pt;z-index:-503316335;" o:spid="_x0000_s106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4-1-9</w:t>
      </w:r>
      <w:r>
        <w:rPr>
          <w:rFonts w:hint="eastAsia" w:ascii="ＭＳ ゴシック" w:hAnsi="ＭＳ ゴシック" w:eastAsia="ＭＳ ゴシック"/>
          <w:color w:val="auto"/>
          <w:sz w:val="22"/>
          <w:highlight w:val="none"/>
          <w:u w:val="none" w:color="FF0000"/>
        </w:rPr>
        <w:t>）二次医療圏ごとの医師数</w:t>
      </w: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kern w:val="2"/>
          <w:highlight w:val="none"/>
        </w:rPr>
      </w:pPr>
      <w:r>
        <w:rPr>
          <w:rFonts w:hint="eastAsia"/>
        </w:rPr>
        <mc:AlternateContent>
          <mc:Choice Requires="wpg">
            <w:drawing>
              <wp:anchor simplePos="0" relativeHeight="137" behindDoc="0" locked="0" layoutInCell="1" hidden="0" allowOverlap="1">
                <wp:simplePos x="0" y="0"/>
                <wp:positionH relativeFrom="column">
                  <wp:posOffset>141605</wp:posOffset>
                </wp:positionH>
                <wp:positionV relativeFrom="paragraph">
                  <wp:posOffset>211455</wp:posOffset>
                </wp:positionV>
                <wp:extent cx="5643245" cy="2178050"/>
                <wp:effectExtent l="0" t="0" r="635" b="0"/>
                <wp:wrapNone/>
                <wp:docPr id="1063" name="オブジェクト 0"/>
                <a:graphic xmlns:a="http://schemas.openxmlformats.org/drawingml/2006/main">
                  <a:graphicData uri="http://schemas.microsoft.com/office/word/2010/wordprocessingGroup">
                    <wpg:wgp>
                      <wpg:cNvGrpSpPr/>
                      <wpg:grpSpPr>
                        <a:xfrm>
                          <a:off x="0" y="0"/>
                          <a:ext cx="5643245" cy="2178050"/>
                          <a:chOff x="1641" y="11936"/>
                          <a:chExt cx="8887" cy="3430"/>
                        </a:xfrm>
                      </wpg:grpSpPr>
                      <wpg:graphicFrame>
                        <wpg:cNvPr id="1064" name="グラフ 18"/>
                        <wpg:cNvFrPr/>
                        <wpg:xfrm>
                          <a:off x="1641" y="11936"/>
                          <a:ext cx="7924" cy="3430"/>
                        </wpg:xfrm>
                        <a:graphic>
                          <a:graphicData uri="http://schemas.openxmlformats.org/drawingml/2006/chart">
                            <c:chart xmlns:c="http://schemas.openxmlformats.org/drawingml/2006/chart" r:id="rId17"/>
                          </a:graphicData>
                        </a:graphic>
                      </wpg:graphicFrame>
                      <wps:wsp>
                        <wps:cNvPr id="1065" name="テキスト ボックス 19"/>
                        <wps:cNvSpPr txBox="1"/>
                        <wps:spPr>
                          <a:xfrm>
                            <a:off x="8970" y="12371"/>
                            <a:ext cx="1299" cy="330"/>
                          </a:xfrm>
                          <a:prstGeom prst="rect">
                            <a:avLst/>
                          </a:prstGeom>
                          <a:noFill/>
                        </wps:spPr>
                        <wps:txbx>
                          <w:txbxContent>
                            <w:p>
                              <w:pPr>
                                <w:pStyle w:val="0"/>
                                <w:snapToGrid w:val="0"/>
                                <w:rPr>
                                  <w:rFonts w:hint="default"/>
                                  <w:sz w:val="10"/>
                                </w:rPr>
                              </w:pPr>
                              <w:r>
                                <w:rPr>
                                  <w:rFonts w:hint="default" w:ascii="ＭＳ 明朝" w:hAnsi="ＭＳ 明朝" w:eastAsia="ＭＳ 明朝"/>
                                  <w:sz w:val="16"/>
                                </w:rPr>
                                <w:t>中央</w:t>
                              </w:r>
                              <w:r>
                                <w:rPr>
                                  <w:rFonts w:hint="default" w:ascii="ＭＳ 明朝" w:hAnsi="ＭＳ 明朝" w:eastAsia="ＭＳ 明朝"/>
                                  <w:sz w:val="16"/>
                                </w:rPr>
                                <w:t>111.4</w:t>
                              </w:r>
                            </w:p>
                          </w:txbxContent>
                        </wps:txbx>
                        <wps:bodyPr vertOverflow="clip" horzOverflow="overflow" wrap="square" rtlCol="0"/>
                      </wps:wsp>
                      <wps:wsp>
                        <wps:cNvPr id="1066" name="テキスト ボックス 20"/>
                        <wps:cNvSpPr txBox="1"/>
                        <wps:spPr>
                          <a:xfrm>
                            <a:off x="8970" y="12898"/>
                            <a:ext cx="1167" cy="333"/>
                          </a:xfrm>
                          <a:prstGeom prst="rect">
                            <a:avLst/>
                          </a:prstGeom>
                        </wps:spPr>
                        <wps:txbx>
                          <w:txbxContent>
                            <w:p>
                              <w:pPr>
                                <w:pStyle w:val="0"/>
                                <w:snapToGrid w:val="0"/>
                                <w:ind w:left="0" w:firstLine="0"/>
                                <w:rPr>
                                  <w:rFonts w:hint="default"/>
                                  <w:sz w:val="12"/>
                                </w:rPr>
                              </w:pPr>
                              <w:r>
                                <w:rPr>
                                  <w:rFonts w:hint="default" w:ascii="ＭＳ 明朝" w:hAnsi="ＭＳ 明朝" w:eastAsia="ＭＳ 明朝"/>
                                  <w:sz w:val="16"/>
                                </w:rPr>
                                <w:t>安芸</w:t>
                              </w:r>
                              <w:r>
                                <w:rPr>
                                  <w:rFonts w:hint="default" w:ascii="ＭＳ 明朝" w:hAnsi="ＭＳ 明朝" w:eastAsia="ＭＳ 明朝"/>
                                  <w:sz w:val="16"/>
                                </w:rPr>
                                <w:t>102.0</w:t>
                              </w:r>
                            </w:p>
                          </w:txbxContent>
                        </wps:txbx>
                        <wps:bodyPr vertOverflow="overflow" horzOverflow="overflow" wrap="square" rtlCol="0"/>
                      </wps:wsp>
                      <wps:wsp>
                        <wps:cNvPr id="1067" name="テキスト ボックス 21"/>
                        <wps:cNvSpPr txBox="1"/>
                        <wps:spPr>
                          <a:xfrm>
                            <a:off x="8985" y="14050"/>
                            <a:ext cx="1487" cy="333"/>
                          </a:xfrm>
                          <a:prstGeom prst="rect">
                            <a:avLst/>
                          </a:prstGeom>
                        </wps:spPr>
                        <wps:txbx>
                          <w:txbxContent>
                            <w:p>
                              <w:pPr>
                                <w:pStyle w:val="0"/>
                                <w:snapToGrid w:val="0"/>
                                <w:ind w:left="0" w:firstLine="0"/>
                                <w:rPr>
                                  <w:rFonts w:hint="default"/>
                                  <w:sz w:val="10"/>
                                </w:rPr>
                              </w:pPr>
                              <w:r>
                                <w:rPr>
                                  <w:rFonts w:hint="default" w:ascii="ＭＳ 明朝" w:hAnsi="ＭＳ 明朝" w:eastAsia="ＭＳ 明朝"/>
                                  <w:sz w:val="16"/>
                                </w:rPr>
                                <w:t>高幡</w:t>
                              </w:r>
                              <w:r>
                                <w:rPr>
                                  <w:rFonts w:hint="default" w:ascii="ＭＳ 明朝" w:hAnsi="ＭＳ 明朝" w:eastAsia="ＭＳ 明朝"/>
                                  <w:sz w:val="16"/>
                                </w:rPr>
                                <w:t>82.7</w:t>
                              </w:r>
                            </w:p>
                          </w:txbxContent>
                        </wps:txbx>
                        <wps:bodyPr vertOverflow="overflow" horzOverflow="overflow" wrap="square" rtlCol="0"/>
                      </wps:wsp>
                      <wps:wsp>
                        <wps:cNvPr id="1068" name="テキスト ボックス 22"/>
                        <wps:cNvSpPr txBox="1"/>
                        <wps:spPr>
                          <a:xfrm>
                            <a:off x="8984" y="14514"/>
                            <a:ext cx="1544" cy="640"/>
                          </a:xfrm>
                          <a:prstGeom prst="rect">
                            <a:avLst/>
                          </a:prstGeom>
                        </wps:spPr>
                        <wps:txbx>
                          <w:txbxContent>
                            <w:p>
                              <w:pPr>
                                <w:pStyle w:val="0"/>
                                <w:snapToGrid w:val="0"/>
                                <w:ind w:left="0" w:firstLine="0"/>
                                <w:rPr>
                                  <w:rFonts w:hint="default"/>
                                  <w:sz w:val="16"/>
                                </w:rPr>
                              </w:pPr>
                              <w:r>
                                <w:rPr>
                                  <w:rFonts w:hint="default" w:ascii="ＭＳ 明朝" w:hAnsi="ＭＳ 明朝" w:eastAsia="ＭＳ 明朝"/>
                                  <w:sz w:val="16"/>
                                </w:rPr>
                                <w:t>中央（高知市・</w:t>
                              </w:r>
                            </w:p>
                            <w:p>
                              <w:pPr>
                                <w:pStyle w:val="0"/>
                                <w:snapToGrid w:val="0"/>
                                <w:ind w:left="0" w:firstLine="0"/>
                                <w:rPr>
                                  <w:rFonts w:hint="default"/>
                                  <w:sz w:val="16"/>
                                </w:rPr>
                              </w:pPr>
                              <w:r>
                                <w:rPr>
                                  <w:rFonts w:hint="default" w:ascii="ＭＳ 明朝" w:hAnsi="ＭＳ 明朝" w:eastAsia="ＭＳ 明朝"/>
                                  <w:sz w:val="16"/>
                                </w:rPr>
                                <w:t>南国市除く）</w:t>
                              </w:r>
                              <w:r>
                                <w:rPr>
                                  <w:rFonts w:hint="default" w:ascii="ＭＳ 明朝" w:hAnsi="ＭＳ 明朝" w:eastAsia="ＭＳ 明朝"/>
                                  <w:sz w:val="16"/>
                                </w:rPr>
                                <w:t>77.0</w:t>
                              </w:r>
                            </w:p>
                          </w:txbxContent>
                        </wps:txbx>
                        <wps:bodyPr vertOverflow="overflow" horzOverflow="overflow" wrap="square" rtlCol="0"/>
                      </wps:wsp>
                      <wps:wsp>
                        <wps:cNvPr id="1069" name="テキスト ボックス 23"/>
                        <wps:cNvSpPr txBox="1"/>
                        <wps:spPr>
                          <a:xfrm>
                            <a:off x="8966" y="12635"/>
                            <a:ext cx="1406" cy="333"/>
                          </a:xfrm>
                          <a:prstGeom prst="rect">
                            <a:avLst/>
                          </a:prstGeom>
                        </wps:spPr>
                        <wps:txbx>
                          <w:txbxContent>
                            <w:p>
                              <w:pPr>
                                <w:pStyle w:val="0"/>
                                <w:snapToGrid w:val="0"/>
                                <w:ind w:left="0" w:firstLine="0"/>
                                <w:rPr>
                                  <w:rFonts w:hint="default"/>
                                  <w:sz w:val="10"/>
                                </w:rPr>
                              </w:pPr>
                              <w:r>
                                <w:rPr>
                                  <w:rFonts w:hint="default" w:ascii="ＭＳ 明朝" w:hAnsi="ＭＳ 明朝" w:eastAsia="ＭＳ 明朝"/>
                                  <w:sz w:val="16"/>
                                </w:rPr>
                                <w:t>県全体</w:t>
                              </w:r>
                              <w:r>
                                <w:rPr>
                                  <w:rFonts w:hint="default" w:ascii="ＭＳ 明朝" w:hAnsi="ＭＳ 明朝" w:eastAsia="ＭＳ 明朝"/>
                                  <w:sz w:val="16"/>
                                </w:rPr>
                                <w:t>106.4</w:t>
                              </w:r>
                            </w:p>
                          </w:txbxContent>
                        </wps:txbx>
                        <wps:bodyPr vertOverflow="overflow" horzOverflow="overflow" wrap="square" rtlCol="0"/>
                      </wps:wsp>
                      <wps:wsp>
                        <wps:cNvPr id="1070" name="テキスト ボックス 24"/>
                        <wps:cNvSpPr txBox="1"/>
                        <wps:spPr>
                          <a:xfrm>
                            <a:off x="8970" y="14292"/>
                            <a:ext cx="1418" cy="333"/>
                          </a:xfrm>
                          <a:prstGeom prst="rect">
                            <a:avLst/>
                          </a:prstGeom>
                        </wps:spPr>
                        <wps:txbx>
                          <w:txbxContent>
                            <w:p>
                              <w:pPr>
                                <w:pStyle w:val="0"/>
                                <w:snapToGrid w:val="0"/>
                                <w:ind w:left="0" w:firstLine="0"/>
                                <w:jc w:val="left"/>
                                <w:rPr>
                                  <w:rFonts w:hint="default"/>
                                  <w:sz w:val="10"/>
                                </w:rPr>
                              </w:pPr>
                              <w:r>
                                <w:rPr>
                                  <w:rFonts w:hint="default" w:ascii="ＭＳ 明朝" w:hAnsi="ＭＳ 明朝" w:eastAsia="ＭＳ 明朝"/>
                                  <w:sz w:val="16"/>
                                </w:rPr>
                                <w:t>幡多</w:t>
                              </w:r>
                              <w:r>
                                <w:rPr>
                                  <w:rFonts w:hint="default" w:ascii="ＭＳ 明朝" w:hAnsi="ＭＳ 明朝" w:eastAsia="ＭＳ 明朝"/>
                                  <w:sz w:val="16"/>
                                </w:rPr>
                                <w:t>78.9</w:t>
                              </w:r>
                            </w:p>
                          </w:txbxContent>
                        </wps:txbx>
                        <wps:bodyPr vertOverflow="overflow" horzOverflow="overflow" wrap="square" rtlCol="0" anchor="ctr"/>
                      </wps:wsp>
                    </wpg:wgp>
                  </a:graphicData>
                </a:graphic>
              </wp:anchor>
            </w:drawing>
          </mc:Choice>
          <mc:Fallback>
            <w:pict>
              <v:group id="オブジェクト 0" style="margin-top:16.64pt;mso-position-vertical-relative:text;mso-position-horizontal-relative:text;position:absolute;height:171.5pt;width:444.35pt;margin-left:11.15pt;z-index:137;" coordsize="8887,3430" coordorigin="1641,11936" o:spid="_x0000_s106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8" style="height:3430;width:7924;top:11936;left:1641;position:absolute;" o:spid="_x0000_s1064" filled="f" stroked="f" o:spt="75" type="#_x0000_t75">
                  <v:fill/>
                  <v:imagedata o:title="" r:id="rId18"/>
                  <w10:wrap type="none" anchorx="text" anchory="text"/>
                </v:shape>
                <v:shapetype id="_x0000_t202" coordsize="21600,21600" o:spt="202" path="m,l,21600r21600,l21600,xe">
                  <v:stroke joinstyle="miter"/>
                  <v:path gradientshapeok="t" o:connecttype="rect"/>
                </v:shapetype>
                <v:shape id="テキスト ボックス 19" style="height:330;width:1299;top:12371;left:8970;position:absolute;" o:spid="_x0000_s1065" filled="f" stroked="f" o:spt="202" type="#_x0000_t202">
                  <v:fill/>
                  <v:textbox style="layout-flow:horizontal;">
                    <w:txbxContent>
                      <w:p>
                        <w:pPr>
                          <w:pStyle w:val="0"/>
                          <w:snapToGrid w:val="0"/>
                          <w:rPr>
                            <w:rFonts w:hint="default"/>
                            <w:sz w:val="10"/>
                          </w:rPr>
                        </w:pPr>
                        <w:r>
                          <w:rPr>
                            <w:rFonts w:hint="default" w:ascii="ＭＳ 明朝" w:hAnsi="ＭＳ 明朝" w:eastAsia="ＭＳ 明朝"/>
                            <w:sz w:val="16"/>
                          </w:rPr>
                          <w:t>中央</w:t>
                        </w:r>
                        <w:r>
                          <w:rPr>
                            <w:rFonts w:hint="default" w:ascii="ＭＳ 明朝" w:hAnsi="ＭＳ 明朝" w:eastAsia="ＭＳ 明朝"/>
                            <w:sz w:val="16"/>
                          </w:rPr>
                          <w:t>111.4</w:t>
                        </w:r>
                      </w:p>
                    </w:txbxContent>
                  </v:textbox>
                  <v:imagedata o:title=""/>
                  <w10:wrap type="none" anchorx="text" anchory="text"/>
                </v:shape>
                <v:shape id="テキスト ボックス 20" style="height:333;width:1167;top:12898;left:8970;position:absolute;" o:spid="_x0000_s1066" filled="f" stroked="f" o:spt="202" type="#_x0000_t202">
                  <v:fill/>
                  <v:textbox style="layout-flow:horizontal;">
                    <w:txbxContent>
                      <w:p>
                        <w:pPr>
                          <w:pStyle w:val="0"/>
                          <w:snapToGrid w:val="0"/>
                          <w:ind w:left="0" w:firstLine="0"/>
                          <w:rPr>
                            <w:rFonts w:hint="default"/>
                            <w:sz w:val="12"/>
                          </w:rPr>
                        </w:pPr>
                        <w:r>
                          <w:rPr>
                            <w:rFonts w:hint="default" w:ascii="ＭＳ 明朝" w:hAnsi="ＭＳ 明朝" w:eastAsia="ＭＳ 明朝"/>
                            <w:sz w:val="16"/>
                          </w:rPr>
                          <w:t>安芸</w:t>
                        </w:r>
                        <w:r>
                          <w:rPr>
                            <w:rFonts w:hint="default" w:ascii="ＭＳ 明朝" w:hAnsi="ＭＳ 明朝" w:eastAsia="ＭＳ 明朝"/>
                            <w:sz w:val="16"/>
                          </w:rPr>
                          <w:t>102.0</w:t>
                        </w:r>
                      </w:p>
                    </w:txbxContent>
                  </v:textbox>
                  <v:imagedata o:title=""/>
                  <w10:wrap type="none" anchorx="text" anchory="text"/>
                </v:shape>
                <v:shape id="テキスト ボックス 21" style="height:333;width:1487;top:14050;left:8985;position:absolute;" o:spid="_x0000_s1067" filled="f" stroked="f" o:spt="202" type="#_x0000_t202">
                  <v:fill/>
                  <v:textbox style="layout-flow:horizontal;">
                    <w:txbxContent>
                      <w:p>
                        <w:pPr>
                          <w:pStyle w:val="0"/>
                          <w:snapToGrid w:val="0"/>
                          <w:ind w:left="0" w:firstLine="0"/>
                          <w:rPr>
                            <w:rFonts w:hint="default"/>
                            <w:sz w:val="10"/>
                          </w:rPr>
                        </w:pPr>
                        <w:r>
                          <w:rPr>
                            <w:rFonts w:hint="default" w:ascii="ＭＳ 明朝" w:hAnsi="ＭＳ 明朝" w:eastAsia="ＭＳ 明朝"/>
                            <w:sz w:val="16"/>
                          </w:rPr>
                          <w:t>高幡</w:t>
                        </w:r>
                        <w:r>
                          <w:rPr>
                            <w:rFonts w:hint="default" w:ascii="ＭＳ 明朝" w:hAnsi="ＭＳ 明朝" w:eastAsia="ＭＳ 明朝"/>
                            <w:sz w:val="16"/>
                          </w:rPr>
                          <w:t>82.7</w:t>
                        </w:r>
                      </w:p>
                    </w:txbxContent>
                  </v:textbox>
                  <v:imagedata o:title=""/>
                  <w10:wrap type="none" anchorx="text" anchory="text"/>
                </v:shape>
                <v:shape id="テキスト ボックス 22" style="height:640;width:1544;top:14514;left:8984;position:absolute;" o:spid="_x0000_s1068" filled="f" stroked="f" o:spt="202" type="#_x0000_t202">
                  <v:fill/>
                  <v:textbox style="layout-flow:horizontal;">
                    <w:txbxContent>
                      <w:p>
                        <w:pPr>
                          <w:pStyle w:val="0"/>
                          <w:snapToGrid w:val="0"/>
                          <w:ind w:left="0" w:firstLine="0"/>
                          <w:rPr>
                            <w:rFonts w:hint="default"/>
                            <w:sz w:val="16"/>
                          </w:rPr>
                        </w:pPr>
                        <w:r>
                          <w:rPr>
                            <w:rFonts w:hint="default" w:ascii="ＭＳ 明朝" w:hAnsi="ＭＳ 明朝" w:eastAsia="ＭＳ 明朝"/>
                            <w:sz w:val="16"/>
                          </w:rPr>
                          <w:t>中央（高知市・</w:t>
                        </w:r>
                      </w:p>
                      <w:p>
                        <w:pPr>
                          <w:pStyle w:val="0"/>
                          <w:snapToGrid w:val="0"/>
                          <w:ind w:left="0" w:firstLine="0"/>
                          <w:rPr>
                            <w:rFonts w:hint="default"/>
                            <w:sz w:val="16"/>
                          </w:rPr>
                        </w:pPr>
                        <w:r>
                          <w:rPr>
                            <w:rFonts w:hint="default" w:ascii="ＭＳ 明朝" w:hAnsi="ＭＳ 明朝" w:eastAsia="ＭＳ 明朝"/>
                            <w:sz w:val="16"/>
                          </w:rPr>
                          <w:t>南国市除く）</w:t>
                        </w:r>
                        <w:r>
                          <w:rPr>
                            <w:rFonts w:hint="default" w:ascii="ＭＳ 明朝" w:hAnsi="ＭＳ 明朝" w:eastAsia="ＭＳ 明朝"/>
                            <w:sz w:val="16"/>
                          </w:rPr>
                          <w:t>77.0</w:t>
                        </w:r>
                      </w:p>
                    </w:txbxContent>
                  </v:textbox>
                  <v:imagedata o:title=""/>
                  <w10:wrap type="none" anchorx="text" anchory="text"/>
                </v:shape>
                <v:shape id="テキスト ボックス 23" style="height:333;width:1406;top:12635;left:8966;position:absolute;" o:spid="_x0000_s1069" filled="f" stroked="f" o:spt="202" type="#_x0000_t202">
                  <v:fill/>
                  <v:textbox style="layout-flow:horizontal;">
                    <w:txbxContent>
                      <w:p>
                        <w:pPr>
                          <w:pStyle w:val="0"/>
                          <w:snapToGrid w:val="0"/>
                          <w:ind w:left="0" w:firstLine="0"/>
                          <w:rPr>
                            <w:rFonts w:hint="default"/>
                            <w:sz w:val="10"/>
                          </w:rPr>
                        </w:pPr>
                        <w:r>
                          <w:rPr>
                            <w:rFonts w:hint="default" w:ascii="ＭＳ 明朝" w:hAnsi="ＭＳ 明朝" w:eastAsia="ＭＳ 明朝"/>
                            <w:sz w:val="16"/>
                          </w:rPr>
                          <w:t>県全体</w:t>
                        </w:r>
                        <w:r>
                          <w:rPr>
                            <w:rFonts w:hint="default" w:ascii="ＭＳ 明朝" w:hAnsi="ＭＳ 明朝" w:eastAsia="ＭＳ 明朝"/>
                            <w:sz w:val="16"/>
                          </w:rPr>
                          <w:t>106.4</w:t>
                        </w:r>
                      </w:p>
                    </w:txbxContent>
                  </v:textbox>
                  <v:imagedata o:title=""/>
                  <w10:wrap type="none" anchorx="text" anchory="text"/>
                </v:shape>
                <v:shape id="テキスト ボックス 24" style="height:333;width:1418;top:14292;left:8970;v-text-anchor:middle;position:absolute;" o:spid="_x0000_s1070" filled="f" stroked="f" o:spt="202" type="#_x0000_t202">
                  <v:fill/>
                  <v:textbox style="layout-flow:horizontal;">
                    <w:txbxContent>
                      <w:p>
                        <w:pPr>
                          <w:pStyle w:val="0"/>
                          <w:snapToGrid w:val="0"/>
                          <w:ind w:left="0" w:firstLine="0"/>
                          <w:jc w:val="left"/>
                          <w:rPr>
                            <w:rFonts w:hint="default"/>
                            <w:sz w:val="10"/>
                          </w:rPr>
                        </w:pPr>
                        <w:r>
                          <w:rPr>
                            <w:rFonts w:hint="default" w:ascii="ＭＳ 明朝" w:hAnsi="ＭＳ 明朝" w:eastAsia="ＭＳ 明朝"/>
                            <w:sz w:val="16"/>
                          </w:rPr>
                          <w:t>幡多</w:t>
                        </w:r>
                        <w:r>
                          <w:rPr>
                            <w:rFonts w:hint="default" w:ascii="ＭＳ 明朝" w:hAnsi="ＭＳ 明朝" w:eastAsia="ＭＳ 明朝"/>
                            <w:sz w:val="16"/>
                          </w:rPr>
                          <w:t>78.9</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4-1-10</w:t>
      </w:r>
      <w:r>
        <w:rPr>
          <w:rFonts w:hint="eastAsia" w:ascii="ＭＳ ゴシック" w:hAnsi="ＭＳ ゴシック" w:eastAsia="ＭＳ ゴシック"/>
          <w:color w:val="auto"/>
          <w:sz w:val="22"/>
          <w:highlight w:val="none"/>
          <w:u w:val="none" w:color="FF0000"/>
        </w:rPr>
        <w:t>）二次医療圏別医師数の推移（Ｈ</w:t>
      </w:r>
      <w:r>
        <w:rPr>
          <w:rFonts w:hint="eastAsia" w:ascii="ＭＳ ゴシック" w:hAnsi="ＭＳ ゴシック" w:eastAsia="ＭＳ ゴシック"/>
          <w:color w:val="auto"/>
          <w:sz w:val="22"/>
          <w:highlight w:val="none"/>
          <w:u w:val="none" w:color="FF0000"/>
        </w:rPr>
        <w:t>14</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96" behindDoc="0" locked="0" layoutInCell="1" hidden="0" allowOverlap="1">
                <wp:simplePos x="0" y="0"/>
                <wp:positionH relativeFrom="column">
                  <wp:posOffset>2486660</wp:posOffset>
                </wp:positionH>
                <wp:positionV relativeFrom="paragraph">
                  <wp:posOffset>313690</wp:posOffset>
                </wp:positionV>
                <wp:extent cx="3442335" cy="266700"/>
                <wp:effectExtent l="0" t="0" r="635" b="635"/>
                <wp:wrapNone/>
                <wp:docPr id="1071" name="オブジェクト 0"/>
                <a:graphic xmlns:a="http://schemas.openxmlformats.org/drawingml/2006/main">
                  <a:graphicData uri="http://schemas.microsoft.com/office/word/2010/wordprocessingShape">
                    <wps:wsp>
                      <wps:cNvPr id="1071" name="オブジェクト 0"/>
                      <wps:cNvSpPr txBox="1">
                        <a:spLocks noChangeArrowheads="1"/>
                      </wps:cNvSpPr>
                      <wps:spPr>
                        <a:xfrm>
                          <a:off x="0" y="0"/>
                          <a:ext cx="3442335"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7pt;mso-position-vertical-relative:text;mso-position-horizontal-relative:text;position:absolute;height:21pt;mso-wrap-distance-top:0pt;width:271.05pt;mso-wrap-distance-left:16pt;margin-left:195.8pt;z-index:96;" o:spid="_x0000_s107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万人あたり医師数でみると、中央を除く</w:t>
      </w:r>
      <w:r>
        <w:rPr>
          <w:rFonts w:hint="eastAsia" w:ascii="ＭＳ 明朝" w:hAnsi="ＭＳ 明朝" w:eastAsia="ＭＳ 明朝"/>
          <w:kern w:val="2"/>
          <w:sz w:val="22"/>
          <w:highlight w:val="none"/>
        </w:rPr>
        <w:t>3</w:t>
      </w:r>
      <w:r>
        <w:rPr>
          <w:rFonts w:hint="eastAsia" w:ascii="ＭＳ 明朝" w:hAnsi="ＭＳ 明朝" w:eastAsia="ＭＳ 明朝"/>
          <w:kern w:val="2"/>
          <w:sz w:val="22"/>
          <w:highlight w:val="none"/>
        </w:rPr>
        <w:t>つの二次医療圏では全国値を下回る状況にあり、加えて、中央医療圏の中でも高知市・南国市を除く地域では全国値を大きく下回っています。</w:t>
      </w:r>
    </w:p>
    <w:p>
      <w:pPr>
        <w:pStyle w:val="0"/>
        <w:jc w:val="center"/>
        <w:rPr>
          <w:rFonts w:hint="eastAsia"/>
          <w:kern w:val="2"/>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4-1-11</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2"/>
          <w:highlight w:val="none"/>
        </w:rPr>
        <w:t>10</w:t>
      </w:r>
      <w:r>
        <w:rPr>
          <w:rFonts w:hint="eastAsia" w:ascii="ＭＳ ゴシック" w:hAnsi="ＭＳ ゴシック" w:eastAsia="ＭＳ ゴシック"/>
          <w:sz w:val="22"/>
          <w:highlight w:val="none"/>
        </w:rPr>
        <w:t>万人あたり医師数（医療圏別・</w:t>
      </w:r>
      <w:r>
        <w:rPr>
          <w:rFonts w:hint="eastAsia" w:ascii="ＭＳ ゴシック" w:hAnsi="ＭＳ ゴシック" w:eastAsia="ＭＳ ゴシック"/>
          <w:color w:val="auto"/>
          <w:sz w:val="22"/>
          <w:highlight w:val="none"/>
          <w:u w:val="none" w:color="FF0000"/>
        </w:rPr>
        <w:t>R2</w:t>
      </w:r>
      <w:r>
        <w:rPr>
          <w:rFonts w:hint="eastAsia" w:ascii="ＭＳ ゴシック" w:hAnsi="ＭＳ ゴシック" w:eastAsia="ＭＳ ゴシック"/>
          <w:sz w:val="22"/>
          <w:highlight w:val="none"/>
        </w:rPr>
        <w:t>）</w:t>
      </w:r>
    </w:p>
    <w:p>
      <w:pPr>
        <w:pStyle w:val="0"/>
        <w:jc w:val="center"/>
        <w:rPr>
          <w:rFonts w:hint="eastAsia"/>
          <w:kern w:val="2"/>
          <w:highlight w:val="none"/>
        </w:rPr>
      </w:pPr>
      <w:r>
        <w:rPr>
          <w:rFonts w:hint="eastAsia"/>
        </w:rPr>
        <mc:AlternateContent>
          <mc:Choice Requires="wpg">
            <w:drawing>
              <wp:anchor simplePos="0" relativeHeight="148" behindDoc="0" locked="0" layoutInCell="1" hidden="0" allowOverlap="1">
                <wp:simplePos x="0" y="0"/>
                <wp:positionH relativeFrom="column">
                  <wp:posOffset>77470</wp:posOffset>
                </wp:positionH>
                <wp:positionV relativeFrom="paragraph">
                  <wp:posOffset>13970</wp:posOffset>
                </wp:positionV>
                <wp:extent cx="5763260" cy="2475230"/>
                <wp:effectExtent l="0" t="0" r="0" b="635"/>
                <wp:wrapNone/>
                <wp:docPr id="1072" name="オブジェクト 0"/>
                <a:graphic xmlns:a="http://schemas.openxmlformats.org/drawingml/2006/main">
                  <a:graphicData uri="http://schemas.microsoft.com/office/word/2010/wordprocessingGroup">
                    <wpg:wgp>
                      <wpg:cNvGrpSpPr/>
                      <wpg:grpSpPr>
                        <a:xfrm>
                          <a:off x="0" y="0"/>
                          <a:ext cx="5763260" cy="2475230"/>
                          <a:chOff x="1540" y="2840"/>
                          <a:chExt cx="9076" cy="3898"/>
                        </a:xfrm>
                      </wpg:grpSpPr>
                      <wpg:graphicFrame>
                        <wpg:cNvPr id="1073" name="オブジェクト 0"/>
                        <wpg:cNvFrPr/>
                        <wpg:xfrm>
                          <a:off x="1540" y="2840"/>
                          <a:ext cx="9076" cy="3142"/>
                        </wpg:xfrm>
                        <a:graphic>
                          <a:graphicData uri="http://schemas.openxmlformats.org/drawingml/2006/chart">
                            <c:chart xmlns:c="http://schemas.openxmlformats.org/drawingml/2006/chart" r:id="rId19"/>
                          </a:graphicData>
                        </a:graphic>
                      </wpg:graphicFrame>
                      <wps:wsp>
                        <wps:cNvPr id="1074" name="オブジェクト 0"/>
                        <wps:cNvSpPr txBox="1"/>
                        <wps:spPr>
                          <a:xfrm>
                            <a:off x="2406" y="5773"/>
                            <a:ext cx="839" cy="355"/>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sz w:val="16"/>
                                </w:rPr>
                                <w:t>高知県</w:t>
                              </w:r>
                            </w:p>
                          </w:txbxContent>
                        </wps:txbx>
                        <wps:bodyPr vertOverflow="overflow" horzOverflow="overflow" wrap="square" lIns="74295" tIns="8890" rIns="74295" bIns="8890"/>
                      </wps:wsp>
                      <wps:wsp>
                        <wps:cNvPr id="1075" name="オブジェクト 0"/>
                        <wps:cNvSpPr txBox="1"/>
                        <wps:spPr>
                          <a:xfrm>
                            <a:off x="3495" y="5773"/>
                            <a:ext cx="597" cy="355"/>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sz w:val="16"/>
                                </w:rPr>
                                <w:t>安芸</w:t>
                              </w:r>
                            </w:p>
                          </w:txbxContent>
                        </wps:txbx>
                        <wps:bodyPr vertOverflow="overflow" horzOverflow="overflow" wrap="square" lIns="74295" tIns="8890" rIns="74295" bIns="8890"/>
                      </wps:wsp>
                      <wps:wsp>
                        <wps:cNvPr id="1076" name="オブジェクト 0"/>
                        <wps:cNvSpPr txBox="1"/>
                        <wps:spPr>
                          <a:xfrm>
                            <a:off x="4498" y="5773"/>
                            <a:ext cx="677" cy="330"/>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sz w:val="16"/>
                                </w:rPr>
                                <w:t>中央</w:t>
                              </w:r>
                            </w:p>
                          </w:txbxContent>
                        </wps:txbx>
                        <wps:bodyPr vertOverflow="overflow" horzOverflow="overflow" wrap="square" lIns="74295" tIns="8890" rIns="74295" bIns="8890"/>
                      </wps:wsp>
                      <wps:wsp>
                        <wps:cNvPr id="1077" name="オブジェクト 0"/>
                        <wps:cNvSpPr txBox="1"/>
                        <wps:spPr>
                          <a:xfrm>
                            <a:off x="5330" y="5795"/>
                            <a:ext cx="1071" cy="501"/>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spacing w:line="200" w:lineRule="exact"/>
                                <w:ind w:left="0" w:leftChars="0" w:firstLine="0" w:firstLineChars="0"/>
                                <w:rPr>
                                  <w:rFonts w:hint="eastAsia"/>
                                  <w:sz w:val="20"/>
                                </w:rPr>
                              </w:pPr>
                              <w:r>
                                <w:rPr>
                                  <w:rFonts w:hint="eastAsia"/>
                                  <w:sz w:val="12"/>
                                </w:rPr>
                                <w:t>中央</w:t>
                              </w:r>
                              <w:r>
                                <w:rPr>
                                  <w:rFonts w:hint="eastAsia"/>
                                  <w:sz w:val="12"/>
                                </w:rPr>
                                <w:t>(</w:t>
                              </w:r>
                              <w:r>
                                <w:rPr>
                                  <w:rFonts w:hint="eastAsia"/>
                                  <w:sz w:val="12"/>
                                </w:rPr>
                                <w:t>高知市・</w:t>
                              </w:r>
                            </w:p>
                            <w:p>
                              <w:pPr>
                                <w:pStyle w:val="0"/>
                                <w:spacing w:line="200" w:lineRule="exact"/>
                                <w:ind w:left="0" w:leftChars="0" w:firstLine="0" w:firstLineChars="0"/>
                                <w:rPr>
                                  <w:rFonts w:hint="eastAsia"/>
                                  <w:sz w:val="24"/>
                                </w:rPr>
                              </w:pPr>
                              <w:r>
                                <w:rPr>
                                  <w:rFonts w:hint="eastAsia"/>
                                  <w:sz w:val="12"/>
                                </w:rPr>
                                <w:t>南国市</w:t>
                              </w:r>
                              <w:r>
                                <w:rPr>
                                  <w:rFonts w:hint="eastAsia"/>
                                  <w:sz w:val="12"/>
                                </w:rPr>
                                <w:t>)</w:t>
                              </w:r>
                            </w:p>
                          </w:txbxContent>
                        </wps:txbx>
                        <wps:bodyPr vertOverflow="overflow" horzOverflow="overflow" wrap="square" lIns="74295" tIns="8890" rIns="74295" bIns="8890"/>
                      </wps:wsp>
                      <wps:wsp>
                        <wps:cNvPr id="1078" name="オブジェクト 0"/>
                        <wps:cNvSpPr txBox="1"/>
                        <wps:spPr>
                          <a:xfrm>
                            <a:off x="6414" y="5773"/>
                            <a:ext cx="1115" cy="414"/>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spacing w:line="200" w:lineRule="exact"/>
                                <w:ind w:leftChars="0" w:firstLine="0" w:firstLineChars="0"/>
                                <w:rPr>
                                  <w:rFonts w:hint="eastAsia"/>
                                  <w:sz w:val="12"/>
                                </w:rPr>
                              </w:pPr>
                              <w:r>
                                <w:rPr>
                                  <w:rFonts w:hint="eastAsia"/>
                                  <w:sz w:val="12"/>
                                </w:rPr>
                                <w:t>中央</w:t>
                              </w:r>
                              <w:r>
                                <w:rPr>
                                  <w:rFonts w:hint="eastAsia"/>
                                  <w:sz w:val="12"/>
                                </w:rPr>
                                <w:t>(</w:t>
                              </w:r>
                              <w:r>
                                <w:rPr>
                                  <w:rFonts w:hint="eastAsia"/>
                                  <w:sz w:val="12"/>
                                </w:rPr>
                                <w:t>高知市・</w:t>
                              </w:r>
                            </w:p>
                            <w:p>
                              <w:pPr>
                                <w:pStyle w:val="0"/>
                                <w:spacing w:line="200" w:lineRule="exact"/>
                                <w:ind w:leftChars="0" w:firstLine="0" w:firstLineChars="0"/>
                                <w:rPr>
                                  <w:rFonts w:hint="eastAsia"/>
                                  <w:sz w:val="12"/>
                                </w:rPr>
                              </w:pPr>
                              <w:r>
                                <w:rPr>
                                  <w:rFonts w:hint="eastAsia"/>
                                  <w:sz w:val="12"/>
                                </w:rPr>
                                <w:t>南国市除く</w:t>
                              </w:r>
                              <w:r>
                                <w:rPr>
                                  <w:rFonts w:hint="eastAsia"/>
                                  <w:sz w:val="12"/>
                                </w:rPr>
                                <w:t>)</w:t>
                              </w:r>
                            </w:p>
                          </w:txbxContent>
                        </wps:txbx>
                        <wps:bodyPr vertOverflow="overflow" horzOverflow="overflow" wrap="square" lIns="74295" tIns="8890" rIns="74295" bIns="8890"/>
                      </wps:wsp>
                      <wps:wsp>
                        <wps:cNvPr id="1079" name="オブジェクト 0"/>
                        <wps:cNvSpPr txBox="1">
                          <a:spLocks noChangeArrowheads="1"/>
                        </wps:cNvSpPr>
                        <wps:spPr>
                          <a:xfrm>
                            <a:off x="5720" y="6318"/>
                            <a:ext cx="4652"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txbxContent>
                        </wps:txbx>
                        <wps:bodyPr vertOverflow="overflow" horzOverflow="overflow" wrap="square" lIns="74295" tIns="8890" rIns="74295" bIns="8890" upright="1"/>
                      </wps:wsp>
                      <wps:wsp>
                        <wps:cNvPr id="1080" name="オブジェクト 0"/>
                        <wps:cNvSpPr txBox="1"/>
                        <wps:spPr>
                          <a:xfrm>
                            <a:off x="7529" y="5773"/>
                            <a:ext cx="658" cy="355"/>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ascii="ＭＳ 明朝" w:hAnsi="ＭＳ 明朝" w:eastAsia="ＭＳ 明朝"/>
                                  <w:sz w:val="16"/>
                                </w:rPr>
                                <w:t>高幡</w:t>
                              </w:r>
                            </w:p>
                          </w:txbxContent>
                        </wps:txbx>
                        <wps:bodyPr vertOverflow="overflow" horzOverflow="overflow" wrap="square" lIns="74295" tIns="8890" rIns="74295" bIns="8890"/>
                      </wps:wsp>
                      <wps:wsp>
                        <wps:cNvPr id="1081" name="オブジェクト 0"/>
                        <wps:cNvSpPr txBox="1"/>
                        <wps:spPr>
                          <a:xfrm>
                            <a:off x="8592" y="5773"/>
                            <a:ext cx="759" cy="355"/>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ascii="ＭＳ 明朝" w:hAnsi="ＭＳ 明朝" w:eastAsia="ＭＳ 明朝"/>
                                  <w:sz w:val="16"/>
                                </w:rPr>
                                <w:t>幡多</w:t>
                              </w:r>
                            </w:p>
                          </w:txbxContent>
                        </wps:txbx>
                        <wps:bodyPr vertOverflow="overflow" horzOverflow="overflow" wrap="square" lIns="74295" tIns="8890" rIns="74295" bIns="8890"/>
                      </wps:wsp>
                      <wps:wsp>
                        <wps:cNvPr id="1082" name="オブジェクト 0"/>
                        <wps:cNvSpPr txBox="1"/>
                        <wps:spPr>
                          <a:xfrm>
                            <a:off x="9566" y="5773"/>
                            <a:ext cx="846" cy="333"/>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sz w:val="16"/>
                                </w:rPr>
                                <w:t>全国</w:t>
                              </w:r>
                            </w:p>
                          </w:txbxContent>
                        </wps:txbx>
                        <wps:bodyPr vertOverflow="overflow" horzOverflow="overflow" wrap="square" lIns="74295" tIns="8890" rIns="74295" bIns="8890"/>
                      </wps:wsp>
                    </wpg:wgp>
                  </a:graphicData>
                </a:graphic>
              </wp:anchor>
            </w:drawing>
          </mc:Choice>
          <mc:Fallback>
            <w:pict>
              <v:group id="オブジェクト 0" style="margin-top:1.1000000000000001pt;mso-position-vertical-relative:text;mso-position-horizontal-relative:text;position:absolute;height:194.9pt;width:453.8pt;margin-left:6.1pt;z-index:148;" coordsize="9076,3898" coordorigin="1540,2840" o:spid="_x0000_s107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142;width:9076;top:2840;left:1540;position:absolute;" o:spid="_x0000_s1073" filled="f" stroked="f" o:spt="75" type="#_x0000_t75">
                  <v:fill/>
                  <v:imagedata o:title="" r:id="rId20"/>
                  <w10:wrap type="none" anchorx="text" anchory="text"/>
                </v:shape>
                <v:shapetype id="_x0000_t202" coordsize="21600,21600" o:spt="202" path="m,l,21600r21600,l21600,xe">
                  <v:stroke joinstyle="miter"/>
                  <v:path gradientshapeok="t" o:connecttype="rect"/>
                </v:shapetype>
                <v:shape id="オブジェクト 0" style="height:355;width:839;top:5773;left:2406;position:absolute;" o:spid="_x0000_s1074"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sz w:val="16"/>
                          </w:rPr>
                          <w:t>高知県</w:t>
                        </w:r>
                      </w:p>
                    </w:txbxContent>
                  </v:textbox>
                  <v:imagedata o:title=""/>
                  <w10:wrap type="none" anchorx="text" anchory="text"/>
                </v:shape>
                <v:shape id="オブジェクト 0" style="height:355;width:597;top:5773;left:3495;position:absolute;" o:spid="_x0000_s1075"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sz w:val="16"/>
                          </w:rPr>
                          <w:t>安芸</w:t>
                        </w:r>
                      </w:p>
                    </w:txbxContent>
                  </v:textbox>
                  <v:imagedata o:title=""/>
                  <w10:wrap type="none" anchorx="text" anchory="text"/>
                </v:shape>
                <v:shape id="オブジェクト 0" style="height:330;width:677;top:5773;left:4498;position:absolute;" o:spid="_x0000_s1076"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sz w:val="16"/>
                          </w:rPr>
                          <w:t>中央</w:t>
                        </w:r>
                      </w:p>
                    </w:txbxContent>
                  </v:textbox>
                  <v:imagedata o:title=""/>
                  <w10:wrap type="none" anchorx="text" anchory="text"/>
                </v:shape>
                <v:shape id="オブジェクト 0" style="height:501;width:1071;top:5795;left:5330;position:absolute;" o:spid="_x0000_s1077"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spacing w:line="200" w:lineRule="exact"/>
                          <w:ind w:left="0" w:leftChars="0" w:firstLine="0" w:firstLineChars="0"/>
                          <w:rPr>
                            <w:rFonts w:hint="eastAsia"/>
                            <w:sz w:val="20"/>
                          </w:rPr>
                        </w:pPr>
                        <w:r>
                          <w:rPr>
                            <w:rFonts w:hint="eastAsia"/>
                            <w:sz w:val="12"/>
                          </w:rPr>
                          <w:t>中央</w:t>
                        </w:r>
                        <w:r>
                          <w:rPr>
                            <w:rFonts w:hint="eastAsia"/>
                            <w:sz w:val="12"/>
                          </w:rPr>
                          <w:t>(</w:t>
                        </w:r>
                        <w:r>
                          <w:rPr>
                            <w:rFonts w:hint="eastAsia"/>
                            <w:sz w:val="12"/>
                          </w:rPr>
                          <w:t>高知市・</w:t>
                        </w:r>
                      </w:p>
                      <w:p>
                        <w:pPr>
                          <w:pStyle w:val="0"/>
                          <w:spacing w:line="200" w:lineRule="exact"/>
                          <w:ind w:left="0" w:leftChars="0" w:firstLine="0" w:firstLineChars="0"/>
                          <w:rPr>
                            <w:rFonts w:hint="eastAsia"/>
                            <w:sz w:val="24"/>
                          </w:rPr>
                        </w:pPr>
                        <w:r>
                          <w:rPr>
                            <w:rFonts w:hint="eastAsia"/>
                            <w:sz w:val="12"/>
                          </w:rPr>
                          <w:t>南国市</w:t>
                        </w:r>
                        <w:r>
                          <w:rPr>
                            <w:rFonts w:hint="eastAsia"/>
                            <w:sz w:val="12"/>
                          </w:rPr>
                          <w:t>)</w:t>
                        </w:r>
                      </w:p>
                    </w:txbxContent>
                  </v:textbox>
                  <v:imagedata o:title=""/>
                  <w10:wrap type="none" anchorx="text" anchory="text"/>
                </v:shape>
                <v:shape id="オブジェクト 0" style="height:414;width:1115;top:5773;left:6414;position:absolute;" o:spid="_x0000_s1078"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spacing w:line="200" w:lineRule="exact"/>
                          <w:ind w:leftChars="0" w:firstLine="0" w:firstLineChars="0"/>
                          <w:rPr>
                            <w:rFonts w:hint="eastAsia"/>
                            <w:sz w:val="12"/>
                          </w:rPr>
                        </w:pPr>
                        <w:r>
                          <w:rPr>
                            <w:rFonts w:hint="eastAsia"/>
                            <w:sz w:val="12"/>
                          </w:rPr>
                          <w:t>中央</w:t>
                        </w:r>
                        <w:r>
                          <w:rPr>
                            <w:rFonts w:hint="eastAsia"/>
                            <w:sz w:val="12"/>
                          </w:rPr>
                          <w:t>(</w:t>
                        </w:r>
                        <w:r>
                          <w:rPr>
                            <w:rFonts w:hint="eastAsia"/>
                            <w:sz w:val="12"/>
                          </w:rPr>
                          <w:t>高知市・</w:t>
                        </w:r>
                      </w:p>
                      <w:p>
                        <w:pPr>
                          <w:pStyle w:val="0"/>
                          <w:spacing w:line="200" w:lineRule="exact"/>
                          <w:ind w:leftChars="0" w:firstLine="0" w:firstLineChars="0"/>
                          <w:rPr>
                            <w:rFonts w:hint="eastAsia"/>
                            <w:sz w:val="12"/>
                          </w:rPr>
                        </w:pPr>
                        <w:r>
                          <w:rPr>
                            <w:rFonts w:hint="eastAsia"/>
                            <w:sz w:val="12"/>
                          </w:rPr>
                          <w:t>南国市除く</w:t>
                        </w:r>
                        <w:r>
                          <w:rPr>
                            <w:rFonts w:hint="eastAsia"/>
                            <w:sz w:val="12"/>
                          </w:rPr>
                          <w:t>)</w:t>
                        </w:r>
                      </w:p>
                    </w:txbxContent>
                  </v:textbox>
                  <v:imagedata o:title=""/>
                  <w10:wrap type="none" anchorx="text" anchory="text"/>
                </v:shape>
                <v:shape id="オブジェクト 0" style="height:420;width:4652;top:6318;left:5720;position:absolute;" o:spid="_x0000_s1079"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txbxContent>
                  </v:textbox>
                  <v:imagedata o:title=""/>
                  <w10:wrap type="none" anchorx="text" anchory="text"/>
                </v:shape>
                <v:shape id="オブジェクト 0" style="height:355;width:658;top:5773;left:7529;position:absolute;" o:spid="_x0000_s1080"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高幡</w:t>
                        </w:r>
                      </w:p>
                    </w:txbxContent>
                  </v:textbox>
                  <v:imagedata o:title=""/>
                  <w10:wrap type="none" anchorx="text" anchory="text"/>
                </v:shape>
                <v:shape id="オブジェクト 0" style="height:355;width:759;top:5773;left:8592;position:absolute;" o:spid="_x0000_s1081"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幡多</w:t>
                        </w:r>
                      </w:p>
                    </w:txbxContent>
                  </v:textbox>
                  <v:imagedata o:title=""/>
                  <w10:wrap type="none" anchorx="text" anchory="text"/>
                </v:shape>
                <v:shape id="オブジェクト 0" style="height:333;width:846;top:5773;left:9566;position:absolute;" o:spid="_x0000_s1082"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sz w:val="16"/>
                          </w:rPr>
                          <w:t>全国</w:t>
                        </w:r>
                      </w:p>
                    </w:txbxContent>
                  </v:textbox>
                  <v:imagedata o:title=""/>
                  <w10:wrap type="none" anchorx="text" anchory="text"/>
                </v:shape>
                <w10:wrap type="none" anchorx="text" anchory="text"/>
              </v:group>
            </w:pict>
          </mc:Fallback>
        </mc:AlternateContent>
      </w:r>
    </w:p>
    <w:p>
      <w:pPr>
        <w:pStyle w:val="0"/>
        <w:jc w:val="center"/>
        <w:rPr>
          <w:rFonts w:hint="eastAsia"/>
          <w:kern w:val="2"/>
          <w:highlight w:val="none"/>
        </w:rPr>
      </w:pPr>
    </w:p>
    <w:p>
      <w:pPr>
        <w:pStyle w:val="0"/>
        <w:jc w:val="center"/>
        <w:rPr>
          <w:rFonts w:hint="eastAsia"/>
          <w:kern w:val="2"/>
          <w:highlight w:val="none"/>
        </w:rPr>
      </w:pPr>
    </w:p>
    <w:p>
      <w:pPr>
        <w:pStyle w:val="0"/>
        <w:jc w:val="center"/>
        <w:rPr>
          <w:rFonts w:hint="eastAsia"/>
          <w:kern w:val="2"/>
          <w:highlight w:val="none"/>
        </w:rPr>
      </w:pPr>
    </w:p>
    <w:p>
      <w:pPr>
        <w:pStyle w:val="0"/>
        <w:jc w:val="center"/>
        <w:rPr>
          <w:rFonts w:hint="eastAsia"/>
          <w:kern w:val="2"/>
          <w:highlight w:val="none"/>
        </w:rPr>
      </w:pPr>
    </w:p>
    <w:p>
      <w:pPr>
        <w:pStyle w:val="0"/>
        <w:jc w:val="center"/>
        <w:rPr>
          <w:rFonts w:hint="eastAsia" w:ascii="ＭＳ 明朝" w:hAnsi="ＭＳ 明朝" w:eastAsia="ＭＳ 明朝"/>
          <w:b w:val="1"/>
          <w:color w:val="0070C0"/>
          <w:kern w:val="2"/>
          <w:sz w:val="22"/>
          <w:highlight w:val="none"/>
        </w:rPr>
      </w:pPr>
      <w:r>
        <w:rPr>
          <w:rFonts w:hint="eastAsia"/>
        </w:rPr>
        <w:t xml:space="preserve"> </w:t>
      </w:r>
    </w:p>
    <w:p>
      <w:pPr>
        <w:pStyle w:val="0"/>
        <w:jc w:val="center"/>
        <w:rPr>
          <w:rFonts w:hint="eastAsia" w:ascii="ＭＳ 明朝" w:hAnsi="ＭＳ 明朝" w:eastAsia="ＭＳ 明朝"/>
          <w:b w:val="1"/>
          <w:color w:val="0070C0"/>
          <w:kern w:val="2"/>
          <w:sz w:val="22"/>
          <w:highlight w:val="none"/>
        </w:rPr>
      </w:pPr>
    </w:p>
    <w:p>
      <w:pPr>
        <w:pStyle w:val="0"/>
        <w:jc w:val="center"/>
        <w:rPr>
          <w:rFonts w:hint="eastAsia" w:ascii="ＭＳ 明朝" w:hAnsi="ＭＳ 明朝" w:eastAsia="ＭＳ 明朝"/>
          <w:b w:val="1"/>
          <w:color w:val="0070C0"/>
          <w:kern w:val="2"/>
          <w:sz w:val="22"/>
          <w:highlight w:val="none"/>
        </w:rPr>
      </w:pPr>
    </w:p>
    <w:p>
      <w:pPr>
        <w:pStyle w:val="0"/>
        <w:jc w:val="center"/>
        <w:rPr>
          <w:rFonts w:hint="eastAsia" w:ascii="ＭＳ 明朝" w:hAnsi="ＭＳ 明朝" w:eastAsia="ＭＳ 明朝"/>
          <w:b w:val="1"/>
          <w:color w:val="0070C0"/>
          <w:kern w:val="2"/>
          <w:sz w:val="22"/>
          <w:highlight w:val="none"/>
        </w:rPr>
      </w:pPr>
    </w:p>
    <w:p>
      <w:pPr>
        <w:pStyle w:val="0"/>
        <w:jc w:val="center"/>
        <w:rPr>
          <w:rFonts w:hint="eastAsia" w:ascii="ＭＳ 明朝" w:hAnsi="ＭＳ 明朝" w:eastAsia="ＭＳ 明朝"/>
          <w:b w:val="1"/>
          <w:color w:val="0070C0"/>
          <w:kern w:val="2"/>
          <w:sz w:val="22"/>
          <w:highlight w:val="none"/>
        </w:rPr>
      </w:pPr>
    </w:p>
    <w:p>
      <w:pPr>
        <w:pStyle w:val="0"/>
        <w:jc w:val="center"/>
        <w:rPr>
          <w:rFonts w:hint="eastAsia" w:ascii="ＭＳ 明朝" w:hAnsi="ＭＳ 明朝" w:eastAsia="ＭＳ 明朝"/>
          <w:b w:val="1"/>
          <w:color w:val="0070C0"/>
          <w:kern w:val="2"/>
          <w:sz w:val="22"/>
          <w:highlight w:val="none"/>
        </w:rPr>
      </w:pPr>
      <w:r>
        <w:rPr>
          <w:rFonts w:hint="eastAsia"/>
        </w:rPr>
        <w:t xml:space="preserve"> </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臨床研修医の状況</w:t>
      </w:r>
    </w:p>
    <w:p>
      <w:pPr>
        <w:pStyle w:val="0"/>
        <w:spacing w:before="0" w:beforeLines="0" w:beforeAutospacing="0" w:after="0" w:afterLines="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これまで県と関係機関が進めてきた医師確保の取組などにより、近年の臨床研修医の採用数は増加傾向となり、令和</w:t>
      </w:r>
      <w:r>
        <w:rPr>
          <w:rFonts w:hint="eastAsia" w:ascii="ＭＳ 明朝" w:hAnsi="ＭＳ 明朝" w:eastAsia="ＭＳ 明朝"/>
          <w:color w:val="auto"/>
          <w:kern w:val="2"/>
          <w:sz w:val="22"/>
          <w:highlight w:val="none"/>
          <w:u w:val="none" w:color="auto"/>
        </w:rPr>
        <w:t>５年度に県内で採用された１年目の臨床研修医は</w:t>
      </w:r>
      <w:r>
        <w:rPr>
          <w:rFonts w:hint="eastAsia" w:ascii="ＭＳ 明朝" w:hAnsi="ＭＳ 明朝" w:eastAsia="ＭＳ 明朝"/>
          <w:color w:val="auto"/>
          <w:kern w:val="2"/>
          <w:sz w:val="22"/>
          <w:highlight w:val="none"/>
          <w:u w:val="none" w:color="auto"/>
        </w:rPr>
        <w:t>68</w:t>
      </w:r>
      <w:r>
        <w:rPr>
          <w:rFonts w:hint="eastAsia" w:ascii="ＭＳ 明朝" w:hAnsi="ＭＳ 明朝" w:eastAsia="ＭＳ 明朝"/>
          <w:kern w:val="2"/>
          <w:sz w:val="22"/>
          <w:highlight w:val="none"/>
        </w:rPr>
        <w:t>名になりました。</w:t>
      </w:r>
    </w:p>
    <w:p>
      <w:pPr>
        <w:pStyle w:val="0"/>
        <w:spacing w:before="0" w:beforeLines="0" w:beforeAutospacing="0" w:after="0" w:afterLines="0" w:afterAutospacing="0" w:line="240" w:lineRule="auto"/>
        <w:ind w:left="227" w:leftChars="100" w:right="0" w:rightChars="0" w:firstLine="227" w:firstLineChars="10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59" behindDoc="0" locked="0" layoutInCell="1" hidden="0" allowOverlap="1">
                <wp:simplePos x="0" y="0"/>
                <wp:positionH relativeFrom="column">
                  <wp:posOffset>339725</wp:posOffset>
                </wp:positionH>
                <wp:positionV relativeFrom="paragraph">
                  <wp:posOffset>50165</wp:posOffset>
                </wp:positionV>
                <wp:extent cx="5724525" cy="3100705"/>
                <wp:effectExtent l="0" t="0" r="0" b="0"/>
                <wp:wrapNone/>
                <wp:docPr id="1083" name="オブジェクト 0"/>
                <a:graphic xmlns:a="http://schemas.openxmlformats.org/drawingml/2006/main">
                  <a:graphicData uri="http://schemas.microsoft.com/office/word/2010/wordprocessingGroup">
                    <wpg:wgp>
                      <wpg:cNvGrpSpPr/>
                      <wpg:grpSpPr>
                        <a:xfrm>
                          <a:off x="0" y="0"/>
                          <a:ext cx="5724525" cy="3100705"/>
                          <a:chOff x="1953" y="8497"/>
                          <a:chExt cx="9015" cy="4883"/>
                        </a:xfrm>
                      </wpg:grpSpPr>
                      <wpg:graphicFrame>
                        <wpg:cNvPr id="1084" name="オブジェクト 0"/>
                        <wpg:cNvFrPr/>
                        <wpg:xfrm>
                          <a:off x="1953" y="8731"/>
                          <a:ext cx="9015" cy="4649"/>
                        </wpg:xfrm>
                        <a:graphic>
                          <a:graphicData uri="http://schemas.openxmlformats.org/drawingml/2006/chart">
                            <c:chart xmlns:c="http://schemas.openxmlformats.org/drawingml/2006/chart" r:id="rId21"/>
                          </a:graphicData>
                        </a:graphic>
                      </wpg:graphicFrame>
                      <wps:wsp>
                        <wps:cNvPr id="1085" name="オブジェクト 0"/>
                        <wps:cNvSpPr txBox="1">
                          <a:spLocks noChangeArrowheads="1"/>
                        </wps:cNvSpPr>
                        <wps:spPr>
                          <a:xfrm>
                            <a:off x="6414" y="12706"/>
                            <a:ext cx="4084"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出典：高知県臨床研修連絡協議会</w:t>
                              </w:r>
                            </w:p>
                          </w:txbxContent>
                        </wps:txbx>
                        <wps:bodyPr vertOverflow="overflow" horzOverflow="overflow" wrap="square" lIns="74295" tIns="8890" rIns="74295" bIns="8890" upright="1"/>
                      </wps:wsp>
                      <wps:wsp>
                        <wps:cNvPr id="1086" name="テキスト 6"/>
                        <wps:cNvSpPr txBox="1"/>
                        <wps:spPr>
                          <a:xfrm>
                            <a:off x="2040" y="8782"/>
                            <a:ext cx="945" cy="680"/>
                          </a:xfrm>
                          <a:prstGeom prst="rect">
                            <a:avLst/>
                          </a:prstGeom>
                          <a:noFill/>
                          <a:ln w="9525" cmpd="sng">
                            <a:noFill/>
                          </a:ln>
                        </wps:spPr>
                        <wps:txbx>
                          <w:txbxContent>
                            <w:p>
                              <w:pPr>
                                <w:pStyle w:val="0"/>
                                <w:snapToGrid w:val="0"/>
                                <w:rPr>
                                  <w:rFonts w:hint="eastAsia" w:ascii="ＭＳ 明朝" w:hAnsi="ＭＳ 明朝" w:eastAsia="ＭＳ 明朝"/>
                                  <w:b w:val="1"/>
                                </w:rPr>
                              </w:pPr>
                              <w:r>
                                <w:rPr>
                                  <w:rFonts w:hint="eastAsia" w:ascii="ＭＳ 明朝" w:hAnsi="ＭＳ 明朝" w:eastAsia="ＭＳ 明朝"/>
                                  <w:b w:val="0"/>
                                  <w:i w:val="0"/>
                                  <w:color w:val="000000"/>
                                  <w:sz w:val="14"/>
                                </w:rPr>
                                <w:t>人</w:t>
                              </w:r>
                            </w:p>
                          </w:txbxContent>
                        </wps:txbx>
                        <wps:bodyPr vertOverflow="clip" horzOverflow="clip"/>
                      </wps:wsp>
                      <wps:wsp>
                        <wps:cNvPr id="1087" name="オブジェクト 0"/>
                        <wps:cNvSpPr txBox="1">
                          <a:spLocks noChangeArrowheads="1"/>
                        </wps:cNvSpPr>
                        <wps:spPr>
                          <a:xfrm>
                            <a:off x="9301" y="8497"/>
                            <a:ext cx="1197" cy="42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wpg:wgp>
                  </a:graphicData>
                </a:graphic>
              </wp:anchor>
            </w:drawing>
          </mc:Choice>
          <mc:Fallback>
            <w:pict>
              <v:group id="オブジェクト 0" style="margin-top:3.95pt;mso-position-vertical-relative:text;mso-position-horizontal-relative:text;position:absolute;height:244.15pt;width:450.75pt;margin-left:26.75pt;z-index:159;" coordsize="9015,4883" coordorigin="1953,8497" o:spid="_x0000_s108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649;width:9015;top:8731;left:1953;position:absolute;" o:spid="_x0000_s1084" filled="f" stroked="f" o:spt="75" type="#_x0000_t75">
                  <v:fill/>
                  <v:imagedata o:title="" r:id="rId22"/>
                  <w10:wrap type="none" anchorx="text" anchory="text"/>
                </v:shape>
                <v:shapetype id="_x0000_t202" coordsize="21600,21600" o:spt="202" path="m,l,21600r21600,l21600,xe">
                  <v:stroke joinstyle="miter"/>
                  <v:path gradientshapeok="t" o:connecttype="rect"/>
                </v:shapetype>
                <v:shape id="オブジェクト 0" style="height:420;width:4084;top:12706;left:6414;position:absolute;" o:spid="_x0000_s1085"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出典：高知県臨床研修連絡協議会</w:t>
                        </w:r>
                      </w:p>
                    </w:txbxContent>
                  </v:textbox>
                  <v:imagedata o:title=""/>
                  <w10:wrap type="none" anchorx="text" anchory="text"/>
                </v:shape>
                <v:shape id="テキスト 6" style="height:680;width:945;top:8782;left:2040;position:absolute;" o:spid="_x0000_s1086" filled="f" stroked="f" strokeweight="0.75pt" o:spt="202" type="#_x0000_t202">
                  <v:fill/>
                  <v:stroke linestyle="single"/>
                  <v:textbox style="layout-flow:horizontal;">
                    <w:txbxContent>
                      <w:p>
                        <w:pPr>
                          <w:pStyle w:val="0"/>
                          <w:snapToGrid w:val="0"/>
                          <w:rPr>
                            <w:rFonts w:hint="eastAsia" w:ascii="ＭＳ 明朝" w:hAnsi="ＭＳ 明朝" w:eastAsia="ＭＳ 明朝"/>
                            <w:b w:val="1"/>
                          </w:rPr>
                        </w:pPr>
                        <w:r>
                          <w:rPr>
                            <w:rFonts w:hint="eastAsia" w:ascii="ＭＳ 明朝" w:hAnsi="ＭＳ 明朝" w:eastAsia="ＭＳ 明朝"/>
                            <w:b w:val="0"/>
                            <w:i w:val="0"/>
                            <w:color w:val="000000"/>
                            <w:sz w:val="14"/>
                          </w:rPr>
                          <w:t>人</w:t>
                        </w:r>
                      </w:p>
                    </w:txbxContent>
                  </v:textbox>
                  <v:imagedata o:title=""/>
                  <w10:wrap type="none" anchorx="text" anchory="text"/>
                </v:shape>
                <v:shape id="オブジェクト 0" style="height:425;width:1197;top:8497;left:9301;position:absolute;" o:spid="_x0000_s1087"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4-1-12</w:t>
      </w:r>
      <w:r>
        <w:rPr>
          <w:rFonts w:hint="eastAsia" w:ascii="ＭＳ ゴシック" w:hAnsi="ＭＳ ゴシック" w:eastAsia="ＭＳ ゴシック"/>
          <w:color w:val="auto"/>
          <w:sz w:val="22"/>
          <w:highlight w:val="none"/>
          <w:u w:val="none" w:color="FF0000"/>
        </w:rPr>
        <w:t>）県内の臨床研修医採用者数の推移</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４　専攻医等の状況</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臨床研修修了者の県内の採用数については、平成</w:t>
      </w:r>
      <w:r>
        <w:rPr>
          <w:rFonts w:hint="eastAsia" w:ascii="ＭＳ 明朝" w:hAnsi="ＭＳ 明朝" w:eastAsia="ＭＳ 明朝"/>
          <w:kern w:val="2"/>
          <w:sz w:val="22"/>
          <w:highlight w:val="none"/>
        </w:rPr>
        <w:t>27</w:t>
      </w:r>
      <w:r>
        <w:rPr>
          <w:rFonts w:hint="eastAsia" w:ascii="ＭＳ 明朝" w:hAnsi="ＭＳ 明朝" w:eastAsia="ＭＳ 明朝"/>
          <w:kern w:val="2"/>
          <w:sz w:val="22"/>
          <w:highlight w:val="none"/>
        </w:rPr>
        <w:t>年度以降、毎年</w:t>
      </w:r>
      <w:r>
        <w:rPr>
          <w:rFonts w:hint="eastAsia" w:ascii="ＭＳ 明朝" w:hAnsi="ＭＳ 明朝" w:eastAsia="ＭＳ 明朝"/>
          <w:kern w:val="2"/>
          <w:sz w:val="22"/>
          <w:highlight w:val="none"/>
        </w:rPr>
        <w:t>4</w:t>
      </w:r>
      <w:r>
        <w:rPr>
          <w:rFonts w:hint="eastAsia" w:ascii="ＭＳ 明朝" w:hAnsi="ＭＳ 明朝" w:eastAsia="ＭＳ 明朝"/>
          <w:color w:val="auto"/>
          <w:kern w:val="2"/>
          <w:sz w:val="22"/>
          <w:highlight w:val="none"/>
          <w:u w:val="none" w:color="auto"/>
        </w:rPr>
        <w:t>0</w:t>
      </w:r>
      <w:r>
        <w:rPr>
          <w:rFonts w:hint="eastAsia" w:ascii="ＭＳ 明朝" w:hAnsi="ＭＳ 明朝" w:eastAsia="ＭＳ 明朝"/>
          <w:color w:val="auto"/>
          <w:kern w:val="2"/>
          <w:sz w:val="22"/>
          <w:highlight w:val="none"/>
          <w:u w:val="none" w:color="auto"/>
        </w:rPr>
        <w:t>～</w:t>
      </w:r>
      <w:r>
        <w:rPr>
          <w:rFonts w:hint="eastAsia" w:ascii="ＭＳ 明朝" w:hAnsi="ＭＳ 明朝" w:eastAsia="ＭＳ 明朝"/>
          <w:color w:val="auto"/>
          <w:kern w:val="2"/>
          <w:sz w:val="22"/>
          <w:highlight w:val="none"/>
          <w:u w:val="none" w:color="auto"/>
        </w:rPr>
        <w:t>50</w:t>
      </w:r>
      <w:r>
        <w:rPr>
          <w:rFonts w:hint="eastAsia" w:ascii="ＭＳ 明朝" w:hAnsi="ＭＳ 明朝" w:eastAsia="ＭＳ 明朝"/>
          <w:color w:val="auto"/>
          <w:kern w:val="2"/>
          <w:sz w:val="22"/>
          <w:highlight w:val="none"/>
          <w:u w:val="none" w:color="auto"/>
        </w:rPr>
        <w:t>人前後で推移するようになりました。</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しかしながら、県内の臨床研修医が引き続き県内医療機関で働く割合は</w:t>
      </w:r>
      <w:r>
        <w:rPr>
          <w:rFonts w:hint="eastAsia" w:ascii="ＭＳ 明朝" w:hAnsi="ＭＳ 明朝" w:eastAsia="ＭＳ 明朝"/>
          <w:color w:val="auto"/>
          <w:kern w:val="2"/>
          <w:sz w:val="22"/>
          <w:highlight w:val="none"/>
          <w:u w:val="none" w:color="auto"/>
        </w:rPr>
        <w:t>8</w:t>
      </w:r>
      <w:r>
        <w:rPr>
          <w:rFonts w:hint="eastAsia" w:ascii="ＭＳ 明朝" w:hAnsi="ＭＳ 明朝" w:eastAsia="ＭＳ 明朝"/>
          <w:color w:val="auto"/>
          <w:kern w:val="2"/>
          <w:sz w:val="22"/>
          <w:highlight w:val="none"/>
          <w:u w:val="none" w:color="auto"/>
        </w:rPr>
        <w:t>割程度にとどまり、また、平成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年度に開始された新専門医制度での専攻医登録者数は、</w:t>
      </w:r>
      <w:r>
        <w:rPr>
          <w:rFonts w:hint="eastAsia" w:ascii="ＭＳ 明朝" w:hAnsi="ＭＳ 明朝" w:eastAsia="ＭＳ 明朝"/>
          <w:color w:val="auto"/>
          <w:kern w:val="2"/>
          <w:sz w:val="22"/>
          <w:highlight w:val="none"/>
          <w:u w:val="none" w:color="auto"/>
        </w:rPr>
        <w:t>50</w:t>
      </w:r>
      <w:r>
        <w:rPr>
          <w:rFonts w:hint="eastAsia" w:ascii="ＭＳ 明朝" w:hAnsi="ＭＳ 明朝" w:eastAsia="ＭＳ 明朝"/>
          <w:color w:val="auto"/>
          <w:kern w:val="2"/>
          <w:sz w:val="22"/>
          <w:highlight w:val="none"/>
          <w:u w:val="none" w:color="auto"/>
        </w:rPr>
        <w:t>人程度で推移しています。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64" behindDoc="0" locked="0" layoutInCell="1" hidden="0" allowOverlap="1">
                <wp:simplePos x="0" y="0"/>
                <wp:positionH relativeFrom="column">
                  <wp:posOffset>-23495</wp:posOffset>
                </wp:positionH>
                <wp:positionV relativeFrom="paragraph">
                  <wp:posOffset>205105</wp:posOffset>
                </wp:positionV>
                <wp:extent cx="5741035" cy="2461895"/>
                <wp:effectExtent l="0" t="0" r="0" b="635"/>
                <wp:wrapNone/>
                <wp:docPr id="1088" name="オブジェクト 0"/>
                <a:graphic xmlns:a="http://schemas.openxmlformats.org/drawingml/2006/main">
                  <a:graphicData uri="http://schemas.microsoft.com/office/word/2010/wordprocessingGroup">
                    <wpg:wgp>
                      <wpg:cNvGrpSpPr/>
                      <wpg:grpSpPr>
                        <a:xfrm>
                          <a:off x="0" y="0"/>
                          <a:ext cx="5741035" cy="2461895"/>
                          <a:chOff x="1381" y="1741"/>
                          <a:chExt cx="9041" cy="3877"/>
                        </a:xfrm>
                      </wpg:grpSpPr>
                      <wps:wsp>
                        <wps:cNvPr id="1089" name="オブジェクト 0"/>
                        <wps:cNvSpPr txBox="1">
                          <a:spLocks noChangeArrowheads="1"/>
                        </wps:cNvSpPr>
                        <wps:spPr>
                          <a:xfrm>
                            <a:off x="7548" y="5198"/>
                            <a:ext cx="2723"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wps:txbx>
                        <wps:bodyPr vertOverflow="overflow" horzOverflow="overflow" wrap="square" lIns="74295" tIns="8890" rIns="74295" bIns="8890" upright="1"/>
                      </wps:wsp>
                      <wpg:graphicFrame>
                        <wpg:cNvPr id="1090" name="オブジェクト 0"/>
                        <wpg:cNvFrPr/>
                        <wpg:xfrm>
                          <a:off x="1381" y="1741"/>
                          <a:ext cx="9041" cy="3470"/>
                        </wpg:xfrm>
                        <a:graphic>
                          <a:graphicData uri="http://schemas.openxmlformats.org/drawingml/2006/chart">
                            <c:chart xmlns:c="http://schemas.openxmlformats.org/drawingml/2006/chart" r:id="rId23"/>
                          </a:graphicData>
                        </a:graphic>
                      </wpg:graphicFrame>
                    </wpg:wgp>
                  </a:graphicData>
                </a:graphic>
              </wp:anchor>
            </w:drawing>
          </mc:Choice>
          <mc:Fallback>
            <w:pict>
              <v:group id="オブジェクト 0" style="margin-top:16.14pt;mso-position-vertical-relative:text;mso-position-horizontal-relative:text;position:absolute;height:193.85pt;width:452.05pt;margin-left:-1.85pt;z-index:164;" coordsize="9041,3877" coordorigin="1381,1741" o:spid="_x0000_s1088" o:allowincell="t" o:allowoverlap="t">
                <v:shapetype id="_x0000_t202" coordsize="21600,21600" o:spt="202" path="m,l,21600r21600,l21600,xe">
                  <v:stroke joinstyle="miter"/>
                  <v:path gradientshapeok="t" o:connecttype="rect"/>
                </v:shapetype>
                <v:shape id="オブジェクト 0" style="height:420;width:2723;top:5198;left:7548;position:absolute;" o:spid="_x0000_s1089"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470;width:9041;top:1741;left:1381;position:absolute;" o:spid="_x0000_s1090" filled="f" stroked="f" o:spt="75" type="#_x0000_t75">
                  <v:fill/>
                  <v:imagedata o:title="" r:id="rId24"/>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4-1-13</w:t>
      </w:r>
      <w:r>
        <w:rPr>
          <w:rFonts w:hint="eastAsia" w:ascii="ＭＳ ゴシック" w:hAnsi="ＭＳ ゴシック" w:eastAsia="ＭＳ ゴシック"/>
          <w:color w:val="auto"/>
          <w:sz w:val="22"/>
          <w:highlight w:val="none"/>
          <w:u w:val="none" w:color="FF0000"/>
        </w:rPr>
        <w:t>）県内臨床研修医の進路</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5005705</wp:posOffset>
                </wp:positionH>
                <wp:positionV relativeFrom="paragraph">
                  <wp:posOffset>67945</wp:posOffset>
                </wp:positionV>
                <wp:extent cx="760095" cy="269875"/>
                <wp:effectExtent l="0" t="0" r="635" b="635"/>
                <wp:wrapNone/>
                <wp:docPr id="1091" name="オブジェクト 0"/>
                <a:graphic xmlns:a="http://schemas.openxmlformats.org/drawingml/2006/main">
                  <a:graphicData uri="http://schemas.microsoft.com/office/word/2010/wordprocessingShape">
                    <wps:wsp>
                      <wps:cNvPr id="1091"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35pt;mso-position-vertical-relative:text;mso-position-horizontal-relative:text;position:absolute;height:21.25pt;mso-wrap-distance-top:0pt;width:59.85pt;mso-wrap-distance-left:16pt;margin-left:394.15pt;z-index:11;" o:spid="_x0000_s109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4-1-14</w:t>
      </w:r>
      <w:r>
        <w:rPr>
          <w:rFonts w:hint="eastAsia" w:ascii="ＭＳ ゴシック" w:hAnsi="ＭＳ ゴシック" w:eastAsia="ＭＳ ゴシック"/>
          <w:color w:val="auto"/>
          <w:sz w:val="22"/>
          <w:highlight w:val="none"/>
          <w:u w:val="none" w:color="FF0000"/>
        </w:rPr>
        <w:t>）診療科別の専攻医採用数（Ｈ</w:t>
      </w:r>
      <w:r>
        <w:rPr>
          <w:rFonts w:hint="eastAsia" w:ascii="ＭＳ ゴシック" w:hAnsi="ＭＳ ゴシック" w:eastAsia="ＭＳ ゴシック"/>
          <w:color w:val="auto"/>
          <w:sz w:val="22"/>
          <w:highlight w:val="none"/>
          <w:u w:val="none" w:color="FF0000"/>
        </w:rPr>
        <w:t>30</w:t>
      </w:r>
      <w:r>
        <w:rPr>
          <w:rFonts w:hint="eastAsia" w:ascii="ＭＳ ゴシック" w:hAnsi="ＭＳ ゴシック" w:eastAsia="ＭＳ ゴシック"/>
          <w:color w:val="auto"/>
          <w:sz w:val="22"/>
          <w:highlight w:val="none"/>
          <w:u w:val="none" w:color="FF0000"/>
        </w:rPr>
        <w:t>～）</w:t>
      </w: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67" behindDoc="0" locked="0" layoutInCell="1" hidden="0" allowOverlap="1">
                <wp:simplePos x="0" y="0"/>
                <wp:positionH relativeFrom="column">
                  <wp:posOffset>184150</wp:posOffset>
                </wp:positionH>
                <wp:positionV relativeFrom="paragraph">
                  <wp:posOffset>1940560</wp:posOffset>
                </wp:positionV>
                <wp:extent cx="5579110" cy="323850"/>
                <wp:effectExtent l="0" t="0" r="635" b="635"/>
                <wp:wrapNone/>
                <wp:docPr id="1092" name="オブジェクト 0"/>
                <a:graphic xmlns:a="http://schemas.openxmlformats.org/drawingml/2006/main">
                  <a:graphicData uri="http://schemas.microsoft.com/office/word/2010/wordprocessingGroup">
                    <wpg:wgp>
                      <wpg:cNvGrpSpPr/>
                      <wpg:grpSpPr>
                        <a:xfrm>
                          <a:off x="0" y="0"/>
                          <a:ext cx="5579110" cy="323850"/>
                          <a:chOff x="1708" y="9024"/>
                          <a:chExt cx="8786" cy="510"/>
                        </a:xfrm>
                      </wpg:grpSpPr>
                      <wps:wsp>
                        <wps:cNvPr id="1093" name="オブジェクト 0"/>
                        <wps:cNvSpPr txBox="1">
                          <a:spLocks noChangeArrowheads="1"/>
                        </wps:cNvSpPr>
                        <wps:spPr>
                          <a:xfrm>
                            <a:off x="7865" y="9074"/>
                            <a:ext cx="2629" cy="46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wps:txbx>
                        <wps:bodyPr vertOverflow="overflow" horzOverflow="overflow" wrap="square" lIns="74295" tIns="8890" rIns="74295" bIns="8890" upright="1"/>
                      </wps:wsp>
                      <wps:wsp>
                        <wps:cNvPr id="1094" name="オブジェクト 0"/>
                        <wps:cNvSpPr txBox="1">
                          <a:spLocks noChangeArrowheads="1"/>
                        </wps:cNvSpPr>
                        <wps:spPr>
                          <a:xfrm>
                            <a:off x="1708" y="9024"/>
                            <a:ext cx="4317" cy="438"/>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「－」･･･指導医不在により募集していない診療科</w:t>
                              </w:r>
                            </w:p>
                          </w:txbxContent>
                        </wps:txbx>
                        <wps:bodyPr vertOverflow="overflow" horzOverflow="overflow" wrap="square" lIns="74295" tIns="8890" rIns="74295" bIns="8890" upright="1"/>
                      </wps:wsp>
                    </wpg:wgp>
                  </a:graphicData>
                </a:graphic>
              </wp:anchor>
            </w:drawing>
          </mc:Choice>
          <mc:Fallback>
            <w:pict>
              <v:group id="オブジェクト 0" style="margin-top:152.80000000000001pt;mso-position-vertical-relative:text;mso-position-horizontal-relative:text;position:absolute;height:25.5pt;width:439.3pt;margin-left:14.5pt;z-index:167;" coordsize="8786,510" coordorigin="1708,9024" o:spid="_x0000_s1092" o:allowincell="t" o:allowoverlap="t">
                <v:shapetype id="_x0000_t202" coordsize="21600,21600" o:spt="202" path="m,l,21600r21600,l21600,xe">
                  <v:stroke joinstyle="miter"/>
                  <v:path gradientshapeok="t" o:connecttype="rect"/>
                </v:shapetype>
                <v:shape id="オブジェクト 0" style="height:460;width:2629;top:9074;left:7865;position:absolute;" o:spid="_x0000_s1093"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v:textbox>
                  <v:imagedata o:title=""/>
                  <w10:wrap type="none" anchorx="text" anchory="text"/>
                </v:shape>
                <v:shape id="オブジェクト 0" style="height:438;width:4317;top:9024;left:1708;position:absolute;" o:spid="_x0000_s1094"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「－」･･･指導医不在により募集していない診療科</w:t>
                        </w:r>
                      </w:p>
                    </w:txbxContent>
                  </v:textbox>
                  <v:imagedata o:title=""/>
                  <w10:wrap type="none" anchorx="text" anchory="text"/>
                </v:shape>
                <w10:wrap type="none" anchorx="text" anchory="text"/>
              </v:group>
            </w:pict>
          </mc:Fallback>
        </mc:AlternateContent>
      </w:r>
      <w:r>
        <w:rPr>
          <w:rFonts w:hint="eastAsia"/>
        </w:rPr>
        <w:drawing>
          <wp:inline distT="0" distB="0" distL="203200" distR="203200">
            <wp:extent cx="5759450" cy="1971040"/>
            <wp:effectExtent l="0" t="0" r="0" b="0"/>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25"/>
                    <a:stretch>
                      <a:fillRect/>
                    </a:stretch>
                  </pic:blipFill>
                  <pic:spPr>
                    <a:xfrm>
                      <a:off x="0" y="0"/>
                      <a:ext cx="5759450" cy="1971040"/>
                    </a:xfrm>
                    <a:prstGeom prst="rect">
                      <a:avLst/>
                    </a:prstGeom>
                  </pic:spPr>
                </pic:pic>
              </a:graphicData>
            </a:graphic>
          </wp:inline>
        </w:drawing>
      </w: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医学生の卒業後の県内定着促進に向けて創設した奨学貸付金を受給する医学生は、</w:t>
      </w:r>
      <w:r>
        <w:rPr>
          <w:rFonts w:hint="eastAsia" w:ascii="ＭＳ 明朝" w:hAnsi="ＭＳ 明朝" w:eastAsia="ＭＳ 明朝"/>
          <w:color w:val="auto"/>
          <w:kern w:val="2"/>
          <w:sz w:val="22"/>
          <w:highlight w:val="none"/>
          <w:u w:val="none" w:color="auto"/>
        </w:rPr>
        <w:t>令和３年度以降は</w:t>
      </w:r>
      <w:r>
        <w:rPr>
          <w:rFonts w:hint="eastAsia" w:ascii="ＭＳ 明朝" w:hAnsi="ＭＳ 明朝" w:eastAsia="ＭＳ 明朝"/>
          <w:color w:val="auto"/>
          <w:kern w:val="2"/>
          <w:sz w:val="22"/>
          <w:highlight w:val="none"/>
          <w:u w:val="none" w:color="auto"/>
        </w:rPr>
        <w:t>170</w:t>
      </w:r>
      <w:r>
        <w:rPr>
          <w:rFonts w:hint="eastAsia" w:ascii="ＭＳ 明朝" w:hAnsi="ＭＳ 明朝" w:eastAsia="ＭＳ 明朝"/>
          <w:color w:val="auto"/>
          <w:kern w:val="2"/>
          <w:sz w:val="22"/>
          <w:highlight w:val="none"/>
          <w:u w:val="none" w:color="auto"/>
        </w:rPr>
        <w:t>名から</w:t>
      </w:r>
      <w:r>
        <w:rPr>
          <w:rFonts w:hint="eastAsia" w:ascii="ＭＳ 明朝" w:hAnsi="ＭＳ 明朝" w:eastAsia="ＭＳ 明朝"/>
          <w:color w:val="auto"/>
          <w:kern w:val="2"/>
          <w:sz w:val="22"/>
          <w:highlight w:val="none"/>
          <w:u w:val="none" w:color="auto"/>
        </w:rPr>
        <w:t>160</w:t>
      </w:r>
      <w:r>
        <w:rPr>
          <w:rFonts w:hint="eastAsia" w:ascii="ＭＳ 明朝" w:hAnsi="ＭＳ 明朝" w:eastAsia="ＭＳ 明朝"/>
          <w:color w:val="auto"/>
          <w:kern w:val="2"/>
          <w:sz w:val="22"/>
          <w:highlight w:val="none"/>
          <w:u w:val="none" w:color="auto"/>
        </w:rPr>
        <w:t>名程度で推移しており、本制度の継続により令和９</w:t>
      </w:r>
      <w:r>
        <w:rPr>
          <w:rFonts w:hint="eastAsia" w:ascii="ＭＳ 明朝" w:hAnsi="ＭＳ 明朝" w:eastAsia="ＭＳ 明朝"/>
          <w:kern w:val="2"/>
          <w:sz w:val="22"/>
          <w:highlight w:val="none"/>
        </w:rPr>
        <w:t>年度以降、償還期間内の医師が</w:t>
      </w:r>
      <w:r>
        <w:rPr>
          <w:rFonts w:hint="eastAsia" w:ascii="ＭＳ 明朝" w:hAnsi="ＭＳ 明朝" w:eastAsia="ＭＳ 明朝"/>
          <w:kern w:val="2"/>
          <w:sz w:val="22"/>
          <w:highlight w:val="none"/>
        </w:rPr>
        <w:t>300</w:t>
      </w:r>
      <w:r>
        <w:rPr>
          <w:rFonts w:hint="eastAsia" w:ascii="ＭＳ 明朝" w:hAnsi="ＭＳ 明朝" w:eastAsia="ＭＳ 明朝"/>
          <w:kern w:val="2"/>
          <w:sz w:val="22"/>
          <w:highlight w:val="none"/>
        </w:rPr>
        <w:t>名を超えると推計され、将来的には一定数の若手医師が確保できる見通しが立ってきました。</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w:drawing>
          <wp:anchor distT="0" distB="0" distL="203200" distR="203200" simplePos="0" relativeHeight="109" behindDoc="0" locked="0" layoutInCell="1" hidden="0" allowOverlap="1">
            <wp:simplePos x="0" y="0"/>
            <wp:positionH relativeFrom="column">
              <wp:posOffset>-5080</wp:posOffset>
            </wp:positionH>
            <wp:positionV relativeFrom="paragraph">
              <wp:posOffset>234950</wp:posOffset>
            </wp:positionV>
            <wp:extent cx="5784215" cy="2113915"/>
            <wp:effectExtent l="0" t="0" r="0" b="0"/>
            <wp:wrapSquare wrapText="bothSides"/>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26"/>
                    <a:srcRect r="14046"/>
                    <a:stretch>
                      <a:fillRect/>
                    </a:stretch>
                  </pic:blipFill>
                  <pic:spPr>
                    <a:xfrm>
                      <a:off x="0" y="0"/>
                      <a:ext cx="5784215" cy="2113915"/>
                    </a:xfrm>
                    <a:prstGeom prst="rect">
                      <a:avLst/>
                    </a:prstGeom>
                  </pic:spPr>
                </pic:pic>
              </a:graphicData>
            </a:graphic>
          </wp:anchor>
        </w:drawing>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4-1-15</w:t>
      </w:r>
      <w:r>
        <w:rPr>
          <w:rFonts w:hint="eastAsia" w:ascii="ＭＳ ゴシック" w:hAnsi="ＭＳ ゴシック" w:eastAsia="ＭＳ ゴシック"/>
          <w:color w:val="auto"/>
          <w:sz w:val="22"/>
          <w:highlight w:val="none"/>
          <w:u w:val="none" w:color="FF0000"/>
        </w:rPr>
        <w:t>）医師養成奨学金受給学生・償還期間内医師数の推計</w:t>
      </w:r>
    </w:p>
    <w:p>
      <w:pPr>
        <w:pStyle w:val="0"/>
        <w:spacing w:line="240" w:lineRule="auto"/>
        <w:rPr>
          <w:rFonts w:hint="eastAsia" w:ascii="ＭＳ 明朝" w:hAnsi="ＭＳ 明朝" w:eastAsia="ＭＳ 明朝"/>
          <w:b w:val="1"/>
          <w:color w:val="0070C0"/>
          <w:kern w:val="2"/>
          <w:sz w:val="22"/>
          <w:highlight w:val="none"/>
        </w:rPr>
      </w:pPr>
      <w:r>
        <w:rPr>
          <w:rFonts w:hint="eastAsia"/>
        </w:rPr>
        <mc:AlternateContent>
          <mc:Choice Requires="wps">
            <w:drawing>
              <wp:anchor distT="0" distB="0" distL="71755" distR="71755" simplePos="0" relativeHeight="6" behindDoc="0" locked="0" layoutInCell="1" hidden="0" allowOverlap="1">
                <wp:simplePos x="0" y="0"/>
                <wp:positionH relativeFrom="column">
                  <wp:posOffset>2045970</wp:posOffset>
                </wp:positionH>
                <wp:positionV relativeFrom="paragraph">
                  <wp:posOffset>2127885</wp:posOffset>
                </wp:positionV>
                <wp:extent cx="3854450" cy="277495"/>
                <wp:effectExtent l="0" t="0" r="635" b="635"/>
                <wp:wrapNone/>
                <wp:docPr id="1097" name="オブジェクト 0"/>
                <a:graphic xmlns:a="http://schemas.openxmlformats.org/drawingml/2006/main">
                  <a:graphicData uri="http://schemas.microsoft.com/office/word/2010/wordprocessingShape">
                    <wps:wsp>
                      <wps:cNvPr id="1097" name="オブジェクト 0"/>
                      <wps:cNvSpPr txBox="1">
                        <a:spLocks noChangeArrowheads="1"/>
                      </wps:cNvSpPr>
                      <wps:spPr>
                        <a:xfrm>
                          <a:off x="0" y="0"/>
                          <a:ext cx="3854450" cy="277495"/>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出典：高知県健康政策部推計（毎年度の新規貸与者を</w:t>
                            </w:r>
                            <w:r>
                              <w:rPr>
                                <w:rFonts w:hint="eastAsia" w:ascii="ＭＳ 明朝" w:hAnsi="ＭＳ 明朝" w:eastAsia="ＭＳ 明朝"/>
                                <w:sz w:val="16"/>
                              </w:rPr>
                              <w:t>35</w:t>
                            </w:r>
                            <w:r>
                              <w:rPr>
                                <w:rFonts w:hint="eastAsia" w:ascii="ＭＳ 明朝" w:hAnsi="ＭＳ 明朝" w:eastAsia="ＭＳ 明朝"/>
                                <w:sz w:val="16"/>
                              </w:rPr>
                              <w:t>名で推計）</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67.55pt;mso-position-vertical-relative:text;mso-position-horizontal-relative:text;position:absolute;height:21.85pt;mso-wrap-distance-top:0pt;width:303.5pt;mso-wrap-distance-left:5.65pt;margin-left:161.1pt;z-index:6;" o:spid="_x0000_s109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出典：高知県健康政策部推計（毎年度の新規貸与者を</w:t>
                      </w:r>
                      <w:r>
                        <w:rPr>
                          <w:rFonts w:hint="eastAsia" w:ascii="ＭＳ 明朝" w:hAnsi="ＭＳ 明朝" w:eastAsia="ＭＳ 明朝"/>
                          <w:sz w:val="16"/>
                        </w:rPr>
                        <w:t>35</w:t>
                      </w:r>
                      <w:r>
                        <w:rPr>
                          <w:rFonts w:hint="eastAsia" w:ascii="ＭＳ 明朝" w:hAnsi="ＭＳ 明朝" w:eastAsia="ＭＳ 明朝"/>
                          <w:sz w:val="16"/>
                        </w:rPr>
                        <w:t>名で推計）</w:t>
                      </w:r>
                    </w:p>
                  </w:txbxContent>
                </v:textbox>
                <v:imagedata o:title=""/>
                <w10:wrap type="none" anchorx="text" anchory="text"/>
              </v:shape>
            </w:pict>
          </mc:Fallback>
        </mc:AlternateContent>
      </w:r>
      <w:r>
        <w:rPr>
          <w:rFonts w:hint="eastAsia"/>
          <w:color w:val="0070C0"/>
          <w:kern w:val="2"/>
          <w:highlight w:val="none"/>
        </w:rPr>
        <mc:AlternateContent>
          <mc:Choice Requires="wps">
            <w:drawing>
              <wp:anchor simplePos="0" relativeHeight="28" behindDoc="0" locked="0" layoutInCell="1" hidden="0" allowOverlap="1">
                <wp:simplePos x="0" y="0"/>
                <wp:positionH relativeFrom="column">
                  <wp:posOffset>6800850</wp:posOffset>
                </wp:positionH>
                <wp:positionV relativeFrom="paragraph">
                  <wp:posOffset>4573270</wp:posOffset>
                </wp:positionV>
                <wp:extent cx="533400" cy="476250"/>
                <wp:effectExtent l="635" t="635" r="29845" b="10795"/>
                <wp:wrapNone/>
                <wp:docPr id="1098" name="オブジェクト 0"/>
                <a:graphic xmlns:a="http://schemas.openxmlformats.org/drawingml/2006/main">
                  <a:graphicData uri="http://schemas.microsoft.com/office/word/2010/wordprocessingShape">
                    <wps:wsp>
                      <wps:cNvPr id="1098" name="オブジェクト 0"/>
                      <wps:cNvSpPr txBox="1">
                        <a:spLocks noChangeArrowheads="1"/>
                      </wps:cNvSpPr>
                      <wps:spPr>
                        <a:xfrm>
                          <a:off x="0" y="0"/>
                          <a:ext cx="533400" cy="476250"/>
                        </a:xfrm>
                        <a:prstGeom prst="rect">
                          <a:avLst/>
                        </a:prstGeom>
                        <a:solidFill>
                          <a:srgbClr val="FFFFFF"/>
                        </a:solidFill>
                        <a:ln w="9525">
                          <a:solidFill>
                            <a:sysClr val="windowText" lastClr="000000"/>
                          </a:solidFill>
                          <a:miter/>
                        </a:ln>
                      </wps:spPr>
                      <wps:txbx>
                        <w:txbxContent>
                          <w:p>
                            <w:pPr>
                              <w:pStyle w:val="0"/>
                              <w:rPr>
                                <w:rFonts w:hint="eastAsia"/>
                                <w:sz w:val="18"/>
                              </w:rPr>
                            </w:pPr>
                            <w:r>
                              <w:rPr>
                                <w:rFonts w:hint="eastAsia"/>
                                <w:sz w:val="18"/>
                              </w:rPr>
                              <w:t>公表後</w:t>
                            </w:r>
                          </w:p>
                          <w:p>
                            <w:pPr>
                              <w:pStyle w:val="0"/>
                              <w:rPr>
                                <w:rFonts w:hint="eastAsia"/>
                              </w:rPr>
                            </w:pPr>
                            <w:r>
                              <w:rPr>
                                <w:rFonts w:hint="eastAsia"/>
                                <w:sz w:val="18"/>
                              </w:rPr>
                              <w:t>修正</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60.1pt;mso-position-vertical-relative:text;mso-position-horizontal-relative:text;position:absolute;height:37.5pt;width:42pt;margin-left:535.5pt;z-index:28;" o:spid="_x0000_s1098" o:allowincell="t" o:allowoverlap="t" filled="t" fillcolor="#ffffff" stroked="t" strokecolor="#000000" strokeweight="0.75pt" o:spt="202" type="#_x0000_t202">
                <v:fill/>
                <v:stroke filltype="solid"/>
                <v:textbox style="layout-flow:horizontal;" inset="2.0637499999999998mm,0.24694444444444438mm,2.0637499999999998mm,0.24694444444444438mm">
                  <w:txbxContent>
                    <w:p>
                      <w:pPr>
                        <w:pStyle w:val="0"/>
                        <w:rPr>
                          <w:rFonts w:hint="eastAsia"/>
                          <w:sz w:val="18"/>
                        </w:rPr>
                      </w:pPr>
                      <w:r>
                        <w:rPr>
                          <w:rFonts w:hint="eastAsia"/>
                          <w:sz w:val="18"/>
                        </w:rPr>
                        <w:t>公表後</w:t>
                      </w:r>
                    </w:p>
                    <w:p>
                      <w:pPr>
                        <w:pStyle w:val="0"/>
                        <w:rPr>
                          <w:rFonts w:hint="eastAsia"/>
                        </w:rPr>
                      </w:pPr>
                      <w:r>
                        <w:rPr>
                          <w:rFonts w:hint="eastAsia"/>
                          <w:sz w:val="18"/>
                        </w:rPr>
                        <w:t>修正</w:t>
                      </w:r>
                    </w:p>
                  </w:txbxContent>
                </v:textbox>
                <v:imagedata o:title=""/>
                <w10:wrap type="none" anchorx="text" anchory="text"/>
              </v:shape>
            </w:pict>
          </mc:Fallback>
        </mc:AlternateContent>
      </w:r>
      <w:r>
        <w:rPr>
          <w:rFonts w:hint="eastAsia" w:ascii="ＭＳ 明朝" w:hAnsi="ＭＳ 明朝" w:eastAsia="ＭＳ 明朝"/>
          <w:b w:val="1"/>
          <w:color w:val="0070C0"/>
          <w:kern w:val="2"/>
          <w:sz w:val="22"/>
          <w:highlight w:val="none"/>
        </w:rPr>
        <w:t>５　診療科別医師数の推移</w:t>
      </w:r>
    </w:p>
    <w:p>
      <w:pPr>
        <w:pStyle w:val="0"/>
        <w:spacing w:before="0" w:beforeLines="0" w:beforeAutospacing="0" w:after="165" w:afterLines="5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県の医師養成奨学貸付金で加算制度を設けている特定の診療科目（小児科、産科・産婦人科、脳神経外科、麻酔科</w:t>
      </w:r>
      <w:r>
        <w:rPr>
          <w:rFonts w:hint="eastAsia" w:ascii="ＭＳ 明朝" w:hAnsi="ＭＳ 明朝" w:eastAsia="ＭＳ 明朝"/>
          <w:color w:val="auto"/>
          <w:kern w:val="2"/>
          <w:sz w:val="22"/>
          <w:highlight w:val="none"/>
          <w:u w:val="none" w:color="auto"/>
        </w:rPr>
        <w:t>、外科）における本県の医師数の推移を全国と比べると、全国の増加率とのかい離はあるものの、ここ数年は増加傾向に転じています。しかしながら、産科・産婦人科については、平成</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年から約</w:t>
      </w:r>
      <w:r>
        <w:rPr>
          <w:rFonts w:hint="eastAsia" w:ascii="ＭＳ 明朝" w:hAnsi="ＭＳ 明朝" w:eastAsia="ＭＳ 明朝"/>
          <w:color w:val="auto"/>
          <w:kern w:val="2"/>
          <w:sz w:val="22"/>
          <w:highlight w:val="none"/>
          <w:u w:val="none" w:color="auto"/>
        </w:rPr>
        <w:t>12</w:t>
      </w:r>
      <w:r>
        <w:rPr>
          <w:rFonts w:hint="eastAsia" w:ascii="ＭＳ 明朝" w:hAnsi="ＭＳ 明朝" w:eastAsia="ＭＳ 明朝"/>
          <w:color w:val="auto"/>
          <w:kern w:val="2"/>
          <w:sz w:val="22"/>
          <w:highlight w:val="none"/>
          <w:u w:val="none" w:color="auto"/>
        </w:rPr>
        <w:t>％減少したことに加え、外科が約</w:t>
      </w:r>
      <w:r>
        <w:rPr>
          <w:rFonts w:hint="eastAsia" w:ascii="ＭＳ 明朝" w:hAnsi="ＭＳ 明朝" w:eastAsia="ＭＳ 明朝"/>
          <w:color w:val="auto"/>
          <w:kern w:val="2"/>
          <w:sz w:val="22"/>
          <w:highlight w:val="none"/>
          <w:u w:val="none" w:color="auto"/>
        </w:rPr>
        <w:t>18</w:t>
      </w:r>
      <w:r>
        <w:rPr>
          <w:rFonts w:hint="eastAsia" w:ascii="ＭＳ 明朝" w:hAnsi="ＭＳ 明朝" w:eastAsia="ＭＳ 明朝"/>
          <w:kern w:val="2"/>
          <w:sz w:val="22"/>
          <w:highlight w:val="none"/>
        </w:rPr>
        <w:t>％減と全国以上に減少しており、医師不足は依然として深刻な状況にあります。</w:t>
      </w:r>
    </w:p>
    <w:p>
      <w:pPr>
        <w:pStyle w:val="0"/>
        <w:jc w:val="center"/>
        <w:rPr>
          <w:rFonts w:hint="eastAsia" w:ascii="ＭＳ ゴシック" w:hAnsi="ＭＳ ゴシック" w:eastAsia="ＭＳ ゴシック"/>
          <w:sz w:val="22"/>
          <w:highlight w:val="none"/>
        </w:rPr>
      </w:pPr>
      <w:r>
        <w:rPr>
          <w:rFonts w:hint="eastAsia"/>
          <w:highlight w:val="none"/>
        </w:rPr>
        <mc:AlternateContent>
          <mc:Choice Requires="wps">
            <w:drawing>
              <wp:anchor distT="0" distB="0" distL="203200" distR="203200" simplePos="0" relativeHeight="29" behindDoc="0" locked="0" layoutInCell="1" hidden="0" allowOverlap="1">
                <wp:simplePos x="0" y="0"/>
                <wp:positionH relativeFrom="column">
                  <wp:posOffset>4900930</wp:posOffset>
                </wp:positionH>
                <wp:positionV relativeFrom="paragraph">
                  <wp:posOffset>0</wp:posOffset>
                </wp:positionV>
                <wp:extent cx="760095" cy="269875"/>
                <wp:effectExtent l="0" t="0" r="635" b="635"/>
                <wp:wrapNone/>
                <wp:docPr id="1099" name="オブジェクト 0"/>
                <a:graphic xmlns:a="http://schemas.openxmlformats.org/drawingml/2006/main">
                  <a:graphicData uri="http://schemas.microsoft.com/office/word/2010/wordprocessingShape">
                    <wps:wsp>
                      <wps:cNvPr id="1099"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21.25pt;mso-wrap-distance-top:0pt;width:59.85pt;mso-wrap-distance-left:16pt;margin-left:385.9pt;z-index:29;" o:spid="_x0000_s1099"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rPr>
        <w:drawing>
          <wp:anchor distT="0" distB="0" distL="203200" distR="203200" simplePos="0" relativeHeight="95" behindDoc="0" locked="0" layoutInCell="1" hidden="0" allowOverlap="1">
            <wp:simplePos x="0" y="0"/>
            <wp:positionH relativeFrom="margin">
              <wp:posOffset>60960</wp:posOffset>
            </wp:positionH>
            <wp:positionV relativeFrom="margin">
              <wp:posOffset>1677670</wp:posOffset>
            </wp:positionV>
            <wp:extent cx="5689600" cy="6798310"/>
            <wp:effectExtent l="0" t="0" r="0" b="0"/>
            <wp:wrapSquare wrapText="bothSides"/>
            <wp:docPr id="1100" name="オブジェクト 0"/>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27"/>
                    <a:stretch>
                      <a:fillRect/>
                    </a:stretch>
                  </pic:blipFill>
                  <pic:spPr>
                    <a:xfrm>
                      <a:off x="0" y="0"/>
                      <a:ext cx="5689600" cy="6798310"/>
                    </a:xfrm>
                    <a:prstGeom prst="rect">
                      <a:avLst/>
                    </a:prstGeom>
                    <a:ln>
                      <a:noFill/>
                    </a:ln>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4-1-16</w:t>
      </w:r>
      <w:r>
        <w:rPr>
          <w:rFonts w:hint="eastAsia" w:ascii="ＭＳ ゴシック" w:hAnsi="ＭＳ ゴシック" w:eastAsia="ＭＳ ゴシック"/>
          <w:sz w:val="22"/>
          <w:highlight w:val="none"/>
        </w:rPr>
        <w:t>）診療科別医師数（</w:t>
      </w:r>
      <w:r>
        <w:rPr>
          <w:rFonts w:hint="eastAsia" w:ascii="ＭＳ ゴシック" w:hAnsi="ＭＳ ゴシック" w:eastAsia="ＭＳ ゴシック"/>
          <w:sz w:val="22"/>
          <w:highlight w:val="none"/>
        </w:rPr>
        <w:t>H10</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FF0000"/>
        </w:rPr>
        <w:t>R2</w:t>
      </w:r>
      <w:r>
        <w:rPr>
          <w:rFonts w:hint="eastAsia" w:ascii="ＭＳ ゴシック" w:hAnsi="ＭＳ ゴシック" w:eastAsia="ＭＳ ゴシック"/>
          <w:sz w:val="22"/>
          <w:highlight w:val="none"/>
        </w:rPr>
        <w:t>）</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30" behindDoc="0" locked="0" layoutInCell="1" hidden="0" allowOverlap="1">
                <wp:simplePos x="0" y="0"/>
                <wp:positionH relativeFrom="column">
                  <wp:posOffset>2008505</wp:posOffset>
                </wp:positionH>
                <wp:positionV relativeFrom="paragraph">
                  <wp:posOffset>6873240</wp:posOffset>
                </wp:positionV>
                <wp:extent cx="5760085" cy="101600"/>
                <wp:effectExtent l="0" t="0" r="635" b="635"/>
                <wp:wrapSquare wrapText="bothSides"/>
                <wp:docPr id="1101" name="オブジェクト 0"/>
                <a:graphic xmlns:a="http://schemas.openxmlformats.org/drawingml/2006/main">
                  <a:graphicData uri="http://schemas.microsoft.com/office/word/2010/wordprocessingShape">
                    <wps:wsp>
                      <wps:cNvPr id="1101" name="オブジェクト 0"/>
                      <wps:cNvSpPr txBox="1">
                        <a:spLocks noChangeArrowheads="1"/>
                      </wps:cNvSpPr>
                      <wps:spPr>
                        <a:xfrm>
                          <a:off x="0" y="0"/>
                          <a:ext cx="5760085" cy="101600"/>
                        </a:xfrm>
                        <a:prstGeom prst="rect">
                          <a:avLst/>
                        </a:prstGeom>
                        <a:noFill/>
                        <a:ln>
                          <a:miter/>
                        </a:ln>
                      </wps:spPr>
                      <wps:txbx>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41.20000000000005pt;mso-position-vertical-relative:text;mso-position-horizontal-relative:text;position:absolute;mso-wrap-mode:square;height:8pt;mso-wrap-distance-top:0pt;width:453.55pt;mso-wrap-style:none;mso-wrap-distance-left:16pt;margin-left:158.15pt;z-index:30;" o:spid="_x0000_s1101" o:allowincell="t" o:allowoverlap="t" filled="f" stroked="f" o:spt="202" type="#_x0000_t202">
                <v:fill/>
                <v:textbox style="layout-flow:horizontal;mso-fit-shape-to-text:t;">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square" side="both" anchorx="text" anchory="text"/>
              </v:shape>
            </w:pict>
          </mc:Fallback>
        </mc:AlternateConten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w:drawing>
          <wp:anchor simplePos="0" relativeHeight="97" behindDoc="0" locked="0" layoutInCell="1" hidden="0" allowOverlap="1">
            <wp:simplePos x="0" y="0"/>
            <wp:positionH relativeFrom="page">
              <wp:posOffset>883920</wp:posOffset>
            </wp:positionH>
            <wp:positionV relativeFrom="page">
              <wp:posOffset>1099185</wp:posOffset>
            </wp:positionV>
            <wp:extent cx="4308475" cy="2468245"/>
            <wp:effectExtent l="0" t="0" r="0" b="0"/>
            <wp:wrapNone/>
            <wp:docPr id="1102" name="オブジェクト 0"/>
            <a:graphic xmlns:a="http://schemas.openxmlformats.org/drawingml/2006/main">
              <a:graphicData uri="http://schemas.openxmlformats.org/drawingml/2006/chart">
                <c:chart xmlns:c="http://schemas.openxmlformats.org/drawingml/2006/chart" r:id="rId28"/>
              </a:graphicData>
            </a:graphic>
          </wp:anchor>
        </w:drawing>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4-1-17</w:t>
      </w:r>
      <w:r>
        <w:rPr>
          <w:rFonts w:hint="eastAsia" w:ascii="ＭＳ ゴシック" w:hAnsi="ＭＳ ゴシック" w:eastAsia="ＭＳ ゴシック"/>
          <w:color w:val="auto"/>
          <w:sz w:val="22"/>
          <w:highlight w:val="none"/>
          <w:u w:val="none" w:color="FF0000"/>
        </w:rPr>
        <w:t>）診療科医師数の推移（Ｈ</w:t>
      </w:r>
      <w:r>
        <w:rPr>
          <w:rFonts w:hint="eastAsia" w:ascii="ＭＳ ゴシック" w:hAnsi="ＭＳ ゴシック" w:eastAsia="ＭＳ ゴシック"/>
          <w:color w:val="auto"/>
          <w:sz w:val="22"/>
          <w:highlight w:val="none"/>
          <w:u w:val="none" w:color="FF0000"/>
        </w:rPr>
        <w:t>10</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99" behindDoc="0" locked="0" layoutInCell="1" hidden="0" allowOverlap="1">
                <wp:simplePos x="0" y="0"/>
                <wp:positionH relativeFrom="column">
                  <wp:posOffset>4056380</wp:posOffset>
                </wp:positionH>
                <wp:positionV relativeFrom="paragraph">
                  <wp:posOffset>6985</wp:posOffset>
                </wp:positionV>
                <wp:extent cx="854710" cy="223520"/>
                <wp:effectExtent l="0" t="0" r="635" b="635"/>
                <wp:wrapNone/>
                <wp:docPr id="1103" name="オブジェクト 0"/>
                <a:graphic xmlns:a="http://schemas.openxmlformats.org/drawingml/2006/main">
                  <a:graphicData uri="http://schemas.microsoft.com/office/word/2010/wordprocessingShape">
                    <wps:wsp>
                      <wps:cNvPr id="1103" name="オブジェクト 0"/>
                      <wps:cNvSpPr txBox="1">
                        <a:spLocks noChangeArrowheads="1"/>
                      </wps:cNvSpPr>
                      <wps:spPr>
                        <a:xfrm>
                          <a:off x="0" y="0"/>
                          <a:ext cx="85471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麻酔科（全国）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55000000000000004pt;mso-position-vertical-relative:text;mso-position-horizontal-relative:text;position:absolute;height:17.600000000000001pt;mso-wrap-distance-top:0pt;width:67.3pt;mso-wrap-distance-left:16pt;margin-left:319.39pt;z-index:99;" o:spid="_x0000_s1103"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麻酔科（全国）</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0" behindDoc="0" locked="0" layoutInCell="1" hidden="0" allowOverlap="1">
                <wp:simplePos x="0" y="0"/>
                <wp:positionH relativeFrom="column">
                  <wp:posOffset>4084955</wp:posOffset>
                </wp:positionH>
                <wp:positionV relativeFrom="paragraph">
                  <wp:posOffset>166370</wp:posOffset>
                </wp:positionV>
                <wp:extent cx="854710" cy="223520"/>
                <wp:effectExtent l="0" t="0" r="635" b="635"/>
                <wp:wrapNone/>
                <wp:docPr id="1104" name="オブジェクト 0"/>
                <a:graphic xmlns:a="http://schemas.openxmlformats.org/drawingml/2006/main">
                  <a:graphicData uri="http://schemas.microsoft.com/office/word/2010/wordprocessingShape">
                    <wps:wsp>
                      <wps:cNvPr id="1104" name="オブジェクト 0"/>
                      <wps:cNvSpPr txBox="1">
                        <a:spLocks noChangeArrowheads="1"/>
                      </wps:cNvSpPr>
                      <wps:spPr>
                        <a:xfrm>
                          <a:off x="0" y="0"/>
                          <a:ext cx="85471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麻酔科（高知）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1pt;mso-position-vertical-relative:text;mso-position-horizontal-relative:text;position:absolute;height:17.600000000000001pt;mso-wrap-distance-top:0pt;width:67.3pt;mso-wrap-distance-left:16pt;margin-left:321.64pt;z-index:100;" o:spid="_x0000_s1104"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麻酔科（高知）</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1" behindDoc="0" locked="0" layoutInCell="1" hidden="0" allowOverlap="1">
                <wp:simplePos x="0" y="0"/>
                <wp:positionH relativeFrom="column">
                  <wp:posOffset>4084955</wp:posOffset>
                </wp:positionH>
                <wp:positionV relativeFrom="paragraph">
                  <wp:posOffset>53340</wp:posOffset>
                </wp:positionV>
                <wp:extent cx="952500" cy="223520"/>
                <wp:effectExtent l="0" t="0" r="635" b="635"/>
                <wp:wrapNone/>
                <wp:docPr id="1105" name="オブジェクト 0"/>
                <a:graphic xmlns:a="http://schemas.openxmlformats.org/drawingml/2006/main">
                  <a:graphicData uri="http://schemas.microsoft.com/office/word/2010/wordprocessingShape">
                    <wps:wsp>
                      <wps:cNvPr id="1105"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脳神経外科（全国）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2pt;mso-position-vertical-relative:text;mso-position-horizontal-relative:text;position:absolute;height:17.600000000000001pt;mso-wrap-distance-top:0pt;width:75pt;mso-wrap-distance-left:16pt;margin-left:321.64pt;z-index:101;" o:spid="_x0000_s1105"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脳神経外科（全国）</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2" behindDoc="0" locked="0" layoutInCell="1" hidden="0" allowOverlap="1">
                <wp:simplePos x="0" y="0"/>
                <wp:positionH relativeFrom="column">
                  <wp:posOffset>4084955</wp:posOffset>
                </wp:positionH>
                <wp:positionV relativeFrom="paragraph">
                  <wp:posOffset>160655</wp:posOffset>
                </wp:positionV>
                <wp:extent cx="952500" cy="223520"/>
                <wp:effectExtent l="0" t="0" r="635" b="635"/>
                <wp:wrapNone/>
                <wp:docPr id="1106" name="オブジェクト 0"/>
                <a:graphic xmlns:a="http://schemas.openxmlformats.org/drawingml/2006/main">
                  <a:graphicData uri="http://schemas.microsoft.com/office/word/2010/wordprocessingShape">
                    <wps:wsp>
                      <wps:cNvPr id="1106"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小児科（全国）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65pt;mso-position-vertical-relative:text;mso-position-horizontal-relative:text;position:absolute;height:17.600000000000001pt;mso-wrap-distance-top:0pt;width:75pt;mso-wrap-distance-left:16pt;margin-left:321.64pt;z-index:102;" o:spid="_x0000_s110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小児科（全国）</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3" behindDoc="0" locked="0" layoutInCell="1" hidden="0" allowOverlap="1">
                <wp:simplePos x="0" y="0"/>
                <wp:positionH relativeFrom="column">
                  <wp:posOffset>4084955</wp:posOffset>
                </wp:positionH>
                <wp:positionV relativeFrom="paragraph">
                  <wp:posOffset>54610</wp:posOffset>
                </wp:positionV>
                <wp:extent cx="952500" cy="223520"/>
                <wp:effectExtent l="0" t="0" r="635" b="635"/>
                <wp:wrapNone/>
                <wp:docPr id="1107" name="オブジェクト 0"/>
                <a:graphic xmlns:a="http://schemas.openxmlformats.org/drawingml/2006/main">
                  <a:graphicData uri="http://schemas.microsoft.com/office/word/2010/wordprocessingShape">
                    <wps:wsp>
                      <wps:cNvPr id="1107"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脳神経外科（高知）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3pt;mso-position-vertical-relative:text;mso-position-horizontal-relative:text;position:absolute;height:17.600000000000001pt;mso-wrap-distance-top:0pt;width:75pt;mso-wrap-distance-left:16pt;margin-left:321.64pt;z-index:103;" o:spid="_x0000_s110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脳神経外科（高知）</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4" behindDoc="0" locked="0" layoutInCell="1" hidden="0" allowOverlap="1">
                <wp:simplePos x="0" y="0"/>
                <wp:positionH relativeFrom="column">
                  <wp:posOffset>4084955</wp:posOffset>
                </wp:positionH>
                <wp:positionV relativeFrom="paragraph">
                  <wp:posOffset>6985</wp:posOffset>
                </wp:positionV>
                <wp:extent cx="952500" cy="223520"/>
                <wp:effectExtent l="0" t="0" r="635" b="635"/>
                <wp:wrapNone/>
                <wp:docPr id="1108" name="オブジェクト 0"/>
                <a:graphic xmlns:a="http://schemas.openxmlformats.org/drawingml/2006/main">
                  <a:graphicData uri="http://schemas.microsoft.com/office/word/2010/wordprocessingShape">
                    <wps:wsp>
                      <wps:cNvPr id="1108"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小児科（高知）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55000000000000004pt;mso-position-vertical-relative:text;mso-position-horizontal-relative:text;position:absolute;height:17.600000000000001pt;mso-wrap-distance-top:0pt;width:75pt;mso-wrap-distance-left:16pt;margin-left:321.64pt;z-index:104;" o:spid="_x0000_s110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小児科（高知）</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5" behindDoc="0" locked="0" layoutInCell="1" hidden="0" allowOverlap="1">
                <wp:simplePos x="0" y="0"/>
                <wp:positionH relativeFrom="column">
                  <wp:posOffset>4084955</wp:posOffset>
                </wp:positionH>
                <wp:positionV relativeFrom="paragraph">
                  <wp:posOffset>121920</wp:posOffset>
                </wp:positionV>
                <wp:extent cx="1162685" cy="223520"/>
                <wp:effectExtent l="0" t="0" r="635" b="635"/>
                <wp:wrapNone/>
                <wp:docPr id="1109" name="オブジェクト 0"/>
                <a:graphic xmlns:a="http://schemas.openxmlformats.org/drawingml/2006/main">
                  <a:graphicData uri="http://schemas.microsoft.com/office/word/2010/wordprocessingShape">
                    <wps:wsp>
                      <wps:cNvPr id="1109" name="オブジェクト 0"/>
                      <wps:cNvSpPr txBox="1">
                        <a:spLocks noChangeArrowheads="1"/>
                      </wps:cNvSpPr>
                      <wps:spPr>
                        <a:xfrm>
                          <a:off x="0" y="0"/>
                          <a:ext cx="1162685"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産科・産婦人科（全国）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6pt;mso-position-vertical-relative:text;mso-position-horizontal-relative:text;position:absolute;height:17.600000000000001pt;mso-wrap-distance-top:0pt;width:91.55pt;mso-wrap-distance-left:16pt;margin-left:321.64pt;z-index:105;" o:spid="_x0000_s1109"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産科・産婦人科（全国）</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7" behindDoc="0" locked="0" layoutInCell="1" hidden="0" allowOverlap="1">
                <wp:simplePos x="0" y="0"/>
                <wp:positionH relativeFrom="column">
                  <wp:posOffset>4084955</wp:posOffset>
                </wp:positionH>
                <wp:positionV relativeFrom="paragraph">
                  <wp:posOffset>40005</wp:posOffset>
                </wp:positionV>
                <wp:extent cx="952500" cy="223520"/>
                <wp:effectExtent l="0" t="0" r="635" b="635"/>
                <wp:wrapNone/>
                <wp:docPr id="1110" name="オブジェクト 0"/>
                <a:graphic xmlns:a="http://schemas.openxmlformats.org/drawingml/2006/main">
                  <a:graphicData uri="http://schemas.microsoft.com/office/word/2010/wordprocessingShape">
                    <wps:wsp>
                      <wps:cNvPr id="1110"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5pt;mso-position-vertical-relative:text;mso-position-horizontal-relative:text;position:absolute;height:17.600000000000001pt;mso-wrap-distance-top:0pt;width:75pt;mso-wrap-distance-left:16pt;margin-left:321.64pt;z-index:107;" o:spid="_x0000_s111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外科計（全国）</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6" behindDoc="0" locked="0" layoutInCell="1" hidden="0" allowOverlap="1">
                <wp:simplePos x="0" y="0"/>
                <wp:positionH relativeFrom="column">
                  <wp:posOffset>4084955</wp:posOffset>
                </wp:positionH>
                <wp:positionV relativeFrom="paragraph">
                  <wp:posOffset>191135</wp:posOffset>
                </wp:positionV>
                <wp:extent cx="1162685" cy="223520"/>
                <wp:effectExtent l="0" t="0" r="635" b="635"/>
                <wp:wrapNone/>
                <wp:docPr id="1111" name="オブジェクト 0"/>
                <a:graphic xmlns:a="http://schemas.openxmlformats.org/drawingml/2006/main">
                  <a:graphicData uri="http://schemas.microsoft.com/office/word/2010/wordprocessingShape">
                    <wps:wsp>
                      <wps:cNvPr id="1111" name="オブジェクト 0"/>
                      <wps:cNvSpPr txBox="1">
                        <a:spLocks noChangeArrowheads="1"/>
                      </wps:cNvSpPr>
                      <wps:spPr>
                        <a:xfrm>
                          <a:off x="0" y="0"/>
                          <a:ext cx="1162685"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産科・産婦人科（高知）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05pt;mso-position-vertical-relative:text;mso-position-horizontal-relative:text;position:absolute;height:17.600000000000001pt;mso-wrap-distance-top:0pt;width:91.55pt;mso-wrap-distance-left:16pt;margin-left:321.64pt;z-index:106;" o:spid="_x0000_s111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産科・産婦人科（高知）</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8" behindDoc="0" locked="0" layoutInCell="1" hidden="0" allowOverlap="1">
                <wp:simplePos x="0" y="0"/>
                <wp:positionH relativeFrom="column">
                  <wp:posOffset>4084955</wp:posOffset>
                </wp:positionH>
                <wp:positionV relativeFrom="paragraph">
                  <wp:posOffset>87630</wp:posOffset>
                </wp:positionV>
                <wp:extent cx="952500" cy="223520"/>
                <wp:effectExtent l="0" t="0" r="635" b="635"/>
                <wp:wrapNone/>
                <wp:docPr id="1112" name="オブジェクト 0"/>
                <a:graphic xmlns:a="http://schemas.openxmlformats.org/drawingml/2006/main">
                  <a:graphicData uri="http://schemas.microsoft.com/office/word/2010/wordprocessingShape">
                    <wps:wsp>
                      <wps:cNvPr id="1112"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9pt;mso-position-vertical-relative:text;mso-position-horizontal-relative:text;position:absolute;height:17.600000000000001pt;mso-wrap-distance-top:0pt;width:75pt;mso-wrap-distance-left:16pt;margin-left:321.64pt;z-index:108;" o:spid="_x0000_s111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外科計（高知）</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8" behindDoc="0" locked="0" layoutInCell="1" hidden="0" allowOverlap="1">
                <wp:simplePos x="0" y="0"/>
                <wp:positionH relativeFrom="column">
                  <wp:posOffset>4064000</wp:posOffset>
                </wp:positionH>
                <wp:positionV relativeFrom="paragraph">
                  <wp:posOffset>203200</wp:posOffset>
                </wp:positionV>
                <wp:extent cx="1919605" cy="223520"/>
                <wp:effectExtent l="0" t="0" r="635" b="635"/>
                <wp:wrapNone/>
                <wp:docPr id="1113" name="オブジェクト 0"/>
                <a:graphic xmlns:a="http://schemas.openxmlformats.org/drawingml/2006/main">
                  <a:graphicData uri="http://schemas.microsoft.com/office/word/2010/wordprocessingShape">
                    <wps:wsp>
                      <wps:cNvPr id="1113" name="オブジェクト 0"/>
                      <wps:cNvSpPr txBox="1">
                        <a:spLocks noChangeArrowheads="1"/>
                      </wps:cNvSpPr>
                      <wps:spPr>
                        <a:xfrm>
                          <a:off x="0" y="0"/>
                          <a:ext cx="1919605"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※外科計は図表</w:t>
                            </w:r>
                            <w:r>
                              <w:rPr>
                                <w:rFonts w:hint="eastAsia" w:ascii="メイリオ" w:hAnsi="メイリオ" w:eastAsia="メイリオ"/>
                                <w:sz w:val="14"/>
                              </w:rPr>
                              <w:t>4-1-14</w:t>
                            </w:r>
                            <w:r>
                              <w:rPr>
                                <w:rFonts w:hint="eastAsia" w:ascii="メイリオ" w:hAnsi="メイリオ" w:eastAsia="メイリオ"/>
                                <w:sz w:val="14"/>
                              </w:rPr>
                              <w:t>の外科計の医師数</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pt;mso-position-vertical-relative:text;mso-position-horizontal-relative:text;position:absolute;height:17.600000000000001pt;mso-wrap-distance-top:0pt;width:151.15pt;mso-wrap-distance-left:16pt;margin-left:320pt;z-index:98;" o:spid="_x0000_s1113"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※外科計は図表</w:t>
                      </w:r>
                      <w:r>
                        <w:rPr>
                          <w:rFonts w:hint="eastAsia" w:ascii="メイリオ" w:hAnsi="メイリオ" w:eastAsia="メイリオ"/>
                          <w:sz w:val="14"/>
                        </w:rPr>
                        <w:t>4-1-14</w:t>
                      </w:r>
                      <w:r>
                        <w:rPr>
                          <w:rFonts w:hint="eastAsia" w:ascii="メイリオ" w:hAnsi="メイリオ" w:eastAsia="メイリオ"/>
                          <w:sz w:val="14"/>
                        </w:rPr>
                        <w:t>の外科計の医師数</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5" behindDoc="1" locked="0" layoutInCell="1" hidden="0" allowOverlap="1">
                <wp:simplePos x="0" y="0"/>
                <wp:positionH relativeFrom="column">
                  <wp:posOffset>2477135</wp:posOffset>
                </wp:positionH>
                <wp:positionV relativeFrom="paragraph">
                  <wp:posOffset>185420</wp:posOffset>
                </wp:positionV>
                <wp:extent cx="3536950" cy="354965"/>
                <wp:effectExtent l="0" t="0" r="635" b="635"/>
                <wp:wrapNone/>
                <wp:docPr id="1114" name="オブジェクト 0"/>
                <a:graphic xmlns:a="http://schemas.openxmlformats.org/drawingml/2006/main">
                  <a:graphicData uri="http://schemas.microsoft.com/office/word/2010/wordprocessingShape">
                    <wps:wsp>
                      <wps:cNvPr id="1114" name="オブジェクト 0"/>
                      <wps:cNvSpPr txBox="1">
                        <a:spLocks noChangeArrowheads="1"/>
                      </wps:cNvSpPr>
                      <wps:spPr>
                        <a:xfrm>
                          <a:off x="0" y="0"/>
                          <a:ext cx="3536950" cy="354965"/>
                        </a:xfrm>
                        <a:prstGeom prst="rect">
                          <a:avLst/>
                        </a:prstGeom>
                        <a:noFill/>
                        <a:ln>
                          <a:miter/>
                        </a:ln>
                      </wps:spPr>
                      <wps:txbx>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6pt;mso-position-vertical-relative:text;mso-position-horizontal-relative:text;position:absolute;height:27.95pt;mso-wrap-distance-top:0pt;width:278.5pt;mso-wrap-distance-left:16pt;margin-left:195.05pt;z-index:-503316465;" o:spid="_x0000_s1114" o:allowincell="t" o:allowoverlap="t" filled="f" stroked="f" o:spt="202" type="#_x0000_t202">
                <v:fill/>
                <v:textbox style="layout-flow:horizontal;mso-fit-shape-to-text:t;">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jc w:val="both"/>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６　将来の人口推計と医療需要の状況</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（１）県全体</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県全体の人口は平成</w:t>
      </w:r>
      <w:r>
        <w:rPr>
          <w:rFonts w:hint="eastAsia" w:ascii="ＭＳ 明朝" w:hAnsi="ＭＳ 明朝" w:eastAsia="ＭＳ 明朝"/>
          <w:kern w:val="2"/>
          <w:sz w:val="22"/>
          <w:highlight w:val="none"/>
        </w:rPr>
        <w:t>29</w:t>
      </w:r>
      <w:r>
        <w:rPr>
          <w:rFonts w:hint="eastAsia" w:ascii="ＭＳ 明朝" w:hAnsi="ＭＳ 明朝" w:eastAsia="ＭＳ 明朝"/>
          <w:kern w:val="2"/>
          <w:sz w:val="22"/>
          <w:highlight w:val="none"/>
        </w:rPr>
        <w:t>年から令和</w:t>
      </w:r>
      <w:r>
        <w:rPr>
          <w:rFonts w:hint="eastAsia" w:ascii="ＭＳ 明朝" w:hAnsi="ＭＳ 明朝" w:eastAsia="ＭＳ 明朝"/>
          <w:kern w:val="2"/>
          <w:sz w:val="22"/>
          <w:highlight w:val="none"/>
        </w:rPr>
        <w:t>18</w:t>
      </w:r>
      <w:r>
        <w:rPr>
          <w:rFonts w:hint="eastAsia" w:ascii="ＭＳ 明朝" w:hAnsi="ＭＳ 明朝" w:eastAsia="ＭＳ 明朝"/>
          <w:kern w:val="2"/>
          <w:sz w:val="22"/>
          <w:highlight w:val="none"/>
        </w:rPr>
        <w:t>年にかけ２割程度減少しますが、高齢化による医療需要の増により、県全体の医療需要は人口減よりも緩やかに減少していきます。</w:t>
      </w:r>
    </w:p>
    <w:p>
      <w:pPr>
        <w:pStyle w:val="0"/>
        <w:spacing w:before="0" w:beforeLines="0" w:beforeAutospacing="0" w:after="0" w:afterLines="0" w:afterAutospacing="0" w:line="240" w:lineRule="auto"/>
        <w:ind w:left="0" w:leftChars="0" w:right="0" w:rightChars="0" w:firstLine="0" w:firstLineChars="0"/>
        <w:jc w:val="center"/>
        <w:rPr>
          <w:rFonts w:hint="eastAsia" w:ascii="ＭＳ ゴシック" w:hAnsi="ＭＳ ゴシック" w:eastAsia="ＭＳ ゴシック"/>
          <w:sz w:val="20"/>
          <w:highlight w:val="none"/>
        </w:rPr>
      </w:pPr>
      <w:r>
        <w:rPr>
          <w:rFonts w:hint="eastAsia"/>
          <w:highlight w:val="none"/>
        </w:rPr>
        <w:drawing>
          <wp:anchor distT="0" distB="0" distL="203200" distR="203200" simplePos="0" relativeHeight="32" behindDoc="0" locked="0" layoutInCell="1" hidden="0" allowOverlap="1">
            <wp:simplePos x="0" y="0"/>
            <wp:positionH relativeFrom="column">
              <wp:posOffset>2986405</wp:posOffset>
            </wp:positionH>
            <wp:positionV relativeFrom="paragraph">
              <wp:posOffset>219710</wp:posOffset>
            </wp:positionV>
            <wp:extent cx="2776220" cy="1316990"/>
            <wp:effectExtent l="0" t="0" r="0" b="0"/>
            <wp:wrapNone/>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29"/>
                    <a:stretch>
                      <a:fillRect/>
                    </a:stretch>
                  </pic:blipFill>
                  <pic:spPr>
                    <a:xfrm>
                      <a:off x="0" y="0"/>
                      <a:ext cx="2776220" cy="1316990"/>
                    </a:xfrm>
                    <a:prstGeom prst="rect">
                      <a:avLst/>
                    </a:prstGeom>
                    <a:noFill/>
                    <a:ln>
                      <a:miter/>
                    </a:ln>
                  </pic:spPr>
                </pic:pic>
              </a:graphicData>
            </a:graphic>
          </wp:anchor>
        </w:drawing>
      </w: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4-1-18</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31" behindDoc="0" locked="0" layoutInCell="1" hidden="0" allowOverlap="1">
            <wp:simplePos x="0" y="0"/>
            <wp:positionH relativeFrom="column">
              <wp:posOffset>73660</wp:posOffset>
            </wp:positionH>
            <wp:positionV relativeFrom="paragraph">
              <wp:posOffset>6350</wp:posOffset>
            </wp:positionV>
            <wp:extent cx="2746375" cy="1302385"/>
            <wp:effectExtent l="0" t="0" r="0" b="0"/>
            <wp:wrapNone/>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a:picLocks noChangeAspect="1"/>
                    </pic:cNvPicPr>
                  </pic:nvPicPr>
                  <pic:blipFill>
                    <a:blip r:embed="rId30"/>
                    <a:stretch>
                      <a:fillRect/>
                    </a:stretch>
                  </pic:blipFill>
                  <pic:spPr>
                    <a:xfrm>
                      <a:off x="0" y="0"/>
                      <a:ext cx="2746375" cy="130238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33" behindDoc="0" locked="0" layoutInCell="1" hidden="0" allowOverlap="1">
                <wp:simplePos x="0" y="0"/>
                <wp:positionH relativeFrom="column">
                  <wp:posOffset>450215</wp:posOffset>
                </wp:positionH>
                <wp:positionV relativeFrom="paragraph">
                  <wp:posOffset>54610</wp:posOffset>
                </wp:positionV>
                <wp:extent cx="2268220" cy="179705"/>
                <wp:effectExtent l="0" t="0" r="635" b="635"/>
                <wp:wrapNone/>
                <wp:docPr id="1117" name="オブジェクト 0"/>
                <a:graphic xmlns:a="http://schemas.openxmlformats.org/drawingml/2006/main">
                  <a:graphicData uri="http://schemas.microsoft.com/office/word/2010/wordprocessingShape">
                    <wps:wsp>
                      <wps:cNvPr id="1117" name="オブジェクト 0"/>
                      <wps:cNvSpPr txBox="1"/>
                      <wps:spPr>
                        <a:xfrm>
                          <a:off x="0" y="0"/>
                          <a:ext cx="2268220"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3pt;mso-position-vertical-relative:text;mso-position-horizontal-relative:text;position:absolute;height:14.15pt;mso-wrap-distance-top:0pt;width:178.6pt;mso-wrap-distance-left:16pt;margin-left:35.450000000000003pt;z-index:33;" o:spid="_x0000_s1117"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34" behindDoc="0" locked="0" layoutInCell="1" hidden="0" allowOverlap="1">
                <wp:simplePos x="0" y="0"/>
                <wp:positionH relativeFrom="column">
                  <wp:posOffset>3275330</wp:posOffset>
                </wp:positionH>
                <wp:positionV relativeFrom="paragraph">
                  <wp:posOffset>55245</wp:posOffset>
                </wp:positionV>
                <wp:extent cx="2411730" cy="179705"/>
                <wp:effectExtent l="0" t="0" r="635" b="635"/>
                <wp:wrapNone/>
                <wp:docPr id="1118" name="オブジェクト 0"/>
                <a:graphic xmlns:a="http://schemas.openxmlformats.org/drawingml/2006/main">
                  <a:graphicData uri="http://schemas.microsoft.com/office/word/2010/wordprocessingShape">
                    <wps:wsp>
                      <wps:cNvPr id="1118" name="オブジェクト 0"/>
                      <wps:cNvSpPr txBox="1"/>
                      <wps:spPr>
                        <a:xfrm>
                          <a:off x="0" y="0"/>
                          <a:ext cx="2411730"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34pt;mso-position-vertical-relative:text;mso-position-horizontal-relative:text;position:absolute;height:14.15pt;mso-wrap-distance-top:0pt;width:189.9pt;mso-wrap-distance-left:16pt;margin-left:257.89pt;z-index:34;" o:spid="_x0000_s1118"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napToGrid w:val="0"/>
        <w:spacing w:before="0" w:beforeLines="0" w:beforeAutospacing="0" w:after="0" w:afterLines="0" w:afterAutospacing="0" w:line="240" w:lineRule="auto"/>
        <w:ind w:left="434" w:leftChars="100" w:right="0" w:rightChars="0" w:hanging="207" w:hangingChars="100"/>
        <w:jc w:val="both"/>
        <w:rPr>
          <w:rFonts w:hint="eastAsia" w:ascii="ＭＳ 明朝" w:hAnsi="ＭＳ 明朝" w:eastAsia="ＭＳ 明朝"/>
          <w:sz w:val="16"/>
          <w:highlight w:val="none"/>
        </w:rPr>
      </w:pPr>
      <w:r>
        <w:rPr>
          <w:rFonts w:hint="eastAsia" w:ascii="ＭＳ 明朝" w:hAnsi="ＭＳ 明朝" w:eastAsia="ＭＳ 明朝"/>
          <w:sz w:val="16"/>
          <w:highlight w:val="none"/>
        </w:rPr>
        <w:t>※医療需要は全国における性年齢階級別受療率と当該地域の性年齢別人口を乗じた数値であり、マクロ需給推計の考え方と異なる方法で算出されています。</w:t>
      </w:r>
    </w:p>
    <w:p>
      <w:pPr>
        <w:pStyle w:val="0"/>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（２）二次医療圏</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安芸医療圏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highlight w:val="none"/>
        </w:rPr>
        <w:drawing>
          <wp:anchor distT="0" distB="0" distL="203200" distR="203200" simplePos="0" relativeHeight="35" behindDoc="0" locked="0" layoutInCell="1" hidden="0" allowOverlap="1">
            <wp:simplePos x="0" y="0"/>
            <wp:positionH relativeFrom="column">
              <wp:posOffset>74295</wp:posOffset>
            </wp:positionH>
            <wp:positionV relativeFrom="paragraph">
              <wp:posOffset>697230</wp:posOffset>
            </wp:positionV>
            <wp:extent cx="5610860" cy="1381125"/>
            <wp:effectExtent l="0" t="0" r="0" b="0"/>
            <wp:wrapNone/>
            <wp:docPr id="1119" name="オブジェクト 0"/>
            <a:graphic xmlns:a="http://schemas.openxmlformats.org/drawingml/2006/main">
              <a:graphicData uri="http://schemas.openxmlformats.org/drawingml/2006/picture">
                <pic:pic xmlns:pic="http://schemas.openxmlformats.org/drawingml/2006/picture">
                  <pic:nvPicPr>
                    <pic:cNvPr id="1119" name="オブジェクト 0"/>
                    <pic:cNvPicPr>
                      <a:picLocks noChangeAspect="1"/>
                    </pic:cNvPicPr>
                  </pic:nvPicPr>
                  <pic:blipFill>
                    <a:blip r:embed="rId31"/>
                    <a:stretch>
                      <a:fillRect/>
                    </a:stretch>
                  </pic:blipFill>
                  <pic:spPr>
                    <a:xfrm>
                      <a:off x="0" y="0"/>
                      <a:ext cx="5610860" cy="1381125"/>
                    </a:xfrm>
                    <a:prstGeom prst="rect">
                      <a:avLst/>
                    </a:prstGeom>
                    <a:noFill/>
                    <a:ln>
                      <a:miter/>
                    </a:ln>
                  </pic:spPr>
                </pic:pic>
              </a:graphicData>
            </a:graphic>
          </wp:anchor>
        </w:drawing>
      </w:r>
      <w:r>
        <w:rPr>
          <w:rFonts w:hint="eastAsia" w:ascii="ＭＳ 明朝" w:hAnsi="ＭＳ 明朝" w:eastAsia="ＭＳ 明朝"/>
          <w:kern w:val="2"/>
          <w:sz w:val="22"/>
          <w:highlight w:val="none"/>
        </w:rPr>
        <w:t>高齢化による医療需要の増よりも、人口減少に伴う医療需要の減の方が大きいため、安芸医療圏全体の医療需要は減少していきます。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4-1-19</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r>
        <w:rPr>
          <w:rFonts w:hint="eastAsia"/>
          <w:highlight w:val="none"/>
        </w:rPr>
        <mc:AlternateContent>
          <mc:Choice Requires="wps">
            <w:drawing>
              <wp:anchor distT="0" distB="0" distL="203200" distR="203200" simplePos="0" relativeHeight="36" behindDoc="0" locked="0" layoutInCell="1" hidden="0" allowOverlap="1">
                <wp:simplePos x="0" y="0"/>
                <wp:positionH relativeFrom="column">
                  <wp:posOffset>432435</wp:posOffset>
                </wp:positionH>
                <wp:positionV relativeFrom="paragraph">
                  <wp:posOffset>103505</wp:posOffset>
                </wp:positionV>
                <wp:extent cx="2339975" cy="187960"/>
                <wp:effectExtent l="0" t="0" r="635" b="635"/>
                <wp:wrapNone/>
                <wp:docPr id="1120" name="オブジェクト 0"/>
                <a:graphic xmlns:a="http://schemas.openxmlformats.org/drawingml/2006/main">
                  <a:graphicData uri="http://schemas.microsoft.com/office/word/2010/wordprocessingShape">
                    <wps:wsp>
                      <wps:cNvPr id="1120" name="オブジェクト 0"/>
                      <wps:cNvSpPr txBox="1"/>
                      <wps:spPr>
                        <a:xfrm>
                          <a:off x="0" y="0"/>
                          <a:ext cx="2339975" cy="18796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15pt;mso-position-vertical-relative:text;mso-position-horizontal-relative:text;position:absolute;height:14.8pt;mso-wrap-distance-top:0pt;width:184.25pt;mso-wrap-distance-left:16pt;margin-left:34.04pt;z-index:36;" o:spid="_x0000_s1120"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37" behindDoc="0" locked="0" layoutInCell="1" hidden="0" allowOverlap="1">
                <wp:simplePos x="0" y="0"/>
                <wp:positionH relativeFrom="column">
                  <wp:posOffset>3305175</wp:posOffset>
                </wp:positionH>
                <wp:positionV relativeFrom="paragraph">
                  <wp:posOffset>85090</wp:posOffset>
                </wp:positionV>
                <wp:extent cx="2339975" cy="179705"/>
                <wp:effectExtent l="0" t="0" r="635" b="635"/>
                <wp:wrapNone/>
                <wp:docPr id="1121" name="オブジェクト 0"/>
                <a:graphic xmlns:a="http://schemas.openxmlformats.org/drawingml/2006/main">
                  <a:graphicData uri="http://schemas.microsoft.com/office/word/2010/wordprocessingShape">
                    <wps:wsp>
                      <wps:cNvPr id="1121" name="オブジェクト 0"/>
                      <wps:cNvSpPr txBox="1"/>
                      <wps:spPr>
                        <a:xfrm>
                          <a:off x="0" y="0"/>
                          <a:ext cx="2339975"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7pt;mso-position-vertical-relative:text;mso-position-horizontal-relative:text;position:absolute;height:14.15pt;mso-wrap-distance-top:0pt;width:184.25pt;mso-wrap-distance-left:16pt;margin-left:260.25pt;z-index:37;" o:spid="_x0000_s1121"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中央医療圏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人口は減少していきますが、高齢化に伴う医療需要の増により、中央医療圏全体の医療需要はわずかに増加していきます。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4-1-20</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29"/>
        <w:spacing w:line="240" w:lineRule="auto"/>
        <w:ind w:left="0" w:leftChars="0" w:right="0" w:rightChars="0" w:firstLineChars="0"/>
        <w:rPr>
          <w:rFonts w:hint="eastAsia" w:ascii="ＭＳ 明朝" w:hAnsi="ＭＳ 明朝"/>
          <w:sz w:val="22"/>
          <w:highlight w:val="none"/>
        </w:rPr>
      </w:pPr>
      <w:r>
        <w:rPr>
          <w:rFonts w:hint="eastAsia"/>
        </w:rPr>
        <mc:AlternateContent>
          <mc:Choice Requires="wpg">
            <w:drawing>
              <wp:anchor simplePos="0" relativeHeight="171" behindDoc="0" locked="0" layoutInCell="1" hidden="0" allowOverlap="1">
                <wp:simplePos x="0" y="0"/>
                <wp:positionH relativeFrom="column">
                  <wp:posOffset>110490</wp:posOffset>
                </wp:positionH>
                <wp:positionV relativeFrom="paragraph">
                  <wp:posOffset>11430</wp:posOffset>
                </wp:positionV>
                <wp:extent cx="5617845" cy="1266825"/>
                <wp:effectExtent l="23495" t="23495" r="24130" b="24130"/>
                <wp:wrapNone/>
                <wp:docPr id="1122" name="オブジェクト 0"/>
                <a:graphic xmlns:a="http://schemas.openxmlformats.org/drawingml/2006/main">
                  <a:graphicData uri="http://schemas.microsoft.com/office/word/2010/wordprocessingGroup">
                    <wpg:wgp>
                      <wpg:cNvGrpSpPr/>
                      <wpg:grpSpPr>
                        <a:xfrm>
                          <a:off x="0" y="0"/>
                          <a:ext cx="5617845" cy="1266825"/>
                          <a:chOff x="1592" y="2836"/>
                          <a:chExt cx="8847" cy="1995"/>
                        </a:xfrm>
                      </wpg:grpSpPr>
                      <pic:pic xmlns:pic="http://schemas.openxmlformats.org/drawingml/2006/picture">
                        <pic:nvPicPr>
                          <pic:cNvPr id="1123" name="Picture 9"/>
                          <pic:cNvPicPr preferRelativeResize="0">
                            <a:picLocks noChangeAspect="1"/>
                          </pic:cNvPicPr>
                        </pic:nvPicPr>
                        <pic:blipFill>
                          <a:blip r:embed="rId32"/>
                          <a:stretch>
                            <a:fillRect/>
                          </a:stretch>
                        </pic:blipFill>
                        <pic:spPr>
                          <a:xfrm>
                            <a:off x="1592" y="2836"/>
                            <a:ext cx="4184" cy="1995"/>
                          </a:xfrm>
                          <a:prstGeom prst="rect">
                            <a:avLst/>
                          </a:prstGeom>
                          <a:noFill/>
                          <a:ln w="9525">
                            <a:solidFill>
                              <a:srgbClr val="000000"/>
                            </a:solidFill>
                            <a:miter/>
                          </a:ln>
                        </pic:spPr>
                      </pic:pic>
                      <pic:pic xmlns:pic="http://schemas.openxmlformats.org/drawingml/2006/picture">
                        <pic:nvPicPr>
                          <pic:cNvPr id="1124" name="Picture 10"/>
                          <pic:cNvPicPr preferRelativeResize="0">
                            <a:picLocks noChangeAspect="1"/>
                          </pic:cNvPicPr>
                        </pic:nvPicPr>
                        <pic:blipFill>
                          <a:blip r:embed="rId33"/>
                          <a:stretch>
                            <a:fillRect/>
                          </a:stretch>
                        </pic:blipFill>
                        <pic:spPr>
                          <a:xfrm>
                            <a:off x="6180" y="2836"/>
                            <a:ext cx="4259" cy="1995"/>
                          </a:xfrm>
                          <a:prstGeom prst="rect">
                            <a:avLst/>
                          </a:prstGeom>
                          <a:noFill/>
                          <a:ln w="9525">
                            <a:solidFill>
                              <a:srgbClr val="000000"/>
                            </a:solidFill>
                            <a:miter/>
                          </a:ln>
                        </pic:spPr>
                      </pic:pic>
                      <wps:wsp>
                        <wps:cNvPr id="1125" name="オブジェクト 0"/>
                        <wps:cNvSpPr txBox="1"/>
                        <wps:spPr>
                          <a:xfrm>
                            <a:off x="2123" y="4242"/>
                            <a:ext cx="3572" cy="296"/>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wps:wsp>
                        <wps:cNvPr id="1126" name="オブジェクト 0"/>
                        <wps:cNvSpPr txBox="1"/>
                        <wps:spPr>
                          <a:xfrm>
                            <a:off x="6615" y="4255"/>
                            <a:ext cx="3770" cy="283"/>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wpg:wgp>
                  </a:graphicData>
                </a:graphic>
              </wp:anchor>
            </w:drawing>
          </mc:Choice>
          <mc:Fallback>
            <w:pict>
              <v:group id="オブジェクト 0" style="margin-top:0.9pt;mso-position-vertical-relative:text;mso-position-horizontal-relative:text;position:absolute;height:99.75pt;width:442.35pt;margin-left:8.69pt;z-index:171;" coordsize="8847,1995" coordorigin="1592,2836" o:spid="_x0000_s112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style="height:1995;width:4184;top:2836;left:1592;position:absolute;" o:spid="_x0000_s1123" filled="f" stroked="t" strokecolor="#000000" strokeweight="0.75pt" o:spt="75" o:preferrelative="f" type="#_x0000_t75">
                  <v:fill/>
                  <v:stroke filltype="solid"/>
                  <v:imagedata o:title="" r:id="rId32"/>
                  <w10:wrap type="none" anchorx="text" anchory="text"/>
                </v:shape>
                <v:shape id="Picture 10" style="height:1995;width:4259;top:2836;left:6180;position:absolute;" o:spid="_x0000_s1124" filled="f" stroked="t" strokecolor="#000000" strokeweight="0.75pt" o:spt="75" o:preferrelative="f" type="#_x0000_t75">
                  <v:fill/>
                  <v:stroke filltype="solid"/>
                  <v:imagedata o:title="" r:id="rId33"/>
                  <w10:wrap type="none" anchorx="text" anchory="text"/>
                </v:shape>
                <v:shapetype id="_x0000_t202" coordsize="21600,21600" o:spt="202" path="m,l,21600r21600,l21600,xe">
                  <v:stroke joinstyle="miter"/>
                  <v:path gradientshapeok="t" o:connecttype="rect"/>
                </v:shapetype>
                <v:shape id="オブジェクト 0" style="height:296;width:3572;top:4242;left:2123;position:absolute;" o:spid="_x0000_s1125"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v:shape id="オブジェクト 0" style="height:283;width:3770;top:4255;left:6615;position:absolute;" o:spid="_x0000_s1126"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10:wrap type="none" anchorx="text" anchory="text"/>
              </v:group>
            </w:pict>
          </mc:Fallback>
        </mc:AlternateContent>
      </w: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0"/>
        <w:spacing w:line="240" w:lineRule="auto"/>
        <w:ind w:left="0" w:leftChars="0" w:right="0" w:rightChars="0" w:firstLineChars="0"/>
        <w:rPr>
          <w:rFonts w:hint="eastAsia" w:ascii="ＭＳ 明朝" w:hAnsi="ＭＳ 明朝"/>
          <w:sz w:val="2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高幡医療圏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高齢化による医療需要の増よりも、人口減少に伴う医療需要の減の方が大きいため、高幡医療圏全体の医療需要は減少していきます。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4-1-21</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76" behindDoc="0" locked="0" layoutInCell="1" hidden="0" allowOverlap="1">
                <wp:simplePos x="0" y="0"/>
                <wp:positionH relativeFrom="column">
                  <wp:posOffset>110490</wp:posOffset>
                </wp:positionH>
                <wp:positionV relativeFrom="paragraph">
                  <wp:posOffset>57150</wp:posOffset>
                </wp:positionV>
                <wp:extent cx="5640070" cy="1266825"/>
                <wp:effectExtent l="23495" t="23495" r="24130" b="24130"/>
                <wp:wrapNone/>
                <wp:docPr id="1127" name="オブジェクト 0"/>
                <a:graphic xmlns:a="http://schemas.openxmlformats.org/drawingml/2006/main">
                  <a:graphicData uri="http://schemas.microsoft.com/office/word/2010/wordprocessingGroup">
                    <wpg:wgp>
                      <wpg:cNvGrpSpPr/>
                      <wpg:grpSpPr>
                        <a:xfrm>
                          <a:off x="0" y="0"/>
                          <a:ext cx="5640070" cy="1266825"/>
                          <a:chOff x="1592" y="6408"/>
                          <a:chExt cx="8882" cy="1995"/>
                        </a:xfrm>
                      </wpg:grpSpPr>
                      <pic:pic xmlns:pic="http://schemas.openxmlformats.org/drawingml/2006/picture">
                        <pic:nvPicPr>
                          <pic:cNvPr id="1128" name="Picture 11"/>
                          <pic:cNvPicPr preferRelativeResize="0">
                            <a:picLocks noChangeAspect="1"/>
                          </pic:cNvPicPr>
                        </pic:nvPicPr>
                        <pic:blipFill>
                          <a:blip r:embed="rId34"/>
                          <a:stretch>
                            <a:fillRect/>
                          </a:stretch>
                        </pic:blipFill>
                        <pic:spPr>
                          <a:xfrm>
                            <a:off x="1592" y="6408"/>
                            <a:ext cx="4214" cy="1995"/>
                          </a:xfrm>
                          <a:prstGeom prst="rect">
                            <a:avLst/>
                          </a:prstGeom>
                          <a:noFill/>
                          <a:ln w="9525">
                            <a:solidFill>
                              <a:srgbClr val="000000"/>
                            </a:solidFill>
                            <a:miter/>
                          </a:ln>
                        </pic:spPr>
                      </pic:pic>
                      <pic:pic xmlns:pic="http://schemas.openxmlformats.org/drawingml/2006/picture">
                        <pic:nvPicPr>
                          <pic:cNvPr id="1129" name="Picture 12"/>
                          <pic:cNvPicPr preferRelativeResize="0">
                            <a:picLocks noChangeAspect="1"/>
                          </pic:cNvPicPr>
                        </pic:nvPicPr>
                        <pic:blipFill>
                          <a:blip r:embed="rId35"/>
                          <a:stretch>
                            <a:fillRect/>
                          </a:stretch>
                        </pic:blipFill>
                        <pic:spPr>
                          <a:xfrm>
                            <a:off x="6185" y="6408"/>
                            <a:ext cx="4289" cy="1995"/>
                          </a:xfrm>
                          <a:prstGeom prst="rect">
                            <a:avLst/>
                          </a:prstGeom>
                          <a:noFill/>
                          <a:ln w="9525">
                            <a:solidFill>
                              <a:srgbClr val="000000"/>
                            </a:solidFill>
                            <a:miter/>
                          </a:ln>
                        </pic:spPr>
                      </pic:pic>
                      <wps:wsp>
                        <wps:cNvPr id="1130" name="オブジェクト 0"/>
                        <wps:cNvSpPr txBox="1"/>
                        <wps:spPr>
                          <a:xfrm>
                            <a:off x="2089" y="7800"/>
                            <a:ext cx="3685" cy="296"/>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wps:wsp>
                        <wps:cNvPr id="1131" name="オブジェクト 0"/>
                        <wps:cNvSpPr txBox="1"/>
                        <wps:spPr>
                          <a:xfrm>
                            <a:off x="6607" y="7813"/>
                            <a:ext cx="3770" cy="283"/>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wpg:wgp>
                  </a:graphicData>
                </a:graphic>
              </wp:anchor>
            </w:drawing>
          </mc:Choice>
          <mc:Fallback>
            <w:pict>
              <v:group id="オブジェクト 0" style="margin-top:4.5pt;mso-position-vertical-relative:text;mso-position-horizontal-relative:text;position:absolute;height:99.75pt;width:444.1pt;margin-left:8.69pt;z-index:176;" coordsize="8882,1995" coordorigin="1592,6408" o:spid="_x0000_s112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style="height:1995;width:4214;top:6408;left:1592;position:absolute;" o:spid="_x0000_s1128" filled="f" stroked="t" strokecolor="#000000" strokeweight="0.75pt" o:spt="75" o:preferrelative="f" type="#_x0000_t75">
                  <v:fill/>
                  <v:stroke filltype="solid"/>
                  <v:imagedata o:title="" r:id="rId34"/>
                  <w10:wrap type="none" anchorx="text" anchory="text"/>
                </v:shape>
                <v:shape id="Picture 12" style="height:1995;width:4289;top:6408;left:6185;position:absolute;" o:spid="_x0000_s1129" filled="f" stroked="t" strokecolor="#000000" strokeweight="0.75pt" o:spt="75" o:preferrelative="f" type="#_x0000_t75">
                  <v:fill/>
                  <v:stroke filltype="solid"/>
                  <v:imagedata o:title="" r:id="rId35"/>
                  <w10:wrap type="none" anchorx="text" anchory="text"/>
                </v:shape>
                <v:shapetype id="_x0000_t202" coordsize="21600,21600" o:spt="202" path="m,l,21600r21600,l21600,xe">
                  <v:stroke joinstyle="miter"/>
                  <v:path gradientshapeok="t" o:connecttype="rect"/>
                </v:shapetype>
                <v:shape id="オブジェクト 0" style="height:296;width:3685;top:7800;left:2089;position:absolute;" o:spid="_x0000_s1130"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v:shape id="オブジェクト 0" style="height:283;width:3770;top:7813;left:6607;position:absolute;" o:spid="_x0000_s1131"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エ　幡多医療圏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高齢化による医療需要の増よりも、人口減少に伴う医療需要の減の方が大きいため、幡多医療圏全体の医療需要は減少していきます。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4-1-22</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81" behindDoc="0" locked="0" layoutInCell="1" hidden="0" allowOverlap="1">
                <wp:simplePos x="0" y="0"/>
                <wp:positionH relativeFrom="column">
                  <wp:posOffset>110490</wp:posOffset>
                </wp:positionH>
                <wp:positionV relativeFrom="paragraph">
                  <wp:posOffset>47625</wp:posOffset>
                </wp:positionV>
                <wp:extent cx="5621020" cy="1607185"/>
                <wp:effectExtent l="23495" t="23495" r="24130" b="635"/>
                <wp:wrapNone/>
                <wp:docPr id="1132" name="オブジェクト 0"/>
                <a:graphic xmlns:a="http://schemas.openxmlformats.org/drawingml/2006/main">
                  <a:graphicData uri="http://schemas.microsoft.com/office/word/2010/wordprocessingGroup">
                    <wpg:wgp>
                      <wpg:cNvGrpSpPr/>
                      <wpg:grpSpPr>
                        <a:xfrm>
                          <a:off x="0" y="0"/>
                          <a:ext cx="5621020" cy="1607185"/>
                          <a:chOff x="1592" y="10243"/>
                          <a:chExt cx="8852" cy="2531"/>
                        </a:xfrm>
                      </wpg:grpSpPr>
                      <wps:wsp>
                        <wps:cNvPr id="1133" name="オブジェクト 0"/>
                        <wps:cNvSpPr txBox="1">
                          <a:spLocks noChangeArrowheads="1"/>
                        </wps:cNvSpPr>
                        <wps:spPr>
                          <a:xfrm>
                            <a:off x="7547" y="12422"/>
                            <a:ext cx="2789" cy="352"/>
                          </a:xfrm>
                          <a:prstGeom prst="rect">
                            <a:avLst/>
                          </a:prstGeom>
                          <a:noFill/>
                          <a:ln>
                            <a:miter/>
                          </a:ln>
                        </wps:spPr>
                        <wps:txbx>
                          <w:txbxContent>
                            <w:p>
                              <w:pPr>
                                <w:pStyle w:val="29"/>
                                <w:spacing w:line="0" w:lineRule="atLeast"/>
                                <w:ind w:left="0" w:leftChars="0" w:firstLine="1587" w:firstLineChars="700"/>
                                <w:rPr>
                                  <w:rFonts w:hint="eastAsia" w:ascii="ＭＳ 明朝" w:hAnsi="ＭＳ 明朝" w:eastAsia="ＭＳ 明朝"/>
                                </w:rPr>
                              </w:pPr>
                              <w:r>
                                <w:rPr>
                                  <w:rFonts w:hint="eastAsia" w:ascii="ＭＳ 明朝" w:hAnsi="ＭＳ 明朝" w:eastAsia="ＭＳ 明朝"/>
                                  <w:sz w:val="16"/>
                                </w:rPr>
                                <w:t>出典：厚生労働省</w:t>
                              </w:r>
                            </w:p>
                          </w:txbxContent>
                        </wps:txbx>
                        <wps:bodyPr vertOverflow="overflow" horzOverflow="overflow" wrap="none" upright="1">
                          <a:spAutoFit/>
                        </wps:bodyPr>
                      </wps:wsp>
                      <pic:pic xmlns:pic="http://schemas.openxmlformats.org/drawingml/2006/picture">
                        <pic:nvPicPr>
                          <pic:cNvPr id="1134" name="Picture 13"/>
                          <pic:cNvPicPr preferRelativeResize="0">
                            <a:picLocks noChangeAspect="1"/>
                          </pic:cNvPicPr>
                        </pic:nvPicPr>
                        <pic:blipFill>
                          <a:blip r:embed="rId36"/>
                          <a:stretch>
                            <a:fillRect/>
                          </a:stretch>
                        </pic:blipFill>
                        <pic:spPr>
                          <a:xfrm>
                            <a:off x="1592" y="10243"/>
                            <a:ext cx="4229" cy="1995"/>
                          </a:xfrm>
                          <a:prstGeom prst="rect">
                            <a:avLst/>
                          </a:prstGeom>
                          <a:noFill/>
                          <a:ln w="9525">
                            <a:solidFill>
                              <a:srgbClr val="000000"/>
                            </a:solidFill>
                            <a:miter/>
                          </a:ln>
                        </pic:spPr>
                      </pic:pic>
                      <pic:pic xmlns:pic="http://schemas.openxmlformats.org/drawingml/2006/picture">
                        <pic:nvPicPr>
                          <pic:cNvPr id="1135" name="Picture 14"/>
                          <pic:cNvPicPr preferRelativeResize="0">
                            <a:picLocks noChangeAspect="1"/>
                          </pic:cNvPicPr>
                        </pic:nvPicPr>
                        <pic:blipFill>
                          <a:blip r:embed="rId37"/>
                          <a:stretch>
                            <a:fillRect/>
                          </a:stretch>
                        </pic:blipFill>
                        <pic:spPr>
                          <a:xfrm>
                            <a:off x="6185" y="10243"/>
                            <a:ext cx="4259" cy="1995"/>
                          </a:xfrm>
                          <a:prstGeom prst="rect">
                            <a:avLst/>
                          </a:prstGeom>
                          <a:noFill/>
                          <a:ln w="9525">
                            <a:solidFill>
                              <a:srgbClr val="000000"/>
                            </a:solidFill>
                            <a:miter/>
                          </a:ln>
                        </pic:spPr>
                      </pic:pic>
                      <wps:wsp>
                        <wps:cNvPr id="1136" name="オブジェクト 0"/>
                        <wps:cNvSpPr txBox="1"/>
                        <wps:spPr>
                          <a:xfrm>
                            <a:off x="2104" y="11653"/>
                            <a:ext cx="3685" cy="296"/>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wps:wsp>
                        <wps:cNvPr id="1137" name="オブジェクト 0"/>
                        <wps:cNvSpPr txBox="1"/>
                        <wps:spPr>
                          <a:xfrm>
                            <a:off x="6622" y="11633"/>
                            <a:ext cx="3770" cy="283"/>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wpg:wgp>
                  </a:graphicData>
                </a:graphic>
              </wp:anchor>
            </w:drawing>
          </mc:Choice>
          <mc:Fallback>
            <w:pict>
              <v:group id="オブジェクト 0" style="margin-top:3.75pt;mso-position-vertical-relative:text;mso-position-horizontal-relative:text;position:absolute;height:126.55pt;width:442.6pt;margin-left:8.69pt;z-index:181;" coordsize="8852,2531" coordorigin="1592,10243" o:spid="_x0000_s1132" o:allowincell="t" o:allowoverlap="t">
                <v:shapetype id="_x0000_t202" coordsize="21600,21600" o:spt="202" path="m,l,21600r21600,l21600,xe">
                  <v:stroke joinstyle="miter"/>
                  <v:path gradientshapeok="t" o:connecttype="rect"/>
                </v:shapetype>
                <v:shape id="オブジェクト 0" style="mso-wrap-style:none;height:352;width:2789;top:12422;left:7547;position:absolute;" o:spid="_x0000_s1133" filled="f" stroked="f" o:spt="202" type="#_x0000_t202">
                  <v:fill/>
                  <v:textbox style="layout-flow:horizontal;mso-fit-shape-to-text:t;">
                    <w:txbxContent>
                      <w:p>
                        <w:pPr>
                          <w:pStyle w:val="29"/>
                          <w:spacing w:line="0" w:lineRule="atLeast"/>
                          <w:ind w:left="0" w:leftChars="0" w:firstLine="1587" w:firstLineChars="700"/>
                          <w:rPr>
                            <w:rFonts w:hint="eastAsia" w:ascii="ＭＳ 明朝" w:hAnsi="ＭＳ 明朝" w:eastAsia="ＭＳ 明朝"/>
                          </w:rPr>
                        </w:pPr>
                        <w:r>
                          <w:rPr>
                            <w:rFonts w:hint="eastAsia" w:ascii="ＭＳ 明朝" w:hAnsi="ＭＳ 明朝" w:eastAsia="ＭＳ 明朝"/>
                            <w:sz w:val="16"/>
                          </w:rPr>
                          <w:t>出典：厚生労働省</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style="height:1995;width:4229;top:10243;left:1592;position:absolute;" o:spid="_x0000_s1134" filled="f" stroked="t" strokecolor="#000000" strokeweight="0.75pt" o:spt="75" o:preferrelative="f" type="#_x0000_t75">
                  <v:fill/>
                  <v:stroke filltype="solid"/>
                  <v:imagedata o:title="" r:id="rId36"/>
                  <w10:wrap type="none" anchorx="text" anchory="text"/>
                </v:shape>
                <v:shape id="Picture 14" style="height:1995;width:4259;top:10243;left:6185;position:absolute;" o:spid="_x0000_s1135" filled="f" stroked="t" strokecolor="#000000" strokeweight="0.75pt" o:spt="75" o:preferrelative="f" type="#_x0000_t75">
                  <v:fill/>
                  <v:stroke filltype="solid"/>
                  <v:imagedata o:title="" r:id="rId37"/>
                  <w10:wrap type="none" anchorx="text" anchory="text"/>
                </v:shape>
                <v:shape id="オブジェクト 0" style="height:296;width:3685;top:11653;left:2104;position:absolute;" o:spid="_x0000_s1136"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v:shape id="オブジェクト 0" style="height:283;width:3770;top:11633;left:6622;position:absolute;" o:spid="_x0000_s1137"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165" w:afterLines="50" w:afterAutospacing="0" w:line="240" w:lineRule="auto"/>
        <w:rPr>
          <w:rFonts w:hint="eastAsia" w:ascii="ＭＳ 明朝" w:hAnsi="ＭＳ 明朝" w:eastAsia="ＭＳ 明朝"/>
          <w:b w:val="1"/>
          <w:i w:val="0"/>
          <w:color w:val="1F497D"/>
          <w:kern w:val="2"/>
          <w:sz w:val="22"/>
          <w:highlight w:val="none"/>
        </w:rPr>
      </w:pPr>
      <w:r>
        <w:rPr>
          <w:rFonts w:hint="eastAsia"/>
          <w:color w:val="auto"/>
          <w:highlight w:val="none"/>
        </w:rPr>
        <w:br w:type="page"/>
      </w:r>
      <w:r>
        <w:rPr>
          <w:rFonts w:hint="eastAsia" w:ascii="ＭＳ 明朝" w:hAnsi="ＭＳ 明朝" w:eastAsia="ＭＳ 明朝"/>
          <w:b w:val="1"/>
          <w:i w:val="0"/>
          <w:color w:val="1F497D"/>
          <w:kern w:val="2"/>
          <w:sz w:val="22"/>
          <w:highlight w:val="none"/>
        </w:rPr>
        <w:t>第３　医師偏在指標及び区域の設定</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医師偏在指標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これまで、地域ごとの医師数の比較には人口</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対医師数が一般的に用いられてきましたが、これは地域ごとの医療ニーズや人口構成等を反映しておらず、医師数の多寡を統一的・客観的に把握するための「ものさし」としての役割を十分に果たしていないとのことから、国において、全国ベースで医師の多寡を統一的、これまでより客観的に比較・評価する指標として、医療需要、人口・人口構成とその変化、患者の流出入、医師の性別・年齢分布等の要素を考慮した医師偏在指標を設定することとなりました。</w:t>
      </w:r>
    </w:p>
    <w:p>
      <w:pPr>
        <w:pStyle w:val="0"/>
        <w:spacing w:line="240" w:lineRule="auto"/>
        <w:ind w:left="0" w:leftChars="0" w:right="-134" w:rightChars="-59" w:firstLine="0" w:firstLineChars="0"/>
        <w:jc w:val="both"/>
        <w:rPr>
          <w:rFonts w:hint="eastAsia"/>
          <w:kern w:val="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（１）医師偏在指標の算出方法</w:t>
      </w: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46" behindDoc="0" locked="0" layoutInCell="1" hidden="0" allowOverlap="1">
                <wp:simplePos x="0" y="0"/>
                <wp:positionH relativeFrom="column">
                  <wp:posOffset>-51435</wp:posOffset>
                </wp:positionH>
                <wp:positionV relativeFrom="paragraph">
                  <wp:posOffset>63500</wp:posOffset>
                </wp:positionV>
                <wp:extent cx="6149975" cy="6112510"/>
                <wp:effectExtent l="635" t="635" r="29845" b="10795"/>
                <wp:wrapNone/>
                <wp:docPr id="1138" name="オブジェクト 0"/>
                <a:graphic xmlns:a="http://schemas.openxmlformats.org/drawingml/2006/main">
                  <a:graphicData uri="http://schemas.microsoft.com/office/word/2010/wordprocessingShape">
                    <wps:wsp>
                      <wps:cNvPr id="1138" name="オブジェクト 0"/>
                      <wps:cNvSpPr>
                        <a:spLocks noChangeArrowheads="1"/>
                      </wps:cNvSpPr>
                      <wps:spPr>
                        <a:xfrm>
                          <a:off x="0" y="0"/>
                          <a:ext cx="6149975" cy="6112510"/>
                        </a:xfrm>
                        <a:prstGeom prst="rect">
                          <a:avLst/>
                        </a:prstGeom>
                        <a:noFill/>
                        <a:ln w="9525" cap="flat" cmpd="sng">
                          <a:solidFill>
                            <a:srgbClr val="0070C0"/>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5pt;mso-position-vertical-relative:text;mso-position-horizontal-relative:text;position:absolute;height:481.3pt;mso-wrap-distance-top:0pt;width:484.25pt;mso-wrap-distance-left:16pt;margin-left:-4.05pt;z-index:46;" o:spid="_x0000_s1138" o:allowincell="t" o:allowoverlap="t" filled="f" stroked="t" strokecolor="#0070c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p>
    <w:p>
      <w:pPr>
        <w:pStyle w:val="29"/>
        <w:tabs>
          <w:tab w:val="left" w:leader="none" w:pos="452"/>
        </w:tabs>
        <w:ind w:left="0" w:leftChars="0" w:right="0" w:rightChars="0" w:firstLine="247" w:firstLineChars="100"/>
        <w:jc w:val="center"/>
        <w:rPr>
          <w:rFonts w:hint="eastAsia" w:ascii="游明朝" w:hAnsi="游明朝" w:eastAsia="游明朝"/>
          <w:b w:val="1"/>
          <w:color w:val="000000"/>
          <w:sz w:val="22"/>
          <w:highlight w:val="none"/>
          <w:u w:val="single" w:color="auto"/>
        </w:rPr>
      </w:pPr>
      <w:r>
        <w:rPr>
          <w:rFonts w:hint="eastAsia"/>
          <w:highlight w:val="none"/>
        </w:rPr>
        <mc:AlternateContent>
          <mc:Choice Requires="wps">
            <w:drawing>
              <wp:anchor distT="0" distB="0" distL="203200" distR="203200" simplePos="0" relativeHeight="71" behindDoc="0" locked="0" layoutInCell="1" hidden="0" allowOverlap="1">
                <wp:simplePos x="0" y="0"/>
                <wp:positionH relativeFrom="column">
                  <wp:posOffset>113665</wp:posOffset>
                </wp:positionH>
                <wp:positionV relativeFrom="paragraph">
                  <wp:posOffset>59055</wp:posOffset>
                </wp:positionV>
                <wp:extent cx="5760085" cy="139700"/>
                <wp:effectExtent l="0" t="0" r="635" b="635"/>
                <wp:wrapSquare wrapText="bothSides"/>
                <wp:docPr id="1139" name="オブジェクト 0"/>
                <a:graphic xmlns:a="http://schemas.openxmlformats.org/drawingml/2006/main">
                  <a:graphicData uri="http://schemas.microsoft.com/office/word/2010/wordprocessingShape">
                    <wps:wsp>
                      <wps:cNvPr id="1139" name="オブジェクト 0"/>
                      <wps:cNvSpPr txBox="1">
                        <a:spLocks noChangeArrowheads="1"/>
                      </wps:cNvSpPr>
                      <wps:spPr>
                        <a:xfrm>
                          <a:off x="0" y="0"/>
                          <a:ext cx="5760085" cy="139700"/>
                        </a:xfrm>
                        <a:prstGeom prst="rect">
                          <a:avLst/>
                        </a:prstGeom>
                        <a:noFill/>
                        <a:ln>
                          <a:miter/>
                        </a:ln>
                      </wps:spPr>
                      <wps:txbx>
                        <w:txbxContent>
                          <w:p>
                            <w:pPr>
                              <w:pStyle w:val="29"/>
                              <w:tabs>
                                <w:tab w:val="left" w:leader="none" w:pos="452"/>
                              </w:tabs>
                              <w:ind w:left="0" w:leftChars="0" w:right="0" w:rightChars="0" w:firstLine="0" w:firstLineChars="0"/>
                              <w:rPr>
                                <w:rFonts w:hint="eastAsia"/>
                                <w:color w:val="000000"/>
                              </w:rPr>
                            </w:pPr>
                            <w:r>
                              <w:rPr>
                                <w:rFonts w:hint="eastAsia" w:ascii="游明朝" w:hAnsi="游明朝" w:eastAsia="游明朝"/>
                                <w:b w:val="1"/>
                                <w:color w:val="000000"/>
                                <w:sz w:val="22"/>
                                <w:u w:val="none" w:color="auto"/>
                              </w:rPr>
                              <w:t>医師偏在指標</w:t>
                            </w:r>
                            <w:r>
                              <w:rPr>
                                <w:rFonts w:hint="eastAsia" w:ascii="游明朝" w:hAnsi="游明朝" w:eastAsia="游明朝"/>
                                <w:b w:val="0"/>
                                <w:color w:val="000000"/>
                                <w:sz w:val="22"/>
                              </w:rPr>
                              <w:t xml:space="preserve"> </w:t>
                            </w:r>
                            <w:r>
                              <w:rPr>
                                <w:rFonts w:hint="eastAsia" w:ascii="游明朝" w:hAnsi="游明朝" w:eastAsia="游明朝"/>
                                <w:b w:val="1"/>
                                <w:color w:val="000000"/>
                                <w:sz w:val="22"/>
                              </w:rPr>
                              <w:t>＝</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500000000000004pt;mso-position-vertical-relative:text;mso-position-horizontal-relative:text;position:absolute;mso-wrap-mode:square;height:11pt;mso-wrap-distance-top:0pt;width:453.55pt;mso-wrap-style:none;mso-wrap-distance-left:16pt;margin-left:8.94pt;z-index:71;" o:spid="_x0000_s1139" o:allowincell="t" o:allowoverlap="t" filled="f" stroked="f" o:spt="202" type="#_x0000_t202">
                <v:fill/>
                <v:textbox style="layout-flow:horizontal;mso-fit-shape-to-text:t;">
                  <w:txbxContent>
                    <w:p>
                      <w:pPr>
                        <w:pStyle w:val="29"/>
                        <w:tabs>
                          <w:tab w:val="left" w:leader="none" w:pos="452"/>
                        </w:tabs>
                        <w:ind w:left="0" w:leftChars="0" w:right="0" w:rightChars="0" w:firstLine="0" w:firstLineChars="0"/>
                        <w:rPr>
                          <w:rFonts w:hint="eastAsia"/>
                          <w:color w:val="000000"/>
                        </w:rPr>
                      </w:pPr>
                      <w:r>
                        <w:rPr>
                          <w:rFonts w:hint="eastAsia" w:ascii="游明朝" w:hAnsi="游明朝" w:eastAsia="游明朝"/>
                          <w:b w:val="1"/>
                          <w:color w:val="000000"/>
                          <w:sz w:val="22"/>
                          <w:u w:val="none" w:color="auto"/>
                        </w:rPr>
                        <w:t>医師偏在指標</w:t>
                      </w:r>
                      <w:r>
                        <w:rPr>
                          <w:rFonts w:hint="eastAsia" w:ascii="游明朝" w:hAnsi="游明朝" w:eastAsia="游明朝"/>
                          <w:b w:val="0"/>
                          <w:color w:val="000000"/>
                          <w:sz w:val="22"/>
                        </w:rPr>
                        <w:t xml:space="preserve"> </w:t>
                      </w:r>
                      <w:r>
                        <w:rPr>
                          <w:rFonts w:hint="eastAsia" w:ascii="游明朝" w:hAnsi="游明朝" w:eastAsia="游明朝"/>
                          <w:b w:val="1"/>
                          <w:color w:val="000000"/>
                          <w:sz w:val="22"/>
                        </w:rPr>
                        <w:t>＝</w:t>
                      </w:r>
                    </w:p>
                  </w:txbxContent>
                </v:textbox>
                <v:imagedata o:title=""/>
                <w10:wrap type="square" side="both" anchorx="text" anchory="text"/>
              </v:shape>
            </w:pict>
          </mc:Fallback>
        </mc:AlternateContent>
      </w:r>
      <w:r>
        <w:rPr>
          <w:rFonts w:hint="eastAsia" w:ascii="游明朝" w:hAnsi="游明朝" w:eastAsia="游明朝"/>
          <w:b w:val="1"/>
          <w:color w:val="000000"/>
          <w:sz w:val="22"/>
          <w:highlight w:val="none"/>
          <w:u w:val="none" w:color="auto"/>
        </w:rPr>
        <w:t>標準化医師数</w:t>
      </w:r>
      <w:r>
        <w:rPr>
          <w:rFonts w:hint="eastAsia" w:ascii="游明朝" w:hAnsi="游明朝" w:eastAsia="游明朝"/>
          <w:b w:val="1"/>
          <w:color w:val="000000"/>
          <w:sz w:val="18"/>
          <w:highlight w:val="none"/>
          <w:u w:val="none" w:color="auto"/>
        </w:rPr>
        <w:t>(</w:t>
      </w:r>
      <w:r>
        <w:rPr>
          <w:rFonts w:hint="eastAsia" w:ascii="游明朝" w:hAnsi="游明朝" w:eastAsia="游明朝"/>
          <w:b w:val="1"/>
          <w:color w:val="000000"/>
          <w:sz w:val="18"/>
          <w:highlight w:val="none"/>
          <w:u w:val="none" w:color="auto"/>
        </w:rPr>
        <w:t>※１</w:t>
      </w:r>
      <w:r>
        <w:rPr>
          <w:rFonts w:hint="eastAsia" w:ascii="游明朝" w:hAnsi="游明朝" w:eastAsia="游明朝"/>
          <w:b w:val="1"/>
          <w:color w:val="000000"/>
          <w:sz w:val="18"/>
          <w:highlight w:val="none"/>
          <w:u w:val="none" w:color="auto"/>
        </w:rPr>
        <w:t>)</w:t>
      </w:r>
      <w:r>
        <w:rPr>
          <w:rFonts w:hint="eastAsia" w:ascii="游明朝" w:hAnsi="游明朝" w:eastAsia="游明朝"/>
          <w:b w:val="1"/>
          <w:color w:val="000000"/>
          <w:sz w:val="22"/>
          <w:highlight w:val="none"/>
          <w:u w:val="none" w:color="auto"/>
        </w:rPr>
        <w:t>　　　　　　　　</w:t>
      </w:r>
    </w:p>
    <w:p>
      <w:pPr>
        <w:pStyle w:val="29"/>
        <w:tabs>
          <w:tab w:val="left" w:leader="none" w:pos="452"/>
        </w:tabs>
        <w:ind w:left="0" w:leftChars="0" w:right="0" w:rightChars="0" w:firstLine="740" w:firstLineChars="300"/>
        <w:rPr>
          <w:rFonts w:hint="eastAsia" w:ascii="游明朝" w:hAnsi="游明朝" w:eastAsia="游明朝"/>
          <w:b w:val="1"/>
          <w:color w:val="000000"/>
          <w:sz w:val="22"/>
          <w:highlight w:val="none"/>
        </w:rPr>
      </w:pPr>
      <w:r>
        <w:rPr>
          <w:rFonts w:hint="eastAsia"/>
          <w:highlight w:val="none"/>
        </w:rPr>
        <mc:AlternateContent>
          <mc:Choice Requires="wps">
            <w:drawing>
              <wp:anchor distT="0" distB="0" distL="203200" distR="203200" simplePos="0" relativeHeight="72" behindDoc="0" locked="0" layoutInCell="1" hidden="0" allowOverlap="1">
                <wp:simplePos x="0" y="0"/>
                <wp:positionH relativeFrom="column">
                  <wp:posOffset>1850390</wp:posOffset>
                </wp:positionH>
                <wp:positionV relativeFrom="paragraph">
                  <wp:posOffset>24130</wp:posOffset>
                </wp:positionV>
                <wp:extent cx="3728085" cy="0"/>
                <wp:effectExtent l="0" t="635" r="29210" b="10795"/>
                <wp:wrapNone/>
                <wp:docPr id="1140" name="オブジェクト 0"/>
                <a:graphic xmlns:a="http://schemas.openxmlformats.org/drawingml/2006/main">
                  <a:graphicData uri="http://schemas.microsoft.com/office/word/2010/wordprocessingShape">
                    <wps:wsp>
                      <wps:cNvPr id="1140" name="オブジェクト 0"/>
                      <wps:cNvSpPr/>
                      <wps:spPr>
                        <a:xfrm>
                          <a:off x="0" y="0"/>
                          <a:ext cx="372808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2;" o:spid="_x0000_s1140" o:allowincell="t" o:allowoverlap="t" filled="f" stroked="t" strokecolor="#000000" strokeweight="0.75pt" o:spt="20" from="145.70000000000002pt,1.9pt" to="439.25pt,1.9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游明朝" w:hAnsi="游明朝" w:eastAsia="游明朝"/>
          <w:b w:val="1"/>
          <w:color w:val="000000"/>
          <w:sz w:val="22"/>
          <w:highlight w:val="none"/>
        </w:rPr>
        <w:t>地域の人口</w:t>
      </w:r>
      <w:r>
        <w:rPr>
          <w:rFonts w:hint="eastAsia" w:ascii="游明朝" w:hAnsi="游明朝" w:eastAsia="游明朝"/>
          <w:b w:val="1"/>
          <w:color w:val="000000"/>
          <w:sz w:val="22"/>
          <w:highlight w:val="none"/>
        </w:rPr>
        <w:t xml:space="preserve"> </w:t>
      </w:r>
      <w:r>
        <w:rPr>
          <w:rFonts w:hint="eastAsia" w:ascii="游明朝" w:hAnsi="游明朝" w:eastAsia="游明朝"/>
          <w:b w:val="1"/>
          <w:color w:val="000000"/>
          <w:sz w:val="22"/>
          <w:highlight w:val="none"/>
        </w:rPr>
        <w:t>／</w:t>
      </w:r>
      <w:r>
        <w:rPr>
          <w:rFonts w:hint="eastAsia" w:ascii="游明朝" w:hAnsi="游明朝" w:eastAsia="游明朝"/>
          <w:b w:val="1"/>
          <w:color w:val="000000"/>
          <w:sz w:val="22"/>
          <w:highlight w:val="none"/>
        </w:rPr>
        <w:t xml:space="preserve"> 10</w:t>
      </w:r>
      <w:r>
        <w:rPr>
          <w:rFonts w:hint="eastAsia" w:ascii="游明朝" w:hAnsi="游明朝" w:eastAsia="游明朝"/>
          <w:b w:val="1"/>
          <w:color w:val="000000"/>
          <w:sz w:val="22"/>
          <w:highlight w:val="none"/>
        </w:rPr>
        <w:t>万</w:t>
      </w:r>
      <w:r>
        <w:rPr>
          <w:rFonts w:hint="eastAsia" w:ascii="游明朝" w:hAnsi="游明朝" w:eastAsia="游明朝"/>
          <w:b w:val="1"/>
          <w:color w:val="000000"/>
          <w:sz w:val="22"/>
          <w:highlight w:val="none"/>
        </w:rPr>
        <w:t xml:space="preserve"> </w:t>
      </w:r>
      <w:r>
        <w:rPr>
          <w:rFonts w:hint="eastAsia" w:ascii="游明朝" w:hAnsi="游明朝" w:eastAsia="游明朝"/>
          <w:b w:val="1"/>
          <w:color w:val="000000"/>
          <w:sz w:val="22"/>
          <w:highlight w:val="none"/>
        </w:rPr>
        <w:t>×</w:t>
      </w:r>
      <w:r>
        <w:rPr>
          <w:rFonts w:hint="eastAsia" w:ascii="游明朝" w:hAnsi="游明朝" w:eastAsia="游明朝"/>
          <w:b w:val="1"/>
          <w:color w:val="000000"/>
          <w:sz w:val="22"/>
          <w:highlight w:val="none"/>
        </w:rPr>
        <w:t xml:space="preserve"> </w:t>
      </w:r>
      <w:r>
        <w:rPr>
          <w:rFonts w:hint="eastAsia" w:ascii="游明朝" w:hAnsi="游明朝" w:eastAsia="游明朝"/>
          <w:b w:val="1"/>
          <w:color w:val="000000"/>
          <w:sz w:val="22"/>
          <w:highlight w:val="none"/>
        </w:rPr>
        <w:t>地域の標準化受療率比</w:t>
      </w:r>
      <w:r>
        <w:rPr>
          <w:rFonts w:hint="eastAsia" w:ascii="游明朝" w:hAnsi="游明朝" w:eastAsia="游明朝"/>
          <w:b w:val="1"/>
          <w:color w:val="000000"/>
          <w:sz w:val="18"/>
          <w:highlight w:val="none"/>
        </w:rPr>
        <w:t>(</w:t>
      </w:r>
      <w:r>
        <w:rPr>
          <w:rFonts w:hint="eastAsia" w:ascii="游明朝" w:hAnsi="游明朝" w:eastAsia="游明朝"/>
          <w:b w:val="1"/>
          <w:color w:val="000000"/>
          <w:sz w:val="18"/>
          <w:highlight w:val="none"/>
        </w:rPr>
        <w:t>※２</w:t>
      </w:r>
      <w:r>
        <w:rPr>
          <w:rFonts w:hint="eastAsia" w:ascii="游明朝" w:hAnsi="游明朝" w:eastAsia="游明朝"/>
          <w:b w:val="1"/>
          <w:color w:val="000000"/>
          <w:sz w:val="18"/>
          <w:highlight w:val="none"/>
        </w:rPr>
        <w:t>)</w:t>
      </w:r>
    </w:p>
    <w:p>
      <w:pPr>
        <w:pStyle w:val="0"/>
        <w:spacing w:line="240" w:lineRule="auto"/>
        <w:ind w:left="0" w:leftChars="0" w:right="-134" w:rightChars="-59" w:firstLine="0" w:firstLineChars="0"/>
        <w:jc w:val="both"/>
        <w:rPr>
          <w:rFonts w:hint="eastAsia"/>
          <w:kern w:val="2"/>
          <w:highlight w:val="none"/>
        </w:rPr>
      </w:pPr>
    </w:p>
    <w:p>
      <w:pPr>
        <w:pStyle w:val="29"/>
        <w:tabs>
          <w:tab w:val="left" w:leader="none" w:pos="452"/>
        </w:tabs>
        <w:ind w:left="0" w:leftChars="0" w:right="0" w:rightChars="0" w:hanging="247" w:hangingChars="100"/>
        <w:rPr>
          <w:rFonts w:hint="eastAsia" w:ascii="ＭＳ 明朝" w:hAnsi="ＭＳ 明朝" w:eastAsia="ＭＳ 明朝"/>
          <w:b w:val="0"/>
          <w:color w:val="000000"/>
          <w:sz w:val="20"/>
          <w:highlight w:val="none"/>
        </w:rPr>
      </w:pPr>
      <w:r>
        <w:rPr>
          <w:rFonts w:hint="eastAsia"/>
          <w:highlight w:val="none"/>
        </w:rPr>
        <mc:AlternateContent>
          <mc:Choice Requires="wps">
            <w:drawing>
              <wp:anchor distT="0" distB="0" distL="203200" distR="203200" simplePos="0" relativeHeight="74" behindDoc="0" locked="0" layoutInCell="1" hidden="0" allowOverlap="1">
                <wp:simplePos x="0" y="0"/>
                <wp:positionH relativeFrom="column">
                  <wp:posOffset>-386080</wp:posOffset>
                </wp:positionH>
                <wp:positionV relativeFrom="paragraph">
                  <wp:posOffset>20320</wp:posOffset>
                </wp:positionV>
                <wp:extent cx="5760085" cy="139700"/>
                <wp:effectExtent l="0" t="0" r="635" b="635"/>
                <wp:wrapSquare wrapText="bothSides"/>
                <wp:docPr id="1141" name="オブジェクト 0"/>
                <a:graphic xmlns:a="http://schemas.openxmlformats.org/drawingml/2006/main">
                  <a:graphicData uri="http://schemas.microsoft.com/office/word/2010/wordprocessingShape">
                    <wps:wsp>
                      <wps:cNvPr id="1141" name="オブジェクト 0"/>
                      <wps:cNvSpPr txBox="1">
                        <a:spLocks noChangeArrowheads="1"/>
                      </wps:cNvSpPr>
                      <wps:spPr>
                        <a:xfrm>
                          <a:off x="0" y="0"/>
                          <a:ext cx="5760085" cy="139700"/>
                        </a:xfrm>
                        <a:prstGeom prst="rect">
                          <a:avLst/>
                        </a:prstGeom>
                        <a:noFill/>
                        <a:ln>
                          <a:miter/>
                        </a:ln>
                      </wps:spPr>
                      <wps:txbx>
                        <w:txbxContent>
                          <w:p>
                            <w:pPr>
                              <w:pStyle w:val="29"/>
                              <w:tabs>
                                <w:tab w:val="left" w:leader="none" w:pos="452"/>
                              </w:tabs>
                              <w:ind w:left="0" w:leftChars="0" w:right="0" w:rightChars="0" w:firstLine="620" w:firstLineChars="300"/>
                              <w:rPr>
                                <w:rFonts w:hint="eastAsia" w:ascii="ＭＳ 明朝" w:hAnsi="ＭＳ 明朝" w:eastAsia="ＭＳ 明朝"/>
                                <w:color w:val="000000"/>
                                <w:sz w:val="21"/>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※１</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標準化医師数＝　Σ</w:t>
                            </w:r>
                            <w:r>
                              <w:rPr>
                                <w:rFonts w:hint="eastAsia" w:ascii="ＭＳ 明朝" w:hAnsi="ＭＳ 明朝" w:eastAsia="ＭＳ 明朝"/>
                                <w:b w:val="0"/>
                                <w:color w:val="000000"/>
                                <w:sz w:val="20"/>
                              </w:rPr>
                              <w:t xml:space="preserve"> </w:t>
                            </w:r>
                            <w:r>
                              <w:rPr>
                                <w:rFonts w:hint="eastAsia" w:ascii="ＭＳ 明朝" w:hAnsi="ＭＳ 明朝" w:eastAsia="ＭＳ 明朝"/>
                                <w:b w:val="0"/>
                                <w:color w:val="000000"/>
                                <w:sz w:val="20"/>
                              </w:rPr>
                              <w:t>性・年齢階級別医師数×</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pt;mso-position-vertical-relative:text;mso-position-horizontal-relative:text;position:absolute;mso-wrap-mode:square;height:11pt;mso-wrap-distance-top:0pt;width:453.55pt;mso-wrap-style:none;mso-wrap-distance-left:16pt;margin-left:-30.4pt;z-index:74;" o:spid="_x0000_s1141" o:allowincell="t" o:allowoverlap="t" filled="f" stroked="f" o:spt="202" type="#_x0000_t202">
                <v:fill/>
                <v:textbox style="layout-flow:horizontal;mso-fit-shape-to-text:t;">
                  <w:txbxContent>
                    <w:p>
                      <w:pPr>
                        <w:pStyle w:val="29"/>
                        <w:tabs>
                          <w:tab w:val="left" w:leader="none" w:pos="452"/>
                        </w:tabs>
                        <w:ind w:left="0" w:leftChars="0" w:right="0" w:rightChars="0" w:firstLine="620" w:firstLineChars="300"/>
                        <w:rPr>
                          <w:rFonts w:hint="eastAsia" w:ascii="ＭＳ 明朝" w:hAnsi="ＭＳ 明朝" w:eastAsia="ＭＳ 明朝"/>
                          <w:color w:val="000000"/>
                          <w:sz w:val="21"/>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※１</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標準化医師数＝　Σ</w:t>
                      </w:r>
                      <w:r>
                        <w:rPr>
                          <w:rFonts w:hint="eastAsia" w:ascii="ＭＳ 明朝" w:hAnsi="ＭＳ 明朝" w:eastAsia="ＭＳ 明朝"/>
                          <w:b w:val="0"/>
                          <w:color w:val="000000"/>
                          <w:sz w:val="20"/>
                        </w:rPr>
                        <w:t xml:space="preserve"> </w:t>
                      </w:r>
                      <w:r>
                        <w:rPr>
                          <w:rFonts w:hint="eastAsia" w:ascii="ＭＳ 明朝" w:hAnsi="ＭＳ 明朝" w:eastAsia="ＭＳ 明朝"/>
                          <w:b w:val="0"/>
                          <w:color w:val="000000"/>
                          <w:sz w:val="20"/>
                        </w:rPr>
                        <w:t>性・年齢階級別医師数×</w:t>
                      </w:r>
                    </w:p>
                  </w:txbxContent>
                </v:textbox>
                <v:imagedata o:title=""/>
                <w10:wrap type="square" side="both" anchorx="text" anchory="text"/>
              </v:shape>
            </w:pict>
          </mc:Fallback>
        </mc:AlternateContent>
      </w:r>
      <w:r>
        <w:rPr>
          <w:rFonts w:hint="eastAsia"/>
          <w:highlight w:val="none"/>
        </w:rPr>
        <mc:AlternateContent>
          <mc:Choice Requires="wps">
            <w:drawing>
              <wp:anchor distT="0" distB="0" distL="203200" distR="203200" simplePos="0" relativeHeight="73" behindDoc="0" locked="0" layoutInCell="1" hidden="0" allowOverlap="1">
                <wp:simplePos x="0" y="0"/>
                <wp:positionH relativeFrom="column">
                  <wp:posOffset>3304540</wp:posOffset>
                </wp:positionH>
                <wp:positionV relativeFrom="paragraph">
                  <wp:posOffset>225425</wp:posOffset>
                </wp:positionV>
                <wp:extent cx="1929130" cy="0"/>
                <wp:effectExtent l="0" t="635" r="29210" b="10795"/>
                <wp:wrapNone/>
                <wp:docPr id="1142" name="オブジェクト 0"/>
                <a:graphic xmlns:a="http://schemas.openxmlformats.org/drawingml/2006/main">
                  <a:graphicData uri="http://schemas.microsoft.com/office/word/2010/wordprocessingShape">
                    <wps:wsp>
                      <wps:cNvPr id="1142" name="オブジェクト 0"/>
                      <wps:cNvSpPr/>
                      <wps:spPr>
                        <a:xfrm>
                          <a:off x="0" y="0"/>
                          <a:ext cx="1929130"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3;" o:spid="_x0000_s1142" o:allowincell="t" o:allowoverlap="t" filled="f" stroked="t" strokecolor="#000000" strokeweight="0.75pt" o:spt="20" from="260.2pt,17.75pt" to="412.1pt,17.75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ＭＳ 明朝" w:hAnsi="ＭＳ 明朝" w:eastAsia="ＭＳ 明朝"/>
          <w:b w:val="0"/>
          <w:color w:val="000000"/>
          <w:sz w:val="20"/>
          <w:highlight w:val="none"/>
        </w:rPr>
        <w:t>性・年齢階級別平均労働時間</w:t>
      </w:r>
    </w:p>
    <w:p>
      <w:pPr>
        <w:pStyle w:val="29"/>
        <w:tabs>
          <w:tab w:val="left" w:leader="none" w:pos="452"/>
        </w:tabs>
        <w:ind w:left="0" w:leftChars="0" w:right="0" w:rightChars="0" w:hanging="247" w:hangingChars="100"/>
        <w:rPr>
          <w:rFonts w:hint="eastAsia" w:ascii="ＭＳ 明朝" w:hAnsi="ＭＳ 明朝" w:eastAsia="ＭＳ 明朝"/>
          <w:b w:val="0"/>
          <w:color w:val="000000"/>
          <w:sz w:val="20"/>
          <w:highlight w:val="none"/>
        </w:rPr>
      </w:pPr>
      <w:r>
        <w:rPr>
          <w:rFonts w:hint="eastAsia" w:ascii="ＭＳ 明朝" w:hAnsi="ＭＳ 明朝" w:eastAsia="ＭＳ 明朝"/>
          <w:b w:val="0"/>
          <w:color w:val="000000"/>
          <w:sz w:val="20"/>
          <w:highlight w:val="none"/>
        </w:rPr>
        <w:t>　全医師の平均労働時間</w:t>
      </w:r>
      <w:r>
        <w:rPr>
          <w:rFonts w:hint="eastAsia" w:ascii="ＭＳ 明朝" w:hAnsi="ＭＳ 明朝" w:eastAsia="ＭＳ 明朝"/>
          <w:b w:val="0"/>
          <w:color w:val="000000"/>
          <w:sz w:val="20"/>
          <w:highlight w:val="none"/>
        </w:rPr>
        <w:t xml:space="preserve"> </w:t>
      </w:r>
    </w:p>
    <w:p>
      <w:pPr>
        <w:pStyle w:val="0"/>
        <w:spacing w:before="0" w:beforeLines="0" w:beforeAutospacing="0" w:after="0" w:afterLines="0" w:afterAutospacing="0" w:line="240" w:lineRule="auto"/>
        <w:ind w:leftChars="0" w:right="-134" w:rightChars="-59" w:firstLineChars="0"/>
        <w:jc w:val="both"/>
        <w:rPr>
          <w:rFonts w:hint="eastAsia"/>
          <w:kern w:val="2"/>
          <w:sz w:val="20"/>
          <w:highlight w:val="none"/>
        </w:rPr>
      </w:pPr>
      <w:r>
        <w:rPr>
          <w:rFonts w:hint="eastAsia" w:ascii="游明朝" w:hAnsi="游明朝" w:eastAsia="游明朝"/>
          <w:b w:val="0"/>
          <w:color w:val="000000"/>
          <w:sz w:val="20"/>
          <w:highlight w:val="none"/>
        </w:rPr>
        <w:t>　　　　　　　　　　　</w:t>
      </w:r>
    </w:p>
    <w:p>
      <w:pPr>
        <w:pStyle w:val="29"/>
        <w:tabs>
          <w:tab w:val="left" w:leader="none" w:pos="452"/>
        </w:tabs>
        <w:ind w:left="0" w:leftChars="0" w:right="0" w:rightChars="0" w:firstLine="0" w:firstLineChars="0"/>
        <w:rPr>
          <w:rFonts w:hint="eastAsia" w:ascii="ＭＳ 明朝" w:hAnsi="ＭＳ 明朝" w:eastAsia="ＭＳ 明朝"/>
          <w:b w:val="0"/>
          <w:color w:val="000000"/>
          <w:sz w:val="20"/>
          <w:highlight w:val="none"/>
        </w:rPr>
      </w:pPr>
      <w:r>
        <w:rPr>
          <w:rFonts w:hint="eastAsia"/>
          <w:highlight w:val="none"/>
        </w:rPr>
        <mc:AlternateContent>
          <mc:Choice Requires="wps">
            <w:drawing>
              <wp:anchor distT="0" distB="0" distL="203200" distR="203200" simplePos="0" relativeHeight="75" behindDoc="0" locked="0" layoutInCell="1" hidden="0" allowOverlap="1">
                <wp:simplePos x="0" y="0"/>
                <wp:positionH relativeFrom="column">
                  <wp:posOffset>-381000</wp:posOffset>
                </wp:positionH>
                <wp:positionV relativeFrom="paragraph">
                  <wp:posOffset>57785</wp:posOffset>
                </wp:positionV>
                <wp:extent cx="5760085" cy="127000"/>
                <wp:effectExtent l="0" t="0" r="635" b="635"/>
                <wp:wrapSquare wrapText="bothSides"/>
                <wp:docPr id="1143" name="オブジェクト 0"/>
                <a:graphic xmlns:a="http://schemas.openxmlformats.org/drawingml/2006/main">
                  <a:graphicData uri="http://schemas.microsoft.com/office/word/2010/wordprocessingShape">
                    <wps:wsp>
                      <wps:cNvPr id="1143" name="オブジェクト 0"/>
                      <wps:cNvSpPr txBox="1">
                        <a:spLocks noChangeArrowheads="1"/>
                      </wps:cNvSpPr>
                      <wps:spPr>
                        <a:xfrm>
                          <a:off x="0" y="0"/>
                          <a:ext cx="5760085" cy="127000"/>
                        </a:xfrm>
                        <a:prstGeom prst="rect">
                          <a:avLst/>
                        </a:prstGeom>
                        <a:noFill/>
                        <a:ln>
                          <a:miter/>
                        </a:ln>
                      </wps:spPr>
                      <wps:txbx>
                        <w:txbxContent>
                          <w:p>
                            <w:pPr>
                              <w:pStyle w:val="29"/>
                              <w:tabs>
                                <w:tab w:val="left" w:leader="none" w:pos="452"/>
                              </w:tabs>
                              <w:ind w:left="0" w:leftChars="0" w:right="0" w:rightChars="0" w:firstLine="620" w:firstLineChars="3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※２</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地域の標準化受療率比＝</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55pt;mso-position-vertical-relative:text;mso-position-horizontal-relative:text;position:absolute;mso-wrap-mode:square;height:10pt;mso-wrap-distance-top:0pt;width:453.55pt;mso-wrap-style:none;mso-wrap-distance-left:16pt;margin-left:-30pt;z-index:75;" o:spid="_x0000_s1143" o:allowincell="t" o:allowoverlap="t" filled="f" stroked="f" o:spt="202" type="#_x0000_t202">
                <v:fill/>
                <v:textbox style="layout-flow:horizontal;mso-fit-shape-to-text:t;">
                  <w:txbxContent>
                    <w:p>
                      <w:pPr>
                        <w:pStyle w:val="29"/>
                        <w:tabs>
                          <w:tab w:val="left" w:leader="none" w:pos="452"/>
                        </w:tabs>
                        <w:ind w:left="0" w:leftChars="0" w:right="0" w:rightChars="0" w:firstLine="620" w:firstLineChars="3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※２</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地域の標準化受療率比＝</w:t>
                      </w:r>
                    </w:p>
                  </w:txbxContent>
                </v:textbox>
                <v:imagedata o:title=""/>
                <w10:wrap type="square" side="both" anchorx="text" anchory="text"/>
              </v:shape>
            </w:pict>
          </mc:Fallback>
        </mc:AlternateContent>
      </w:r>
      <w:r>
        <w:rPr>
          <w:rFonts w:hint="eastAsia" w:ascii="ＭＳ 明朝" w:hAnsi="ＭＳ 明朝" w:eastAsia="ＭＳ 明朝"/>
          <w:b w:val="0"/>
          <w:color w:val="000000"/>
          <w:sz w:val="20"/>
          <w:highlight w:val="none"/>
        </w:rPr>
        <w:t>地域の期待受療率</w:t>
      </w:r>
      <w:r>
        <w:rPr>
          <w:rFonts w:hint="eastAsia" w:ascii="ＭＳ 明朝" w:hAnsi="ＭＳ 明朝" w:eastAsia="ＭＳ 明朝"/>
          <w:b w:val="0"/>
          <w:color w:val="000000"/>
          <w:sz w:val="18"/>
          <w:highlight w:val="none"/>
        </w:rPr>
        <w:t>(</w:t>
      </w:r>
      <w:r>
        <w:rPr>
          <w:rFonts w:hint="eastAsia" w:ascii="ＭＳ 明朝" w:hAnsi="ＭＳ 明朝" w:eastAsia="ＭＳ 明朝"/>
          <w:b w:val="0"/>
          <w:color w:val="000000"/>
          <w:sz w:val="18"/>
          <w:highlight w:val="none"/>
        </w:rPr>
        <w:t>※３</w:t>
      </w:r>
      <w:r>
        <w:rPr>
          <w:rFonts w:hint="eastAsia" w:ascii="ＭＳ 明朝" w:hAnsi="ＭＳ 明朝" w:eastAsia="ＭＳ 明朝"/>
          <w:b w:val="0"/>
          <w:color w:val="000000"/>
          <w:sz w:val="18"/>
          <w:highlight w:val="none"/>
        </w:rPr>
        <w:t>)</w:t>
      </w:r>
    </w:p>
    <w:p>
      <w:pPr>
        <w:pStyle w:val="29"/>
        <w:tabs>
          <w:tab w:val="left" w:leader="none" w:pos="452"/>
        </w:tabs>
        <w:ind w:left="0" w:leftChars="0" w:right="0" w:rightChars="0" w:firstLine="207" w:firstLineChars="100"/>
        <w:rPr>
          <w:rFonts w:hint="eastAsia" w:ascii="游明朝" w:hAnsi="游明朝" w:eastAsia="游明朝"/>
          <w:b w:val="0"/>
          <w:color w:val="000000"/>
          <w:sz w:val="20"/>
          <w:highlight w:val="none"/>
        </w:rPr>
      </w:pPr>
      <w:r>
        <w:rPr>
          <w:rFonts w:hint="eastAsia"/>
          <w:highlight w:val="none"/>
        </w:rPr>
        <mc:AlternateContent>
          <mc:Choice Requires="wps">
            <w:drawing>
              <wp:anchor distT="0" distB="0" distL="203200" distR="203200" simplePos="0" relativeHeight="76" behindDoc="0" locked="0" layoutInCell="1" hidden="0" allowOverlap="1">
                <wp:simplePos x="0" y="0"/>
                <wp:positionH relativeFrom="column">
                  <wp:posOffset>2094865</wp:posOffset>
                </wp:positionH>
                <wp:positionV relativeFrom="paragraph">
                  <wp:posOffset>13335</wp:posOffset>
                </wp:positionV>
                <wp:extent cx="1685925" cy="0"/>
                <wp:effectExtent l="0" t="635" r="29210" b="10795"/>
                <wp:wrapNone/>
                <wp:docPr id="1144" name="オブジェクト 0"/>
                <a:graphic xmlns:a="http://schemas.openxmlformats.org/drawingml/2006/main">
                  <a:graphicData uri="http://schemas.microsoft.com/office/word/2010/wordprocessingShape">
                    <wps:wsp>
                      <wps:cNvPr id="1144" name="オブジェクト 0"/>
                      <wps:cNvSpPr/>
                      <wps:spPr>
                        <a:xfrm>
                          <a:off x="0" y="0"/>
                          <a:ext cx="168592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6;" o:spid="_x0000_s1144" o:allowincell="t" o:allowoverlap="t" filled="f" stroked="t" strokecolor="#000000" strokeweight="0.75pt" o:spt="20" from="164.95pt,1.05pt" to="297.7pt,1.05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ＭＳ 明朝" w:hAnsi="ＭＳ 明朝" w:eastAsia="ＭＳ 明朝"/>
          <w:b w:val="0"/>
          <w:color w:val="000000"/>
          <w:sz w:val="20"/>
          <w:highlight w:val="none"/>
        </w:rPr>
        <w:t>全国の期待受療率</w:t>
      </w:r>
      <w:r>
        <w:rPr>
          <w:rFonts w:hint="eastAsia" w:ascii="游明朝" w:hAnsi="游明朝" w:eastAsia="游明朝"/>
          <w:b w:val="0"/>
          <w:color w:val="000000"/>
          <w:sz w:val="20"/>
          <w:highlight w:val="none"/>
        </w:rPr>
        <w:t xml:space="preserve"> </w:t>
      </w: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77" behindDoc="0" locked="0" layoutInCell="1" hidden="0" allowOverlap="1">
                <wp:simplePos x="0" y="0"/>
                <wp:positionH relativeFrom="column">
                  <wp:posOffset>-85090</wp:posOffset>
                </wp:positionH>
                <wp:positionV relativeFrom="paragraph">
                  <wp:posOffset>202565</wp:posOffset>
                </wp:positionV>
                <wp:extent cx="5760085" cy="127000"/>
                <wp:effectExtent l="0" t="0" r="635" b="635"/>
                <wp:wrapSquare wrapText="bothSides"/>
                <wp:docPr id="1145" name="オブジェクト 0"/>
                <a:graphic xmlns:a="http://schemas.openxmlformats.org/drawingml/2006/main">
                  <a:graphicData uri="http://schemas.microsoft.com/office/word/2010/wordprocessingShape">
                    <wps:wsp>
                      <wps:cNvPr id="1145" name="オブジェクト 0"/>
                      <wps:cNvSpPr txBox="1">
                        <a:spLocks noChangeArrowheads="1"/>
                      </wps:cNvSpPr>
                      <wps:spPr>
                        <a:xfrm>
                          <a:off x="0" y="0"/>
                          <a:ext cx="5760085" cy="127000"/>
                        </a:xfrm>
                        <a:prstGeom prst="rect">
                          <a:avLst/>
                        </a:prstGeom>
                        <a:noFill/>
                        <a:ln>
                          <a:miter/>
                        </a:ln>
                      </wps:spPr>
                      <wps:txbx>
                        <w:txbxContent>
                          <w:p>
                            <w:pPr>
                              <w:pStyle w:val="29"/>
                              <w:tabs>
                                <w:tab w:val="left" w:leader="none" w:pos="452"/>
                              </w:tabs>
                              <w:ind w:left="0" w:leftChars="0" w:right="0" w:rightChars="0" w:firstLine="207" w:firstLineChars="1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※３</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地域の期待受療率＝</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95pt;mso-position-vertical-relative:text;mso-position-horizontal-relative:text;position:absolute;mso-wrap-mode:square;height:10pt;mso-wrap-distance-top:0pt;width:453.55pt;mso-wrap-style:none;mso-wrap-distance-left:16pt;margin-left:-6.7pt;z-index:77;" o:spid="_x0000_s1145" o:allowincell="t" o:allowoverlap="t" filled="f" stroked="f" o:spt="202" type="#_x0000_t202">
                <v:fill/>
                <v:textbox style="layout-flow:horizontal;mso-fit-shape-to-text:t;">
                  <w:txbxContent>
                    <w:p>
                      <w:pPr>
                        <w:pStyle w:val="29"/>
                        <w:tabs>
                          <w:tab w:val="left" w:leader="none" w:pos="452"/>
                        </w:tabs>
                        <w:ind w:left="0" w:leftChars="0" w:right="0" w:rightChars="0" w:firstLine="207" w:firstLineChars="1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※３</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地域の期待受療率＝</w:t>
                      </w:r>
                    </w:p>
                  </w:txbxContent>
                </v:textbox>
                <v:imagedata o:title=""/>
                <w10:wrap type="square" side="both" anchorx="text" anchory="text"/>
              </v:shape>
            </w:pict>
          </mc:Fallback>
        </mc:AlternateContent>
      </w:r>
    </w:p>
    <w:p>
      <w:pPr>
        <w:pStyle w:val="29"/>
        <w:tabs>
          <w:tab w:val="left" w:leader="none" w:pos="452"/>
        </w:tabs>
        <w:ind w:left="0" w:leftChars="0" w:right="0" w:rightChars="0" w:firstLine="0" w:firstLineChars="0"/>
        <w:rPr>
          <w:rFonts w:hint="eastAsia" w:ascii="ＭＳ 明朝" w:hAnsi="ＭＳ 明朝" w:eastAsia="ＭＳ 明朝"/>
          <w:b w:val="0"/>
          <w:color w:val="000000"/>
          <w:sz w:val="18"/>
          <w:highlight w:val="none"/>
        </w:rPr>
      </w:pPr>
      <w:r>
        <w:rPr>
          <w:rFonts w:hint="eastAsia" w:ascii="ＭＳ 明朝" w:hAnsi="ＭＳ 明朝" w:eastAsia="ＭＳ 明朝"/>
          <w:b w:val="0"/>
          <w:color w:val="000000"/>
          <w:sz w:val="20"/>
          <w:highlight w:val="none"/>
        </w:rPr>
        <w:t>地域の入院医療需要</w:t>
      </w:r>
      <w:r>
        <w:rPr>
          <w:rFonts w:hint="eastAsia" w:ascii="ＭＳ 明朝" w:hAnsi="ＭＳ 明朝" w:eastAsia="ＭＳ 明朝"/>
          <w:b w:val="0"/>
          <w:color w:val="000000"/>
          <w:sz w:val="18"/>
          <w:highlight w:val="none"/>
        </w:rPr>
        <w:t>(</w:t>
      </w:r>
      <w:r>
        <w:rPr>
          <w:rFonts w:hint="eastAsia" w:ascii="ＭＳ 明朝" w:hAnsi="ＭＳ 明朝" w:eastAsia="ＭＳ 明朝"/>
          <w:b w:val="0"/>
          <w:color w:val="000000"/>
          <w:sz w:val="18"/>
          <w:highlight w:val="none"/>
        </w:rPr>
        <w:t>※４</w:t>
      </w:r>
      <w:r>
        <w:rPr>
          <w:rFonts w:hint="eastAsia" w:ascii="ＭＳ 明朝" w:hAnsi="ＭＳ 明朝" w:eastAsia="ＭＳ 明朝"/>
          <w:b w:val="0"/>
          <w:color w:val="000000"/>
          <w:sz w:val="18"/>
          <w:highlight w:val="none"/>
        </w:rPr>
        <w:t>)</w:t>
      </w:r>
      <w:r>
        <w:rPr>
          <w:rFonts w:hint="eastAsia" w:ascii="ＭＳ 明朝" w:hAnsi="ＭＳ 明朝" w:eastAsia="ＭＳ 明朝"/>
          <w:b w:val="0"/>
          <w:color w:val="000000"/>
          <w:sz w:val="20"/>
          <w:highlight w:val="none"/>
        </w:rPr>
        <w:t>＋地域の無床診療所医療需要</w:t>
      </w:r>
      <w:r>
        <w:rPr>
          <w:rFonts w:hint="eastAsia" w:ascii="ＭＳ 明朝" w:hAnsi="ＭＳ 明朝" w:eastAsia="ＭＳ 明朝"/>
          <w:b w:val="0"/>
          <w:color w:val="000000"/>
          <w:sz w:val="18"/>
          <w:highlight w:val="none"/>
        </w:rPr>
        <w:t>（※５）</w:t>
      </w:r>
    </w:p>
    <w:p>
      <w:pPr>
        <w:pStyle w:val="29"/>
        <w:tabs>
          <w:tab w:val="left" w:leader="none" w:pos="452"/>
        </w:tabs>
        <w:ind w:left="0" w:leftChars="0" w:right="0" w:rightChars="0" w:firstLine="2068" w:firstLineChars="1000"/>
        <w:rPr>
          <w:rFonts w:hint="eastAsia" w:ascii="游明朝" w:hAnsi="游明朝" w:eastAsia="游明朝"/>
          <w:b w:val="0"/>
          <w:color w:val="000000"/>
          <w:sz w:val="20"/>
          <w:highlight w:val="none"/>
        </w:rPr>
      </w:pPr>
      <w:r>
        <w:rPr>
          <w:rFonts w:hint="eastAsia"/>
          <w:highlight w:val="none"/>
        </w:rPr>
        <mc:AlternateContent>
          <mc:Choice Requires="wps">
            <w:drawing>
              <wp:anchor distT="0" distB="0" distL="203200" distR="203200" simplePos="0" relativeHeight="78" behindDoc="0" locked="0" layoutInCell="1" hidden="0" allowOverlap="1">
                <wp:simplePos x="0" y="0"/>
                <wp:positionH relativeFrom="column">
                  <wp:posOffset>1946910</wp:posOffset>
                </wp:positionH>
                <wp:positionV relativeFrom="paragraph">
                  <wp:posOffset>11430</wp:posOffset>
                </wp:positionV>
                <wp:extent cx="3670935" cy="0"/>
                <wp:effectExtent l="0" t="635" r="29210" b="10795"/>
                <wp:wrapNone/>
                <wp:docPr id="1146" name="オブジェクト 0"/>
                <a:graphic xmlns:a="http://schemas.openxmlformats.org/drawingml/2006/main">
                  <a:graphicData uri="http://schemas.microsoft.com/office/word/2010/wordprocessingShape">
                    <wps:wsp>
                      <wps:cNvPr id="1146" name="オブジェクト 0"/>
                      <wps:cNvSpPr/>
                      <wps:spPr>
                        <a:xfrm>
                          <a:off x="0" y="0"/>
                          <a:ext cx="367093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8;" o:spid="_x0000_s1146" o:allowincell="t" o:allowoverlap="t" filled="f" stroked="t" strokecolor="#000000" strokeweight="0.75pt" o:spt="20" from="153.30000000000001pt,0.9pt" to="442.35pt,0.9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ＭＳ 明朝" w:hAnsi="ＭＳ 明朝" w:eastAsia="ＭＳ 明朝"/>
          <w:b w:val="0"/>
          <w:color w:val="000000"/>
          <w:sz w:val="20"/>
          <w:highlight w:val="none"/>
        </w:rPr>
        <w:t>地域の人口</w:t>
      </w:r>
    </w:p>
    <w:p>
      <w:pPr>
        <w:pStyle w:val="29"/>
        <w:tabs>
          <w:tab w:val="left" w:leader="none" w:pos="452"/>
        </w:tabs>
        <w:ind w:left="0" w:leftChars="0" w:right="0" w:rightChars="0" w:firstLine="0" w:firstLineChars="0"/>
        <w:rPr>
          <w:rFonts w:hint="eastAsia"/>
          <w:kern w:val="2"/>
          <w:highlight w:val="none"/>
        </w:rPr>
      </w:pPr>
      <w:r>
        <w:rPr>
          <w:rFonts w:hint="eastAsia" w:ascii="游明朝" w:hAnsi="游明朝" w:eastAsia="游明朝"/>
          <w:b w:val="0"/>
          <w:color w:val="000000"/>
          <w:sz w:val="20"/>
          <w:highlight w:val="none"/>
        </w:rPr>
        <w:t>　　</w:t>
      </w:r>
    </w:p>
    <w:p>
      <w:pPr>
        <w:pStyle w:val="0"/>
        <w:spacing w:before="0" w:beforeLines="0" w:beforeAutospacing="0" w:after="0" w:afterLines="0" w:afterAutospacing="0" w:line="240" w:lineRule="auto"/>
        <w:ind w:left="3386" w:leftChars="100" w:right="-134" w:rightChars="-59" w:hanging="3159" w:hangingChars="1528"/>
        <w:jc w:val="both"/>
        <w:rPr>
          <w:rFonts w:hint="eastAsia"/>
          <w:kern w:val="2"/>
          <w:sz w:val="20"/>
          <w:highlight w:val="none"/>
        </w:rPr>
      </w:pPr>
      <w:r>
        <w:rPr>
          <w:rFonts w:hint="eastAsia"/>
          <w:kern w:val="2"/>
          <w:sz w:val="20"/>
          <w:highlight w:val="none"/>
        </w:rPr>
        <w:t>(</w:t>
      </w:r>
      <w:r>
        <w:rPr>
          <w:rFonts w:hint="eastAsia"/>
          <w:kern w:val="2"/>
          <w:sz w:val="20"/>
          <w:highlight w:val="none"/>
        </w:rPr>
        <w:t>※４</w:t>
      </w:r>
      <w:r>
        <w:rPr>
          <w:rFonts w:hint="eastAsia"/>
          <w:kern w:val="2"/>
          <w:sz w:val="20"/>
          <w:highlight w:val="none"/>
        </w:rPr>
        <w:t>)</w:t>
      </w:r>
      <w:r>
        <w:rPr>
          <w:rFonts w:hint="eastAsia"/>
          <w:kern w:val="2"/>
          <w:sz w:val="20"/>
          <w:highlight w:val="none"/>
        </w:rPr>
        <w:t>地域の入院医療需要＝　（Σ</w:t>
      </w:r>
      <w:r>
        <w:rPr>
          <w:rFonts w:hint="eastAsia"/>
          <w:kern w:val="2"/>
          <w:sz w:val="20"/>
          <w:highlight w:val="none"/>
        </w:rPr>
        <w:t xml:space="preserve"> </w:t>
      </w:r>
      <w:r>
        <w:rPr>
          <w:rFonts w:hint="eastAsia"/>
          <w:kern w:val="2"/>
          <w:sz w:val="20"/>
          <w:highlight w:val="none"/>
        </w:rPr>
        <w:t>全国の性・年齢階級別入院受療率</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地域の性・年齢階級別人口）</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地域の入院患者流出入調整係数</w:t>
      </w: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3386" w:leftChars="100" w:right="-134" w:rightChars="-59" w:hanging="3159" w:hangingChars="1528"/>
        <w:jc w:val="both"/>
        <w:rPr>
          <w:rFonts w:hint="eastAsia"/>
          <w:kern w:val="2"/>
          <w:sz w:val="20"/>
          <w:highlight w:val="none"/>
        </w:rPr>
      </w:pPr>
      <w:r>
        <w:rPr>
          <w:rFonts w:hint="eastAsia"/>
          <w:kern w:val="2"/>
          <w:sz w:val="20"/>
          <w:highlight w:val="none"/>
        </w:rPr>
        <w:t>(</w:t>
      </w:r>
      <w:r>
        <w:rPr>
          <w:rFonts w:hint="eastAsia"/>
          <w:kern w:val="2"/>
          <w:sz w:val="20"/>
          <w:highlight w:val="none"/>
        </w:rPr>
        <w:t>※５</w:t>
      </w:r>
      <w:r>
        <w:rPr>
          <w:rFonts w:hint="eastAsia"/>
          <w:kern w:val="2"/>
          <w:sz w:val="20"/>
          <w:highlight w:val="none"/>
        </w:rPr>
        <w:t>)</w:t>
      </w:r>
      <w:r>
        <w:rPr>
          <w:rFonts w:hint="eastAsia"/>
          <w:kern w:val="2"/>
          <w:sz w:val="20"/>
          <w:highlight w:val="none"/>
        </w:rPr>
        <w:t>地域の無床診療所医療需要＝　（Σ</w:t>
      </w:r>
      <w:r>
        <w:rPr>
          <w:rFonts w:hint="eastAsia"/>
          <w:kern w:val="2"/>
          <w:sz w:val="20"/>
          <w:highlight w:val="none"/>
        </w:rPr>
        <w:t xml:space="preserve"> </w:t>
      </w:r>
      <w:r>
        <w:rPr>
          <w:rFonts w:hint="eastAsia"/>
          <w:kern w:val="2"/>
          <w:sz w:val="20"/>
          <w:highlight w:val="none"/>
        </w:rPr>
        <w:t>全国の性・年齢階級別無床診療所受療率</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地域の性・年齢階級別人口）</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無床診療所医療医師需要度</w:t>
      </w:r>
      <w:r>
        <w:rPr>
          <w:rFonts w:hint="eastAsia"/>
          <w:kern w:val="2"/>
          <w:sz w:val="20"/>
          <w:highlight w:val="none"/>
        </w:rPr>
        <w:t>(</w:t>
      </w:r>
      <w:r>
        <w:rPr>
          <w:rFonts w:hint="eastAsia"/>
          <w:kern w:val="2"/>
          <w:sz w:val="20"/>
          <w:highlight w:val="none"/>
        </w:rPr>
        <w:t>※</w:t>
      </w:r>
      <w:r>
        <w:rPr>
          <w:rFonts w:hint="eastAsia"/>
          <w:kern w:val="2"/>
          <w:sz w:val="20"/>
          <w:highlight w:val="none"/>
        </w:rPr>
        <w:t xml:space="preserve">6)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地域の無床診療所患者流出入調整係数</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38" behindDoc="0" locked="0" layoutInCell="1" hidden="0" allowOverlap="1">
                <wp:simplePos x="0" y="0"/>
                <wp:positionH relativeFrom="column">
                  <wp:posOffset>2453005</wp:posOffset>
                </wp:positionH>
                <wp:positionV relativeFrom="paragraph">
                  <wp:posOffset>189865</wp:posOffset>
                </wp:positionV>
                <wp:extent cx="1468120" cy="491490"/>
                <wp:effectExtent l="0" t="0" r="635" b="635"/>
                <wp:wrapNone/>
                <wp:docPr id="1147" name="オブジェクト 0"/>
                <a:graphic xmlns:a="http://schemas.openxmlformats.org/drawingml/2006/main">
                  <a:graphicData uri="http://schemas.microsoft.com/office/word/2010/wordprocessingShape">
                    <wps:wsp>
                      <wps:cNvPr id="1147" name="オブジェクト 0"/>
                      <wps:cNvSpPr txBox="1"/>
                      <wps:spPr>
                        <a:xfrm>
                          <a:off x="0" y="0"/>
                          <a:ext cx="1468120" cy="4914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外来医師需要</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95pt;mso-position-vertical-relative:text;mso-position-horizontal-relative:text;v-text-anchor:middle;position:absolute;height:38.700000000000003pt;mso-wrap-distance-top:0pt;width:115.6pt;mso-wrap-distance-left:16pt;margin-left:193.15pt;z-index:38;" o:spid="_x0000_s1147" o:allowincell="t" o:allowoverlap="t" filled="f" stroked="f" strokeweight="0.5pt" o:spt="202" type="#_x0000_t202">
                <v:fill/>
                <v:stroke linestyle="single"/>
                <v:textbox style="layout-flow:horizontal;mso-fit-shape-to-text:t;" inset="0mm,0mm,0mm,0mm">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外来医師需要</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9" behindDoc="0" locked="0" layoutInCell="1" hidden="0" allowOverlap="1">
                <wp:simplePos x="0" y="0"/>
                <wp:positionH relativeFrom="column">
                  <wp:posOffset>4177030</wp:posOffset>
                </wp:positionH>
                <wp:positionV relativeFrom="paragraph">
                  <wp:posOffset>189865</wp:posOffset>
                </wp:positionV>
                <wp:extent cx="1205865" cy="563245"/>
                <wp:effectExtent l="0" t="0" r="635" b="635"/>
                <wp:wrapNone/>
                <wp:docPr id="1148" name="オブジェクト 0"/>
                <a:graphic xmlns:a="http://schemas.openxmlformats.org/drawingml/2006/main">
                  <a:graphicData uri="http://schemas.microsoft.com/office/word/2010/wordprocessingShape">
                    <wps:wsp>
                      <wps:cNvPr id="1148" name="オブジェクト 0"/>
                      <wps:cNvSpPr txBox="1"/>
                      <wps:spPr>
                        <a:xfrm>
                          <a:off x="0" y="0"/>
                          <a:ext cx="1205865" cy="5632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jc w:val="center"/>
                              <w:rPr>
                                <w:rFonts w:hint="eastAsia"/>
                              </w:rPr>
                            </w:pPr>
                            <w:r>
                              <w:rPr>
                                <w:rFonts w:hint="eastAsia"/>
                                <w:sz w:val="20"/>
                              </w:rPr>
                              <w:t>全国の無床診療所</w:t>
                            </w:r>
                          </w:p>
                          <w:p>
                            <w:pPr>
                              <w:pStyle w:val="0"/>
                              <w:snapToGrid w:val="0"/>
                              <w:jc w:val="center"/>
                              <w:rPr>
                                <w:rFonts w:hint="eastAsia"/>
                              </w:rPr>
                            </w:pPr>
                            <w:r>
                              <w:rPr>
                                <w:rFonts w:hint="eastAsia"/>
                                <w:sz w:val="20"/>
                              </w:rPr>
                              <w:t>外来患者数</w:t>
                            </w:r>
                            <w:r>
                              <w:rPr>
                                <w:rFonts w:hint="eastAsia"/>
                                <w:sz w:val="20"/>
                              </w:rPr>
                              <w:t>(</w:t>
                            </w:r>
                            <w:r>
                              <w:rPr>
                                <w:rFonts w:hint="eastAsia"/>
                                <w:sz w:val="20"/>
                              </w:rPr>
                              <w:t>※</w:t>
                            </w:r>
                            <w:r>
                              <w:rPr>
                                <w:rFonts w:hint="eastAsia"/>
                                <w:sz w:val="20"/>
                              </w:rPr>
                              <w:t>7)</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95pt;mso-position-vertical-relative:text;mso-position-horizontal-relative:text;v-text-anchor:middle;position:absolute;height:44.35pt;mso-wrap-distance-top:0pt;width:94.95pt;mso-wrap-distance-left:16pt;margin-left:328.9pt;z-index:89;" o:spid="_x0000_s1148" o:allowincell="t" o:allowoverlap="t" filled="f" stroked="f" strokeweight="0.5pt" o:spt="202" type="#_x0000_t202">
                <v:fill/>
                <v:stroke linestyle="single"/>
                <v:textbox style="layout-flow:horizontal;mso-fit-shape-to-text:t;" inset="0mm,0mm,0mm,0mm">
                  <w:txbxContent>
                    <w:p>
                      <w:pPr>
                        <w:pStyle w:val="0"/>
                        <w:snapToGrid w:val="0"/>
                        <w:jc w:val="center"/>
                        <w:rPr>
                          <w:rFonts w:hint="eastAsia"/>
                        </w:rPr>
                      </w:pPr>
                      <w:r>
                        <w:rPr>
                          <w:rFonts w:hint="eastAsia"/>
                          <w:sz w:val="20"/>
                        </w:rPr>
                        <w:t>全国の無床診療所</w:t>
                      </w:r>
                    </w:p>
                    <w:p>
                      <w:pPr>
                        <w:pStyle w:val="0"/>
                        <w:snapToGrid w:val="0"/>
                        <w:jc w:val="center"/>
                        <w:rPr>
                          <w:rFonts w:hint="eastAsia"/>
                        </w:rPr>
                      </w:pPr>
                      <w:r>
                        <w:rPr>
                          <w:rFonts w:hint="eastAsia"/>
                          <w:sz w:val="20"/>
                        </w:rPr>
                        <w:t>外来患者数</w:t>
                      </w:r>
                      <w:r>
                        <w:rPr>
                          <w:rFonts w:hint="eastAsia"/>
                          <w:sz w:val="20"/>
                        </w:rPr>
                        <w:t>(</w:t>
                      </w:r>
                      <w:r>
                        <w:rPr>
                          <w:rFonts w:hint="eastAsia"/>
                          <w:sz w:val="20"/>
                        </w:rPr>
                        <w:t>※</w:t>
                      </w:r>
                      <w:r>
                        <w:rPr>
                          <w:rFonts w:hint="eastAsia"/>
                          <w:sz w:val="20"/>
                        </w:rPr>
                        <w:t>7)</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39" behindDoc="0" locked="0" layoutInCell="1" hidden="0" allowOverlap="1">
                <wp:simplePos x="0" y="0"/>
                <wp:positionH relativeFrom="column">
                  <wp:posOffset>3963670</wp:posOffset>
                </wp:positionH>
                <wp:positionV relativeFrom="paragraph">
                  <wp:posOffset>48260</wp:posOffset>
                </wp:positionV>
                <wp:extent cx="163830" cy="181610"/>
                <wp:effectExtent l="635" t="635" r="29845" b="10795"/>
                <wp:wrapNone/>
                <wp:docPr id="1149" name="オブジェクト 0"/>
                <a:graphic xmlns:a="http://schemas.openxmlformats.org/drawingml/2006/main">
                  <a:graphicData uri="http://schemas.microsoft.com/office/word/2010/wordprocessingShape">
                    <wps:wsp>
                      <wps:cNvPr id="1149" name="オブジェクト 0"/>
                      <wps:cNvSpPr/>
                      <wps:spPr>
                        <a:xfrm flipV="1">
                          <a:off x="0" y="0"/>
                          <a:ext cx="163830" cy="18161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39;" o:spid="_x0000_s1149" o:allowincell="t" o:allowoverlap="t" filled="f" stroked="t" strokecolor="#000000" strokeweight="0.75pt" o:spt="20" from="312.10000000000002pt,3.8pt" to="325pt,18.100000000000001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p>
    <w:p>
      <w:pPr>
        <w:pStyle w:val="0"/>
        <w:spacing w:before="0" w:beforeLines="0" w:beforeAutospacing="0" w:after="0" w:afterLines="0" w:afterAutospacing="0" w:line="240" w:lineRule="auto"/>
        <w:ind w:left="227" w:leftChars="100" w:right="-134" w:rightChars="-59" w:firstLine="0" w:firstLineChars="0"/>
        <w:jc w:val="both"/>
        <w:rPr>
          <w:rFonts w:hint="eastAsia"/>
          <w:kern w:val="2"/>
          <w:sz w:val="20"/>
          <w:highlight w:val="none"/>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2400300</wp:posOffset>
                </wp:positionH>
                <wp:positionV relativeFrom="paragraph">
                  <wp:posOffset>116205</wp:posOffset>
                </wp:positionV>
                <wp:extent cx="2982595" cy="0"/>
                <wp:effectExtent l="0" t="635" r="29210" b="10795"/>
                <wp:wrapNone/>
                <wp:docPr id="1150" name="オブジェクト 0"/>
                <a:graphic xmlns:a="http://schemas.openxmlformats.org/drawingml/2006/main">
                  <a:graphicData uri="http://schemas.microsoft.com/office/word/2010/wordprocessingShape">
                    <wps:wsp>
                      <wps:cNvPr id="1150" name="オブジェクト 0"/>
                      <wps:cNvSpPr/>
                      <wps:spPr>
                        <a:xfrm>
                          <a:off x="0" y="0"/>
                          <a:ext cx="298259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40;" o:spid="_x0000_s1150" o:allowincell="t" o:allowoverlap="t" filled="f" stroked="t" strokecolor="#000000" strokeweight="0.75pt" o:spt="20" from="189pt,9.15pt" to="423.85pt,9.15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90" behindDoc="0" locked="0" layoutInCell="1" hidden="0" allowOverlap="1">
                <wp:simplePos x="0" y="0"/>
                <wp:positionH relativeFrom="column">
                  <wp:posOffset>2453005</wp:posOffset>
                </wp:positionH>
                <wp:positionV relativeFrom="paragraph">
                  <wp:posOffset>139700</wp:posOffset>
                </wp:positionV>
                <wp:extent cx="1520825" cy="335915"/>
                <wp:effectExtent l="0" t="0" r="635" b="635"/>
                <wp:wrapNone/>
                <wp:docPr id="1151" name="オブジェクト 0"/>
                <a:graphic xmlns:a="http://schemas.openxmlformats.org/drawingml/2006/main">
                  <a:graphicData uri="http://schemas.microsoft.com/office/word/2010/wordprocessingShape">
                    <wps:wsp>
                      <wps:cNvPr id="1151" name="オブジェクト 0"/>
                      <wps:cNvSpPr txBox="1"/>
                      <wps:spPr>
                        <a:xfrm>
                          <a:off x="0" y="0"/>
                          <a:ext cx="1520825" cy="3359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入院医師需要</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pt;mso-position-vertical-relative:text;mso-position-horizontal-relative:text;v-text-anchor:middle;position:absolute;height:26.45pt;mso-wrap-distance-top:0pt;width:119.75pt;mso-wrap-distance-left:16pt;margin-left:193.15pt;z-index:90;" o:spid="_x0000_s1151" o:allowincell="t" o:allowoverlap="t" filled="f" stroked="f" strokeweight="0.5pt" o:spt="202" type="#_x0000_t202">
                <v:fill/>
                <v:stroke linestyle="single"/>
                <v:textbox style="layout-flow:horizontal;mso-fit-shape-to-text:t;" inset="0mm,0mm,0mm,0mm">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入院医師需要</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1" behindDoc="0" locked="0" layoutInCell="1" hidden="0" allowOverlap="1">
                <wp:simplePos x="0" y="0"/>
                <wp:positionH relativeFrom="column">
                  <wp:posOffset>3912870</wp:posOffset>
                </wp:positionH>
                <wp:positionV relativeFrom="paragraph">
                  <wp:posOffset>203200</wp:posOffset>
                </wp:positionV>
                <wp:extent cx="177800" cy="205740"/>
                <wp:effectExtent l="635" t="635" r="29845" b="10795"/>
                <wp:wrapNone/>
                <wp:docPr id="1152" name="オブジェクト 0"/>
                <a:graphic xmlns:a="http://schemas.openxmlformats.org/drawingml/2006/main">
                  <a:graphicData uri="http://schemas.microsoft.com/office/word/2010/wordprocessingShape">
                    <wps:wsp>
                      <wps:cNvPr id="1152" name="オブジェクト 0"/>
                      <wps:cNvSpPr/>
                      <wps:spPr>
                        <a:xfrm flipV="1">
                          <a:off x="0" y="0"/>
                          <a:ext cx="177800" cy="20574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41;" o:spid="_x0000_s1152" o:allowincell="t" o:allowoverlap="t" filled="f" stroked="t" strokecolor="#000000" strokeweight="0.75pt" o:spt="20" from="308.10000000000002pt,16pt" to="322.10000000000002pt,32.200000000000003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91" behindDoc="0" locked="0" layoutInCell="1" hidden="0" allowOverlap="1">
                <wp:simplePos x="0" y="0"/>
                <wp:positionH relativeFrom="column">
                  <wp:posOffset>4208145</wp:posOffset>
                </wp:positionH>
                <wp:positionV relativeFrom="paragraph">
                  <wp:posOffset>203200</wp:posOffset>
                </wp:positionV>
                <wp:extent cx="1138555" cy="194945"/>
                <wp:effectExtent l="0" t="0" r="635" b="635"/>
                <wp:wrapNone/>
                <wp:docPr id="1153" name="オブジェクト 0"/>
                <a:graphic xmlns:a="http://schemas.openxmlformats.org/drawingml/2006/main">
                  <a:graphicData uri="http://schemas.microsoft.com/office/word/2010/wordprocessingShape">
                    <wps:wsp>
                      <wps:cNvPr id="1153" name="オブジェクト 0"/>
                      <wps:cNvSpPr txBox="1"/>
                      <wps:spPr>
                        <a:xfrm>
                          <a:off x="0" y="0"/>
                          <a:ext cx="1138555" cy="1949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rPr>
                            </w:pPr>
                            <w:r>
                              <w:rPr>
                                <w:rFonts w:hint="eastAsia"/>
                                <w:sz w:val="20"/>
                              </w:rPr>
                              <w:t>全国の入院患者数</w:t>
                            </w:r>
                          </w:p>
                        </w:txbxContent>
                      </wps:txbx>
                      <wps:bodyPr vertOverflow="overflow" horzOverflow="overflow" wrap="square" lIns="0" tIns="0" rIns="0" bIns="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pt;mso-position-vertical-relative:text;mso-position-horizontal-relative:text;v-text-anchor:middle;position:absolute;height:15.35pt;mso-wrap-distance-top:0pt;width:89.65pt;mso-wrap-distance-left:16pt;margin-left:331.35pt;z-index:91;" o:spid="_x0000_s1153" o:allowincell="t" o:allowoverlap="t" filled="f" stroked="f" strokeweight="0.5pt" o:spt="202" type="#_x0000_t202">
                <v:fill/>
                <v:stroke linestyle="single"/>
                <v:textbox style="layout-flow:horizontal;" inset="0mm,0mm,0mm,0mm">
                  <w:txbxContent>
                    <w:p>
                      <w:pPr>
                        <w:pStyle w:val="0"/>
                        <w:snapToGrid w:val="0"/>
                        <w:rPr>
                          <w:rFonts w:hint="eastAsia"/>
                        </w:rPr>
                      </w:pPr>
                      <w:r>
                        <w:rPr>
                          <w:rFonts w:hint="eastAsia"/>
                          <w:sz w:val="20"/>
                        </w:rPr>
                        <w:t>全国の入院患者数</w:t>
                      </w:r>
                    </w:p>
                  </w:txbxContent>
                </v:textbox>
                <v:imagedata o:title=""/>
                <w10:wrap type="none" anchorx="text" anchory="text"/>
              </v:shape>
            </w:pict>
          </mc:Fallback>
        </mc:AlternateContent>
      </w:r>
      <w:r>
        <w:rPr>
          <w:rFonts w:hint="eastAsia"/>
          <w:kern w:val="2"/>
          <w:sz w:val="20"/>
          <w:highlight w:val="none"/>
        </w:rPr>
        <w:t>(</w:t>
      </w:r>
      <w:r>
        <w:rPr>
          <w:rFonts w:hint="eastAsia"/>
          <w:kern w:val="2"/>
          <w:sz w:val="20"/>
          <w:highlight w:val="none"/>
        </w:rPr>
        <w:t>※６</w:t>
      </w:r>
      <w:r>
        <w:rPr>
          <w:rFonts w:hint="eastAsia"/>
          <w:kern w:val="2"/>
          <w:sz w:val="20"/>
          <w:highlight w:val="none"/>
        </w:rPr>
        <w:t>)</w:t>
      </w:r>
      <w:r>
        <w:rPr>
          <w:rFonts w:hint="eastAsia"/>
          <w:kern w:val="2"/>
          <w:sz w:val="20"/>
          <w:highlight w:val="none"/>
        </w:rPr>
        <w:t>無床診療所医療医師需要度＝</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227" w:leftChars="100" w:right="-134" w:rightChars="-59" w:firstLine="0" w:firstLineChars="0"/>
        <w:jc w:val="both"/>
        <w:rPr>
          <w:rFonts w:hint="eastAsia"/>
          <w:kern w:val="2"/>
          <w:sz w:val="20"/>
          <w:highlight w:val="none"/>
        </w:rPr>
      </w:pPr>
      <w:r>
        <w:rPr>
          <w:rFonts w:hint="eastAsia"/>
          <w:highlight w:val="none"/>
        </w:rPr>
        <mc:AlternateContent>
          <mc:Choice Requires="wpg">
            <w:drawing>
              <wp:anchor simplePos="0" relativeHeight="42" behindDoc="0" locked="0" layoutInCell="1" hidden="0" allowOverlap="1">
                <wp:simplePos x="0" y="0"/>
                <wp:positionH relativeFrom="column">
                  <wp:posOffset>1586230</wp:posOffset>
                </wp:positionH>
                <wp:positionV relativeFrom="paragraph">
                  <wp:posOffset>187325</wp:posOffset>
                </wp:positionV>
                <wp:extent cx="4032250" cy="539750"/>
                <wp:effectExtent l="0" t="0" r="635" b="635"/>
                <wp:wrapNone/>
                <wp:docPr id="1154" name="オブジェクト 0"/>
                <a:graphic xmlns:a="http://schemas.openxmlformats.org/drawingml/2006/main">
                  <a:graphicData uri="http://schemas.microsoft.com/office/word/2010/wordprocessingGroup">
                    <wpg:wgp>
                      <wpg:cNvGrpSpPr/>
                      <wpg:grpSpPr>
                        <a:xfrm>
                          <a:off x="0" y="0"/>
                          <a:ext cx="4032250" cy="539750"/>
                          <a:chOff x="3916" y="12643"/>
                          <a:chExt cx="6350" cy="850"/>
                        </a:xfrm>
                      </wpg:grpSpPr>
                      <wps:wsp>
                        <wps:cNvPr id="1155" name="オブジェクト 0"/>
                        <wps:cNvSpPr/>
                        <wps:spPr>
                          <a:xfrm>
                            <a:off x="4421" y="13068"/>
                            <a:ext cx="5782" cy="0"/>
                          </a:xfrm>
                          <a:prstGeom prst="line">
                            <a:avLst/>
                          </a:prstGeom>
                          <a:noFill/>
                          <a:ln w="9525" cap="flat" cmpd="sng">
                            <a:solidFill>
                              <a:srgbClr val="000000"/>
                            </a:solidFill>
                            <a:prstDash val="solid"/>
                            <a:miter lim="800000"/>
                            <a:headEnd w="med" len="med"/>
                            <a:tailEnd w="med" len="med"/>
                          </a:ln>
                        </wps:spPr>
                        <wps:bodyPr/>
                      </wps:wsp>
                      <wps:wsp>
                        <wps:cNvPr id="1156" name="オブジェクト 0"/>
                        <wps:cNvSpPr txBox="1"/>
                        <wps:spPr>
                          <a:xfrm>
                            <a:off x="3916" y="12790"/>
                            <a:ext cx="560" cy="557"/>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sz w:val="20"/>
                                </w:rPr>
                                <w:t>×</w:t>
                              </w:r>
                            </w:p>
                          </w:txbxContent>
                        </wps:txbx>
                        <wps:bodyPr vertOverflow="overflow" horzOverflow="overflow" wrap="square" anchor="ctr"/>
                      </wps:wsp>
                      <wps:wsp>
                        <wps:cNvPr id="1157" name="オブジェクト 0"/>
                        <wps:cNvSpPr txBox="1"/>
                        <wps:spPr>
                          <a:xfrm>
                            <a:off x="4358" y="12643"/>
                            <a:ext cx="5908" cy="8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sz w:val="20"/>
                                </w:rPr>
                              </w:pPr>
                              <w:r>
                                <w:rPr>
                                  <w:rFonts w:hint="eastAsia"/>
                                  <w:sz w:val="20"/>
                                </w:rPr>
                                <w:t>初診・再診・在宅医療算定回数［無床診療所］</w:t>
                              </w:r>
                            </w:p>
                            <w:p>
                              <w:pPr>
                                <w:pStyle w:val="0"/>
                                <w:jc w:val="center"/>
                                <w:rPr>
                                  <w:rFonts w:hint="eastAsia"/>
                                </w:rPr>
                              </w:pPr>
                              <w:r>
                                <w:rPr>
                                  <w:rFonts w:hint="eastAsia"/>
                                  <w:sz w:val="20"/>
                                </w:rPr>
                                <w:t>初診・再診・在宅医療算定回数［有床診療所・無床診療所］</w:t>
                              </w:r>
                            </w:p>
                          </w:txbxContent>
                        </wps:txbx>
                        <wps:bodyPr vertOverflow="overflow" horzOverflow="overflow" wrap="square" anchor="ctr"/>
                      </wps:wsp>
                    </wpg:wgp>
                  </a:graphicData>
                </a:graphic>
              </wp:anchor>
            </w:drawing>
          </mc:Choice>
          <mc:Fallback>
            <w:pict>
              <v:group id="オブジェクト 0" style="margin-top:14.75pt;mso-position-vertical-relative:text;mso-position-horizontal-relative:text;position:absolute;height:42.5pt;width:317.5pt;margin-left:124.9pt;z-index:42;" coordsize="6350,850" coordorigin="3916,12643" o:spid="_x0000_s1154" o:allowincell="t" o:allowoverlap="t">
                <v:line id="オブジェクト 0" style="height:0;width:5782;top:13068;left:4421;position:absolute;" o:spid="_x0000_s1155" filled="f" stroked="t" strokecolor="#000000" strokeweight="0.75pt" o:spt="20" from="4421,13068" to="10203,13068">
                  <v:fill/>
                  <v:stroke linestyle="single" miterlimit="8" endcap="flat" dashstyle="solid" filltype="solid" startarrowwidth="medium" startarrowlength="medium" endarrowwidth="medium" endarrowlength="medium"/>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557;width:560;top:12790;left:3916;v-text-anchor:middle;position:absolute;" o:spid="_x0000_s1156" filled="t" fillcolor="#ffffff" stroked="f" strokeweight="0.5pt" o:spt="202" type="#_x0000_t202">
                  <v:fill/>
                  <v:stroke linestyle="single"/>
                  <v:textbox style="layout-flow:horizontal;">
                    <w:txbxContent>
                      <w:p>
                        <w:pPr>
                          <w:pStyle w:val="0"/>
                          <w:jc w:val="center"/>
                          <w:rPr>
                            <w:rFonts w:hint="eastAsia"/>
                          </w:rPr>
                        </w:pPr>
                        <w:r>
                          <w:rPr>
                            <w:rFonts w:hint="eastAsia"/>
                            <w:sz w:val="20"/>
                          </w:rPr>
                          <w:t>×</w:t>
                        </w:r>
                      </w:p>
                    </w:txbxContent>
                  </v:textbox>
                  <v:imagedata o:title=""/>
                  <w10:wrap type="none" anchorx="text" anchory="text"/>
                </v:shape>
                <v:shape id="オブジェクト 0" style="height:850;width:5908;top:12643;left:4358;v-text-anchor:middle;position:absolute;" o:spid="_x0000_s1157" filled="t" fillcolor="#ffffff" stroked="f" strokeweight="0.5pt" o:spt="202" type="#_x0000_t202">
                  <v:fill/>
                  <v:stroke linestyle="single"/>
                  <v:textbox style="layout-flow:horizontal;">
                    <w:txbxContent>
                      <w:p>
                        <w:pPr>
                          <w:pStyle w:val="0"/>
                          <w:jc w:val="center"/>
                          <w:rPr>
                            <w:rFonts w:hint="eastAsia"/>
                            <w:sz w:val="20"/>
                          </w:rPr>
                        </w:pPr>
                        <w:r>
                          <w:rPr>
                            <w:rFonts w:hint="eastAsia"/>
                            <w:sz w:val="20"/>
                          </w:rPr>
                          <w:t>初診・再診・在宅医療算定回数［無床診療所］</w:t>
                        </w:r>
                      </w:p>
                      <w:p>
                        <w:pPr>
                          <w:pStyle w:val="0"/>
                          <w:jc w:val="center"/>
                          <w:rPr>
                            <w:rFonts w:hint="eastAsia"/>
                          </w:rPr>
                        </w:pPr>
                        <w:r>
                          <w:rPr>
                            <w:rFonts w:hint="eastAsia"/>
                            <w:sz w:val="20"/>
                          </w:rPr>
                          <w:t>初診・再診・在宅医療算定回数［有床診療所・無床診療所］</w:t>
                        </w:r>
                      </w:p>
                    </w:txbxContent>
                  </v:textbox>
                  <v:imagedata o:title=""/>
                  <w10:wrap type="none" anchorx="text" anchory="text"/>
                </v:shape>
                <w10:wrap type="none" anchorx="text" anchory="text"/>
              </v:group>
            </w:pict>
          </mc:Fallback>
        </mc:AlternateContent>
      </w:r>
      <w:r>
        <w:rPr>
          <w:rFonts w:hint="eastAsia"/>
          <w:kern w:val="2"/>
          <w:sz w:val="20"/>
          <w:highlight w:val="none"/>
        </w:rPr>
        <w:t>(</w:t>
      </w:r>
      <w:r>
        <w:rPr>
          <w:rFonts w:hint="eastAsia"/>
          <w:kern w:val="2"/>
          <w:sz w:val="20"/>
          <w:highlight w:val="none"/>
        </w:rPr>
        <w:t>※７</w:t>
      </w:r>
      <w:r>
        <w:rPr>
          <w:rFonts w:hint="eastAsia"/>
          <w:kern w:val="2"/>
          <w:sz w:val="20"/>
          <w:highlight w:val="none"/>
        </w:rPr>
        <w:t>)</w:t>
      </w:r>
      <w:r>
        <w:rPr>
          <w:rFonts w:hint="eastAsia"/>
          <w:kern w:val="2"/>
          <w:sz w:val="20"/>
          <w:highlight w:val="none"/>
        </w:rPr>
        <w:t>全国の無床診療所外来患者数</w:t>
      </w:r>
      <w:r>
        <w:rPr>
          <w:rFonts w:hint="eastAsia"/>
          <w:kern w:val="2"/>
          <w:sz w:val="20"/>
          <w:highlight w:val="none"/>
        </w:rPr>
        <w:t>=</w:t>
      </w:r>
      <w:r>
        <w:rPr>
          <w:rFonts w:hint="eastAsia"/>
          <w:kern w:val="2"/>
          <w:sz w:val="20"/>
          <w:highlight w:val="none"/>
        </w:rPr>
        <w:t>　全国の外来患者数</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79" behindDoc="0" locked="0" layoutInCell="1" hidden="0" allowOverlap="1">
                <wp:simplePos x="0" y="0"/>
                <wp:positionH relativeFrom="column">
                  <wp:posOffset>1941830</wp:posOffset>
                </wp:positionH>
                <wp:positionV relativeFrom="paragraph">
                  <wp:posOffset>12700</wp:posOffset>
                </wp:positionV>
                <wp:extent cx="3549650" cy="0"/>
                <wp:effectExtent l="0" t="635" r="29210" b="10795"/>
                <wp:wrapNone/>
                <wp:docPr id="1158" name="オブジェクト 0"/>
                <a:graphic xmlns:a="http://schemas.openxmlformats.org/drawingml/2006/main">
                  <a:graphicData uri="http://schemas.microsoft.com/office/word/2010/wordprocessingShape">
                    <wps:wsp>
                      <wps:cNvPr id="1158" name="オブジェクト 0"/>
                      <wps:cNvSpPr/>
                      <wps:spPr>
                        <a:xfrm>
                          <a:off x="0" y="0"/>
                          <a:ext cx="3549650"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9;" o:spid="_x0000_s1158" o:allowincell="t" o:allowoverlap="t" filled="f" stroked="t" strokecolor="#000000" strokeweight="0.75pt" o:spt="20" from="152.9pt,1pt" to="432.4pt,1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w:br w:type="page"/>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（２）本県の状況</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厚生労働省が算出し公表した医師偏在指標では、本県の医師偏在指標は</w:t>
      </w:r>
      <w:r>
        <w:rPr>
          <w:rFonts w:hint="eastAsia" w:ascii="ＭＳ 明朝" w:hAnsi="ＭＳ 明朝" w:eastAsia="ＭＳ 明朝"/>
          <w:color w:val="auto"/>
          <w:kern w:val="2"/>
          <w:sz w:val="22"/>
          <w:highlight w:val="none"/>
          <w:u w:val="none" w:color="auto"/>
        </w:rPr>
        <w:t>268.2</w:t>
      </w:r>
      <w:r>
        <w:rPr>
          <w:rFonts w:hint="eastAsia" w:ascii="ＭＳ 明朝" w:hAnsi="ＭＳ 明朝" w:eastAsia="ＭＳ 明朝"/>
          <w:color w:val="auto"/>
          <w:kern w:val="2"/>
          <w:sz w:val="22"/>
          <w:highlight w:val="none"/>
          <w:u w:val="none" w:color="auto"/>
        </w:rPr>
        <w:t>となっており、上位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の範囲内に位置しています。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二次医療圏別では、中央医療圏が</w:t>
      </w:r>
      <w:r>
        <w:rPr>
          <w:rFonts w:hint="eastAsia" w:ascii="ＭＳ 明朝" w:hAnsi="ＭＳ 明朝" w:eastAsia="ＭＳ 明朝"/>
          <w:color w:val="auto"/>
          <w:kern w:val="2"/>
          <w:sz w:val="22"/>
          <w:highlight w:val="none"/>
          <w:u w:val="none" w:color="auto"/>
        </w:rPr>
        <w:t>300.3</w:t>
      </w:r>
      <w:r>
        <w:rPr>
          <w:rFonts w:hint="eastAsia" w:ascii="ＭＳ 明朝" w:hAnsi="ＭＳ 明朝" w:eastAsia="ＭＳ 明朝"/>
          <w:color w:val="auto"/>
          <w:kern w:val="2"/>
          <w:sz w:val="22"/>
          <w:highlight w:val="none"/>
          <w:u w:val="none" w:color="auto"/>
        </w:rPr>
        <w:t>で上位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の範囲内に位置し、幡多が</w:t>
      </w:r>
      <w:r>
        <w:rPr>
          <w:rFonts w:hint="eastAsia" w:ascii="ＭＳ 明朝" w:hAnsi="ＭＳ 明朝" w:eastAsia="ＭＳ 明朝"/>
          <w:color w:val="auto"/>
          <w:kern w:val="2"/>
          <w:sz w:val="22"/>
          <w:highlight w:val="none"/>
          <w:u w:val="none" w:color="auto"/>
        </w:rPr>
        <w:t>159.7</w:t>
      </w:r>
      <w:r>
        <w:rPr>
          <w:rFonts w:hint="eastAsia" w:ascii="ＭＳ 明朝" w:hAnsi="ＭＳ 明朝" w:eastAsia="ＭＳ 明朝"/>
          <w:color w:val="auto"/>
          <w:kern w:val="2"/>
          <w:sz w:val="22"/>
          <w:highlight w:val="none"/>
          <w:u w:val="none" w:color="auto"/>
        </w:rPr>
        <w:t>で下位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の範囲内、安芸が</w:t>
      </w:r>
      <w:r>
        <w:rPr>
          <w:rFonts w:hint="eastAsia" w:ascii="ＭＳ 明朝" w:hAnsi="ＭＳ 明朝" w:eastAsia="ＭＳ 明朝"/>
          <w:color w:val="auto"/>
          <w:kern w:val="2"/>
          <w:sz w:val="22"/>
          <w:highlight w:val="none"/>
          <w:u w:val="none" w:color="auto"/>
        </w:rPr>
        <w:t>206.8</w:t>
      </w:r>
      <w:r>
        <w:rPr>
          <w:rFonts w:hint="eastAsia" w:ascii="ＭＳ 明朝" w:hAnsi="ＭＳ 明朝" w:eastAsia="ＭＳ 明朝"/>
          <w:color w:val="auto"/>
          <w:kern w:val="2"/>
          <w:sz w:val="22"/>
          <w:highlight w:val="none"/>
          <w:u w:val="none" w:color="auto"/>
        </w:rPr>
        <w:t>、高幡が</w:t>
      </w:r>
      <w:r>
        <w:rPr>
          <w:rFonts w:hint="eastAsia" w:ascii="ＭＳ 明朝" w:hAnsi="ＭＳ 明朝" w:eastAsia="ＭＳ 明朝"/>
          <w:color w:val="auto"/>
          <w:kern w:val="2"/>
          <w:sz w:val="22"/>
          <w:highlight w:val="none"/>
          <w:u w:val="none" w:color="auto"/>
        </w:rPr>
        <w:t>187.1</w:t>
      </w:r>
      <w:r>
        <w:rPr>
          <w:rFonts w:hint="eastAsia" w:ascii="ＭＳ 明朝" w:hAnsi="ＭＳ 明朝" w:eastAsia="ＭＳ 明朝"/>
          <w:color w:val="auto"/>
          <w:kern w:val="2"/>
          <w:sz w:val="22"/>
          <w:highlight w:val="none"/>
          <w:u w:val="none" w:color="auto"/>
        </w:rPr>
        <w:t>でそれぞれ中間に位置しています。なお、医師偏在指標に使用された医師数については、令和２年</w:t>
      </w:r>
      <w:r>
        <w:rPr>
          <w:rFonts w:hint="eastAsia" w:ascii="ＭＳ 明朝" w:hAnsi="ＭＳ 明朝" w:eastAsia="ＭＳ 明朝"/>
          <w:kern w:val="2"/>
          <w:sz w:val="22"/>
          <w:highlight w:val="none"/>
        </w:rPr>
        <w:t>の数値となっています。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偏在指標等は、医師の年齢や年齢ごとの勤務時間が反映されており、単純な人口比より一定精度が高いものと評価できますが、全国一律の基準で機械的に算出されたものであり、本県のように県土が広く東西に長いうえに中山間地域が多いなどの地理的な要因やそれに伴う医療機関へのアクセス性などが考慮されていません。また、今後、医師の働き方改革を進めるうえで必要な医師数も考慮されていないことから、さらなる精度の向上が求められます。このため、今後、人口や医療需要が減少していく中で、県民が住み慣れた地域で安心して暮らしていくためには、それぞれの地域の実情に応じた医師の確保が必要であることは言うまでもありません。</w:t>
      </w:r>
    </w:p>
    <w:p>
      <w:pPr>
        <w:pStyle w:val="0"/>
        <w:spacing w:before="0" w:beforeLines="0" w:beforeAutospacing="0" w:after="0" w:afterLines="0" w:afterAutospacing="0" w:line="240" w:lineRule="auto"/>
        <w:jc w:val="center"/>
        <w:rPr>
          <w:rFonts w:hint="eastAsia"/>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4-1-23</w:t>
      </w:r>
      <w:r>
        <w:rPr>
          <w:rFonts w:hint="eastAsia" w:ascii="ＭＳ ゴシック" w:hAnsi="ＭＳ ゴシック" w:eastAsia="ＭＳ ゴシック"/>
          <w:color w:val="auto"/>
          <w:sz w:val="22"/>
          <w:highlight w:val="none"/>
          <w:u w:val="none" w:color="FF0000"/>
        </w:rPr>
        <w:t>）国が公表した医師偏在指標等</w:t>
      </w:r>
    </w:p>
    <w:tbl>
      <w:tblPr>
        <w:tblStyle w:val="11"/>
        <w:tblW w:w="808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043"/>
        <w:gridCol w:w="1043"/>
        <w:gridCol w:w="1043"/>
        <w:gridCol w:w="1044"/>
        <w:gridCol w:w="1954"/>
        <w:gridCol w:w="1955"/>
      </w:tblGrid>
      <w:tr>
        <w:trPr>
          <w:trHeight w:val="253" w:hRule="atLeast"/>
        </w:trPr>
        <w:tc>
          <w:tcPr>
            <w:tcW w:w="104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医療圏</w:t>
            </w:r>
          </w:p>
        </w:tc>
        <w:tc>
          <w:tcPr>
            <w:tcW w:w="104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順位</w:t>
            </w:r>
          </w:p>
        </w:tc>
        <w:tc>
          <w:tcPr>
            <w:tcW w:w="104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医師</w:t>
            </w:r>
          </w:p>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偏在指標</w:t>
            </w:r>
          </w:p>
        </w:tc>
        <w:tc>
          <w:tcPr>
            <w:tcW w:w="1044"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R2</w:t>
            </w:r>
            <w:r>
              <w:rPr>
                <w:rFonts w:hint="eastAsia" w:ascii="ＭＳ 明朝" w:hAnsi="ＭＳ 明朝" w:eastAsia="ＭＳ 明朝"/>
                <w:b w:val="0"/>
                <w:i w:val="0"/>
                <w:smallCaps w:val="0"/>
                <w:sz w:val="20"/>
              </w:rPr>
              <w:t>年</w:t>
            </w:r>
            <w:r>
              <w:rPr>
                <w:rFonts w:hint="eastAsia" w:ascii="ＭＳ 明朝" w:hAnsi="ＭＳ 明朝" w:eastAsia="ＭＳ 明朝"/>
                <w:b w:val="0"/>
                <w:i w:val="0"/>
                <w:smallCaps w:val="0"/>
                <w:sz w:val="20"/>
              </w:rPr>
              <w:br w:type="textWrapping" w:clear="none"/>
            </w:r>
            <w:r>
              <w:rPr>
                <w:rFonts w:hint="eastAsia" w:ascii="ＭＳ 明朝" w:hAnsi="ＭＳ 明朝" w:eastAsia="ＭＳ 明朝"/>
                <w:b w:val="0"/>
                <w:i w:val="0"/>
                <w:smallCaps w:val="0"/>
                <w:sz w:val="20"/>
              </w:rPr>
              <w:t>医師数</w:t>
            </w:r>
          </w:p>
        </w:tc>
        <w:tc>
          <w:tcPr>
            <w:tcW w:w="3909"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参考値</w:t>
            </w:r>
          </w:p>
        </w:tc>
      </w:tr>
      <w:tr>
        <w:trPr>
          <w:trHeight w:val="683" w:hRule="atLeast"/>
        </w:trPr>
        <w:tc>
          <w:tcPr>
            <w:tcW w:w="104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Meiryo UI" w:hAnsi="Meiryo UI" w:eastAsia="Meiryo UI"/>
                <w:b w:val="0"/>
                <w:i w:val="0"/>
                <w:smallCaps w:val="0"/>
                <w:sz w:val="22"/>
              </w:rPr>
            </w:pPr>
          </w:p>
        </w:tc>
        <w:tc>
          <w:tcPr>
            <w:tcW w:w="104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Meiryo UI" w:hAnsi="Meiryo UI" w:eastAsia="Meiryo UI"/>
                <w:b w:val="0"/>
                <w:i w:val="0"/>
                <w:smallCaps w:val="0"/>
                <w:sz w:val="22"/>
              </w:rPr>
            </w:pPr>
          </w:p>
        </w:tc>
        <w:tc>
          <w:tcPr>
            <w:tcW w:w="104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Meiryo UI" w:hAnsi="Meiryo UI" w:eastAsia="Meiryo UI"/>
                <w:b w:val="0"/>
                <w:i w:val="0"/>
                <w:smallCaps w:val="0"/>
                <w:sz w:val="22"/>
              </w:rPr>
            </w:pPr>
          </w:p>
        </w:tc>
        <w:tc>
          <w:tcPr>
            <w:tcW w:w="1044"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Meiryo UI" w:hAnsi="Meiryo UI" w:eastAsia="Meiryo UI"/>
                <w:b w:val="0"/>
                <w:i w:val="0"/>
                <w:smallCaps w:val="0"/>
                <w:sz w:val="22"/>
              </w:rPr>
            </w:pP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R8</w:t>
            </w:r>
            <w:r>
              <w:rPr>
                <w:rFonts w:hint="eastAsia" w:ascii="ＭＳ 明朝" w:hAnsi="ＭＳ 明朝" w:eastAsia="ＭＳ 明朝"/>
                <w:b w:val="0"/>
                <w:i w:val="0"/>
                <w:smallCaps w:val="0"/>
                <w:sz w:val="18"/>
              </w:rPr>
              <w:t>年度末に下位</w:t>
            </w:r>
          </w:p>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1/3</w:t>
            </w:r>
            <w:r>
              <w:rPr>
                <w:rFonts w:hint="eastAsia" w:ascii="ＭＳ 明朝" w:hAnsi="ＭＳ 明朝" w:eastAsia="ＭＳ 明朝"/>
                <w:b w:val="0"/>
                <w:i w:val="0"/>
                <w:smallCaps w:val="0"/>
                <w:sz w:val="18"/>
              </w:rPr>
              <w:t>を脱するために</w:t>
            </w:r>
          </w:p>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必要な医師数</w:t>
            </w:r>
          </w:p>
        </w:tc>
        <w:tc>
          <w:tcPr>
            <w:tcW w:w="1955"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DAEEF3"/>
            <w:tcMar>
              <w:top w:w="0" w:type="dxa"/>
              <w:left w:w="0"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医師需要マクロ推計</w:t>
            </w:r>
          </w:p>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により</w:t>
            </w:r>
            <w:r>
              <w:rPr>
                <w:rFonts w:hint="eastAsia" w:ascii="ＭＳ 明朝" w:hAnsi="ＭＳ 明朝" w:eastAsia="ＭＳ 明朝"/>
                <w:b w:val="0"/>
                <w:i w:val="0"/>
                <w:smallCaps w:val="0"/>
                <w:sz w:val="18"/>
              </w:rPr>
              <w:t>R18</w:t>
            </w:r>
            <w:r>
              <w:rPr>
                <w:rFonts w:hint="eastAsia" w:ascii="ＭＳ 明朝" w:hAnsi="ＭＳ 明朝" w:eastAsia="ＭＳ 明朝"/>
                <w:b w:val="0"/>
                <w:i w:val="0"/>
                <w:smallCaps w:val="0"/>
                <w:sz w:val="18"/>
              </w:rPr>
              <w:t>年度末に</w:t>
            </w:r>
            <w:r>
              <w:rPr>
                <w:rFonts w:hint="eastAsia" w:ascii="ＭＳ 明朝" w:hAnsi="ＭＳ 明朝" w:eastAsia="ＭＳ 明朝"/>
                <w:b w:val="0"/>
                <w:i w:val="0"/>
                <w:smallCaps w:val="0"/>
                <w:sz w:val="18"/>
              </w:rPr>
              <w:br w:type="textWrapping" w:clear="none"/>
            </w:r>
            <w:r>
              <w:rPr>
                <w:rFonts w:hint="eastAsia" w:ascii="ＭＳ 明朝" w:hAnsi="ＭＳ 明朝" w:eastAsia="ＭＳ 明朝"/>
                <w:b w:val="0"/>
                <w:i w:val="0"/>
                <w:smallCaps w:val="0"/>
                <w:sz w:val="18"/>
              </w:rPr>
              <w:t>必要とされる医師数</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全国平均</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255.6</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高知県</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15/47</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268.2</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2,227</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1,918</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安芸</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136/330</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206.8</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103</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94</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中央</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40/330</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300.3</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1,877</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1,516</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高幡</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199/330</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187.1</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86</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95</w:t>
            </w:r>
          </w:p>
        </w:tc>
      </w:tr>
      <w:tr>
        <w:trPr>
          <w:trHeight w:val="324"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幡多</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267/330</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159.7</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161</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159</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220</w:t>
            </w:r>
          </w:p>
        </w:tc>
      </w:tr>
    </w:tbl>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87" behindDoc="0" locked="0" layoutInCell="1" hidden="0" allowOverlap="1">
                <wp:simplePos x="0" y="0"/>
                <wp:positionH relativeFrom="column">
                  <wp:posOffset>-10160</wp:posOffset>
                </wp:positionH>
                <wp:positionV relativeFrom="paragraph">
                  <wp:posOffset>191135</wp:posOffset>
                </wp:positionV>
                <wp:extent cx="5769610" cy="3104515"/>
                <wp:effectExtent l="0" t="0" r="29845" b="0"/>
                <wp:wrapNone/>
                <wp:docPr id="1159" name="オブジェクト 0"/>
                <a:graphic xmlns:a="http://schemas.openxmlformats.org/drawingml/2006/main">
                  <a:graphicData uri="http://schemas.microsoft.com/office/word/2010/wordprocessingGroup">
                    <wpg:wgp>
                      <wpg:cNvGrpSpPr/>
                      <wpg:grpSpPr>
                        <a:xfrm>
                          <a:off x="0" y="0"/>
                          <a:ext cx="5769610" cy="3104515"/>
                          <a:chOff x="1402" y="10331"/>
                          <a:chExt cx="9086" cy="4889"/>
                        </a:xfrm>
                      </wpg:grpSpPr>
                      <pic:pic xmlns:pic="http://schemas.openxmlformats.org/drawingml/2006/picture">
                        <pic:nvPicPr>
                          <pic:cNvPr id="1160" name="オブジェクト 0"/>
                          <pic:cNvPicPr>
                            <a:picLocks noChangeAspect="1"/>
                          </pic:cNvPicPr>
                        </pic:nvPicPr>
                        <pic:blipFill>
                          <a:blip r:embed="rId38"/>
                          <a:stretch>
                            <a:fillRect/>
                          </a:stretch>
                        </pic:blipFill>
                        <pic:spPr>
                          <a:xfrm>
                            <a:off x="1418" y="13183"/>
                            <a:ext cx="9070" cy="2037"/>
                          </a:xfrm>
                          <a:prstGeom prst="rect">
                            <a:avLst/>
                          </a:prstGeom>
                          <a:noFill/>
                          <a:ln>
                            <a:miter/>
                          </a:ln>
                        </pic:spPr>
                      </pic:pic>
                      <pic:pic xmlns:pic="http://schemas.openxmlformats.org/drawingml/2006/picture">
                        <pic:nvPicPr>
                          <pic:cNvPr id="1161" name="オブジェクト 0"/>
                          <pic:cNvPicPr>
                            <a:picLocks noChangeAspect="1"/>
                          </pic:cNvPicPr>
                        </pic:nvPicPr>
                        <pic:blipFill>
                          <a:blip r:embed="rId39"/>
                          <a:stretch>
                            <a:fillRect/>
                          </a:stretch>
                        </pic:blipFill>
                        <pic:spPr>
                          <a:xfrm>
                            <a:off x="1402" y="10331"/>
                            <a:ext cx="9070" cy="2480"/>
                          </a:xfrm>
                          <a:prstGeom prst="rect">
                            <a:avLst/>
                          </a:prstGeom>
                          <a:noFill/>
                          <a:ln>
                            <a:miter/>
                          </a:ln>
                        </pic:spPr>
                      </pic:pic>
                      <wps:wsp>
                        <wps:cNvPr id="1162" name="オブジェクト 0"/>
                        <wps:cNvSpPr>
                          <a:spLocks noChangeArrowheads="1"/>
                        </wps:cNvSpPr>
                        <wps:spPr>
                          <a:xfrm>
                            <a:off x="4359" y="11282"/>
                            <a:ext cx="195" cy="1247"/>
                          </a:xfrm>
                          <a:prstGeom prst="ellipse">
                            <a:avLst/>
                          </a:prstGeom>
                          <a:noFill/>
                          <a:ln w="9525" cap="flat" cmpd="sng">
                            <a:solidFill>
                              <a:srgbClr val="000000"/>
                            </a:solidFill>
                            <a:prstDash val="solid"/>
                            <a:headEnd type="none" w="med" len="med"/>
                            <a:tailEnd type="none" w="med" len="med"/>
                          </a:ln>
                        </wps:spPr>
                        <wps:bodyPr/>
                      </wps:wsp>
                      <wps:wsp>
                        <wps:cNvPr id="1163" name="オブジェクト 0"/>
                        <wps:cNvSpPr/>
                        <wps:spPr>
                          <a:xfrm>
                            <a:off x="10469" y="10647"/>
                            <a:ext cx="19" cy="2147"/>
                          </a:xfrm>
                          <a:prstGeom prst="line">
                            <a:avLst/>
                          </a:prstGeom>
                          <a:noFill/>
                          <a:ln w="9525" cap="flat" cmpd="sng">
                            <a:solidFill>
                              <a:srgbClr val="A6A6A6"/>
                            </a:solidFill>
                            <a:prstDash val="solid"/>
                            <a:miter lim="800000"/>
                            <a:headEnd w="med" len="med"/>
                            <a:tailEnd w="med" len="med"/>
                          </a:ln>
                        </wps:spPr>
                        <wps:bodyPr/>
                      </wps:wsp>
                    </wpg:wgp>
                  </a:graphicData>
                </a:graphic>
              </wp:anchor>
            </w:drawing>
          </mc:Choice>
          <mc:Fallback>
            <w:pict>
              <v:group id="オブジェクト 0" style="margin-top:15.05pt;mso-position-vertical-relative:text;mso-position-horizontal-relative:text;position:absolute;height:244.45pt;width:454.3pt;margin-left:-0.8pt;z-index:187;" coordsize="9086,4889" coordorigin="1402,10331" o:spid="_x0000_s115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037;width:9070;top:13183;left:1418;position:absolute;" o:spid="_x0000_s1160" filled="f" stroked="f" o:spt="75" type="#_x0000_t75">
                  <v:fill/>
                  <v:imagedata o:title="" r:id="rId38"/>
                  <w10:wrap type="none" anchorx="text" anchory="text"/>
                </v:shape>
                <v:shape id="オブジェクト 0" style="height:2480;width:9070;top:10331;left:1402;position:absolute;" o:spid="_x0000_s1161" filled="f" stroked="f" o:spt="75" type="#_x0000_t75">
                  <v:fill/>
                  <v:imagedata o:title="" r:id="rId39"/>
                  <w10:wrap type="none" anchorx="text" anchory="text"/>
                </v:shape>
                <v:oval id="オブジェクト 0" style="height:1247;width:195;top:11282;left:4359;position:absolute;" o:spid="_x0000_s1162" filled="f" stroked="t" strokecolor="#000000" strokeweight="0.75pt" o:spt="3">
                  <v:fill/>
                  <v:stroke linestyle="single" endcap="flat" dashstyle="solid" filltype="solid" startarrow="none" startarrowwidth="medium" startarrowlength="medium" endarrow="none" endarrowwidth="medium" endarrowlength="medium"/>
                  <v:textbox style="layout-flow:horizontal;"/>
                  <v:imagedata o:title=""/>
                  <w10:wrap type="none" anchorx="text" anchory="text"/>
                </v:oval>
                <v:line id="オブジェクト 0" style="height:2147;width:19;top:10647;left:10469;position:absolute;" o:spid="_x0000_s1163" filled="f" stroked="t" strokecolor="#a6a6a6" strokeweight="0.75pt" o:spt="20" from="10469,10647" to="10488,12794">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4-1-24</w:t>
      </w:r>
      <w:r>
        <w:rPr>
          <w:rFonts w:hint="eastAsia" w:ascii="ＭＳ ゴシック" w:hAnsi="ＭＳ ゴシック" w:eastAsia="ＭＳ ゴシック"/>
          <w:color w:val="auto"/>
          <w:sz w:val="22"/>
          <w:highlight w:val="none"/>
          <w:u w:val="none" w:color="FF0000"/>
        </w:rPr>
        <w:t>）医師偏在指標における本県の相対的位置</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4-1-25</w:t>
      </w:r>
      <w:r>
        <w:rPr>
          <w:rFonts w:hint="eastAsia" w:ascii="ＭＳ ゴシック" w:hAnsi="ＭＳ ゴシック" w:eastAsia="ＭＳ ゴシック"/>
          <w:color w:val="auto"/>
          <w:sz w:val="22"/>
          <w:highlight w:val="none"/>
          <w:u w:val="none" w:color="FF0000"/>
        </w:rPr>
        <w:t>）二次医療圏別の状況</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ascii="ＭＳ 明朝" w:hAnsi="ＭＳ 明朝" w:eastAsia="ＭＳ 明朝"/>
          <w:b w:val="1"/>
          <w:color w:val="0070C0"/>
          <w:kern w:val="2"/>
          <w:sz w:val="22"/>
          <w:highlight w:val="none"/>
        </w:rPr>
      </w:pPr>
      <w:r>
        <w:rPr>
          <w:rFonts w:hint="eastAsia"/>
          <w:kern w:val="2"/>
          <w:highlight w:val="none"/>
        </w:rPr>
        <w:br w:type="page"/>
      </w:r>
      <w:r>
        <w:rPr>
          <w:rFonts w:hint="eastAsia" w:ascii="ＭＳ 明朝" w:hAnsi="ＭＳ 明朝" w:eastAsia="ＭＳ 明朝"/>
          <w:b w:val="1"/>
          <w:color w:val="0070C0"/>
          <w:kern w:val="2"/>
          <w:sz w:val="22"/>
          <w:highlight w:val="none"/>
        </w:rPr>
        <w:t>２　医師少数区域・医師多数区域の設定</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各都道府県においては、医師偏在の状況等に応じた実効的な医師確保対策を進めるよう、医師偏在指標を用いて医師少数区域及び医師多数区域を設定し、これらの区域分類に応じて具体的な医師確保対策を実施することになり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本県では、医師偏在指標に基づき、中央医療圏を医師多数区域、幡多医療圏を医師少数区域と定めます。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ただし、安芸医療圏、中央医療圏</w:t>
      </w:r>
      <w:r>
        <w:rPr>
          <w:rFonts w:hint="eastAsia" w:ascii="ＭＳ 明朝" w:hAnsi="ＭＳ 明朝" w:eastAsia="ＭＳ 明朝"/>
          <w:color w:val="auto"/>
          <w:kern w:val="2"/>
          <w:sz w:val="22"/>
          <w:highlight w:val="none"/>
          <w:u w:val="none" w:color="auto"/>
        </w:rPr>
        <w:t>、高幡医療圏</w:t>
      </w:r>
      <w:r>
        <w:rPr>
          <w:rFonts w:hint="eastAsia" w:ascii="ＭＳ 明朝" w:hAnsi="ＭＳ 明朝" w:eastAsia="ＭＳ 明朝"/>
          <w:kern w:val="2"/>
          <w:sz w:val="22"/>
          <w:highlight w:val="none"/>
        </w:rPr>
        <w:t>においても、医師が不足していると判断できる地域を後述する「医師少数スポット」と定め、必要な医師の確保を図ります。</w:t>
      </w:r>
    </w:p>
    <w:p>
      <w:pPr>
        <w:pStyle w:val="0"/>
        <w:ind w:left="227" w:leftChars="100" w:right="0" w:rightChars="0" w:firstLine="227" w:firstLineChars="100"/>
        <w:jc w:val="both"/>
        <w:rPr>
          <w:rFonts w:hint="eastAsia" w:ascii="ＭＳ 明朝" w:hAnsi="ＭＳ 明朝" w:eastAsia="ＭＳ 明朝"/>
          <w:kern w:val="2"/>
          <w:sz w:val="2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92" behindDoc="0" locked="0" layoutInCell="1" hidden="0" allowOverlap="1">
                <wp:simplePos x="0" y="0"/>
                <wp:positionH relativeFrom="column">
                  <wp:posOffset>287020</wp:posOffset>
                </wp:positionH>
                <wp:positionV relativeFrom="paragraph">
                  <wp:posOffset>209550</wp:posOffset>
                </wp:positionV>
                <wp:extent cx="5204460" cy="3281680"/>
                <wp:effectExtent l="635" t="635" r="29845" b="10795"/>
                <wp:wrapNone/>
                <wp:docPr id="1164" name="オブジェクト 0"/>
                <a:graphic xmlns:a="http://schemas.openxmlformats.org/drawingml/2006/main">
                  <a:graphicData uri="http://schemas.microsoft.com/office/word/2010/wordprocessingGroup">
                    <wpg:wgp>
                      <wpg:cNvGrpSpPr/>
                      <wpg:grpSpPr>
                        <a:xfrm>
                          <a:off x="0" y="0"/>
                          <a:ext cx="5204460" cy="3281680"/>
                          <a:chOff x="1870" y="4898"/>
                          <a:chExt cx="8196" cy="5168"/>
                        </a:xfrm>
                      </wpg:grpSpPr>
                      <pic:pic xmlns:pic="http://schemas.openxmlformats.org/drawingml/2006/picture">
                        <pic:nvPicPr>
                          <pic:cNvPr id="1165" name="オブジェクト 0"/>
                          <pic:cNvPicPr>
                            <a:picLocks noChangeAspect="1"/>
                          </pic:cNvPicPr>
                        </pic:nvPicPr>
                        <pic:blipFill>
                          <a:blip r:embed="rId40"/>
                          <a:srcRect t="10175" b="11404"/>
                          <a:stretch>
                            <a:fillRect/>
                          </a:stretch>
                        </pic:blipFill>
                        <pic:spPr>
                          <a:xfrm>
                            <a:off x="3103" y="5552"/>
                            <a:ext cx="5366" cy="4208"/>
                          </a:xfrm>
                          <a:prstGeom prst="rect">
                            <a:avLst/>
                          </a:prstGeom>
                          <a:noFill/>
                          <a:ln>
                            <a:miter/>
                          </a:ln>
                        </pic:spPr>
                      </pic:pic>
                      <wps:wsp>
                        <wps:cNvPr id="1166" name="オブジェクト 0"/>
                        <wps:cNvSpPr txBox="1">
                          <a:spLocks noChangeArrowheads="1"/>
                        </wps:cNvSpPr>
                        <wps:spPr>
                          <a:xfrm>
                            <a:off x="5584" y="5096"/>
                            <a:ext cx="1335" cy="538"/>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rPr>
                              </w:pPr>
                              <w:r>
                                <w:rPr>
                                  <w:rFonts w:hint="eastAsia"/>
                                  <w:sz w:val="12"/>
                                </w:rPr>
                                <w:t>（医師多数区域）</w:t>
                              </w:r>
                            </w:p>
                          </w:txbxContent>
                        </wps:txbx>
                        <wps:bodyPr vertOverflow="overflow" horzOverflow="overflow" wrap="square" upright="1"/>
                      </wps:wsp>
                      <wps:wsp>
                        <wps:cNvPr id="1167" name="オブジェクト 0"/>
                        <wps:cNvSpPr txBox="1">
                          <a:spLocks noChangeArrowheads="1"/>
                        </wps:cNvSpPr>
                        <wps:spPr>
                          <a:xfrm>
                            <a:off x="8050" y="5828"/>
                            <a:ext cx="1540" cy="745"/>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rPr>
                              </w:pPr>
                              <w:r>
                                <w:rPr>
                                  <w:rFonts w:hint="eastAsia"/>
                                  <w:sz w:val="12"/>
                                </w:rPr>
                                <w:t>少数でもない区域）</w:t>
                              </w:r>
                            </w:p>
                          </w:txbxContent>
                        </wps:txbx>
                        <wps:bodyPr vertOverflow="overflow" horzOverflow="overflow" wrap="square" upright="1"/>
                      </wps:wsp>
                      <wps:wsp>
                        <wps:cNvPr id="1168" name="オブジェクト 0"/>
                        <wps:cNvSpPr txBox="1">
                          <a:spLocks noChangeArrowheads="1"/>
                        </wps:cNvSpPr>
                        <wps:spPr>
                          <a:xfrm>
                            <a:off x="2593" y="6618"/>
                            <a:ext cx="1526" cy="745"/>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rPr>
                              </w:pPr>
                              <w:r>
                                <w:rPr>
                                  <w:rFonts w:hint="eastAsia"/>
                                  <w:color w:val="auto"/>
                                  <w:sz w:val="12"/>
                                  <w:u w:val="none" w:color="FF0000"/>
                                </w:rPr>
                                <w:t>少数でもない区域）</w:t>
                              </w:r>
                            </w:p>
                          </w:txbxContent>
                        </wps:txbx>
                        <wps:bodyPr vertOverflow="overflow" horzOverflow="overflow" wrap="square" upright="1"/>
                      </wps:wsp>
                      <wps:wsp>
                        <wps:cNvPr id="1169" name="オブジェクト 0"/>
                        <wps:cNvSpPr txBox="1">
                          <a:spLocks noChangeArrowheads="1"/>
                        </wps:cNvSpPr>
                        <wps:spPr>
                          <a:xfrm>
                            <a:off x="2290" y="8227"/>
                            <a:ext cx="1335" cy="538"/>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wps:txbx>
                        <wps:bodyPr vertOverflow="overflow" horzOverflow="overflow" wrap="square" upright="1"/>
                      </wps:wsp>
                      <wps:wsp>
                        <wps:cNvPr id="1170" name="オブジェクト 0"/>
                        <wps:cNvSpPr>
                          <a:spLocks noChangeArrowheads="1"/>
                        </wps:cNvSpPr>
                        <wps:spPr>
                          <a:xfrm>
                            <a:off x="1870" y="4898"/>
                            <a:ext cx="8196" cy="5168"/>
                          </a:xfrm>
                          <a:prstGeom prst="rect">
                            <a:avLst/>
                          </a:prstGeom>
                          <a:noFill/>
                          <a:ln w="9525" cap="flat" cmpd="sng">
                            <a:solidFill>
                              <a:srgbClr val="000000"/>
                            </a:solidFill>
                            <a:prstDash val="solid"/>
                            <a:miter lim="800000"/>
                            <a:headEnd type="none" w="med" len="med"/>
                            <a:tailEnd type="none" w="med" len="med"/>
                          </a:ln>
                        </wps:spPr>
                        <wps:bodyPr/>
                      </wps:wsp>
                      <wps:wsp>
                        <wps:cNvPr id="1171" name="オブジェクト 0"/>
                        <wps:cNvSpPr txBox="1"/>
                        <wps:spPr>
                          <a:xfrm>
                            <a:off x="7306" y="8270"/>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医師多数区域</w:t>
                              </w:r>
                            </w:p>
                          </w:txbxContent>
                        </wps:txbx>
                        <wps:bodyPr vertOverflow="overflow" horzOverflow="overflow" wrap="square" lIns="74295" tIns="8890" rIns="74295" bIns="8890"/>
                      </wps:wsp>
                      <wps:wsp>
                        <wps:cNvPr id="1172" name="オブジェクト 0"/>
                        <wps:cNvSpPr txBox="1"/>
                        <wps:spPr>
                          <a:xfrm>
                            <a:off x="7306" y="8695"/>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医師少数区域</w:t>
                              </w:r>
                            </w:p>
                          </w:txbxContent>
                        </wps:txbx>
                        <wps:bodyPr vertOverflow="overflow" horzOverflow="overflow" wrap="square" lIns="74295" tIns="8890" rIns="74295" bIns="8890"/>
                      </wps:wsp>
                      <wps:wsp>
                        <wps:cNvPr id="1173" name="オブジェクト 0"/>
                        <wps:cNvSpPr/>
                        <wps:spPr>
                          <a:xfrm>
                            <a:off x="7139" y="8349"/>
                            <a:ext cx="203" cy="200"/>
                          </a:xfrm>
                          <a:prstGeom prst="rect">
                            <a:avLst/>
                          </a:prstGeom>
                          <a:solidFill>
                            <a:srgbClr val="FAA6DD"/>
                          </a:solidFill>
                          <a:ln w="12700" cap="flat" cmpd="sng" algn="ctr">
                            <a:solidFill>
                              <a:srgbClr val="FAA6DD"/>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74" name="オブジェクト 0"/>
                        <wps:cNvSpPr/>
                        <wps:spPr>
                          <a:xfrm>
                            <a:off x="7139" y="8776"/>
                            <a:ext cx="203" cy="200"/>
                          </a:xfrm>
                          <a:prstGeom prst="rect">
                            <a:avLst/>
                          </a:prstGeom>
                          <a:solidFill>
                            <a:srgbClr val="04FEFF"/>
                          </a:solidFill>
                          <a:ln w="12700" cap="flat" cmpd="sng" algn="ctr">
                            <a:solidFill>
                              <a:srgbClr val="00FFFF"/>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オブジェクト 0" style="margin-top:16.5pt;mso-position-vertical-relative:text;mso-position-horizontal-relative:text;position:absolute;height:258.39pt;width:409.8pt;margin-left:22.6pt;z-index:192;" coordsize="8196,5168" coordorigin="1870,4898" o:spid="_x0000_s116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208;width:5366;top:5552;left:3103;position:absolute;" o:spid="_x0000_s1165" filled="f" stroked="f" o:spt="75" type="#_x0000_t75">
                  <v:fill/>
                  <v:imagedata croptop="6668f" cropbottom="7474f" o:title="" r:id="rId40"/>
                  <w10:wrap type="none" anchorx="text" anchory="text"/>
                </v:shape>
                <v:shapetype id="_x0000_t202" coordsize="21600,21600" o:spt="202" path="m,l,21600r21600,l21600,xe">
                  <v:stroke joinstyle="miter"/>
                  <v:path gradientshapeok="t" o:connecttype="rect"/>
                </v:shapetype>
                <v:shape id="オブジェクト 0" style="height:538;width:1335;top:5096;left:5584;position:absolute;" o:spid="_x0000_s1166"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rPr>
                        </w:pPr>
                        <w:r>
                          <w:rPr>
                            <w:rFonts w:hint="eastAsia"/>
                            <w:sz w:val="12"/>
                          </w:rPr>
                          <w:t>（医師多数区域）</w:t>
                        </w:r>
                      </w:p>
                    </w:txbxContent>
                  </v:textbox>
                  <v:imagedata o:title=""/>
                  <w10:wrap type="none" anchorx="text" anchory="text"/>
                </v:shape>
                <v:shape id="オブジェクト 0" style="height:745;width:1540;top:5828;left:8050;position:absolute;" o:spid="_x0000_s1167"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rPr>
                        </w:pPr>
                        <w:r>
                          <w:rPr>
                            <w:rFonts w:hint="eastAsia"/>
                            <w:sz w:val="12"/>
                          </w:rPr>
                          <w:t>少数でもない区域）</w:t>
                        </w:r>
                      </w:p>
                    </w:txbxContent>
                  </v:textbox>
                  <v:imagedata o:title=""/>
                  <w10:wrap type="none" anchorx="text" anchory="text"/>
                </v:shape>
                <v:shape id="オブジェクト 0" style="height:745;width:1526;top:6618;left:2593;position:absolute;" o:spid="_x0000_s1168"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rPr>
                        </w:pPr>
                        <w:r>
                          <w:rPr>
                            <w:rFonts w:hint="eastAsia"/>
                            <w:color w:val="auto"/>
                            <w:sz w:val="12"/>
                            <w:u w:val="none" w:color="FF0000"/>
                          </w:rPr>
                          <w:t>少数でもない区域）</w:t>
                        </w:r>
                      </w:p>
                    </w:txbxContent>
                  </v:textbox>
                  <v:imagedata o:title=""/>
                  <w10:wrap type="none" anchorx="text" anchory="text"/>
                </v:shape>
                <v:shape id="オブジェクト 0" style="height:538;width:1335;top:8227;left:2290;position:absolute;" o:spid="_x0000_s1169"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v:textbox>
                  <v:imagedata o:title=""/>
                  <w10:wrap type="none" anchorx="text" anchory="text"/>
                </v:shape>
                <v:rect id="オブジェクト 0" style="height:5168;width:8196;top:4898;left:1870;position:absolute;" o:spid="_x0000_s1170"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v:shape id="オブジェクト 0" style="height:471;width:1801;top:8270;left:7306;position:absolute;" o:spid="_x0000_s1171"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医師多数区域</w:t>
                        </w:r>
                      </w:p>
                    </w:txbxContent>
                  </v:textbox>
                  <v:imagedata o:title=""/>
                  <w10:wrap type="none" anchorx="text" anchory="text"/>
                </v:shape>
                <v:shape id="オブジェクト 0" style="height:471;width:1801;top:8695;left:7306;position:absolute;" o:spid="_x0000_s1172"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医師少数区域</w:t>
                        </w:r>
                      </w:p>
                    </w:txbxContent>
                  </v:textbox>
                  <v:imagedata o:title=""/>
                  <w10:wrap type="none" anchorx="text" anchory="text"/>
                </v:shape>
                <v:rect id="オブジェクト 0" style="height:200;width:203;top:8349;left:7139;position:absolute;" o:spid="_x0000_s1173" filled="t" fillcolor="#faa6dd" stroked="t" strokecolor="#faa6dd" strokeweight="1pt" o:spt="1">
                  <v:fill/>
                  <v:stroke linestyle="single" miterlimit="8" endcap="flat" dashstyle="solid" filltype="solid"/>
                  <v:textbox style="layout-flow:horizontal;"/>
                  <v:imagedata o:title=""/>
                  <w10:wrap type="none" anchorx="text" anchory="text"/>
                </v:rect>
                <v:rect id="オブジェクト 0" style="height:200;width:203;top:8776;left:7139;position:absolute;" o:spid="_x0000_s1174" filled="t" fillcolor="#04feff" stroked="t" strokecolor="#00ffff" strokeweight="1pt" o:spt="1">
                  <v:fill/>
                  <v:stroke linestyle="single" miterlimit="8" endcap="flat" dashstyle="solid" filltype="solid"/>
                  <v:textbox style="layout-flow:horizontal;"/>
                  <v:imagedata o:title=""/>
                  <w10:wrap type="none" anchorx="text" anchory="text"/>
                </v:rect>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4-1-26</w:t>
      </w:r>
      <w:r>
        <w:rPr>
          <w:rFonts w:hint="eastAsia" w:ascii="ＭＳ ゴシック" w:hAnsi="ＭＳ ゴシック" w:eastAsia="ＭＳ ゴシック"/>
          <w:color w:val="auto"/>
          <w:sz w:val="22"/>
          <w:highlight w:val="none"/>
          <w:u w:val="none" w:color="FF0000"/>
        </w:rPr>
        <w:t>）＜本県が指定する医師多数区域及び医師少数区域＞</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医師少数スポットの指定</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「医師少数スポット」とは、「医師少数区域」以外で局所的に医師が少ない地域を都道府県が指定し、「医師少数区域」と同様に取り扱うことができる地域です。</w:t>
      </w:r>
    </w:p>
    <w:p>
      <w:pPr>
        <w:pStyle w:val="0"/>
        <w:spacing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なお、改正医療法における「医師の確保を特に図るべき区域」とは、「医師少数区域」及び「医師少数スポット」を指します。</w:t>
      </w:r>
    </w:p>
    <w:p>
      <w:pPr>
        <w:pStyle w:val="0"/>
        <w:spacing w:line="240" w:lineRule="auto"/>
        <w:ind w:left="227" w:leftChars="100" w:right="0" w:rightChars="0" w:firstLine="227" w:firstLineChars="100"/>
        <w:jc w:val="both"/>
        <w:rPr>
          <w:rFonts w:hint="eastAsia"/>
          <w:kern w:val="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（１）医師少数スポットの指定の考え方</w:t>
      </w:r>
    </w:p>
    <w:p>
      <w:pPr>
        <w:pStyle w:val="0"/>
        <w:snapToGrid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本県においては、地理的な条件から他地域と比較して生活環境の整備等が低位にある地域が多くある状況を踏まえ、「医師少数スポット」の指定の考え方は次のとおりとします。</w:t>
      </w:r>
    </w:p>
    <w:p>
      <w:pPr>
        <w:pStyle w:val="0"/>
        <w:wordWrap w:val="0"/>
        <w:overflowPunct w:val="1"/>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救急医療等の医療計画上の政策医療を担う医療機関が現に存在し、かつ、地理的な条件により当該医療機関へのアクセスが制限されるとともに、当該医療機関における継続的な医師の確保が困難な地域とする。なお、具体的には、関係法令により指定された地域等</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を有する市町村を指定する。</w:t>
      </w:r>
    </w:p>
    <w:p>
      <w:pPr>
        <w:pStyle w:val="0"/>
        <w:snapToGrid w:val="1"/>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※過疎地域自立促進特別措置法における過疎地域、振興山村地域</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山村振興法</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、特定農山村地域</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特定農山村法</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、離島振興法</w:t>
      </w:r>
    </w:p>
    <w:p>
      <w:pPr>
        <w:pStyle w:val="0"/>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上記の他、地域医療対策協議会において「医師少数スポット」として、特に医師の確保を図ることが必要と了承された地域。</w:t>
      </w:r>
    </w:p>
    <w:p>
      <w:pPr>
        <w:pStyle w:val="0"/>
        <w:spacing w:line="240" w:lineRule="auto"/>
        <w:ind w:left="0" w:leftChars="0" w:right="-134" w:rightChars="-59" w:firstLine="0" w:firstLineChars="0"/>
        <w:jc w:val="both"/>
        <w:rPr>
          <w:rFonts w:hint="eastAsia"/>
          <w:kern w:val="2"/>
          <w:highlight w:val="none"/>
        </w:rPr>
      </w:pP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なお、「医師少数スポット」を含む「医師の確保を特に図るべき区域」については、以下の医師確保のための施策において、同様の取扱いとなります。</w:t>
      </w:r>
    </w:p>
    <w:p>
      <w:pPr>
        <w:pStyle w:val="0"/>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医師養成奨学貸付金制度</w:t>
      </w:r>
    </w:p>
    <w:p>
      <w:pPr>
        <w:pStyle w:val="0"/>
        <w:snapToGrid w:val="1"/>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w:t>
      </w:r>
      <w:r>
        <w:rPr>
          <w:rFonts w:hint="eastAsia" w:ascii="ＭＳ 明朝" w:hAnsi="ＭＳ 明朝" w:eastAsia="ＭＳ 明朝"/>
          <w:kern w:val="2"/>
          <w:sz w:val="22"/>
          <w:highlight w:val="none"/>
        </w:rPr>
        <w:t>7</w:t>
      </w:r>
      <w:r>
        <w:rPr>
          <w:rFonts w:hint="eastAsia" w:ascii="ＭＳ 明朝" w:hAnsi="ＭＳ 明朝" w:eastAsia="ＭＳ 明朝"/>
          <w:kern w:val="2"/>
          <w:sz w:val="22"/>
          <w:highlight w:val="none"/>
        </w:rPr>
        <w:t>月の「医療法及び医師法の一部を改正する法律」の施行により都道府県が策定することとなった地域枠医師等を対象としたキャリア形成プログラム（医師が不足している地域における医師の確保に資するとともに、当該地域に派遣される医師の能力の開発及び向上を図ることを目的とする計画）の運用指針（令和</w:t>
      </w:r>
      <w:r>
        <w:rPr>
          <w:rFonts w:hint="eastAsia" w:ascii="ＭＳ 明朝" w:hAnsi="ＭＳ 明朝" w:eastAsia="ＭＳ 明朝"/>
          <w:color w:val="auto"/>
          <w:kern w:val="2"/>
          <w:sz w:val="22"/>
          <w:highlight w:val="none"/>
          <w:u w:val="none" w:color="auto"/>
        </w:rPr>
        <w:t>３年</w:t>
      </w:r>
      <w:r>
        <w:rPr>
          <w:rFonts w:hint="eastAsia" w:ascii="ＭＳ 明朝" w:hAnsi="ＭＳ 明朝" w:eastAsia="ＭＳ 明朝"/>
          <w:color w:val="auto"/>
          <w:kern w:val="2"/>
          <w:sz w:val="22"/>
          <w:highlight w:val="none"/>
          <w:u w:val="none" w:color="auto"/>
        </w:rPr>
        <w:t>12</w:t>
      </w:r>
      <w:r>
        <w:rPr>
          <w:rFonts w:hint="eastAsia" w:ascii="ＭＳ 明朝" w:hAnsi="ＭＳ 明朝" w:eastAsia="ＭＳ 明朝"/>
          <w:kern w:val="2"/>
          <w:sz w:val="22"/>
          <w:highlight w:val="none"/>
        </w:rPr>
        <w:t>月一部改正）においては、地域枠医師等が一定期間勤務することとなる医療機関が所在する地域を「医師の確保を特に図るべき区域等」と規定されています。</w:t>
      </w:r>
    </w:p>
    <w:p>
      <w:pPr>
        <w:pStyle w:val="0"/>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「医師少数区域経験認定医師」制度（令和２年４月施行）</w:t>
      </w:r>
    </w:p>
    <w:p>
      <w:pPr>
        <w:pStyle w:val="0"/>
        <w:snapToGrid w:val="1"/>
        <w:ind w:left="454" w:leftChars="2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の医療法一部改正により、厚生労働大臣が法第７条に規定する臨床研修等修了医師からの申請に基づき、「医師の確保を特に図るべき区域」における医療の提供に関する知見を有するために必要な経験を有する者であることを認定する制度が令和２年４月から施行されています。</w:t>
      </w:r>
    </w:p>
    <w:p>
      <w:pPr>
        <w:pStyle w:val="0"/>
        <w:snapToGrid w:val="1"/>
        <w:ind w:left="454" w:leftChars="200" w:right="0" w:rightChars="0" w:firstLine="227" w:firstLineChars="100"/>
        <w:jc w:val="both"/>
        <w:rPr>
          <w:rFonts w:hint="eastAsia"/>
          <w:kern w:val="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（２）医師少数スポットの指定</w:t>
      </w:r>
    </w:p>
    <w:p>
      <w:pPr>
        <w:pStyle w:val="0"/>
        <w:snapToGrid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本県では、（１）の考え方に基づき、中央及び安芸</w:t>
      </w:r>
      <w:r>
        <w:rPr>
          <w:rFonts w:hint="eastAsia" w:ascii="ＭＳ 明朝" w:hAnsi="ＭＳ 明朝" w:eastAsia="ＭＳ 明朝"/>
          <w:color w:val="auto"/>
          <w:kern w:val="2"/>
          <w:sz w:val="22"/>
          <w:highlight w:val="none"/>
          <w:u w:val="none" w:color="auto"/>
        </w:rPr>
        <w:t>、高幡</w:t>
      </w:r>
      <w:r>
        <w:rPr>
          <w:rFonts w:hint="eastAsia" w:ascii="ＭＳ 明朝" w:hAnsi="ＭＳ 明朝" w:eastAsia="ＭＳ 明朝"/>
          <w:kern w:val="2"/>
          <w:sz w:val="22"/>
          <w:highlight w:val="none"/>
        </w:rPr>
        <w:t>医療圏の次の市町村を「医師少数スポット」として指定します。</w:t>
      </w:r>
    </w:p>
    <w:p>
      <w:pPr>
        <w:pStyle w:val="0"/>
        <w:snapToGrid w:val="0"/>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4-1-27</w:t>
      </w:r>
      <w:r>
        <w:rPr>
          <w:rFonts w:hint="eastAsia" w:ascii="ＭＳ ゴシック" w:hAnsi="ＭＳ ゴシック" w:eastAsia="ＭＳ ゴシック"/>
          <w:color w:val="auto"/>
          <w:kern w:val="0"/>
          <w:sz w:val="22"/>
          <w:highlight w:val="none"/>
        </w:rPr>
        <w:t>）医師少数スポットとして指定する地域</w:t>
      </w:r>
    </w:p>
    <w:tbl>
      <w:tblPr>
        <w:tblStyle w:val="11"/>
        <w:tblpPr w:leftFromText="0" w:rightFromText="0" w:topFromText="0" w:bottomFromText="0" w:vertAnchor="text" w:horzAnchor="margin" w:tblpX="1083" w:tblpY="15"/>
        <w:tblOverlap w:val="never"/>
        <w:tblW w:w="0" w:type="auto"/>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816"/>
        <w:gridCol w:w="5675"/>
      </w:tblGrid>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20"/>
                <w:highlight w:val="none"/>
              </w:rPr>
              <w:t>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20"/>
                <w:highlight w:val="none"/>
              </w:rPr>
              <w:t>医師少数スポットとして指定する地域</w:t>
            </w:r>
          </w:p>
        </w:tc>
      </w:tr>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20"/>
                <w:highlight w:val="none"/>
              </w:rPr>
              <w:t>安芸医療圏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both"/>
              <w:rPr>
                <w:rFonts w:hint="eastAsia" w:ascii="ＭＳ 明朝" w:hAnsi="ＭＳ 明朝" w:eastAsia="ＭＳ 明朝"/>
                <w:sz w:val="21"/>
                <w:highlight w:val="none"/>
              </w:rPr>
            </w:pPr>
            <w:r>
              <w:rPr>
                <w:rFonts w:hint="eastAsia" w:ascii="ＭＳ 明朝" w:hAnsi="ＭＳ 明朝" w:eastAsia="ＭＳ 明朝"/>
                <w:sz w:val="20"/>
                <w:highlight w:val="none"/>
              </w:rPr>
              <w:t>室戸市、安芸市、東洋町、奈半利町、田野町、安田町、馬路村、北川村、芸西村</w:t>
            </w:r>
          </w:p>
        </w:tc>
      </w:tr>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20"/>
                <w:highlight w:val="none"/>
              </w:rPr>
              <w:t>中央医療圏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both"/>
              <w:rPr>
                <w:rFonts w:hint="eastAsia" w:ascii="ＭＳ 明朝" w:hAnsi="ＭＳ 明朝" w:eastAsia="ＭＳ 明朝"/>
                <w:sz w:val="20"/>
                <w:highlight w:val="none"/>
              </w:rPr>
            </w:pPr>
            <w:r>
              <w:rPr>
                <w:rFonts w:hint="eastAsia" w:ascii="ＭＳ 明朝" w:hAnsi="ＭＳ 明朝" w:eastAsia="ＭＳ 明朝"/>
                <w:sz w:val="20"/>
                <w:highlight w:val="none"/>
              </w:rPr>
              <w:t>土佐市、香南市、香美市、本山町、大豊町、土佐町、</w:t>
            </w:r>
          </w:p>
          <w:p>
            <w:pPr>
              <w:pStyle w:val="0"/>
              <w:spacing w:line="240" w:lineRule="auto"/>
              <w:jc w:val="both"/>
              <w:rPr>
                <w:rFonts w:hint="eastAsia" w:ascii="ＭＳ 明朝" w:hAnsi="ＭＳ 明朝" w:eastAsia="ＭＳ 明朝"/>
                <w:sz w:val="21"/>
                <w:highlight w:val="none"/>
              </w:rPr>
            </w:pPr>
            <w:r>
              <w:rPr>
                <w:rFonts w:hint="eastAsia" w:ascii="ＭＳ 明朝" w:hAnsi="ＭＳ 明朝" w:eastAsia="ＭＳ 明朝"/>
                <w:sz w:val="20"/>
                <w:highlight w:val="none"/>
              </w:rPr>
              <w:t>大川村、いの町、仁淀川町、佐川町、越知町、日高村</w:t>
            </w:r>
          </w:p>
        </w:tc>
      </w:tr>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明朝" w:hAnsi="ＭＳ 明朝" w:eastAsia="ＭＳ 明朝"/>
                <w:color w:val="auto"/>
                <w:sz w:val="21"/>
                <w:highlight w:val="none"/>
                <w:u w:val="none" w:color="auto"/>
              </w:rPr>
            </w:pPr>
            <w:r>
              <w:rPr>
                <w:rFonts w:hint="eastAsia" w:ascii="ＭＳ 明朝" w:hAnsi="ＭＳ 明朝" w:eastAsia="ＭＳ 明朝"/>
                <w:color w:val="auto"/>
                <w:sz w:val="20"/>
                <w:highlight w:val="none"/>
                <w:u w:val="none" w:color="FF0000"/>
              </w:rPr>
              <w:t>高幡医療圏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both"/>
              <w:rPr>
                <w:rFonts w:hint="eastAsia" w:ascii="ＭＳ 明朝" w:hAnsi="ＭＳ 明朝" w:eastAsia="ＭＳ 明朝"/>
                <w:color w:val="auto"/>
                <w:sz w:val="21"/>
                <w:highlight w:val="none"/>
                <w:u w:val="none" w:color="auto"/>
              </w:rPr>
            </w:pPr>
            <w:r>
              <w:rPr>
                <w:rFonts w:hint="eastAsia" w:ascii="ＭＳ 明朝" w:hAnsi="ＭＳ 明朝" w:eastAsia="ＭＳ 明朝"/>
                <w:color w:val="auto"/>
                <w:sz w:val="20"/>
                <w:highlight w:val="none"/>
                <w:u w:val="none" w:color="FF0000"/>
              </w:rPr>
              <w:t>須崎市、中土佐町、檮原町、津野町、四万十町</w:t>
            </w:r>
          </w:p>
        </w:tc>
      </w:tr>
    </w:tbl>
    <w:p>
      <w:pPr>
        <w:pStyle w:val="0"/>
        <w:spacing w:line="240" w:lineRule="auto"/>
        <w:ind w:left="0" w:leftChars="0" w:right="-134" w:rightChars="-59" w:firstLine="0" w:firstLineChars="0"/>
        <w:jc w:val="both"/>
        <w:rPr>
          <w:rFonts w:hint="eastAsia" w:ascii="游明朝" w:hAnsi="游明朝" w:eastAsia="游明朝"/>
          <w:b w:val="1"/>
          <w:sz w:val="22"/>
          <w:highlight w:val="none"/>
          <w:shd w:val="clear" w:color="auto" w:fill="auto"/>
        </w:rPr>
      </w:pPr>
      <w:r>
        <w:rPr>
          <w:rFonts w:hint="eastAsia"/>
          <w:color w:val="auto"/>
          <w:highlight w:val="none"/>
        </w:rPr>
        <w:br w:type="page"/>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4-1-28</w:t>
      </w:r>
      <w:r>
        <w:rPr>
          <w:rFonts w:hint="eastAsia" w:ascii="ＭＳ ゴシック" w:hAnsi="ＭＳ ゴシック" w:eastAsia="ＭＳ ゴシック"/>
          <w:color w:val="auto"/>
          <w:sz w:val="22"/>
          <w:highlight w:val="none"/>
          <w:u w:val="none" w:color="FF0000"/>
        </w:rPr>
        <w:t>）＜本県が指定する医師多数及び少数区域、医師少数スポット＞</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203" behindDoc="0" locked="0" layoutInCell="1" hidden="0" allowOverlap="1">
                <wp:simplePos x="0" y="0"/>
                <wp:positionH relativeFrom="column">
                  <wp:posOffset>111760</wp:posOffset>
                </wp:positionH>
                <wp:positionV relativeFrom="paragraph">
                  <wp:posOffset>31750</wp:posOffset>
                </wp:positionV>
                <wp:extent cx="5647690" cy="4302125"/>
                <wp:effectExtent l="635" t="635" r="29845" b="10795"/>
                <wp:wrapNone/>
                <wp:docPr id="1175" name="オブジェクト 0"/>
                <a:graphic xmlns:a="http://schemas.openxmlformats.org/drawingml/2006/main">
                  <a:graphicData uri="http://schemas.microsoft.com/office/word/2010/wordprocessingGroup">
                    <wpg:wgp>
                      <wpg:cNvGrpSpPr/>
                      <wpg:grpSpPr>
                        <a:xfrm>
                          <a:off x="0" y="0"/>
                          <a:ext cx="5647690" cy="4302125"/>
                          <a:chOff x="1594" y="1818"/>
                          <a:chExt cx="8894" cy="6775"/>
                        </a:xfrm>
                      </wpg:grpSpPr>
                      <pic:pic xmlns:pic="http://schemas.openxmlformats.org/drawingml/2006/picture">
                        <pic:nvPicPr>
                          <pic:cNvPr id="1176" name="オブジェクト 0"/>
                          <pic:cNvPicPr>
                            <a:picLocks noChangeAspect="1"/>
                          </pic:cNvPicPr>
                        </pic:nvPicPr>
                        <pic:blipFill>
                          <a:blip r:embed="rId41"/>
                          <a:srcRect t="10077" b="12543"/>
                          <a:stretch>
                            <a:fillRect/>
                          </a:stretch>
                        </pic:blipFill>
                        <pic:spPr>
                          <a:xfrm>
                            <a:off x="2435" y="2989"/>
                            <a:ext cx="7016" cy="5429"/>
                          </a:xfrm>
                          <a:prstGeom prst="rect">
                            <a:avLst/>
                          </a:prstGeom>
                          <a:noFill/>
                          <a:ln>
                            <a:miter/>
                          </a:ln>
                        </pic:spPr>
                      </pic:pic>
                      <wps:wsp>
                        <wps:cNvPr id="1177" name="オブジェクト 0"/>
                        <wps:cNvSpPr txBox="1">
                          <a:spLocks noChangeArrowheads="1"/>
                        </wps:cNvSpPr>
                        <wps:spPr>
                          <a:xfrm>
                            <a:off x="5816" y="2166"/>
                            <a:ext cx="1657" cy="883"/>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sz w:val="8"/>
                                </w:rPr>
                              </w:pPr>
                              <w:r>
                                <w:rPr>
                                  <w:rFonts w:hint="eastAsia"/>
                                  <w:sz w:val="12"/>
                                </w:rPr>
                                <w:t>（医師多数区域）</w:t>
                              </w:r>
                            </w:p>
                            <w:p>
                              <w:pPr>
                                <w:pStyle w:val="0"/>
                                <w:spacing w:before="0" w:beforeLines="0" w:beforeAutospacing="0" w:after="0" w:afterLines="0" w:afterAutospacing="0" w:line="180" w:lineRule="exact"/>
                                <w:jc w:val="center"/>
                                <w:rPr>
                                  <w:rFonts w:hint="eastAsia"/>
                                  <w:sz w:val="8"/>
                                </w:rPr>
                              </w:pPr>
                              <w:r>
                                <w:rPr>
                                  <w:rFonts w:hint="eastAsia"/>
                                  <w:sz w:val="12"/>
                                  <w:u w:val="single" w:color="000000"/>
                                </w:rPr>
                                <w:t>＊高知市・南国市以外</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wps:txbx>
                        <wps:bodyPr vertOverflow="overflow" horzOverflow="overflow" wrap="square" upright="1"/>
                      </wps:wsp>
                      <wps:wsp>
                        <wps:cNvPr id="1178" name="オブジェクト 0"/>
                        <wps:cNvSpPr txBox="1">
                          <a:spLocks noChangeArrowheads="1"/>
                        </wps:cNvSpPr>
                        <wps:spPr>
                          <a:xfrm>
                            <a:off x="8689" y="2792"/>
                            <a:ext cx="1692" cy="1102"/>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sz w:val="8"/>
                                </w:rPr>
                              </w:pPr>
                              <w:r>
                                <w:rPr>
                                  <w:rFonts w:hint="eastAsia"/>
                                  <w:sz w:val="12"/>
                                </w:rPr>
                                <w:t>少数でもない区域）</w:t>
                              </w:r>
                            </w:p>
                            <w:p>
                              <w:pPr>
                                <w:pStyle w:val="0"/>
                                <w:spacing w:before="0" w:beforeLines="0" w:beforeAutospacing="0" w:after="0" w:afterLines="0" w:afterAutospacing="0" w:line="180" w:lineRule="exact"/>
                                <w:jc w:val="center"/>
                                <w:rPr>
                                  <w:rFonts w:hint="eastAsia"/>
                                  <w:sz w:val="8"/>
                                  <w:u w:val="single" w:color="000000"/>
                                </w:rPr>
                              </w:pPr>
                              <w:r>
                                <w:rPr>
                                  <w:rFonts w:hint="eastAsia"/>
                                  <w:sz w:val="12"/>
                                  <w:u w:val="single" w:color="000000"/>
                                </w:rPr>
                                <w:t>＊全市町村</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wps:txbx>
                        <wps:bodyPr vertOverflow="overflow" horzOverflow="overflow" wrap="square" upright="1"/>
                      </wps:wsp>
                      <wps:wsp>
                        <wps:cNvPr id="1179" name="オブジェクト 0"/>
                        <wps:cNvSpPr txBox="1">
                          <a:spLocks noChangeArrowheads="1"/>
                        </wps:cNvSpPr>
                        <wps:spPr>
                          <a:xfrm>
                            <a:off x="1720" y="6668"/>
                            <a:ext cx="1393" cy="503"/>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wps:txbx>
                        <wps:bodyPr vertOverflow="overflow" horzOverflow="overflow" wrap="square" upright="1"/>
                      </wps:wsp>
                      <wps:wsp>
                        <wps:cNvPr id="1180" name="オブジェクト 0"/>
                        <wps:cNvSpPr txBox="1">
                          <a:spLocks noChangeArrowheads="1"/>
                        </wps:cNvSpPr>
                        <wps:spPr>
                          <a:xfrm>
                            <a:off x="1986" y="4393"/>
                            <a:ext cx="1692" cy="1102"/>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少数でもない区域）</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single" w:color="000000" w:themeColor="text1"/>
                                </w:rPr>
                                <w:t>＊全市町</w:t>
                              </w:r>
                            </w:p>
                            <w:p>
                              <w:pPr>
                                <w:pStyle w:val="0"/>
                                <w:spacing w:before="0" w:beforeLines="0" w:beforeAutospacing="0" w:after="0" w:afterLines="0" w:afterAutospacing="0" w:line="180" w:lineRule="exact"/>
                                <w:jc w:val="center"/>
                                <w:rPr>
                                  <w:rFonts w:hint="eastAsia"/>
                                </w:rPr>
                              </w:pPr>
                              <w:r>
                                <w:rPr>
                                  <w:rFonts w:hint="eastAsia"/>
                                  <w:color w:val="auto"/>
                                  <w:sz w:val="12"/>
                                  <w:u w:val="single" w:color="000000" w:themeColor="text1"/>
                                </w:rPr>
                                <w:t>医師少数スポット</w:t>
                              </w:r>
                            </w:p>
                          </w:txbxContent>
                        </wps:txbx>
                        <wps:bodyPr vertOverflow="overflow" horzOverflow="overflow" wrap="square" upright="1"/>
                      </wps:wsp>
                      <wps:wsp>
                        <wps:cNvPr id="1181" name="オブジェクト 0"/>
                        <wps:cNvSpPr>
                          <a:spLocks noChangeArrowheads="1"/>
                        </wps:cNvSpPr>
                        <wps:spPr>
                          <a:xfrm>
                            <a:off x="1594" y="1818"/>
                            <a:ext cx="8894" cy="6775"/>
                          </a:xfrm>
                          <a:prstGeom prst="rect">
                            <a:avLst/>
                          </a:prstGeom>
                          <a:noFill/>
                          <a:ln w="9525" cap="flat" cmpd="sng">
                            <a:solidFill>
                              <a:srgbClr val="000000"/>
                            </a:solidFill>
                            <a:prstDash val="solid"/>
                            <a:miter lim="800000"/>
                            <a:headEnd type="none" w="med" len="med"/>
                            <a:tailEnd type="none" w="med" len="med"/>
                          </a:ln>
                        </wps:spPr>
                        <wps:bodyPr/>
                      </wps:wsp>
                      <wps:wsp>
                        <wps:cNvPr id="1182" name="オブジェクト 0"/>
                        <wps:cNvSpPr txBox="1"/>
                        <wps:spPr>
                          <a:xfrm>
                            <a:off x="7472" y="6452"/>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医師多数区域</w:t>
                              </w:r>
                            </w:p>
                          </w:txbxContent>
                        </wps:txbx>
                        <wps:bodyPr vertOverflow="overflow" horzOverflow="overflow" wrap="square" lIns="74295" tIns="8890" rIns="74295" bIns="8890"/>
                      </wps:wsp>
                      <wps:wsp>
                        <wps:cNvPr id="1183" name="オブジェクト 0"/>
                        <wps:cNvSpPr txBox="1"/>
                        <wps:spPr>
                          <a:xfrm>
                            <a:off x="7472" y="6868"/>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医師少数区域</w:t>
                              </w:r>
                            </w:p>
                          </w:txbxContent>
                        </wps:txbx>
                        <wps:bodyPr vertOverflow="overflow" horzOverflow="overflow" wrap="square" lIns="74295" tIns="8890" rIns="74295" bIns="8890"/>
                      </wps:wsp>
                      <wps:wsp>
                        <wps:cNvPr id="1184" name="オブジェクト 0"/>
                        <wps:cNvSpPr txBox="1"/>
                        <wps:spPr>
                          <a:xfrm>
                            <a:off x="7473" y="7294"/>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医師少数スポット</w:t>
                              </w:r>
                            </w:p>
                          </w:txbxContent>
                        </wps:txbx>
                        <wps:bodyPr vertOverflow="overflow" horzOverflow="overflow" wrap="square" lIns="74295" tIns="8890" rIns="74295" bIns="8890"/>
                      </wps:wsp>
                      <wps:wsp>
                        <wps:cNvPr id="1185" name="オブジェクト 0"/>
                        <wps:cNvSpPr/>
                        <wps:spPr>
                          <a:xfrm>
                            <a:off x="7302" y="7387"/>
                            <a:ext cx="203" cy="200"/>
                          </a:xfrm>
                          <a:prstGeom prst="rect">
                            <a:avLst/>
                          </a:prstGeom>
                          <a:solidFill>
                            <a:srgbClr val="8796F5"/>
                          </a:solidFill>
                          <a:ln w="12700" cap="flat" cmpd="sng" algn="ctr">
                            <a:solidFill>
                              <a:srgbClr val="8796F5"/>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86" name="オブジェクト 0"/>
                        <wps:cNvSpPr/>
                        <wps:spPr>
                          <a:xfrm>
                            <a:off x="7302" y="6538"/>
                            <a:ext cx="203" cy="200"/>
                          </a:xfrm>
                          <a:prstGeom prst="rect">
                            <a:avLst/>
                          </a:prstGeom>
                          <a:solidFill>
                            <a:srgbClr val="FAA6DD"/>
                          </a:solidFill>
                          <a:ln w="12700" cap="flat" cmpd="sng" algn="ctr">
                            <a:solidFill>
                              <a:srgbClr val="FAA6DD"/>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87" name="オブジェクト 0"/>
                        <wps:cNvSpPr/>
                        <wps:spPr>
                          <a:xfrm>
                            <a:off x="7302" y="6968"/>
                            <a:ext cx="203" cy="200"/>
                          </a:xfrm>
                          <a:prstGeom prst="rect">
                            <a:avLst/>
                          </a:prstGeom>
                          <a:solidFill>
                            <a:srgbClr val="04FEFF"/>
                          </a:solidFill>
                          <a:ln w="12700" cap="flat" cmpd="sng" algn="ctr">
                            <a:solidFill>
                              <a:srgbClr val="00FFFF"/>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オブジェクト 0" style="margin-top:2.5pt;mso-position-vertical-relative:text;mso-position-horizontal-relative:text;position:absolute;height:338.75pt;width:444.7pt;margin-left:8.8000000000000007pt;z-index:203;" coordsize="8894,6775" coordorigin="1594,1818" o:spid="_x0000_s117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5429;width:7016;top:2989;left:2435;position:absolute;" o:spid="_x0000_s1176" filled="f" stroked="f" o:spt="75" type="#_x0000_t75">
                  <v:fill/>
                  <v:imagedata croptop="6604f" cropbottom="8220f" o:title="" r:id="rId41"/>
                  <w10:wrap type="none" anchorx="text" anchory="text"/>
                </v:shape>
                <v:shapetype id="_x0000_t202" coordsize="21600,21600" o:spt="202" path="m,l,21600r21600,l21600,xe">
                  <v:stroke joinstyle="miter"/>
                  <v:path gradientshapeok="t" o:connecttype="rect"/>
                </v:shapetype>
                <v:shape id="オブジェクト 0" style="height:883;width:1657;top:2166;left:5816;position:absolute;" o:spid="_x0000_s1177"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sz w:val="8"/>
                          </w:rPr>
                        </w:pPr>
                        <w:r>
                          <w:rPr>
                            <w:rFonts w:hint="eastAsia"/>
                            <w:sz w:val="12"/>
                          </w:rPr>
                          <w:t>（医師多数区域）</w:t>
                        </w:r>
                      </w:p>
                      <w:p>
                        <w:pPr>
                          <w:pStyle w:val="0"/>
                          <w:spacing w:before="0" w:beforeLines="0" w:beforeAutospacing="0" w:after="0" w:afterLines="0" w:afterAutospacing="0" w:line="180" w:lineRule="exact"/>
                          <w:jc w:val="center"/>
                          <w:rPr>
                            <w:rFonts w:hint="eastAsia"/>
                            <w:sz w:val="8"/>
                          </w:rPr>
                        </w:pPr>
                        <w:r>
                          <w:rPr>
                            <w:rFonts w:hint="eastAsia"/>
                            <w:sz w:val="12"/>
                            <w:u w:val="single" w:color="000000"/>
                          </w:rPr>
                          <w:t>＊高知市・南国市以外</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v:textbox>
                  <v:imagedata o:title=""/>
                  <w10:wrap type="none" anchorx="text" anchory="text"/>
                </v:shape>
                <v:shape id="オブジェクト 0" style="height:1102;width:1692;top:2792;left:8689;position:absolute;" o:spid="_x0000_s1178"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sz w:val="8"/>
                          </w:rPr>
                        </w:pPr>
                        <w:r>
                          <w:rPr>
                            <w:rFonts w:hint="eastAsia"/>
                            <w:sz w:val="12"/>
                          </w:rPr>
                          <w:t>少数でもない区域）</w:t>
                        </w:r>
                      </w:p>
                      <w:p>
                        <w:pPr>
                          <w:pStyle w:val="0"/>
                          <w:spacing w:before="0" w:beforeLines="0" w:beforeAutospacing="0" w:after="0" w:afterLines="0" w:afterAutospacing="0" w:line="180" w:lineRule="exact"/>
                          <w:jc w:val="center"/>
                          <w:rPr>
                            <w:rFonts w:hint="eastAsia"/>
                            <w:sz w:val="8"/>
                            <w:u w:val="single" w:color="000000"/>
                          </w:rPr>
                        </w:pPr>
                        <w:r>
                          <w:rPr>
                            <w:rFonts w:hint="eastAsia"/>
                            <w:sz w:val="12"/>
                            <w:u w:val="single" w:color="000000"/>
                          </w:rPr>
                          <w:t>＊全市町村</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v:textbox>
                  <v:imagedata o:title=""/>
                  <w10:wrap type="none" anchorx="text" anchory="text"/>
                </v:shape>
                <v:shape id="オブジェクト 0" style="height:503;width:1393;top:6668;left:1720;position:absolute;" o:spid="_x0000_s1179"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v:textbox>
                  <v:imagedata o:title=""/>
                  <w10:wrap type="none" anchorx="text" anchory="text"/>
                </v:shape>
                <v:shape id="オブジェクト 0" style="height:1102;width:1692;top:4393;left:1986;position:absolute;" o:spid="_x0000_s1180"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少数でもない区域）</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single" w:color="000000" w:themeColor="text1"/>
                          </w:rPr>
                          <w:t>＊全市町</w:t>
                        </w:r>
                      </w:p>
                      <w:p>
                        <w:pPr>
                          <w:pStyle w:val="0"/>
                          <w:spacing w:before="0" w:beforeLines="0" w:beforeAutospacing="0" w:after="0" w:afterLines="0" w:afterAutospacing="0" w:line="180" w:lineRule="exact"/>
                          <w:jc w:val="center"/>
                          <w:rPr>
                            <w:rFonts w:hint="eastAsia"/>
                          </w:rPr>
                        </w:pPr>
                        <w:r>
                          <w:rPr>
                            <w:rFonts w:hint="eastAsia"/>
                            <w:color w:val="auto"/>
                            <w:sz w:val="12"/>
                            <w:u w:val="single" w:color="000000" w:themeColor="text1"/>
                          </w:rPr>
                          <w:t>医師少数スポット</w:t>
                        </w:r>
                      </w:p>
                    </w:txbxContent>
                  </v:textbox>
                  <v:imagedata o:title=""/>
                  <w10:wrap type="none" anchorx="text" anchory="text"/>
                </v:shape>
                <v:rect id="オブジェクト 0" style="height:6775;width:8894;top:1818;left:1594;position:absolute;" o:spid="_x0000_s1181"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v:shape id="オブジェクト 0" style="height:471;width:1801;top:6452;left:7472;position:absolute;" o:spid="_x0000_s1182"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医師多数区域</w:t>
                        </w:r>
                      </w:p>
                    </w:txbxContent>
                  </v:textbox>
                  <v:imagedata o:title=""/>
                  <w10:wrap type="none" anchorx="text" anchory="text"/>
                </v:shape>
                <v:shape id="オブジェクト 0" style="height:471;width:1801;top:6868;left:7472;position:absolute;" o:spid="_x0000_s1183"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医師少数区域</w:t>
                        </w:r>
                      </w:p>
                    </w:txbxContent>
                  </v:textbox>
                  <v:imagedata o:title=""/>
                  <w10:wrap type="none" anchorx="text" anchory="text"/>
                </v:shape>
                <v:shape id="オブジェクト 0" style="height:471;width:1801;top:7294;left:7473;position:absolute;" o:spid="_x0000_s1184"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医師少数スポット</w:t>
                        </w:r>
                      </w:p>
                    </w:txbxContent>
                  </v:textbox>
                  <v:imagedata o:title=""/>
                  <w10:wrap type="none" anchorx="text" anchory="text"/>
                </v:shape>
                <v:rect id="オブジェクト 0" style="height:200;width:203;top:7387;left:7302;position:absolute;" o:spid="_x0000_s1185" filled="t" fillcolor="#8796f5" stroked="t" strokecolor="#8796f5" strokeweight="1pt" o:spt="1">
                  <v:fill/>
                  <v:stroke linestyle="single" miterlimit="8" endcap="flat" dashstyle="solid" filltype="solid"/>
                  <v:textbox style="layout-flow:horizontal;"/>
                  <v:imagedata o:title=""/>
                  <w10:wrap type="none" anchorx="text" anchory="text"/>
                </v:rect>
                <v:rect id="オブジェクト 0" style="height:200;width:203;top:6538;left:7302;position:absolute;" o:spid="_x0000_s1186" filled="t" fillcolor="#faa6dd" stroked="t" strokecolor="#faa6dd" strokeweight="1pt" o:spt="1">
                  <v:fill/>
                  <v:stroke linestyle="single" miterlimit="8" endcap="flat" dashstyle="solid" filltype="solid"/>
                  <v:textbox style="layout-flow:horizontal;"/>
                  <v:imagedata o:title=""/>
                  <w10:wrap type="none" anchorx="text" anchory="text"/>
                </v:rect>
                <v:rect id="オブジェクト 0" style="height:200;width:203;top:6968;left:7302;position:absolute;" o:spid="_x0000_s1187" filled="t" fillcolor="#04feff" stroked="t" strokecolor="#00ffff" strokeweight="1pt" o:spt="1">
                  <v:fill/>
                  <v:stroke linestyle="single" miterlimit="8" endcap="flat" dashstyle="solid" filltype="solid"/>
                  <v:textbox style="layout-flow:horizontal;"/>
                  <v:imagedata o:title=""/>
                  <w10:wrap type="none" anchorx="text" anchory="text"/>
                </v:rect>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w:br w:type="page"/>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4-1-29</w:t>
      </w:r>
      <w:r>
        <w:rPr>
          <w:rFonts w:hint="eastAsia" w:ascii="ＭＳ ゴシック" w:hAnsi="ＭＳ ゴシック" w:eastAsia="ＭＳ ゴシック"/>
          <w:color w:val="auto"/>
          <w:sz w:val="22"/>
          <w:highlight w:val="none"/>
          <w:u w:val="none" w:color="FF0000"/>
        </w:rPr>
        <w:t>）本県における過疎地域等の状況</w:t>
      </w:r>
    </w:p>
    <w:p>
      <w:pPr>
        <w:pStyle w:val="0"/>
        <w:spacing w:before="0" w:beforeLines="0" w:beforeAutospacing="0" w:after="165" w:afterLines="50" w:afterAutospacing="0" w:line="240" w:lineRule="auto"/>
        <w:ind w:left="0" w:leftChars="0" w:right="0" w:rightChars="0" w:firstLine="0" w:firstLineChars="0"/>
        <w:jc w:val="both"/>
        <w:rPr>
          <w:rFonts w:hint="eastAsia" w:ascii="ＭＳ 明朝" w:hAnsi="ＭＳ 明朝" w:eastAsia="ＭＳ 明朝"/>
          <w:b w:val="1"/>
          <w:i w:val="0"/>
          <w:color w:val="1F497D"/>
          <w:kern w:val="2"/>
          <w:sz w:val="22"/>
          <w:highlight w:val="none"/>
        </w:rPr>
      </w:pPr>
      <w:r>
        <w:rPr>
          <w:rFonts w:hint="eastAsia"/>
        </w:rPr>
        <w:drawing>
          <wp:inline distT="0" distB="0" distL="203200" distR="203200">
            <wp:extent cx="5759450" cy="7633335"/>
            <wp:effectExtent l="24130" t="24130" r="23495" b="23495"/>
            <wp:docPr id="1188" name="オブジェクト 0"/>
            <a:graphic xmlns:a="http://schemas.openxmlformats.org/drawingml/2006/main">
              <a:graphicData uri="http://schemas.openxmlformats.org/drawingml/2006/picture">
                <pic:pic xmlns:pic="http://schemas.openxmlformats.org/drawingml/2006/picture">
                  <pic:nvPicPr>
                    <pic:cNvPr id="1188" name="オブジェクト 0"/>
                    <pic:cNvPicPr>
                      <a:picLocks noChangeAspect="1"/>
                    </pic:cNvPicPr>
                  </pic:nvPicPr>
                  <pic:blipFill>
                    <a:blip r:embed="rId42"/>
                    <a:stretch>
                      <a:fillRect/>
                    </a:stretch>
                  </pic:blipFill>
                  <pic:spPr>
                    <a:xfrm>
                      <a:off x="0" y="0"/>
                      <a:ext cx="5759450" cy="7633335"/>
                    </a:xfrm>
                    <a:prstGeom prst="rect">
                      <a:avLst/>
                    </a:prstGeom>
                    <a:ln>
                      <a:solidFill>
                        <a:schemeClr val="tx1"/>
                      </a:solidFill>
                    </a:ln>
                  </pic:spPr>
                </pic:pic>
              </a:graphicData>
            </a:graphic>
          </wp:inline>
        </w:drawing>
      </w:r>
      <w:r>
        <w:rPr>
          <w:rFonts w:hint="eastAsia"/>
          <w:kern w:val="2"/>
          <w:highlight w:val="none"/>
        </w:rPr>
        <w:br w:type="page"/>
      </w:r>
      <w:r>
        <w:rPr>
          <w:rFonts w:hint="eastAsia" w:ascii="ＭＳ 明朝" w:hAnsi="ＭＳ 明朝" w:eastAsia="ＭＳ 明朝"/>
          <w:b w:val="1"/>
          <w:i w:val="0"/>
          <w:color w:val="1F497D"/>
          <w:kern w:val="2"/>
          <w:sz w:val="22"/>
          <w:highlight w:val="none"/>
        </w:rPr>
        <w:t>第４　医師確保の方針と目標医師数</w:t>
      </w:r>
    </w:p>
    <w:p>
      <w:pPr>
        <w:pStyle w:val="0"/>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医師確保の方針の考え方</w:t>
      </w:r>
      <w:r>
        <w:rPr>
          <w:rFonts w:hint="eastAsia" w:ascii="ＭＳ 明朝" w:hAnsi="ＭＳ 明朝" w:eastAsia="ＭＳ 明朝"/>
          <w:b w:val="1"/>
          <w:color w:val="0070C0"/>
          <w:kern w:val="2"/>
          <w:sz w:val="22"/>
          <w:highlight w:val="none"/>
        </w:rPr>
        <w:t xml:space="preserve"> </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の確保とともに県内における偏在是正のため、医師の少ない地域には、医師の多い地域から医師の確保を図ることが望ましいとされているため、それぞれの区域ごとに医師確保の方針を定めることとし、各区域に応じた「医師確保の方針」の考え方は図表</w:t>
      </w:r>
      <w:r>
        <w:rPr>
          <w:rFonts w:hint="eastAsia" w:ascii="ＭＳ 明朝" w:hAnsi="ＭＳ 明朝" w:eastAsia="ＭＳ 明朝"/>
          <w:kern w:val="2"/>
          <w:sz w:val="22"/>
          <w:highlight w:val="none"/>
        </w:rPr>
        <w:t>4-1-30</w:t>
      </w:r>
      <w:r>
        <w:rPr>
          <w:rFonts w:hint="eastAsia" w:ascii="ＭＳ 明朝" w:hAnsi="ＭＳ 明朝" w:eastAsia="ＭＳ 明朝"/>
          <w:kern w:val="2"/>
          <w:sz w:val="22"/>
          <w:highlight w:val="none"/>
        </w:rPr>
        <w:t>のとおりです。</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目標医師数の考え方</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国が示す「医師確保計画策定ガイドライン」では、目標医師数は</w:t>
      </w:r>
      <w:r>
        <w:rPr>
          <w:rFonts w:hint="eastAsia" w:ascii="ＭＳ 明朝" w:hAnsi="ＭＳ 明朝" w:eastAsia="ＭＳ 明朝"/>
          <w:color w:val="auto"/>
          <w:kern w:val="2"/>
          <w:sz w:val="22"/>
          <w:highlight w:val="none"/>
          <w:u w:val="none" w:color="auto"/>
        </w:rPr>
        <w:t>３年間の計画期間中（令和６年度～令和８年度）に、医師少数区域が計画期間開始時の下位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の基準を脱する（基準に達する）ために要する医師の数（計画期間終了時点において各医療圏で確保しておくべき医師の総数）と定められています。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目標医師数は、医師偏在指標を計画期間開始時点の下位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の基準値（</w:t>
      </w:r>
      <w:r>
        <w:rPr>
          <w:rFonts w:hint="eastAsia" w:ascii="ＭＳ 明朝" w:hAnsi="ＭＳ 明朝" w:eastAsia="ＭＳ 明朝"/>
          <w:color w:val="auto"/>
          <w:kern w:val="2"/>
          <w:sz w:val="22"/>
          <w:highlight w:val="none"/>
          <w:u w:val="none" w:color="auto"/>
        </w:rPr>
        <w:t>179.3</w:t>
      </w:r>
      <w:r>
        <w:rPr>
          <w:rFonts w:hint="eastAsia" w:ascii="ＭＳ 明朝" w:hAnsi="ＭＳ 明朝" w:eastAsia="ＭＳ 明朝"/>
          <w:color w:val="auto"/>
          <w:kern w:val="2"/>
          <w:sz w:val="22"/>
          <w:highlight w:val="none"/>
          <w:u w:val="none" w:color="auto"/>
        </w:rPr>
        <w:t>）に固定し算出することとなりますが、国が算出した計画期間終了時点における目標医師数（「国が算出した医師数」）は、３年後</w:t>
      </w:r>
      <w:r>
        <w:rPr>
          <w:rFonts w:hint="eastAsia" w:ascii="ＭＳ 明朝" w:hAnsi="ＭＳ 明朝" w:eastAsia="ＭＳ 明朝"/>
          <w:kern w:val="2"/>
          <w:sz w:val="22"/>
          <w:highlight w:val="none"/>
        </w:rPr>
        <w:t>の人口減少を見込んでいるため、結果的に、県内の全ての二次医療圏において、計画策定時における下位</w:t>
      </w:r>
      <w:r>
        <w:rPr>
          <w:rFonts w:hint="eastAsia" w:ascii="ＭＳ 明朝" w:hAnsi="ＭＳ 明朝" w:eastAsia="ＭＳ 明朝"/>
          <w:kern w:val="2"/>
          <w:sz w:val="22"/>
          <w:highlight w:val="none"/>
        </w:rPr>
        <w:t>1/3</w:t>
      </w:r>
      <w:r>
        <w:rPr>
          <w:rFonts w:hint="eastAsia" w:ascii="ＭＳ 明朝" w:hAnsi="ＭＳ 明朝" w:eastAsia="ＭＳ 明朝"/>
          <w:kern w:val="2"/>
          <w:sz w:val="22"/>
          <w:highlight w:val="none"/>
        </w:rPr>
        <w:t>の基準を脱することとなっています。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同ガイドラインでは、</w:t>
      </w:r>
      <w:r>
        <w:rPr>
          <w:rFonts w:hint="eastAsia" w:ascii="ＭＳ 明朝" w:hAnsi="ＭＳ 明朝" w:eastAsia="ＭＳ 明朝"/>
          <w:color w:val="auto"/>
          <w:kern w:val="2"/>
          <w:sz w:val="22"/>
          <w:highlight w:val="none"/>
          <w:u w:val="none" w:color="auto"/>
        </w:rPr>
        <w:t>「目標医師数は計画開始時の医師数を設定上限数とする」</w:t>
      </w:r>
      <w:r>
        <w:rPr>
          <w:rFonts w:hint="eastAsia" w:ascii="ＭＳ 明朝" w:hAnsi="ＭＳ 明朝" w:eastAsia="ＭＳ 明朝"/>
          <w:kern w:val="2"/>
          <w:sz w:val="22"/>
          <w:highlight w:val="none"/>
        </w:rPr>
        <w:t>こととされていることから、本県の目標医師数は図表</w:t>
      </w:r>
      <w:r>
        <w:rPr>
          <w:rFonts w:hint="eastAsia" w:ascii="ＭＳ 明朝" w:hAnsi="ＭＳ 明朝" w:eastAsia="ＭＳ 明朝"/>
          <w:kern w:val="2"/>
          <w:sz w:val="22"/>
          <w:highlight w:val="none"/>
        </w:rPr>
        <w:t>4-1-30</w:t>
      </w:r>
      <w:r>
        <w:rPr>
          <w:rFonts w:hint="eastAsia" w:ascii="ＭＳ 明朝" w:hAnsi="ＭＳ 明朝" w:eastAsia="ＭＳ 明朝"/>
          <w:kern w:val="2"/>
          <w:sz w:val="22"/>
          <w:highlight w:val="none"/>
        </w:rPr>
        <w:t>のとおりとなります。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あわせて、短・中期的目標として、県内臨床研修医数と高知大学医学部</w:t>
      </w:r>
      <w:r>
        <w:rPr>
          <w:rFonts w:hint="eastAsia" w:ascii="ＭＳ 明朝" w:hAnsi="ＭＳ 明朝" w:eastAsia="ＭＳ 明朝"/>
          <w:strike w:val="0"/>
          <w:dstrike w:val="0"/>
          <w:color w:val="auto"/>
          <w:kern w:val="2"/>
          <w:sz w:val="22"/>
          <w:highlight w:val="none"/>
          <w:u w:val="none" w:color="auto"/>
        </w:rPr>
        <w:t>附属病院専門研修プログラムへの登録者数</w:t>
      </w:r>
      <w:r>
        <w:rPr>
          <w:rFonts w:hint="eastAsia" w:ascii="ＭＳ 明朝" w:hAnsi="ＭＳ 明朝" w:eastAsia="ＭＳ 明朝"/>
          <w:color w:val="auto"/>
          <w:kern w:val="2"/>
          <w:sz w:val="22"/>
          <w:highlight w:val="none"/>
          <w:u w:val="none" w:color="auto"/>
        </w:rPr>
        <w:t>を図表</w:t>
      </w:r>
      <w:r>
        <w:rPr>
          <w:rFonts w:hint="eastAsia" w:ascii="ＭＳ 明朝" w:hAnsi="ＭＳ 明朝" w:eastAsia="ＭＳ 明朝"/>
          <w:color w:val="auto"/>
          <w:kern w:val="2"/>
          <w:sz w:val="22"/>
          <w:highlight w:val="none"/>
          <w:u w:val="none" w:color="auto"/>
        </w:rPr>
        <w:t>4-1-31</w:t>
      </w:r>
      <w:r>
        <w:rPr>
          <w:rFonts w:hint="eastAsia" w:ascii="ＭＳ 明朝" w:hAnsi="ＭＳ 明朝" w:eastAsia="ＭＳ 明朝"/>
          <w:color w:val="auto"/>
          <w:kern w:val="2"/>
          <w:sz w:val="22"/>
          <w:highlight w:val="none"/>
          <w:u w:val="none" w:color="auto"/>
        </w:rPr>
        <w:t>のとおり目標値とします。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4-1-30</w:t>
      </w:r>
      <w:r>
        <w:rPr>
          <w:rFonts w:hint="eastAsia" w:ascii="ＭＳ ゴシック" w:hAnsi="ＭＳ ゴシック" w:eastAsia="ＭＳ ゴシック"/>
          <w:color w:val="auto"/>
          <w:sz w:val="22"/>
          <w:highlight w:val="none"/>
          <w:u w:val="none" w:color="FF0000"/>
        </w:rPr>
        <w:t>）＜本県の医師確保の方針及び目標医師数＞</w:t>
      </w:r>
    </w:p>
    <w:tbl>
      <w:tblPr>
        <w:tblStyle w:val="11"/>
        <w:tblpPr w:leftFromText="0" w:rightFromText="0" w:topFromText="0" w:bottomFromText="0" w:vertAnchor="text" w:horzAnchor="margin" w:tblpX="448" w:tblpY="95"/>
        <w:tblOverlap w:val="never"/>
        <w:tblW w:w="880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360"/>
        <w:gridCol w:w="1732"/>
        <w:gridCol w:w="1589"/>
        <w:gridCol w:w="4123"/>
      </w:tblGrid>
      <w:tr>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0"/>
                <w:highlight w:val="none"/>
              </w:rPr>
              <w:t>医療圏</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w:t>
            </w:r>
          </w:p>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R2</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目標医師数</w:t>
            </w:r>
          </w:p>
          <w:p>
            <w:pPr>
              <w:pStyle w:val="0"/>
              <w:spacing w:line="240" w:lineRule="auto"/>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FF0000"/>
              </w:rPr>
              <w:t>R8</w:t>
            </w:r>
            <w:r>
              <w:rPr>
                <w:rFonts w:hint="eastAsia" w:ascii="ＭＳ 明朝" w:hAnsi="ＭＳ 明朝" w:eastAsia="ＭＳ 明朝"/>
                <w:color w:val="auto"/>
                <w:sz w:val="20"/>
                <w:highlight w:val="none"/>
                <w:u w:val="none" w:color="auto"/>
              </w:rPr>
              <w:t>年度末</w:t>
            </w:r>
          </w:p>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下位</w:t>
            </w:r>
            <w:r>
              <w:rPr>
                <w:rFonts w:hint="eastAsia" w:ascii="ＭＳ 明朝" w:hAnsi="ＭＳ 明朝" w:eastAsia="ＭＳ 明朝"/>
                <w:color w:val="auto"/>
                <w:sz w:val="20"/>
                <w:highlight w:val="none"/>
                <w:u w:val="none" w:color="auto"/>
              </w:rPr>
              <w:t>33.3%</w:t>
            </w:r>
            <w:r>
              <w:rPr>
                <w:rFonts w:hint="eastAsia" w:ascii="ＭＳ 明朝" w:hAnsi="ＭＳ 明朝" w:eastAsia="ＭＳ 明朝"/>
                <w:color w:val="auto"/>
                <w:sz w:val="20"/>
                <w:highlight w:val="none"/>
                <w:u w:val="none" w:color="auto"/>
              </w:rPr>
              <w:t>を脱するために要する医師数</w:t>
            </w:r>
            <w:r>
              <w:rPr>
                <w:rFonts w:hint="eastAsia" w:ascii="ＭＳ 明朝" w:hAnsi="ＭＳ 明朝" w:eastAsia="ＭＳ 明朝"/>
                <w:color w:val="auto"/>
                <w:sz w:val="20"/>
                <w:highlight w:val="none"/>
                <w:u w:val="none" w:color="auto"/>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tabs>
                <w:tab w:val="clear" w:pos="3750"/>
              </w:tabs>
              <w:spacing w:line="240" w:lineRule="auto"/>
              <w:ind w:left="0" w:leftChars="0" w:right="-297" w:rightChars="-131"/>
              <w:jc w:val="center"/>
              <w:rPr>
                <w:rFonts w:hint="eastAsia" w:ascii="ＭＳ 明朝" w:hAnsi="ＭＳ 明朝" w:eastAsia="ＭＳ 明朝"/>
                <w:highlight w:val="none"/>
              </w:rPr>
            </w:pPr>
            <w:r>
              <w:rPr>
                <w:rFonts w:hint="eastAsia" w:ascii="ＭＳ 明朝" w:hAnsi="ＭＳ 明朝" w:eastAsia="ＭＳ 明朝"/>
                <w:sz w:val="20"/>
                <w:highlight w:val="none"/>
              </w:rPr>
              <w:t>医師確保の方針</w:t>
            </w:r>
          </w:p>
        </w:tc>
      </w:tr>
      <w:tr>
        <w:trPr>
          <w:trHeight w:val="1521"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県全体</w:t>
            </w:r>
          </w:p>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0"/>
                <w:highlight w:val="none"/>
                <w:bdr w:val="single" w:color="auto" w:sz="4" w:space="0"/>
                <w:shd w:val="clear" w:color="auto" w:fill="FFE9FF"/>
              </w:rPr>
              <w:t>医師多数県</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2,227</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2,227</w:t>
            </w:r>
            <w:r>
              <w:rPr>
                <w:rFonts w:hint="eastAsia" w:ascii="ＭＳ 明朝" w:hAnsi="ＭＳ 明朝" w:eastAsia="ＭＳ 明朝"/>
                <w:color w:val="auto"/>
                <w:sz w:val="20"/>
                <w:highlight w:val="none"/>
                <w:u w:val="none" w:color="FF0000"/>
              </w:rPr>
              <w:t>人　</w:t>
            </w:r>
          </w:p>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w:t>
            </w:r>
            <w:r>
              <w:rPr>
                <w:rFonts w:hint="eastAsia" w:ascii="ＭＳ 明朝" w:hAnsi="ＭＳ 明朝" w:eastAsia="ＭＳ 明朝"/>
                <w:color w:val="auto"/>
                <w:sz w:val="20"/>
                <w:highlight w:val="none"/>
                <w:u w:val="none" w:color="FF0000"/>
              </w:rPr>
              <w:t>1,696</w:t>
            </w:r>
            <w:r>
              <w:rPr>
                <w:rFonts w:hint="eastAsia" w:ascii="ＭＳ 明朝" w:hAnsi="ＭＳ 明朝" w:eastAsia="ＭＳ 明朝"/>
                <w:color w:val="auto"/>
                <w:sz w:val="20"/>
                <w:highlight w:val="none"/>
                <w:u w:val="none" w:color="FF0000"/>
              </w:rPr>
              <w:t>人）</w:t>
            </w:r>
          </w:p>
          <w:p>
            <w:pPr>
              <w:pStyle w:val="0"/>
              <w:spacing w:line="240" w:lineRule="auto"/>
              <w:jc w:val="center"/>
              <w:rPr>
                <w:rFonts w:hint="eastAsia" w:ascii="ＭＳ 明朝" w:hAnsi="ＭＳ 明朝" w:eastAsia="ＭＳ 明朝"/>
                <w:color w:val="auto"/>
                <w:highlight w:val="none"/>
                <w:u w:val="none" w:color="auto"/>
              </w:rPr>
            </w:pP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ind w:left="210" w:hanging="210" w:hangingChars="100"/>
              <w:jc w:val="left"/>
              <w:rPr>
                <w:rFonts w:hint="eastAsia" w:ascii="ＭＳ 明朝" w:hAnsi="ＭＳ 明朝" w:eastAsia="ＭＳ 明朝"/>
                <w:sz w:val="20"/>
                <w:highlight w:val="none"/>
              </w:rPr>
            </w:pPr>
            <w:r>
              <w:rPr>
                <w:rFonts w:hint="eastAsia" w:ascii="ＭＳ 明朝" w:hAnsi="ＭＳ 明朝" w:eastAsia="ＭＳ 明朝"/>
                <w:sz w:val="20"/>
                <w:highlight w:val="none"/>
              </w:rPr>
              <w:t>○新たな医師確保対策による、他の都道府県からの医師確保は行いません。</w:t>
            </w:r>
          </w:p>
          <w:p>
            <w:pPr>
              <w:pStyle w:val="0"/>
              <w:spacing w:line="240" w:lineRule="auto"/>
              <w:ind w:left="210" w:hanging="210" w:hangingChars="100"/>
              <w:jc w:val="left"/>
              <w:rPr>
                <w:rFonts w:hint="eastAsia" w:ascii="ＭＳ 明朝" w:hAnsi="ＭＳ 明朝" w:eastAsia="ＭＳ 明朝"/>
                <w:highlight w:val="none"/>
              </w:rPr>
            </w:pPr>
            <w:r>
              <w:rPr>
                <w:rFonts w:hint="eastAsia" w:ascii="ＭＳ 明朝" w:hAnsi="ＭＳ 明朝" w:eastAsia="ＭＳ 明朝"/>
                <w:sz w:val="20"/>
                <w:highlight w:val="none"/>
              </w:rPr>
              <w:t>○現状の医師数の維持を基本とし、既存の医師確保対策を継続して実施します。</w:t>
            </w:r>
          </w:p>
        </w:tc>
      </w:tr>
      <w:tr>
        <w:trPr>
          <w:trHeight w:val="156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安芸</w:t>
            </w:r>
          </w:p>
          <w:p>
            <w:pPr>
              <w:pStyle w:val="0"/>
              <w:spacing w:line="240" w:lineRule="auto"/>
              <w:jc w:val="center"/>
              <w:rPr>
                <w:rFonts w:hint="eastAsia" w:ascii="ＭＳ 明朝" w:hAnsi="ＭＳ 明朝" w:eastAsia="ＭＳ 明朝"/>
                <w:highlight w:val="none"/>
              </w:rPr>
            </w:pP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103</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103</w:t>
            </w:r>
            <w:r>
              <w:rPr>
                <w:rFonts w:hint="eastAsia" w:ascii="ＭＳ 明朝" w:hAnsi="ＭＳ 明朝" w:eastAsia="ＭＳ 明朝"/>
                <w:color w:val="auto"/>
                <w:sz w:val="20"/>
                <w:highlight w:val="none"/>
                <w:u w:val="none" w:color="FF0000"/>
              </w:rPr>
              <w:t>人　</w:t>
            </w:r>
          </w:p>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w:t>
            </w:r>
            <w:r>
              <w:rPr>
                <w:rFonts w:hint="eastAsia" w:ascii="ＭＳ 明朝" w:hAnsi="ＭＳ 明朝" w:eastAsia="ＭＳ 明朝"/>
                <w:color w:val="auto"/>
                <w:sz w:val="20"/>
                <w:highlight w:val="none"/>
                <w:u w:val="none" w:color="FF0000"/>
              </w:rPr>
              <w:t>73</w:t>
            </w:r>
            <w:r>
              <w:rPr>
                <w:rFonts w:hint="eastAsia" w:ascii="ＭＳ 明朝" w:hAnsi="ＭＳ 明朝" w:eastAsia="ＭＳ 明朝"/>
                <w:color w:val="auto"/>
                <w:sz w:val="20"/>
                <w:highlight w:val="none"/>
                <w:u w:val="none" w:color="FF0000"/>
              </w:rPr>
              <w:t>人）</w:t>
            </w:r>
          </w:p>
          <w:p>
            <w:pPr>
              <w:pStyle w:val="0"/>
              <w:spacing w:line="240" w:lineRule="auto"/>
              <w:jc w:val="center"/>
              <w:rPr>
                <w:rFonts w:hint="eastAsia" w:ascii="ＭＳ 明朝" w:hAnsi="ＭＳ 明朝" w:eastAsia="ＭＳ 明朝"/>
                <w:color w:val="auto"/>
                <w:highlight w:val="none"/>
                <w:u w:val="none" w:color="auto"/>
              </w:rPr>
            </w:pP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ind w:left="210" w:hanging="210" w:hangingChars="100"/>
              <w:jc w:val="left"/>
              <w:rPr>
                <w:rFonts w:hint="eastAsia" w:ascii="ＭＳ 明朝" w:hAnsi="ＭＳ 明朝" w:eastAsia="ＭＳ 明朝"/>
                <w:sz w:val="20"/>
                <w:highlight w:val="none"/>
              </w:rPr>
            </w:pPr>
            <w:r>
              <w:rPr>
                <w:rFonts w:hint="eastAsia" w:ascii="ＭＳ 明朝" w:hAnsi="ＭＳ 明朝" w:eastAsia="ＭＳ 明朝"/>
                <w:sz w:val="20"/>
                <w:highlight w:val="none"/>
              </w:rPr>
              <w:t>○現状の医師数の維持を基本とし、既存の医師確保対策を継続して実施します。</w:t>
            </w:r>
          </w:p>
          <w:p>
            <w:pPr>
              <w:pStyle w:val="0"/>
              <w:spacing w:line="240" w:lineRule="auto"/>
              <w:ind w:left="210" w:hanging="210" w:hangingChars="100"/>
              <w:jc w:val="left"/>
              <w:rPr>
                <w:rFonts w:hint="eastAsia" w:ascii="ＭＳ 明朝" w:hAnsi="ＭＳ 明朝" w:eastAsia="ＭＳ 明朝"/>
                <w:highlight w:val="none"/>
              </w:rPr>
            </w:pPr>
            <w:r>
              <w:rPr>
                <w:rFonts w:hint="eastAsia" w:ascii="ＭＳ 明朝" w:hAnsi="ＭＳ 明朝" w:eastAsia="ＭＳ 明朝"/>
                <w:sz w:val="20"/>
                <w:highlight w:val="none"/>
              </w:rPr>
              <w:t>○医師少数スポットについては、医師少数区域と同様の方針とします。</w:t>
            </w:r>
          </w:p>
        </w:tc>
      </w:tr>
    </w:tbl>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w:br w:type="page"/>
      </w:r>
    </w:p>
    <w:tbl>
      <w:tblPr>
        <w:tblStyle w:val="11"/>
        <w:tblW w:w="8804" w:type="dxa"/>
        <w:jc w:val="left"/>
        <w:tblInd w:w="20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360"/>
        <w:gridCol w:w="1732"/>
        <w:gridCol w:w="1589"/>
        <w:gridCol w:w="4123"/>
      </w:tblGrid>
      <w:tr>
        <w:trPr>
          <w:trHeight w:val="191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r>
              <w:rPr>
                <w:rFonts w:hint="eastAsia" w:ascii="ＭＳ 明朝" w:hAnsi="ＭＳ 明朝" w:eastAsia="ＭＳ 明朝"/>
                <w:sz w:val="20"/>
                <w:highlight w:val="none"/>
              </w:rPr>
              <w:t>医療圏</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R2</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目標医師数</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FF0000"/>
              </w:rPr>
              <w:t>R8</w:t>
            </w:r>
            <w:r>
              <w:rPr>
                <w:rFonts w:hint="eastAsia" w:ascii="ＭＳ 明朝" w:hAnsi="ＭＳ 明朝" w:eastAsia="ＭＳ 明朝"/>
                <w:color w:val="auto"/>
                <w:sz w:val="20"/>
                <w:highlight w:val="none"/>
                <w:u w:val="none" w:color="auto"/>
              </w:rPr>
              <w:t>年度末</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下位</w:t>
            </w:r>
            <w:r>
              <w:rPr>
                <w:rFonts w:hint="eastAsia" w:ascii="ＭＳ 明朝" w:hAnsi="ＭＳ 明朝" w:eastAsia="ＭＳ 明朝"/>
                <w:color w:val="auto"/>
                <w:sz w:val="20"/>
                <w:highlight w:val="none"/>
                <w:u w:val="none" w:color="auto"/>
              </w:rPr>
              <w:t>33.3%</w:t>
            </w:r>
            <w:r>
              <w:rPr>
                <w:rFonts w:hint="eastAsia" w:ascii="ＭＳ 明朝" w:hAnsi="ＭＳ 明朝" w:eastAsia="ＭＳ 明朝"/>
                <w:color w:val="auto"/>
                <w:sz w:val="20"/>
                <w:highlight w:val="none"/>
                <w:u w:val="none" w:color="auto"/>
              </w:rPr>
              <w:t>を脱するために要する医師数</w:t>
            </w:r>
            <w:r>
              <w:rPr>
                <w:rFonts w:hint="eastAsia" w:ascii="ＭＳ 明朝" w:hAnsi="ＭＳ 明朝" w:eastAsia="ＭＳ 明朝"/>
                <w:color w:val="auto"/>
                <w:sz w:val="20"/>
                <w:highlight w:val="none"/>
                <w:u w:val="none" w:color="auto"/>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tabs>
                <w:tab w:val="clear" w:pos="3750"/>
              </w:tabs>
              <w:spacing w:before="0" w:beforeLines="0" w:beforeAutospacing="0" w:after="0" w:afterLines="0" w:afterAutospacing="0" w:line="240" w:lineRule="auto"/>
              <w:ind w:left="0" w:leftChars="0" w:right="-297" w:rightChars="-131"/>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医師確保の方針</w:t>
            </w:r>
          </w:p>
        </w:tc>
      </w:tr>
      <w:tr>
        <w:trPr>
          <w:trHeight w:val="331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p>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r>
              <w:rPr>
                <w:rFonts w:hint="eastAsia" w:ascii="ＭＳ 明朝" w:hAnsi="ＭＳ 明朝" w:eastAsia="ＭＳ 明朝"/>
                <w:sz w:val="18"/>
                <w:highlight w:val="none"/>
                <w:bdr w:val="single" w:color="auto" w:sz="4" w:space="0"/>
                <w:shd w:val="clear" w:color="auto" w:fill="FFE9FF"/>
              </w:rPr>
              <w:t>医師多数区域</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1,877</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1,877</w:t>
            </w:r>
            <w:r>
              <w:rPr>
                <w:rFonts w:hint="eastAsia" w:ascii="ＭＳ 明朝" w:hAnsi="ＭＳ 明朝" w:eastAsia="ＭＳ 明朝"/>
                <w:color w:val="auto"/>
                <w:sz w:val="20"/>
                <w:highlight w:val="none"/>
                <w:u w:val="none" w:color="FF0000"/>
              </w:rPr>
              <w:t>人　</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w:t>
            </w:r>
            <w:r>
              <w:rPr>
                <w:rFonts w:hint="eastAsia" w:ascii="ＭＳ 明朝" w:hAnsi="ＭＳ 明朝" w:eastAsia="ＭＳ 明朝"/>
                <w:color w:val="auto"/>
                <w:sz w:val="20"/>
                <w:highlight w:val="none"/>
                <w:u w:val="none" w:color="FF0000"/>
              </w:rPr>
              <w:t>1,025</w:t>
            </w:r>
            <w:r>
              <w:rPr>
                <w:rFonts w:hint="eastAsia" w:ascii="ＭＳ 明朝" w:hAnsi="ＭＳ 明朝" w:eastAsia="ＭＳ 明朝"/>
                <w:color w:val="auto"/>
                <w:sz w:val="20"/>
                <w:highlight w:val="none"/>
                <w:u w:val="none" w:color="FF0000"/>
              </w:rPr>
              <w:t>人）</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○新たな医師確保対策による、県内の他の二次医療圏からの医師確保は行いません。</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○現状の医師数の維持を基本とし、既存の医師確保対策を継続して実施します。</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○医師少数区域への医師派遣等を推進します。</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○医師少数スポットについては、医師少数区域と同様の方針とします。</w:t>
            </w:r>
          </w:p>
        </w:tc>
      </w:tr>
      <w:tr>
        <w:trPr>
          <w:trHeight w:val="1380"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高幡</w:t>
            </w:r>
          </w:p>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86</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86</w:t>
            </w:r>
            <w:r>
              <w:rPr>
                <w:rFonts w:hint="eastAsia" w:ascii="ＭＳ 明朝" w:hAnsi="ＭＳ 明朝" w:eastAsia="ＭＳ 明朝"/>
                <w:color w:val="auto"/>
                <w:sz w:val="20"/>
                <w:highlight w:val="none"/>
                <w:u w:val="none" w:color="FF0000"/>
              </w:rPr>
              <w:t>人</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(71</w:t>
            </w:r>
            <w:r>
              <w:rPr>
                <w:rFonts w:hint="eastAsia" w:ascii="ＭＳ 明朝" w:hAnsi="ＭＳ 明朝" w:eastAsia="ＭＳ 明朝"/>
                <w:color w:val="auto"/>
                <w:sz w:val="20"/>
                <w:highlight w:val="none"/>
                <w:u w:val="none" w:color="FF0000"/>
              </w:rPr>
              <w:t>人</w:t>
            </w:r>
            <w:r>
              <w:rPr>
                <w:rFonts w:hint="eastAsia" w:ascii="ＭＳ 明朝" w:hAnsi="ＭＳ 明朝" w:eastAsia="ＭＳ 明朝"/>
                <w:color w:val="auto"/>
                <w:sz w:val="20"/>
                <w:highlight w:val="none"/>
                <w:u w:val="none" w:color="FF0000"/>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○現状の医師数の維持を基本とし、既存の医師確保対策を継続して実施します。</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○医師少数スポットについては、医師少数区域と同様の方針とします。</w:t>
            </w:r>
          </w:p>
        </w:tc>
      </w:tr>
      <w:tr>
        <w:trPr>
          <w:trHeight w:val="153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幡多</w:t>
            </w:r>
          </w:p>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r>
              <w:rPr>
                <w:rFonts w:hint="eastAsia" w:ascii="ＭＳ 明朝" w:hAnsi="ＭＳ 明朝" w:eastAsia="ＭＳ 明朝"/>
                <w:sz w:val="18"/>
                <w:highlight w:val="none"/>
                <w:bdr w:val="single" w:color="auto" w:sz="4" w:space="0"/>
                <w:shd w:val="clear" w:color="auto" w:fill="CCFFFF"/>
              </w:rPr>
              <w:t>医師少数区域</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161</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161</w:t>
            </w:r>
            <w:r>
              <w:rPr>
                <w:rFonts w:hint="eastAsia" w:ascii="ＭＳ 明朝" w:hAnsi="ＭＳ 明朝" w:eastAsia="ＭＳ 明朝"/>
                <w:color w:val="auto"/>
                <w:sz w:val="20"/>
                <w:highlight w:val="none"/>
                <w:u w:val="none" w:color="FF0000"/>
              </w:rPr>
              <w:t>人</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(159</w:t>
            </w:r>
            <w:r>
              <w:rPr>
                <w:rFonts w:hint="eastAsia" w:ascii="ＭＳ 明朝" w:hAnsi="ＭＳ 明朝" w:eastAsia="ＭＳ 明朝"/>
                <w:color w:val="auto"/>
                <w:sz w:val="20"/>
                <w:highlight w:val="none"/>
                <w:u w:val="none" w:color="FF0000"/>
              </w:rPr>
              <w:t>人</w:t>
            </w:r>
            <w:r>
              <w:rPr>
                <w:rFonts w:hint="eastAsia" w:ascii="ＭＳ 明朝" w:hAnsi="ＭＳ 明朝" w:eastAsia="ＭＳ 明朝"/>
                <w:color w:val="auto"/>
                <w:sz w:val="20"/>
                <w:highlight w:val="none"/>
                <w:u w:val="none" w:color="FF0000"/>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○現状の医師数が</w:t>
            </w:r>
            <w:r>
              <w:rPr>
                <w:rFonts w:hint="eastAsia" w:ascii="ＭＳ 明朝" w:hAnsi="ＭＳ 明朝" w:eastAsia="ＭＳ 明朝"/>
                <w:color w:val="auto"/>
                <w:sz w:val="20"/>
                <w:highlight w:val="none"/>
                <w:u w:val="none" w:color="auto"/>
              </w:rPr>
              <w:t>R8</w:t>
            </w:r>
            <w:r>
              <w:rPr>
                <w:rFonts w:hint="eastAsia" w:ascii="ＭＳ 明朝" w:hAnsi="ＭＳ 明朝" w:eastAsia="ＭＳ 明朝"/>
                <w:color w:val="auto"/>
                <w:sz w:val="20"/>
                <w:highlight w:val="none"/>
                <w:u w:val="none" w:color="auto"/>
              </w:rPr>
              <w:t>年度末に下位</w:t>
            </w:r>
            <w:r>
              <w:rPr>
                <w:rFonts w:hint="eastAsia" w:ascii="ＭＳ 明朝" w:hAnsi="ＭＳ 明朝" w:eastAsia="ＭＳ 明朝"/>
                <w:color w:val="auto"/>
                <w:sz w:val="20"/>
                <w:highlight w:val="none"/>
                <w:u w:val="none" w:color="auto"/>
              </w:rPr>
              <w:t>33.3</w:t>
            </w:r>
            <w:r>
              <w:rPr>
                <w:rFonts w:hint="eastAsia" w:ascii="ＭＳ 明朝" w:hAnsi="ＭＳ 明朝" w:eastAsia="ＭＳ 明朝"/>
                <w:color w:val="auto"/>
                <w:sz w:val="20"/>
                <w:highlight w:val="none"/>
                <w:u w:val="none" w:color="auto"/>
              </w:rPr>
              <w:t>％の基準を脱するために要する医師数を上回っているため、現状の医師数の維持を基本とし、既存の医師確保対策を継続して実施します。</w:t>
            </w:r>
          </w:p>
          <w:p>
            <w:pPr>
              <w:pStyle w:val="0"/>
              <w:spacing w:before="0" w:beforeLines="0" w:beforeAutospacing="0" w:after="0" w:afterLines="0" w:afterAutospacing="0" w:line="240" w:lineRule="auto"/>
              <w:ind w:left="0" w:leftChars="0" w:right="0" w:rightChars="0" w:hanging="207" w:hangingChars="100"/>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○医師多数区域からの医師派遣等を推進します</w:t>
            </w:r>
          </w:p>
        </w:tc>
      </w:tr>
    </w:tbl>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4-1-31</w:t>
      </w:r>
      <w:r>
        <w:rPr>
          <w:rFonts w:hint="eastAsia" w:ascii="ＭＳ ゴシック" w:hAnsi="ＭＳ ゴシック" w:eastAsia="ＭＳ ゴシック"/>
          <w:color w:val="auto"/>
          <w:sz w:val="22"/>
          <w:highlight w:val="none"/>
          <w:u w:val="none" w:color="FF0000"/>
        </w:rPr>
        <w:t>）＜本県の臨床研修医数及び</w:t>
      </w:r>
      <w:r>
        <w:rPr>
          <w:rFonts w:hint="eastAsia" w:ascii="ＭＳ ゴシック" w:hAnsi="ＭＳ ゴシック" w:eastAsia="ＭＳ ゴシック"/>
          <w:strike w:val="0"/>
          <w:dstrike w:val="0"/>
          <w:color w:val="auto"/>
          <w:sz w:val="22"/>
          <w:highlight w:val="none"/>
          <w:u w:val="none" w:color="FF0000"/>
        </w:rPr>
        <w:t>高知大学医学部附属病院</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strike w:val="0"/>
          <w:dstrike w:val="0"/>
          <w:color w:val="auto"/>
          <w:sz w:val="22"/>
          <w:highlight w:val="none"/>
          <w:u w:val="none" w:color="FF0000"/>
        </w:rPr>
        <w:t>専門研修プログラムへの登録者数</w:t>
      </w:r>
      <w:r>
        <w:rPr>
          <w:rFonts w:hint="eastAsia" w:ascii="ＭＳ ゴシック" w:hAnsi="ＭＳ ゴシック" w:eastAsia="ＭＳ ゴシック"/>
          <w:color w:val="auto"/>
          <w:sz w:val="22"/>
          <w:highlight w:val="none"/>
          <w:u w:val="none" w:color="FF0000"/>
        </w:rPr>
        <w:t>の目標値＞</w:t>
      </w:r>
    </w:p>
    <w:tbl>
      <w:tblPr>
        <w:tblStyle w:val="11"/>
        <w:tblpPr w:leftFromText="0" w:rightFromText="0" w:topFromText="0" w:bottomFromText="0" w:vertAnchor="text" w:horzAnchor="margin" w:tblpX="453" w:tblpY="95"/>
        <w:tblOverlap w:val="never"/>
        <w:tblW w:w="8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3616"/>
        <w:gridCol w:w="2196"/>
        <w:gridCol w:w="2196"/>
      </w:tblGrid>
      <w:tr>
        <w:trPr>
          <w:trHeight w:val="349" w:hRule="atLeast"/>
        </w:trPr>
        <w:tc>
          <w:tcPr>
            <w:tcW w:w="361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項目</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現状の医師数</w:t>
            </w:r>
          </w:p>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（令和５年度）</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目標医師数</w:t>
            </w:r>
          </w:p>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（令和</w:t>
            </w:r>
            <w:r>
              <w:rPr>
                <w:rFonts w:hint="eastAsia"/>
                <w:kern w:val="2"/>
                <w:sz w:val="20"/>
                <w:highlight w:val="none"/>
              </w:rPr>
              <w:t>11</w:t>
            </w:r>
            <w:r>
              <w:rPr>
                <w:rFonts w:hint="eastAsia"/>
                <w:kern w:val="2"/>
                <w:sz w:val="20"/>
                <w:highlight w:val="none"/>
              </w:rPr>
              <w:t>年度）</w:t>
            </w:r>
          </w:p>
        </w:tc>
      </w:tr>
      <w:tr>
        <w:trPr>
          <w:trHeight w:val="690" w:hRule="atLeast"/>
        </w:trPr>
        <w:tc>
          <w:tcPr>
            <w:tcW w:w="361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県内臨床研修医数</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68</w:t>
            </w:r>
            <w:r>
              <w:rPr>
                <w:rFonts w:hint="eastAsia"/>
                <w:kern w:val="2"/>
                <w:sz w:val="20"/>
                <w:highlight w:val="none"/>
              </w:rPr>
              <w:t>人</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wordWrap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80</w:t>
            </w:r>
            <w:r>
              <w:rPr>
                <w:rFonts w:hint="eastAsia"/>
                <w:kern w:val="2"/>
                <w:sz w:val="20"/>
                <w:highlight w:val="none"/>
              </w:rPr>
              <w:t>人</w:t>
            </w:r>
          </w:p>
        </w:tc>
      </w:tr>
      <w:tr>
        <w:trPr>
          <w:trHeight w:val="676" w:hRule="atLeast"/>
        </w:trPr>
        <w:tc>
          <w:tcPr>
            <w:tcW w:w="361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Chars="0"/>
              <w:jc w:val="center"/>
              <w:textAlignment w:val="auto"/>
              <w:rPr>
                <w:rFonts w:hint="eastAsia"/>
                <w:kern w:val="2"/>
                <w:sz w:val="20"/>
                <w:highlight w:val="none"/>
              </w:rPr>
            </w:pPr>
            <w:r>
              <w:rPr>
                <w:rFonts w:hint="eastAsia"/>
                <w:kern w:val="2"/>
                <w:sz w:val="20"/>
                <w:highlight w:val="none"/>
              </w:rPr>
              <w:t>高知大学医学部附属病院</w:t>
            </w:r>
          </w:p>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専門研修プログラムへの登録者数</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47</w:t>
            </w:r>
            <w:r>
              <w:rPr>
                <w:rFonts w:hint="eastAsia"/>
                <w:kern w:val="2"/>
                <w:sz w:val="20"/>
                <w:highlight w:val="none"/>
              </w:rPr>
              <w:t>人</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wordWrap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55</w:t>
            </w:r>
            <w:r>
              <w:rPr>
                <w:rFonts w:hint="eastAsia"/>
                <w:kern w:val="2"/>
                <w:sz w:val="20"/>
                <w:highlight w:val="none"/>
              </w:rPr>
              <w:t>人</w:t>
            </w:r>
          </w:p>
        </w:tc>
      </w:tr>
    </w:tbl>
    <w:p>
      <w:pPr>
        <w:pStyle w:val="0"/>
        <w:spacing w:line="240" w:lineRule="auto"/>
        <w:ind w:left="0" w:leftChars="0" w:right="-134" w:rightChars="-59" w:firstLine="0" w:firstLineChars="0"/>
        <w:jc w:val="both"/>
        <w:rPr>
          <w:rFonts w:hint="eastAsia"/>
          <w:kern w:val="2"/>
          <w:highlight w:val="none"/>
        </w:rPr>
      </w:pPr>
      <w:r>
        <w:rPr>
          <w:rFonts w:hint="eastAsia"/>
          <w:highlight w:val="none"/>
        </w:rPr>
        <w:br w:type="page"/>
      </w:r>
    </w:p>
    <w:p>
      <w:pPr>
        <w:pStyle w:val="0"/>
        <w:spacing w:before="0" w:beforeLines="0" w:beforeAutospacing="0" w:after="165" w:afterLines="50" w:afterAutospacing="0" w:line="240" w:lineRule="auto"/>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第５　目標医師数を達成するための施策</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県全体の医師数を維持・確保するための取組</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の医師の３つの偏在（若手医師の不足、地域による偏在、診療科による偏在）の解消に向けて、安定的に医師が確保できる仕組みづくりと、現在不足している医師を確保するために、将来性を重視した中長期的な対策と、即効性を重視した短期的な対策を組み合わせて進め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令和２年４月から、医師の確保を特に図るべき区域での勤務経験を有する医師を厚生労働大臣が「医師少数区域経験認定医師」として認定する制度が施行されています。認定医師については、医師派遣等を行う地域医療支援病院の管理者としての要件となるほか、認定医師個人や医療機関に対する経済的優遇措置も検討されるなど、医師少数地域等で勤務する医師が評価されることにより、医師の定着が期待されます。</w:t>
      </w:r>
    </w:p>
    <w:p>
      <w:pPr>
        <w:pStyle w:val="0"/>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二次医療圏の医師偏在是正に向けた取組</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（１）中長期的な対策</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高知大学医学生の卒業後の県内定着の促進</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sz w:val="22"/>
          <w:highlight w:val="none"/>
        </w:rPr>
        <w:t>①</w:t>
      </w:r>
      <w:r>
        <w:rPr>
          <w:rFonts w:hint="eastAsia" w:ascii="ＭＳ 明朝" w:hAnsi="ＭＳ 明朝" w:eastAsia="ＭＳ 明朝"/>
          <w:kern w:val="2"/>
          <w:sz w:val="22"/>
          <w:highlight w:val="none"/>
        </w:rPr>
        <w:t>　県は、奨学金の貸与期間に応じて一定期間を県内の「医師の確保を特に図るべき地域」にある医療機関に勤務すれば償還が免除される「医師養成奨学貸付金制度」を継続し、高知大学の地域枠入学</w:t>
      </w:r>
      <w:r>
        <w:rPr>
          <w:rFonts w:hint="eastAsia" w:ascii="ＭＳ 明朝" w:hAnsi="ＭＳ 明朝" w:eastAsia="ＭＳ 明朝"/>
          <w:kern w:val="2"/>
          <w:sz w:val="22"/>
          <w:highlight w:val="none"/>
        </w:rPr>
        <w:t>25</w:t>
      </w:r>
      <w:r>
        <w:rPr>
          <w:rFonts w:hint="eastAsia" w:ascii="ＭＳ 明朝" w:hAnsi="ＭＳ 明朝" w:eastAsia="ＭＳ 明朝"/>
          <w:kern w:val="2"/>
          <w:sz w:val="22"/>
          <w:highlight w:val="none"/>
        </w:rPr>
        <w:t>名（恒久定員</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名、臨時定員</w:t>
      </w:r>
      <w:r>
        <w:rPr>
          <w:rFonts w:hint="eastAsia" w:ascii="ＭＳ 明朝" w:hAnsi="ＭＳ 明朝" w:eastAsia="ＭＳ 明朝"/>
          <w:kern w:val="2"/>
          <w:sz w:val="22"/>
          <w:highlight w:val="none"/>
        </w:rPr>
        <w:t>15</w:t>
      </w:r>
      <w:r>
        <w:rPr>
          <w:rFonts w:hint="eastAsia" w:ascii="ＭＳ 明朝" w:hAnsi="ＭＳ 明朝" w:eastAsia="ＭＳ 明朝"/>
          <w:kern w:val="2"/>
          <w:sz w:val="22"/>
          <w:highlight w:val="none"/>
        </w:rPr>
        <w:t>名）の学生については奨学金の受給を必須とし、卒業後の県内定着を促進します。</w:t>
      </w:r>
    </w:p>
    <w:p>
      <w:pPr>
        <w:pStyle w:val="0"/>
        <w:spacing w:before="0" w:beforeLines="0" w:beforeAutospacing="0" w:after="0" w:afterLines="0" w:afterAutospacing="0" w:line="240" w:lineRule="auto"/>
        <w:ind w:left="680" w:leftChars="3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また、医師養成奨学貸付金制度の加算特定科目については、</w:t>
      </w:r>
      <w:r>
        <w:rPr>
          <w:rFonts w:hint="eastAsia" w:ascii="ＭＳ 明朝" w:hAnsi="ＭＳ 明朝" w:eastAsia="ＭＳ 明朝"/>
          <w:color w:val="auto"/>
          <w:kern w:val="2"/>
          <w:sz w:val="22"/>
          <w:highlight w:val="none"/>
          <w:u w:val="none" w:color="auto"/>
        </w:rPr>
        <w:t>従来から対象であった産婦人科、小児科、麻酔科、脳神経外科に近年特に減少の著しい外科を追加しました。</w:t>
      </w:r>
    </w:p>
    <w:p>
      <w:pPr>
        <w:pStyle w:val="0"/>
        <w:spacing w:before="0" w:beforeLines="0" w:beforeAutospacing="0" w:after="0" w:afterLines="0" w:afterAutospacing="0"/>
        <w:ind w:left="680" w:leftChars="3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あわせて、地域医療の重要性や本県の医療の現状に対する理解を深めてもらえるよう、奨学金受給学生と知事との意見交換会を定期的に開催します。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trike w:val="0"/>
          <w:dstrike w:val="0"/>
          <w:sz w:val="22"/>
          <w:highlight w:val="none"/>
        </w:rPr>
      </w:pPr>
      <w:r>
        <w:rPr>
          <w:rFonts w:hint="eastAsia" w:ascii="ＭＳ 明朝" w:hAnsi="ＭＳ 明朝" w:eastAsia="ＭＳ 明朝"/>
          <w:sz w:val="22"/>
          <w:highlight w:val="none"/>
        </w:rPr>
        <w:t>②　県の寄附講座として開講している高知大学医学部家庭医療学講座は、県内唯一の医育機関である高知大学内の相談窓口として、学生達にとって身近な存在となっています。</w:t>
      </w:r>
      <w:r>
        <w:rPr>
          <w:rFonts w:hint="eastAsia" w:ascii="ＭＳ 明朝" w:hAnsi="ＭＳ 明朝" w:eastAsia="ＭＳ 明朝"/>
          <w:strike w:val="0"/>
          <w:dstrike w:val="0"/>
          <w:sz w:val="22"/>
          <w:highlight w:val="none"/>
        </w:rPr>
        <w:t>同講座が中心となって実施している地域医療関連の講義や実習、および「黒潮医療人養成プロジェクト」（令和４年文部科学省ポストコロナ時代の医療人材養成拠点形成事業として採択）は、医学生が地域包括ケアシステムやプライマリ・ケアへの関心を高め、地域ニーズに応える総合的な能力を有する医師の育成に寄与するものと期待されます。今後も、県として高知大学医学部の地域医療教育充実のための支援を続け、医学生の動機付け、モチベーション向上につなげていき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③　県は、国が示すキャリア形成プログラム運用指針に基づき、奨学金受給者が償還義務とキャリア形成を両立できるよう、県内の専門研修プログラムをベースとしたキャリア形成プログラム（</w:t>
      </w:r>
      <w:r>
        <w:rPr>
          <w:rFonts w:hint="eastAsia" w:ascii="ＭＳ 明朝" w:hAnsi="ＭＳ 明朝" w:eastAsia="ＭＳ 明朝"/>
          <w:color w:val="auto"/>
          <w:sz w:val="22"/>
          <w:highlight w:val="none"/>
          <w:u w:val="none" w:color="auto"/>
        </w:rPr>
        <w:t>令和６年３月現在、</w:t>
      </w:r>
      <w:r>
        <w:rPr>
          <w:rFonts w:hint="eastAsia" w:ascii="ＭＳ 明朝" w:hAnsi="ＭＳ 明朝" w:eastAsia="ＭＳ 明朝"/>
          <w:color w:val="auto"/>
          <w:sz w:val="22"/>
          <w:highlight w:val="none"/>
          <w:u w:val="none" w:color="auto"/>
        </w:rPr>
        <w:t>19</w:t>
      </w:r>
      <w:r>
        <w:rPr>
          <w:rFonts w:hint="eastAsia" w:ascii="ＭＳ 明朝" w:hAnsi="ＭＳ 明朝" w:eastAsia="ＭＳ 明朝"/>
          <w:color w:val="auto"/>
          <w:sz w:val="22"/>
          <w:highlight w:val="none"/>
          <w:u w:val="none" w:color="auto"/>
        </w:rPr>
        <w:t>診療科</w:t>
      </w:r>
      <w:r>
        <w:rPr>
          <w:rFonts w:hint="eastAsia" w:ascii="ＭＳ 明朝" w:hAnsi="ＭＳ 明朝" w:eastAsia="ＭＳ 明朝"/>
          <w:color w:val="auto"/>
          <w:sz w:val="22"/>
          <w:highlight w:val="none"/>
          <w:u w:val="none" w:color="auto"/>
        </w:rPr>
        <w:t>44</w:t>
      </w:r>
      <w:r>
        <w:rPr>
          <w:rFonts w:hint="eastAsia" w:ascii="ＭＳ 明朝" w:hAnsi="ＭＳ 明朝" w:eastAsia="ＭＳ 明朝"/>
          <w:color w:val="auto"/>
          <w:sz w:val="22"/>
          <w:highlight w:val="none"/>
          <w:u w:val="none" w:color="auto"/>
        </w:rPr>
        <w:t>プログラム</w:t>
      </w:r>
      <w:r>
        <w:rPr>
          <w:rFonts w:hint="eastAsia" w:ascii="ＭＳ 明朝" w:hAnsi="ＭＳ 明朝" w:eastAsia="ＭＳ 明朝"/>
          <w:sz w:val="22"/>
          <w:highlight w:val="none"/>
        </w:rPr>
        <w:t>）を作成しています。今後も引き続き、大学や高知地域医療支援センター、（一社）高知医療再生機構、各医療機関と連携して、キャリア形成プログラムの充実を図るとともに、後述するキャリア形成環境の充実を図り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sz w:val="22"/>
          <w:highlight w:val="none"/>
        </w:rPr>
        <w:t>④　全国的な医師確保対策として臨時定員増がなされた高知大学の地域枠については、医師の地域・診療科偏在の解消に有効な施策です。しかしながら国は、</w:t>
      </w:r>
      <w:r>
        <w:rPr>
          <w:rFonts w:hint="eastAsia" w:ascii="ＭＳ 明朝" w:hAnsi="ＭＳ 明朝" w:eastAsia="ＭＳ 明朝"/>
          <w:color w:val="auto"/>
          <w:sz w:val="22"/>
          <w:highlight w:val="none"/>
          <w:u w:val="none" w:color="auto"/>
        </w:rPr>
        <w:t>令和７年度以降の臨時定員について改めて検討することとしており、臨時定員が終了する可能性もあるため、県は、</w:t>
      </w:r>
      <w:r>
        <w:rPr>
          <w:rFonts w:hint="eastAsia" w:ascii="ＭＳ 明朝" w:hAnsi="ＭＳ 明朝" w:eastAsia="ＭＳ 明朝"/>
          <w:sz w:val="22"/>
          <w:highlight w:val="none"/>
        </w:rPr>
        <w:t>国に対して臨時定員増の延長</w:t>
      </w:r>
      <w:r>
        <w:rPr>
          <w:rFonts w:hint="eastAsia" w:ascii="ＭＳ 明朝" w:hAnsi="ＭＳ 明朝" w:eastAsia="ＭＳ 明朝"/>
          <w:strike w:val="0"/>
          <w:dstrike w:val="0"/>
          <w:color w:val="000000" w:themeColor="text1"/>
          <w:sz w:val="22"/>
          <w:highlight w:val="none"/>
        </w:rPr>
        <w:t>や</w:t>
      </w:r>
      <w:r>
        <w:rPr>
          <w:rFonts w:hint="eastAsia" w:ascii="ＭＳ 明朝" w:hAnsi="ＭＳ 明朝" w:eastAsia="ＭＳ 明朝"/>
          <w:sz w:val="22"/>
          <w:highlight w:val="none"/>
        </w:rPr>
        <w:t>高知大学の恒久定員内の地域枠の増員について要請することを検討します。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若手医師にとって魅力あるキャリア形成環境の充実</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①　県は、若手医師が県内の医療機関で勤務しながら指導医等による指導を受け、学会認定医資格や専門医・指導医資格といった、専門性を発揮するための資格を取得できるよう、専門医資格取得に必要な研修環境の整備や指導医資格取得に要する経費を支援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②　県は、若手医師が国内外の先進的な医療機関に留学する経費を支援します。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③　県は、地域枠医師等が「医師の確保を特に図るべき地域」にある研修施設においても専門研修を実施することを可能とするため、当該施設へ指導医を派遣する高知大学医学部附属病院など基幹施設に対して派遣に要する経費への支援を行い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sz w:val="22"/>
          <w:highlight w:val="none"/>
        </w:rPr>
        <w:t>④　県は、若手医師が幡多地域で勤務しながら週</w:t>
      </w:r>
      <w:r>
        <w:rPr>
          <w:rFonts w:hint="eastAsia" w:ascii="ＭＳ 明朝" w:hAnsi="ＭＳ 明朝" w:eastAsia="ＭＳ 明朝"/>
          <w:sz w:val="22"/>
          <w:highlight w:val="none"/>
        </w:rPr>
        <w:t>1</w:t>
      </w:r>
      <w:r>
        <w:rPr>
          <w:rFonts w:hint="eastAsia" w:ascii="ＭＳ 明朝" w:hAnsi="ＭＳ 明朝" w:eastAsia="ＭＳ 明朝"/>
          <w:sz w:val="22"/>
          <w:highlight w:val="none"/>
        </w:rPr>
        <w:t>回臨床研究を行うことができる環境を整備するとともに、研究に要する経費への支援を行います。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地域医療を支える医療従事者の確保</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①　県は、県内の高校と連携し、高校生を対象とした地域医療従事医師による出前講座等を通して、地域医療の魅力ややりがいを若い世代に伝え、将来に向けてのロールモデル（具体的な行動や考え方の模範となる人物像）を提示するとともに、医科大学・医学科に関する情報収集の機会を提供する取組を継続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②　県は、医師臨床研修制度における必修科目である「地域医療」研修の実施について、（一社）高知医療再生機構や地域の拠点病院等と連携して、本県の地域医療を実際に体験できる環境を整備しており、県内だけでなく、県外大学等からも臨床研修医を招き、本県の地域医療や地域包括ケアについて関心が持てるよう、引き続き研修医の派遣調整を実施していき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③　県は、幅広い領域を診ることのできる総合診療専門医を養成するため、研修に必要な経費への支援を行います。自治医科大学卒業医師については、希望があれば義務年限内に総合診療専門医の資格を取得できるよう配慮していき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④　県は、県が人事調整を行うへき地医療協議会所属医師に対して、市町村の理解を得て、週</w:t>
      </w:r>
      <w:r>
        <w:rPr>
          <w:rFonts w:hint="eastAsia" w:ascii="ＭＳ 明朝" w:hAnsi="ＭＳ 明朝" w:eastAsia="ＭＳ 明朝"/>
          <w:sz w:val="22"/>
          <w:highlight w:val="none"/>
        </w:rPr>
        <w:t>1</w:t>
      </w:r>
      <w:r>
        <w:rPr>
          <w:rFonts w:hint="eastAsia" w:ascii="ＭＳ 明朝" w:hAnsi="ＭＳ 明朝" w:eastAsia="ＭＳ 明朝"/>
          <w:sz w:val="22"/>
          <w:highlight w:val="none"/>
        </w:rPr>
        <w:t>回程度、高次医療機関での専門研修を行う機会を設け、へき地勤務医師のキャリア形成支援に努めます。</w:t>
      </w:r>
    </w:p>
    <w:p>
      <w:pPr>
        <w:pStyle w:val="0"/>
        <w:spacing w:before="0" w:beforeLines="0" w:beforeAutospacing="0" w:after="0" w:afterLines="0" w:afterAutospacing="0" w:line="240" w:lineRule="auto"/>
        <w:ind w:left="681" w:leftChars="200" w:right="0" w:rightChars="0" w:hanging="227" w:hangingChars="100"/>
        <w:jc w:val="both"/>
        <w:rPr>
          <w:rFonts w:hint="eastAsia" w:ascii="游明朝" w:hAnsi="游明朝" w:eastAsia="游明朝"/>
          <w:b w:val="1"/>
          <w:color w:val="auto"/>
          <w:sz w:val="22"/>
          <w:highlight w:val="none"/>
        </w:rPr>
      </w:pPr>
      <w:r>
        <w:rPr>
          <w:rFonts w:hint="eastAsia" w:ascii="ＭＳ 明朝" w:hAnsi="ＭＳ 明朝" w:eastAsia="ＭＳ 明朝"/>
          <w:sz w:val="22"/>
          <w:highlight w:val="none"/>
        </w:rPr>
        <w:t>⑤　県は、県内外の大学や（一社）高知医療再生機構とも連携し、へき地医療機関での勤務を希望する医師に対し、若手医師を一定の期間、県内のへき地医療拠点病院・診療所に派遣する仕組みを構築していきます。</w:t>
      </w:r>
    </w:p>
    <w:p>
      <w:pPr>
        <w:pStyle w:val="0"/>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（２）短期的な対策</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県外からの医師の招へい及び赴任医師に対する支援（継続事業）</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①　県は、県外大学と連携して、中山間地域にある中核的な病院への医師の派遣に取り組みます。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sz w:val="22"/>
          <w:highlight w:val="none"/>
        </w:rPr>
        <w:t>②　（一社）高知医療再生機構は、県内での就業に意欲のある医師の医療機関への仲介や、県外から赴任する医師の処遇改善及び研修活動を支援します。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県外からの医師の招へいに向けた情報発信及び勧誘活動（継続事業）</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一社）高知医療再生機構は、ＷＥＢサイトや医学専門誌を活用したキャリア形成支援対策等のＰＲを行うとともに、首都圏で活躍する医師等の協力により収集する転職希望医師の情報、県外で活躍している県出身医師の情報、また県民から寄せられる情報などを元に、県外在住の医師や高知での就業を検討中の医師等に対して、勧誘活動を行い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医師の確保が困難な地域にある医療機関への支援</w:t>
      </w:r>
    </w:p>
    <w:p>
      <w:pPr>
        <w:pStyle w:val="0"/>
        <w:ind w:left="454" w:leftChars="200" w:right="0" w:rightChars="0" w:firstLine="227" w:firstLineChars="100"/>
        <w:jc w:val="both"/>
        <w:rPr>
          <w:rFonts w:hint="eastAsia" w:ascii="ＭＳ 明朝" w:hAnsi="ＭＳ 明朝" w:eastAsia="ＭＳ 明朝"/>
          <w:sz w:val="22"/>
          <w:highlight w:val="none"/>
        </w:rPr>
      </w:pPr>
      <w:r>
        <w:rPr>
          <w:rFonts w:hint="eastAsia" w:ascii="ＭＳ 明朝" w:hAnsi="ＭＳ 明朝" w:eastAsia="ＭＳ 明朝"/>
          <w:kern w:val="2"/>
          <w:sz w:val="22"/>
          <w:highlight w:val="none"/>
        </w:rPr>
        <w:t>県は、県・郡市医師会や県立病院等と連携して、「医師の確保を特に図るべき地域」にある医療機関に県立病院等から応援医師を派遣する仕組みにより、地域の医療提供体制の確保に努めます。</w:t>
      </w:r>
    </w:p>
    <w:p>
      <w:pPr>
        <w:pStyle w:val="0"/>
        <w:spacing w:line="200" w:lineRule="exact"/>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（３）勤務環境改善への支援</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県は、医療従事者が働きやすく、働きがいのある職場づくりを支援するため、高知県医療勤務環境改善支援センターを（一社）高知医療再生機構への委託により設置・運営しています。</w:t>
      </w:r>
    </w:p>
    <w:p>
      <w:pPr>
        <w:pStyle w:val="0"/>
        <w:ind w:left="227" w:leftChars="1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医師の働き方改革については、県内の医療機関における労働時間短縮に向けた自主的な取組を促進するとともに、令和６年４月から施行される「医師の働き方改革」に関する具体的な内容を踏まえ、医師の労働時間短縮によって地域の医療提供体制に影響が出ることがないよう取り組んでいきます。あわせて、特に長時間労働の傾向にある産婦人科や小児科、外科等については、地域医療介護総合確保基金等を活用して医師の負担軽減を図ります。</w:t>
      </w:r>
    </w:p>
    <w:p>
      <w:pPr>
        <w:pStyle w:val="0"/>
        <w:spacing w:line="200" w:lineRule="exact"/>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（４）女性医師の働きやすい環境の整備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多様化する女性医師の働き方の相談を受け、情報提供や医療機関との連携・調整を図る相談窓口を（一社）高知医療再生機構への委託により設置・運営します。あわせて、女性医師が育児休業等から復職しやすいよう、復職研修を受け入れる医療機関の調整や研修に必要な経費への支援を行います。</w:t>
      </w:r>
    </w:p>
    <w:p>
      <w:pPr>
        <w:pStyle w:val="0"/>
        <w:spacing w:line="200" w:lineRule="exact"/>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（５）国に求める対策</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県は、若手医師の確保に向けた国立大学医学部の臨時定員増の継続と、地域医療を確保するための施策の拡充等について、全国知事会等と連携して提言・要望を強化していきます。</w:t>
      </w:r>
    </w:p>
    <w:p>
      <w:pPr>
        <w:pStyle w:val="0"/>
        <w:spacing w:line="200" w:lineRule="exact"/>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（６）取組体制</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県は、以下の組織・団体等と強力に連携して、前述の対策に取り組みます。</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高知県医療審議会・医療従事者確保推進部会（高知県地域医療対策協議会）</w:t>
      </w:r>
    </w:p>
    <w:p>
      <w:pPr>
        <w:pStyle w:val="0"/>
        <w:ind w:left="454" w:leftChars="2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医療法に基づき、医師、歯科医師、薬剤師、医療を受ける立場にある者及び学識経験者で構成する高知県医療審議会を設置し、医療を提供する体制の確保に関する重要事項の調査・審議を行います。</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特に医師の確保については、医療法第</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23</w:t>
      </w:r>
      <w:r>
        <w:rPr>
          <w:rFonts w:hint="eastAsia" w:ascii="ＭＳ 明朝" w:hAnsi="ＭＳ 明朝" w:eastAsia="ＭＳ 明朝"/>
          <w:kern w:val="2"/>
          <w:sz w:val="22"/>
          <w:highlight w:val="none"/>
        </w:rPr>
        <w:t>の規定に基づく医療従事者の確保に関する協議の場（地域医療対策協議会）として、高知県医療審議会に医療機関、大学、医療関係団体、関係市町村等の代表者で構成する医療従事者確保推進部会を設置し、以下の事項について調査・審議を行い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県内において必要とされる医師の確保に関すること</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医師確保計画に関すること（医療法第</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23</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1</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奨学金受給医師等の派遣に関すること（同第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キャリア形成プログラムに関すること（同第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3</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医師の確保を特に図るべき地域に派遣された医師の負担の軽減に関すること（同第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4</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⑥　専門研修の内容に関すること（同第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5</w:t>
      </w:r>
      <w:r>
        <w:rPr>
          <w:rFonts w:hint="eastAsia" w:ascii="ＭＳ 明朝" w:hAnsi="ＭＳ 明朝" w:eastAsia="ＭＳ 明朝"/>
          <w:kern w:val="2"/>
          <w:sz w:val="22"/>
          <w:highlight w:val="none"/>
        </w:rPr>
        <w:t>号、医師法第</w:t>
      </w:r>
      <w:r>
        <w:rPr>
          <w:rFonts w:hint="eastAsia" w:ascii="ＭＳ 明朝" w:hAnsi="ＭＳ 明朝" w:eastAsia="ＭＳ 明朝"/>
          <w:kern w:val="2"/>
          <w:sz w:val="22"/>
          <w:highlight w:val="none"/>
        </w:rPr>
        <w:t>16</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4</w:t>
      </w:r>
      <w:r>
        <w:rPr>
          <w:rFonts w:hint="eastAsia" w:ascii="ＭＳ 明朝" w:hAnsi="ＭＳ 明朝" w:eastAsia="ＭＳ 明朝"/>
          <w:kern w:val="2"/>
          <w:sz w:val="22"/>
          <w:highlight w:val="none"/>
        </w:rPr>
        <w:t>項）</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⑦　高知大学の地域枠の設定に関すること（医療法第</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23</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6</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⑧　臨床研修病院の指定及び臨床研修医の募集定員の設定に関すること（医師法第</w:t>
      </w:r>
      <w:r>
        <w:rPr>
          <w:rFonts w:hint="eastAsia" w:ascii="ＭＳ 明朝" w:hAnsi="ＭＳ 明朝" w:eastAsia="ＭＳ 明朝"/>
          <w:kern w:val="2"/>
          <w:sz w:val="22"/>
          <w:highlight w:val="none"/>
        </w:rPr>
        <w:t>16</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1</w:t>
      </w:r>
      <w:r>
        <w:rPr>
          <w:rFonts w:hint="eastAsia" w:ascii="ＭＳ 明朝" w:hAnsi="ＭＳ 明朝" w:eastAsia="ＭＳ 明朝"/>
          <w:kern w:val="2"/>
          <w:sz w:val="22"/>
          <w:highlight w:val="none"/>
        </w:rPr>
        <w:t>項に規定する臨床研修に関する省令）</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⑨　高知県へき地医療支援機構の運営や事業の実施に関すること</w:t>
      </w:r>
    </w:p>
    <w:p>
      <w:pPr>
        <w:pStyle w:val="0"/>
        <w:spacing w:before="0" w:beforeLines="0" w:beforeAutospacing="0" w:after="0" w:afterLines="0" w:afterAutospacing="0"/>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⑩　県内において必要とされるその他の医療従事者の確保に関すること</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（一社）高知医療再生機構</w:t>
      </w:r>
    </w:p>
    <w:p>
      <w:pPr>
        <w:pStyle w:val="0"/>
        <w:ind w:left="454" w:leftChars="200" w:right="0" w:rightChars="0" w:firstLine="227" w:firstLineChars="100"/>
        <w:jc w:val="both"/>
        <w:rPr>
          <w:rFonts w:hint="eastAsia" w:ascii="ＭＳ 明朝" w:hAnsi="ＭＳ 明朝" w:eastAsia="ＭＳ 明朝"/>
          <w:color w:val="auto"/>
          <w:kern w:val="2"/>
          <w:sz w:val="22"/>
          <w:highlight w:val="none"/>
        </w:rPr>
      </w:pPr>
      <w:r>
        <w:rPr>
          <w:rFonts w:hint="eastAsia" w:ascii="ＭＳ 明朝" w:hAnsi="ＭＳ 明朝" w:eastAsia="ＭＳ 明朝"/>
          <w:color w:val="auto"/>
          <w:kern w:val="2"/>
          <w:sz w:val="22"/>
          <w:highlight w:val="none"/>
        </w:rPr>
        <w:t>県や高知大学医学部関係者等の出資により、高知県地域医療再生計画及び高知県保健医療計画の推進組織として設立した（一社）高知医療再生機構において、医師のキャリア形成への支援等を通じて若手医師の県内定着を図るなど、本県の地域医療を再生することを目指した以下の事業を実施し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県内の医師等の研修環境の改善活動への支援</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県内の医師等の資質向上活動への支援</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県内臨床研修病院の研修医増加に資する事業</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県内の地域医療に関する調査研究</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県内の医療機関への就業を希望する医師等に関する情報の提供</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⑥　医師を募集する医療機関に関する情報の提供</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⑦　医師等に関する無料の職業紹介事業及び労働者派遣事業</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color w:val="auto"/>
          <w:kern w:val="2"/>
          <w:sz w:val="22"/>
          <w:highlight w:val="none"/>
        </w:rPr>
      </w:pPr>
      <w:r>
        <w:rPr>
          <w:rFonts w:hint="eastAsia" w:ascii="ＭＳ 明朝" w:hAnsi="ＭＳ 明朝" w:eastAsia="ＭＳ 明朝"/>
          <w:kern w:val="2"/>
          <w:sz w:val="22"/>
          <w:highlight w:val="none"/>
        </w:rPr>
        <w:t>⑧　総合診療専門医の研修環境の整備　　　　　　　　　　　　等</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color w:val="auto"/>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color w:val="auto"/>
          <w:kern w:val="2"/>
          <w:sz w:val="22"/>
          <w:highlight w:val="none"/>
        </w:rPr>
      </w:pPr>
      <w:r>
        <w:rPr>
          <w:rFonts w:hint="eastAsia" w:ascii="ＭＳ 明朝" w:hAnsi="ＭＳ 明朝" w:eastAsia="ＭＳ 明朝"/>
          <w:color w:val="auto"/>
          <w:kern w:val="2"/>
          <w:sz w:val="22"/>
          <w:highlight w:val="none"/>
        </w:rPr>
        <w:t>あわせて、女性医師が安心して就業できる環境を整えることを目的として、以下の事業を実施します。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女性医師からの相談対応</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游明朝" w:hAnsi="游明朝" w:eastAsia="游明朝"/>
          <w:b w:val="1"/>
          <w:color w:val="000000"/>
          <w:sz w:val="22"/>
          <w:highlight w:val="none"/>
          <w:u w:val="none" w:color="auto"/>
        </w:rPr>
      </w:pPr>
      <w:r>
        <w:rPr>
          <w:rFonts w:hint="eastAsia" w:ascii="ＭＳ 明朝" w:hAnsi="ＭＳ 明朝" w:eastAsia="ＭＳ 明朝"/>
          <w:kern w:val="2"/>
          <w:sz w:val="22"/>
          <w:highlight w:val="none"/>
        </w:rPr>
        <w:t>②　女性医師の復職支援</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高知地域医療支援センター</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地域医療支援センターは、医療環境の不均衡な状態を、地域条件を勘案しつつ、全国的に是正することを目的に、国によって創設を試みられたものです。</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0" w:leftChars="0" w:right="0" w:rightChars="0" w:firstLine="680" w:firstLineChars="3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本県では高知地域医療支援センターを高知大学医学部内に設置し、医学部学生や若</w:t>
      </w:r>
    </w:p>
    <w:p>
      <w:pPr>
        <w:pStyle w:val="0"/>
        <w:spacing w:line="240" w:lineRule="auto"/>
        <w:ind w:left="454" w:leftChars="200" w:right="0" w:rightChars="0" w:firstLine="0" w:firstLineChars="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手医師、Ｉターン・Ｕターン医師を対象として、本県の医師の偏在を中心に、その他諸々の要因を再検討しながら、県民が安心できる安全な医療体制を構築するために、課題発見、対応のための企画立案を行い、以下の事業を実施し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医師不足地域において必要とされる医療の確保に関する調査・分析</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w:t>
      </w:r>
      <w:r>
        <w:rPr>
          <w:rFonts w:hint="eastAsia" w:ascii="ＭＳ 明朝" w:hAnsi="ＭＳ 明朝" w:eastAsia="ＭＳ 明朝"/>
          <w:color w:val="auto"/>
          <w:kern w:val="2"/>
          <w:sz w:val="22"/>
          <w:highlight w:val="none"/>
          <w:u w:val="none" w:color="auto"/>
        </w:rPr>
        <w:t>キャリア形成卒前支援プラン</w:t>
      </w:r>
      <w:r>
        <w:rPr>
          <w:rFonts w:hint="eastAsia" w:ascii="ＭＳ 明朝" w:hAnsi="ＭＳ 明朝" w:eastAsia="ＭＳ 明朝"/>
          <w:kern w:val="2"/>
          <w:sz w:val="22"/>
          <w:highlight w:val="none"/>
        </w:rPr>
        <w:t>及び診療分野ごとのキャリア形成プログラムの作成・支援</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strike w:val="0"/>
          <w:dstrike w:val="0"/>
          <w:color w:val="auto"/>
          <w:kern w:val="2"/>
          <w:sz w:val="22"/>
          <w:highlight w:val="cyan"/>
        </w:rPr>
      </w:pPr>
      <w:r>
        <w:rPr>
          <w:rFonts w:hint="eastAsia" w:ascii="ＭＳ 明朝" w:hAnsi="ＭＳ 明朝" w:eastAsia="ＭＳ 明朝"/>
          <w:kern w:val="2"/>
          <w:sz w:val="22"/>
          <w:highlight w:val="none"/>
        </w:rPr>
        <w:t>③　</w:t>
      </w:r>
      <w:r>
        <w:rPr>
          <w:rFonts w:hint="eastAsia" w:ascii="ＭＳ 明朝" w:hAnsi="ＭＳ 明朝" w:eastAsia="ＭＳ 明朝"/>
          <w:strike w:val="0"/>
          <w:dstrike w:val="0"/>
          <w:color w:val="auto"/>
          <w:kern w:val="2"/>
          <w:sz w:val="22"/>
          <w:highlight w:val="none"/>
        </w:rPr>
        <w:t>医療情報の発信と県内外の医師及び医師志望者からの相談対応</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医師の確保を特に図るべき地域に派遣された医師のキャリア形成支援及び負担軽減のための調整</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strike w:val="0"/>
          <w:dstrike w:val="0"/>
          <w:color w:val="000000" w:themeColor="text1"/>
          <w:kern w:val="2"/>
          <w:sz w:val="22"/>
          <w:highlight w:val="none"/>
        </w:rPr>
        <w:t>⑤</w:t>
      </w:r>
      <w:r>
        <w:rPr>
          <w:rFonts w:hint="eastAsia" w:ascii="ＭＳ 明朝" w:hAnsi="ＭＳ 明朝" w:eastAsia="ＭＳ 明朝"/>
          <w:kern w:val="2"/>
          <w:sz w:val="22"/>
          <w:highlight w:val="none"/>
        </w:rPr>
        <w:t>　県内の専門研修の充実及び専攻医増加に資する事業　　　等</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エ　高知県医療勤務環境改善支援センター</w:t>
      </w:r>
    </w:p>
    <w:p>
      <w:pPr>
        <w:pStyle w:val="0"/>
        <w:ind w:left="454" w:leftChars="2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26</w:t>
      </w:r>
      <w:r>
        <w:rPr>
          <w:rFonts w:hint="eastAsia" w:ascii="ＭＳ 明朝" w:hAnsi="ＭＳ 明朝" w:eastAsia="ＭＳ 明朝"/>
          <w:kern w:val="2"/>
          <w:sz w:val="22"/>
          <w:highlight w:val="none"/>
        </w:rPr>
        <w:t>年の医療法改正により、医療従事者の勤務環境の改善に取り組む医療機関を支援する拠点として、各都道府県が設置することとされました。</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高知県医療勤務環境改善支援センターを（一社）高知医療再生機構内に設置し、高知労働局と連携のうえ、医療スタッフの離職防止や医療安全の確保を図ることを目的として、以下の事業を実施します。</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医療機関や医師からの相談対応</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医業分野アドバイザー及び労務管理アドバイザーの派遣</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勤務環境改善マネジメントシステムの導入支援</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勤務環境改善に資する研修及び啓発の実施</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医師の働き方改革に関する相談・支援　　　等</w:t>
      </w:r>
    </w:p>
    <w:p>
      <w:pPr>
        <w:pStyle w:val="0"/>
        <w:spacing w:after="165" w:afterLines="50" w:afterAutospacing="0"/>
        <w:rPr>
          <w:rFonts w:hint="eastAsia" w:ascii="ＭＳ 明朝" w:hAnsi="ＭＳ 明朝" w:eastAsia="ＭＳ 明朝"/>
          <w:b w:val="1"/>
          <w:i w:val="0"/>
          <w:color w:val="1F497D"/>
          <w:kern w:val="2"/>
          <w:sz w:val="22"/>
          <w:highlight w:val="none"/>
        </w:rPr>
      </w:pPr>
    </w:p>
    <w:p>
      <w:pPr>
        <w:pStyle w:val="0"/>
        <w:spacing w:after="165" w:afterLines="50" w:afterAutospacing="0"/>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第６　産科・小児科における医師確保計画</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産科・小児科における医師確保計画の考え方</w:t>
      </w:r>
    </w:p>
    <w:p>
      <w:pPr>
        <w:pStyle w:val="0"/>
        <w:ind w:left="227" w:leftChars="1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産科と小児科については、政策医療の観点、医師の長時間労働となる傾向、診療科と診療行為の対応も明らかにしやすいことから、全診療科を対象とした「医師確保計画」に加え、個別計画として策定することになったものです。</w:t>
      </w:r>
    </w:p>
    <w:p>
      <w:pPr>
        <w:pStyle w:val="0"/>
        <w:ind w:leftChars="0" w:right="0" w:rightChars="0" w:firstLineChars="0"/>
        <w:rPr>
          <w:rFonts w:hint="eastAsia" w:ascii="ＭＳ 明朝" w:hAnsi="ＭＳ 明朝" w:eastAsia="ＭＳ 明朝"/>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産科医師確保計画</w:t>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（１）本県の状況</w:t>
      </w:r>
    </w:p>
    <w:p>
      <w:pPr>
        <w:pStyle w:val="0"/>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本県における産科・産婦人科に従事する医師数は、</w:t>
      </w:r>
      <w:r>
        <w:rPr>
          <w:rFonts w:hint="eastAsia" w:ascii="ＭＳ 明朝" w:hAnsi="ＭＳ 明朝" w:eastAsia="ＭＳ 明朝"/>
          <w:color w:val="auto"/>
          <w:kern w:val="2"/>
          <w:sz w:val="22"/>
          <w:highlight w:val="none"/>
          <w:u w:val="none" w:color="auto"/>
        </w:rPr>
        <w:t>近年は増加傾向にあります。令和２年の出生千人当たりの産科・産婦人科医師数は、</w:t>
      </w:r>
      <w:r>
        <w:rPr>
          <w:rFonts w:hint="eastAsia" w:ascii="ＭＳ 明朝" w:hAnsi="ＭＳ 明朝" w:eastAsia="ＭＳ 明朝"/>
          <w:color w:val="auto"/>
          <w:kern w:val="2"/>
          <w:sz w:val="22"/>
          <w:highlight w:val="none"/>
          <w:u w:val="none" w:color="auto"/>
        </w:rPr>
        <w:t>14.9</w:t>
      </w:r>
      <w:r>
        <w:rPr>
          <w:rFonts w:hint="eastAsia" w:ascii="ＭＳ 明朝" w:hAnsi="ＭＳ 明朝" w:eastAsia="ＭＳ 明朝"/>
          <w:color w:val="auto"/>
          <w:kern w:val="2"/>
          <w:sz w:val="22"/>
          <w:highlight w:val="none"/>
          <w:u w:val="none" w:color="auto"/>
        </w:rPr>
        <w:t>人（全国</w:t>
      </w:r>
      <w:r>
        <w:rPr>
          <w:rFonts w:hint="eastAsia" w:ascii="ＭＳ 明朝" w:hAnsi="ＭＳ 明朝" w:eastAsia="ＭＳ 明朝"/>
          <w:color w:val="auto"/>
          <w:kern w:val="2"/>
          <w:sz w:val="22"/>
          <w:highlight w:val="none"/>
          <w:u w:val="none" w:color="auto"/>
        </w:rPr>
        <w:t>13.9</w:t>
      </w:r>
      <w:r>
        <w:rPr>
          <w:rFonts w:hint="eastAsia" w:ascii="ＭＳ 明朝" w:hAnsi="ＭＳ 明朝" w:eastAsia="ＭＳ 明朝"/>
          <w:color w:val="auto"/>
          <w:kern w:val="2"/>
          <w:sz w:val="22"/>
          <w:highlight w:val="none"/>
          <w:u w:val="none" w:color="auto"/>
        </w:rPr>
        <w:t>人）と全国よりも高い水準となっていますが、中央保健医療圏に集中している状況です。</w:t>
      </w:r>
    </w:p>
    <w:p>
      <w:pPr>
        <w:pStyle w:val="0"/>
        <w:spacing w:line="240" w:lineRule="auto"/>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r>
        <w:rPr>
          <w:rFonts w:hint="eastAsia" w:ascii="ＭＳ 明朝" w:hAnsi="ＭＳ 明朝" w:eastAsia="ＭＳ 明朝"/>
          <w:color w:val="auto"/>
          <w:kern w:val="2"/>
          <w:sz w:val="22"/>
          <w:highlight w:val="none"/>
          <w:u w:val="none" w:color="auto"/>
        </w:rPr>
        <w:t>産科・産婦人科医師のうち分娩を取り扱う医療機関に勤務する医師数は、診療所における分娩取扱中止に伴い減少傾向にあります。一方、病院においては増加傾向にあります。</w:t>
      </w:r>
    </w:p>
    <w:p>
      <w:pPr>
        <w:pStyle w:val="0"/>
        <w:spacing w:line="240" w:lineRule="auto"/>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r>
        <w:rPr>
          <w:rFonts w:hint="eastAsia"/>
          <w:highlight w:val="none"/>
        </w:rPr>
        <w:br w:type="page"/>
      </w:r>
    </w:p>
    <w:p>
      <w:pPr>
        <w:pStyle w:val="0"/>
        <w:spacing w:before="0" w:beforeLines="0" w:beforeAutospacing="0" w:after="0" w:afterLines="0" w:afterAutospacing="0" w:line="240" w:lineRule="auto"/>
        <w:jc w:val="center"/>
        <w:rPr>
          <w:rFonts w:hint="eastAsia" w:ascii="ＭＳ 明朝" w:hAnsi="ＭＳ 明朝" w:eastAsia="ＭＳ 明朝"/>
          <w:kern w:val="2"/>
          <w:sz w:val="22"/>
          <w:highlight w:val="none"/>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4-1-32</w:t>
      </w:r>
      <w:r>
        <w:rPr>
          <w:rFonts w:hint="eastAsia" w:ascii="ＭＳ ゴシック" w:hAnsi="ＭＳ ゴシック" w:eastAsia="ＭＳ ゴシック"/>
          <w:color w:val="auto"/>
          <w:sz w:val="22"/>
          <w:highlight w:val="none"/>
          <w:u w:val="none" w:color="FF0000"/>
        </w:rPr>
        <w:t>）産科・産婦人科医師数の推移</w:t>
      </w:r>
      <w:r>
        <w:rPr>
          <w:rFonts w:hint="eastAsia"/>
          <w:color w:val="auto"/>
          <w:kern w:val="2"/>
          <w:highlight w:val="none"/>
          <w:u w:val="none" w:color="auto"/>
        </w:rPr>
        <mc:AlternateContent>
          <mc:Choice Requires="wps">
            <w:drawing>
              <wp:anchor distT="0" distB="0" distL="203200" distR="203200" simplePos="0" relativeHeight="9" behindDoc="0" locked="0" layoutInCell="1" hidden="0" allowOverlap="1">
                <wp:simplePos x="0" y="0"/>
                <wp:positionH relativeFrom="column">
                  <wp:posOffset>5062220</wp:posOffset>
                </wp:positionH>
                <wp:positionV relativeFrom="paragraph">
                  <wp:posOffset>0</wp:posOffset>
                </wp:positionV>
                <wp:extent cx="760095" cy="269875"/>
                <wp:effectExtent l="0" t="0" r="635" b="635"/>
                <wp:wrapNone/>
                <wp:docPr id="1189" name="オブジェクト 0"/>
                <a:graphic xmlns:a="http://schemas.openxmlformats.org/drawingml/2006/main">
                  <a:graphicData uri="http://schemas.microsoft.com/office/word/2010/wordprocessingShape">
                    <wps:wsp>
                      <wps:cNvPr id="1189"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21.25pt;mso-wrap-distance-top:0pt;width:59.85pt;mso-wrap-distance-left:16pt;margin-left:398.6pt;z-index:9;" o:spid="_x0000_s1189"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p>
    <w:tbl>
      <w:tblPr>
        <w:tblStyle w:val="11"/>
        <w:tblW w:w="4819" w:type="pct"/>
        <w:jc w:val="left"/>
        <w:tblInd w:w="335" w:type="dxa"/>
        <w:tblBorders>
          <w:top w:val="single" w:color="9BC2E6" w:sz="6" w:space="0"/>
          <w:left w:val="single" w:color="9BC2E6" w:sz="6" w:space="0"/>
          <w:bottom w:val="single" w:color="9BC2E6" w:sz="6" w:space="0"/>
          <w:right w:val="single" w:color="9BC2E6" w:sz="6" w:space="0"/>
          <w:insideH w:val="none" w:color="auto" w:sz="0" w:space="0"/>
          <w:insideV w:val="none" w:color="auto" w:sz="0" w:space="0"/>
        </w:tblBorders>
        <w:shd w:val="clear" w:color="auto" w:fill="auto"/>
        <w:tblLayout w:type="fixed"/>
        <w:tblLook w:firstRow="1" w:lastRow="0" w:firstColumn="1" w:lastColumn="0" w:noHBand="0" w:noVBand="1" w:val="04A0"/>
      </w:tblPr>
      <w:tblGrid>
        <w:gridCol w:w="1409"/>
        <w:gridCol w:w="734"/>
        <w:gridCol w:w="732"/>
        <w:gridCol w:w="702"/>
        <w:gridCol w:w="761"/>
        <w:gridCol w:w="734"/>
        <w:gridCol w:w="731"/>
        <w:gridCol w:w="734"/>
        <w:gridCol w:w="732"/>
        <w:gridCol w:w="731"/>
        <w:gridCol w:w="732"/>
      </w:tblGrid>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18"/>
                <w:highlight w:val="none"/>
              </w:rPr>
              <w:t>周産期医療圏</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H14</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H16</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H18</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H20</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H24</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H28</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H30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color w:val="auto"/>
                <w:sz w:val="20"/>
                <w:highlight w:val="none"/>
              </w:rPr>
              <w:t>R2</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安芸</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3</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中央</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42</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48</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45</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42</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43</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52</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高幡</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3</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0</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幡多</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8</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7</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7</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7</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6</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高知県合計</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r>
              <w:rPr>
                <w:rStyle w:val="38"/>
                <w:rFonts w:hint="eastAsia"/>
                <w:color w:val="auto"/>
                <w:sz w:val="20"/>
                <w:highlight w:val="none"/>
              </w:rPr>
              <w:t>4</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54</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58</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54</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49</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49</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61</w:t>
            </w:r>
          </w:p>
        </w:tc>
      </w:tr>
    </w:tbl>
    <w:p>
      <w:pPr>
        <w:pStyle w:val="0"/>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217" behindDoc="0" locked="0" layoutInCell="1" hidden="0" allowOverlap="1">
                <wp:simplePos x="0" y="0"/>
                <wp:positionH relativeFrom="column">
                  <wp:posOffset>412750</wp:posOffset>
                </wp:positionH>
                <wp:positionV relativeFrom="paragraph">
                  <wp:posOffset>219075</wp:posOffset>
                </wp:positionV>
                <wp:extent cx="5570855" cy="2389505"/>
                <wp:effectExtent l="0" t="0" r="635" b="0"/>
                <wp:wrapNone/>
                <wp:docPr id="1190" name="オブジェクト 0"/>
                <a:graphic xmlns:a="http://schemas.openxmlformats.org/drawingml/2006/main">
                  <a:graphicData uri="http://schemas.microsoft.com/office/word/2010/wordprocessingGroup">
                    <wpg:wgp>
                      <wpg:cNvGrpSpPr/>
                      <wpg:grpSpPr>
                        <a:xfrm>
                          <a:off x="0" y="0"/>
                          <a:ext cx="5570855" cy="2389505"/>
                          <a:chOff x="2068" y="5773"/>
                          <a:chExt cx="8773" cy="3763"/>
                        </a:xfrm>
                      </wpg:grpSpPr>
                      <wpg:graphicFrame>
                        <wpg:cNvPr id="1191" name="オブジェクト 0"/>
                        <wpg:cNvFrPr/>
                        <wpg:xfrm>
                          <a:off x="2068" y="5773"/>
                          <a:ext cx="7592" cy="3763"/>
                        </wpg:xfrm>
                        <a:graphic>
                          <a:graphicData uri="http://schemas.openxmlformats.org/drawingml/2006/chart">
                            <c:chart xmlns:c="http://schemas.openxmlformats.org/drawingml/2006/chart" r:id="rId43"/>
                          </a:graphicData>
                        </a:graphic>
                      </wpg:graphicFrame>
                      <wps:wsp>
                        <wps:cNvPr id="1192" name="オブジェクト 0"/>
                        <wps:cNvSpPr txBox="1"/>
                        <wps:spPr>
                          <a:xfrm>
                            <a:off x="9294" y="6085"/>
                            <a:ext cx="1544" cy="4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sz w:val="22"/>
                                </w:rPr>
                                <w:t>全国</w:t>
                              </w:r>
                              <w:r>
                                <w:rPr>
                                  <w:rFonts w:hint="eastAsia"/>
                                  <w:sz w:val="22"/>
                                </w:rPr>
                                <w:t>105.8</w:t>
                              </w:r>
                            </w:p>
                          </w:txbxContent>
                        </wps:txbx>
                        <wps:bodyPr vertOverflow="overflow" horzOverflow="overflow" wrap="square" lIns="74295" tIns="8890" rIns="74295" bIns="8890"/>
                      </wps:wsp>
                      <wps:wsp>
                        <wps:cNvPr id="1193" name="オブジェクト 0"/>
                        <wps:cNvSpPr txBox="1"/>
                        <wps:spPr>
                          <a:xfrm>
                            <a:off x="9297" y="6879"/>
                            <a:ext cx="1544" cy="4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sz w:val="22"/>
                                </w:rPr>
                                <w:t>高知</w:t>
                              </w:r>
                              <w:r>
                                <w:rPr>
                                  <w:rFonts w:hint="eastAsia"/>
                                  <w:sz w:val="22"/>
                                </w:rPr>
                                <w:t>95.3</w:t>
                              </w:r>
                            </w:p>
                          </w:txbxContent>
                        </wps:txbx>
                        <wps:bodyPr vertOverflow="overflow" horzOverflow="overflow" wrap="square" lIns="74295" tIns="8890" rIns="74295" bIns="8890"/>
                      </wps:wsp>
                    </wpg:wgp>
                  </a:graphicData>
                </a:graphic>
              </wp:anchor>
            </w:drawing>
          </mc:Choice>
          <mc:Fallback>
            <w:pict>
              <v:group id="オブジェクト 0" style="margin-top:17.25pt;mso-position-vertical-relative:text;mso-position-horizontal-relative:text;position:absolute;height:188.15pt;width:438.65pt;margin-left:32.5pt;z-index:217;" coordsize="8773,3763" coordorigin="2068,5773" o:spid="_x0000_s119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763;width:7592;top:5773;left:2068;position:absolute;" o:spid="_x0000_s1191" filled="f" stroked="f" o:spt="75" type="#_x0000_t75">
                  <v:fill/>
                  <v:imagedata o:title="" r:id="rId44"/>
                  <w10:wrap type="none" anchorx="text" anchory="text"/>
                </v:shape>
                <v:shapetype id="_x0000_t202" coordsize="21600,21600" o:spt="202" path="m,l,21600r21600,l21600,xe">
                  <v:stroke joinstyle="miter"/>
                  <v:path gradientshapeok="t" o:connecttype="rect"/>
                </v:shapetype>
                <v:shape id="オブジェクト 0" style="height:460;width:1544;top:6085;left:9294;position:absolute;" o:spid="_x0000_s1192"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sz w:val="22"/>
                          </w:rPr>
                          <w:t>全国</w:t>
                        </w:r>
                        <w:r>
                          <w:rPr>
                            <w:rFonts w:hint="eastAsia"/>
                            <w:sz w:val="22"/>
                          </w:rPr>
                          <w:t>105.8</w:t>
                        </w:r>
                      </w:p>
                    </w:txbxContent>
                  </v:textbox>
                  <v:imagedata o:title=""/>
                  <w10:wrap type="none" anchorx="text" anchory="text"/>
                </v:shape>
                <v:shape id="オブジェクト 0" style="height:460;width:1544;top:6879;left:9297;position:absolute;" o:spid="_x0000_s1193"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sz w:val="22"/>
                          </w:rPr>
                          <w:t>高知</w:t>
                        </w:r>
                        <w:r>
                          <w:rPr>
                            <w:rFonts w:hint="eastAsia"/>
                            <w:sz w:val="22"/>
                          </w:rPr>
                          <w:t>95.3</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4-1-33</w:t>
      </w:r>
      <w:r>
        <w:rPr>
          <w:rFonts w:hint="eastAsia" w:ascii="ＭＳ ゴシック" w:hAnsi="ＭＳ ゴシック" w:eastAsia="ＭＳ ゴシック"/>
          <w:color w:val="auto"/>
          <w:sz w:val="22"/>
          <w:highlight w:val="none"/>
          <w:u w:val="none" w:color="FF0000"/>
        </w:rPr>
        <w:t>）産科・産婦人科医師数の推移（Ｈ</w:t>
      </w:r>
      <w:r>
        <w:rPr>
          <w:rFonts w:hint="eastAsia" w:ascii="ＭＳ ゴシック" w:hAnsi="ＭＳ ゴシック" w:eastAsia="ＭＳ ゴシック"/>
          <w:color w:val="auto"/>
          <w:sz w:val="22"/>
          <w:highlight w:val="none"/>
          <w:u w:val="none" w:color="FF0000"/>
        </w:rPr>
        <w:t>14</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jc w:val="center"/>
        <w:rPr>
          <w:rFonts w:hint="eastAsia"/>
          <w:kern w:val="2"/>
          <w:highlight w:val="none"/>
        </w:rPr>
      </w:pPr>
    </w:p>
    <w:p>
      <w:pPr>
        <w:pStyle w:val="0"/>
        <w:jc w:val="center"/>
        <w:rPr>
          <w:rFonts w:hint="eastAsia"/>
          <w:kern w:val="2"/>
          <w:highlight w:val="none"/>
        </w:rPr>
      </w:pPr>
    </w:p>
    <w:p>
      <w:pPr>
        <w:pStyle w:val="0"/>
        <w:jc w:val="center"/>
        <w:rPr>
          <w:rFonts w:hint="eastAsia"/>
          <w:kern w:val="2"/>
          <w:highlight w:val="none"/>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5334635</wp:posOffset>
                </wp:positionH>
                <wp:positionV relativeFrom="paragraph">
                  <wp:posOffset>20955</wp:posOffset>
                </wp:positionV>
                <wp:extent cx="760095" cy="269875"/>
                <wp:effectExtent l="0" t="0" r="635" b="635"/>
                <wp:wrapNone/>
                <wp:docPr id="1194" name="オブジェクト 0"/>
                <a:graphic xmlns:a="http://schemas.openxmlformats.org/drawingml/2006/main">
                  <a:graphicData uri="http://schemas.microsoft.com/office/word/2010/wordprocessingShape">
                    <wps:wsp>
                      <wps:cNvPr id="1194"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5pt;mso-position-vertical-relative:text;mso-position-horizontal-relative:text;position:absolute;height:21.25pt;mso-wrap-distance-top:0pt;width:59.85pt;mso-wrap-distance-left:16pt;margin-left:420.05pt;z-index:10;" o:spid="_x0000_s1194"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4-1-34</w:t>
      </w:r>
      <w:r>
        <w:rPr>
          <w:rFonts w:hint="eastAsia" w:ascii="ＭＳ ゴシック" w:hAnsi="ＭＳ ゴシック" w:eastAsia="ＭＳ ゴシック"/>
          <w:color w:val="auto"/>
          <w:sz w:val="22"/>
          <w:highlight w:val="none"/>
          <w:u w:val="none" w:color="FF0000"/>
        </w:rPr>
        <w:t>）分娩を取り扱う医療機関に勤務する医師数の推移（常勤のみ）</w:t>
      </w:r>
    </w:p>
    <w:tbl>
      <w:tblPr>
        <w:tblStyle w:val="11"/>
        <w:tblpPr w:leftFromText="0" w:rightFromText="0" w:topFromText="0" w:bottomFromText="0" w:vertAnchor="text" w:horzAnchor="text" w:tblpXSpec="center" w:tblpY="11"/>
        <w:tblOverlap w:val="never"/>
        <w:tblW w:w="9291" w:type="dxa"/>
        <w:tblLayout w:type="fixed"/>
        <w:tblCellMar>
          <w:left w:w="99" w:type="dxa"/>
          <w:right w:w="99" w:type="dxa"/>
        </w:tblCellMar>
        <w:tblLook w:firstRow="1" w:lastRow="0" w:firstColumn="1" w:lastColumn="0" w:noHBand="0" w:noVBand="1" w:val="04A0"/>
      </w:tblPr>
      <w:tblGrid>
        <w:gridCol w:w="694"/>
        <w:gridCol w:w="662"/>
        <w:gridCol w:w="662"/>
        <w:gridCol w:w="661"/>
        <w:gridCol w:w="662"/>
        <w:gridCol w:w="662"/>
        <w:gridCol w:w="661"/>
        <w:gridCol w:w="1614"/>
        <w:gridCol w:w="603"/>
        <w:gridCol w:w="602"/>
        <w:gridCol w:w="602"/>
        <w:gridCol w:w="602"/>
        <w:gridCol w:w="604"/>
      </w:tblGrid>
      <w:tr>
        <w:trPr>
          <w:trHeight w:val="432" w:hRule="atLeast"/>
        </w:trPr>
        <w:tc>
          <w:tcPr>
            <w:tcW w:w="714" w:type="dxa"/>
            <w:vMerge w:val="restart"/>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p>
        </w:tc>
        <w:tc>
          <w:tcPr>
            <w:tcW w:w="680" w:type="dxa"/>
            <w:gridSpan w:val="6"/>
            <w:tcBorders>
              <w:top w:val="single" w:color="auto" w:sz="4" w:space="0"/>
              <w:left w:val="single" w:color="000000" w:themeColor="text1" w:sz="4" w:space="0"/>
              <w:bottom w:val="nil"/>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産科・産婦人科</w:t>
            </w:r>
          </w:p>
        </w:tc>
        <w:tc>
          <w:tcPr>
            <w:tcW w:w="1672" w:type="dxa"/>
            <w:vMerge w:val="restart"/>
            <w:tcBorders>
              <w:top w:val="single" w:color="auto" w:sz="4" w:space="0"/>
              <w:left w:val="nil"/>
              <w:bottom w:val="single" w:color="auto" w:sz="4" w:space="0"/>
              <w:right w:val="nil"/>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p>
        </w:tc>
        <w:tc>
          <w:tcPr>
            <w:tcW w:w="3040" w:type="dxa"/>
            <w:gridSpan w:val="5"/>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both"/>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小児科（小児外科）</w:t>
            </w:r>
          </w:p>
        </w:tc>
      </w:tr>
      <w:tr>
        <w:trPr>
          <w:trHeight w:val="432" w:hRule="atLeast"/>
        </w:trPr>
        <w:tc>
          <w:tcPr>
            <w:tcW w:w="714" w:type="dxa"/>
            <w:vMerge w:val="continue"/>
            <w:tcBorders>
              <w:top w:val="nil"/>
              <w:left w:val="single" w:color="auto" w:sz="4" w:space="0"/>
              <w:bottom w:val="single" w:color="auto" w:sz="4" w:space="0"/>
              <w:right w:val="single" w:color="000000" w:themeColor="text1"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single" w:color="D9E1F2" w:themeColor="accent5" w:themeTint="33" w:sz="4" w:space="0"/>
              <w:left w:val="single" w:color="000000" w:themeColor="text1" w:sz="4" w:space="0"/>
              <w:bottom w:val="sing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県計</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安芸</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中央</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高幡</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幡多</w:t>
            </w:r>
          </w:p>
        </w:tc>
        <w:tc>
          <w:tcPr>
            <w:tcW w:w="1672" w:type="dxa"/>
            <w:vMerge w:val="continue"/>
            <w:tcBorders>
              <w:top w:val="nil"/>
              <w:left w:val="nil"/>
              <w:bottom w:val="single" w:color="auto" w:sz="4" w:space="0"/>
              <w:right w:val="double" w:color="auto" w:sz="4" w:space="0"/>
              <w:tl2br w:val="none" w:color="auto" w:sz="0" w:space="0"/>
              <w:tr2bl w:val="none" w:color="auto" w:sz="0" w:space="0"/>
            </w:tcBorders>
            <w:shd w:val="clear" w:color="auto" w:fill="DAEEF3"/>
            <w:vAlign w:val="center"/>
          </w:tcPr>
          <w:p>
            <w:pPr>
              <w:pStyle w:val="0"/>
              <w:rPr>
                <w:rFonts w:hint="eastAsia"/>
              </w:rPr>
            </w:pP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県計</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安芸</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中央</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高幡</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幡多</w:t>
            </w:r>
          </w:p>
        </w:tc>
      </w:tr>
      <w:tr>
        <w:trPr>
          <w:trHeight w:val="432" w:hRule="atLeast"/>
        </w:trPr>
        <w:tc>
          <w:tcPr>
            <w:tcW w:w="71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H22.4</w:t>
            </w:r>
          </w:p>
        </w:tc>
        <w:tc>
          <w:tcPr>
            <w:tcW w:w="680"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color w:val="000000"/>
                <w:sz w:val="14"/>
                <w:highlight w:val="none"/>
                <w:u w:val="none" w:color="auto"/>
              </w:rPr>
              <w:t>病院</w:t>
            </w:r>
          </w:p>
        </w:tc>
        <w:tc>
          <w:tcPr>
            <w:tcW w:w="680"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27</w:t>
            </w:r>
          </w:p>
        </w:tc>
        <w:tc>
          <w:tcPr>
            <w:tcW w:w="680"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23</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1672"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小児科</w:t>
            </w: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40</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3</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32</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5</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15</w:t>
            </w:r>
          </w:p>
        </w:tc>
        <w:tc>
          <w:tcPr>
            <w:tcW w:w="680"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14</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1672"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（新生児診療担当）</w:t>
            </w: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r>
      <w:tr>
        <w:trPr>
          <w:trHeight w:val="432" w:hRule="atLeast"/>
        </w:trPr>
        <w:tc>
          <w:tcPr>
            <w:tcW w:w="71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H29.4</w:t>
            </w:r>
          </w:p>
        </w:tc>
        <w:tc>
          <w:tcPr>
            <w:tcW w:w="680"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napToGrid w:val="0"/>
              <w:spacing w:before="0" w:beforeLines="0" w:beforeAutospacing="0" w:after="0" w:afterLines="0" w:afterAutospacing="0" w:line="240" w:lineRule="auto"/>
              <w:jc w:val="center"/>
              <w:textAlignment w:val="auto"/>
              <w:rPr>
                <w:rFonts w:hint="eastAsia" w:ascii="ＭＳ 明朝" w:hAnsi="ＭＳ 明朝" w:eastAsia="ＭＳ 明朝"/>
                <w:sz w:val="14"/>
                <w:highlight w:val="none"/>
              </w:rPr>
            </w:pPr>
            <w:r>
              <w:rPr>
                <w:rFonts w:hint="eastAsia" w:ascii="ＭＳ 明朝" w:hAnsi="ＭＳ 明朝" w:eastAsia="ＭＳ 明朝"/>
                <w:color w:val="000000"/>
                <w:sz w:val="14"/>
                <w:highlight w:val="none"/>
                <w:u w:val="none" w:color="auto"/>
              </w:rPr>
              <w:t>病院</w:t>
            </w:r>
          </w:p>
        </w:tc>
        <w:tc>
          <w:tcPr>
            <w:tcW w:w="680"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30</w:t>
            </w:r>
          </w:p>
        </w:tc>
        <w:tc>
          <w:tcPr>
            <w:tcW w:w="680"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26</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1672"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小児科</w:t>
            </w: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39</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2</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30</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7</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7</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（新生児診療担当）</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r>
      <w:tr>
        <w:trPr>
          <w:trHeight w:val="432" w:hRule="atLeast"/>
        </w:trPr>
        <w:tc>
          <w:tcPr>
            <w:tcW w:w="71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R2.4</w:t>
            </w: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病院</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36</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30</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小児科</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49</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42</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7</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（新生児診療担当）</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r>
      <w:tr>
        <w:trPr>
          <w:trHeight w:val="432" w:hRule="atLeast"/>
        </w:trPr>
        <w:tc>
          <w:tcPr>
            <w:tcW w:w="71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R5.4</w:t>
            </w: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病院</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37</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32</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小児科</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54</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45</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（新生児診療担当）</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rPr>
              <mc:AlternateContent>
                <mc:Choice Requires="wps">
                  <w:drawing>
                    <wp:anchor distT="0" distB="0" distL="203200" distR="203200" simplePos="0" relativeHeight="24" behindDoc="1" locked="0" layoutInCell="1" hidden="0" allowOverlap="1">
                      <wp:simplePos x="0" y="0"/>
                      <wp:positionH relativeFrom="column">
                        <wp:posOffset>-2059940</wp:posOffset>
                      </wp:positionH>
                      <wp:positionV relativeFrom="paragraph">
                        <wp:posOffset>256540</wp:posOffset>
                      </wp:positionV>
                      <wp:extent cx="3056255" cy="294640"/>
                      <wp:effectExtent l="0" t="0" r="635" b="635"/>
                      <wp:wrapNone/>
                      <wp:docPr id="1195" name="オブジェクト 0"/>
                      <a:graphic xmlns:a="http://schemas.openxmlformats.org/drawingml/2006/main">
                        <a:graphicData uri="http://schemas.microsoft.com/office/word/2010/wordprocessingShape">
                          <wps:wsp>
                            <wps:cNvPr id="1195" name="オブジェクト 0"/>
                            <wps:cNvSpPr txBox="1">
                              <a:spLocks noChangeArrowheads="1"/>
                            </wps:cNvSpPr>
                            <wps:spPr>
                              <a:xfrm>
                                <a:off x="0" y="0"/>
                                <a:ext cx="3056255" cy="294640"/>
                              </a:xfrm>
                              <a:prstGeom prst="rect">
                                <a:avLst/>
                              </a:prstGeom>
                              <a:noFill/>
                              <a:ln>
                                <a:miter/>
                              </a:ln>
                            </wps:spPr>
                            <wps:txbx>
                              <w:txbxContent>
                                <w:p>
                                  <w:pPr>
                                    <w:pStyle w:val="29"/>
                                    <w:spacing w:line="0" w:lineRule="atLeast"/>
                                    <w:ind w:left="0" w:leftChars="0" w:right="227" w:rightChars="100" w:firstLine="0" w:firstLineChars="0"/>
                                    <w:jc w:val="right"/>
                                    <w:rPr>
                                      <w:rFonts w:hint="eastAsia" w:ascii="ＭＳ 明朝" w:hAnsi="ＭＳ 明朝" w:eastAsia="ＭＳ 明朝"/>
                                      <w:sz w:val="16"/>
                                    </w:rPr>
                                  </w:pPr>
                                  <w:r>
                                    <w:rPr>
                                      <w:rFonts w:hint="eastAsia" w:ascii="ＭＳ 明朝" w:hAnsi="ＭＳ 明朝" w:eastAsia="ＭＳ 明朝"/>
                                      <w:sz w:val="16"/>
                                    </w:rPr>
                                    <w:t>出典：高知県医療政策課調べ（各年</w:t>
                                  </w:r>
                                  <w:r>
                                    <w:rPr>
                                      <w:rFonts w:hint="eastAsia" w:ascii="ＭＳ 明朝" w:hAnsi="ＭＳ 明朝" w:eastAsia="ＭＳ 明朝"/>
                                      <w:sz w:val="16"/>
                                    </w:rPr>
                                    <w:t>4</w:t>
                                  </w:r>
                                  <w:r>
                                    <w:rPr>
                                      <w:rFonts w:hint="eastAsia" w:ascii="ＭＳ 明朝" w:hAnsi="ＭＳ 明朝" w:eastAsia="ＭＳ 明朝"/>
                                      <w:sz w:val="16"/>
                                    </w:rPr>
                                    <w:t>月１日現在）</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0.2pt;mso-position-vertical-relative:text;mso-position-horizontal-relative:text;position:absolute;height:23.2pt;mso-wrap-distance-top:0pt;width:240.65pt;mso-wrap-distance-left:16pt;margin-left:-162.19pt;z-index:-503316456;" o:spid="_x0000_s1195" o:allowincell="t" o:allowoverlap="t" filled="f" stroked="f" o:spt="202" type="#_x0000_t202">
                      <v:fill/>
                      <v:textbox style="layout-flow:horizontal;">
                        <w:txbxContent>
                          <w:p>
                            <w:pPr>
                              <w:pStyle w:val="29"/>
                              <w:spacing w:line="0" w:lineRule="atLeast"/>
                              <w:ind w:left="0" w:leftChars="0" w:right="227" w:rightChars="100" w:firstLine="0" w:firstLineChars="0"/>
                              <w:jc w:val="right"/>
                              <w:rPr>
                                <w:rFonts w:hint="eastAsia" w:ascii="ＭＳ 明朝" w:hAnsi="ＭＳ 明朝" w:eastAsia="ＭＳ 明朝"/>
                                <w:sz w:val="16"/>
                              </w:rPr>
                            </w:pPr>
                            <w:r>
                              <w:rPr>
                                <w:rFonts w:hint="eastAsia" w:ascii="ＭＳ 明朝" w:hAnsi="ＭＳ 明朝" w:eastAsia="ＭＳ 明朝"/>
                                <w:sz w:val="16"/>
                              </w:rPr>
                              <w:t>出典：高知県医療政策課調べ（各年</w:t>
                            </w:r>
                            <w:r>
                              <w:rPr>
                                <w:rFonts w:hint="eastAsia" w:ascii="ＭＳ 明朝" w:hAnsi="ＭＳ 明朝" w:eastAsia="ＭＳ 明朝"/>
                                <w:sz w:val="16"/>
                              </w:rPr>
                              <w:t>4</w:t>
                            </w:r>
                            <w:r>
                              <w:rPr>
                                <w:rFonts w:hint="eastAsia" w:ascii="ＭＳ 明朝" w:hAnsi="ＭＳ 明朝" w:eastAsia="ＭＳ 明朝"/>
                                <w:sz w:val="16"/>
                              </w:rPr>
                              <w:t>月１日現在）</w:t>
                            </w:r>
                          </w:p>
                        </w:txbxContent>
                      </v:textbox>
                      <v:imagedata o:title=""/>
                      <w10:wrap type="none" anchorx="text" anchory="text"/>
                    </v:shape>
                  </w:pict>
                </mc:Fallback>
              </mc:AlternateContent>
            </w: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r>
    </w:tbl>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県内の分娩を取扱う医療提供施設数（助産所を除く）は、平成</w:t>
      </w:r>
      <w:r>
        <w:rPr>
          <w:rFonts w:hint="eastAsia" w:ascii="ＭＳ 明朝" w:hAnsi="ＭＳ 明朝" w:eastAsia="ＭＳ 明朝"/>
          <w:color w:val="auto"/>
          <w:kern w:val="2"/>
          <w:sz w:val="22"/>
          <w:highlight w:val="none"/>
          <w:u w:val="none" w:color="auto"/>
        </w:rPr>
        <w:t>29</w:t>
      </w:r>
      <w:r>
        <w:rPr>
          <w:rFonts w:hint="eastAsia" w:ascii="ＭＳ 明朝" w:hAnsi="ＭＳ 明朝" w:eastAsia="ＭＳ 明朝"/>
          <w:color w:val="auto"/>
          <w:kern w:val="2"/>
          <w:sz w:val="22"/>
          <w:highlight w:val="none"/>
          <w:u w:val="none" w:color="auto"/>
        </w:rPr>
        <w:t>年の</w:t>
      </w:r>
      <w:r>
        <w:rPr>
          <w:rFonts w:hint="eastAsia" w:ascii="ＭＳ 明朝" w:hAnsi="ＭＳ 明朝" w:eastAsia="ＭＳ 明朝"/>
          <w:color w:val="auto"/>
          <w:kern w:val="2"/>
          <w:sz w:val="22"/>
          <w:highlight w:val="none"/>
          <w:u w:val="none" w:color="auto"/>
        </w:rPr>
        <w:t>17</w:t>
      </w:r>
      <w:r>
        <w:rPr>
          <w:rFonts w:hint="eastAsia" w:ascii="ＭＳ 明朝" w:hAnsi="ＭＳ 明朝" w:eastAsia="ＭＳ 明朝"/>
          <w:color w:val="auto"/>
          <w:kern w:val="2"/>
          <w:sz w:val="22"/>
          <w:highlight w:val="none"/>
          <w:u w:val="none" w:color="auto"/>
        </w:rPr>
        <w:t>施設（７病院、</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診療所）から、令和５年</w:t>
      </w:r>
      <w:r>
        <w:rPr>
          <w:rFonts w:hint="eastAsia" w:ascii="ＭＳ 明朝" w:hAnsi="ＭＳ 明朝" w:eastAsia="ＭＳ 明朝"/>
          <w:color w:val="auto"/>
          <w:kern w:val="2"/>
          <w:sz w:val="22"/>
          <w:highlight w:val="none"/>
          <w:u w:val="none" w:color="auto"/>
        </w:rPr>
        <w:t>12</w:t>
      </w:r>
      <w:r>
        <w:rPr>
          <w:rFonts w:hint="eastAsia" w:ascii="ＭＳ 明朝" w:hAnsi="ＭＳ 明朝" w:eastAsia="ＭＳ 明朝"/>
          <w:color w:val="auto"/>
          <w:kern w:val="2"/>
          <w:sz w:val="22"/>
          <w:highlight w:val="none"/>
          <w:u w:val="none" w:color="auto"/>
        </w:rPr>
        <w:t>月１日現在は</w:t>
      </w:r>
      <w:r>
        <w:rPr>
          <w:rFonts w:hint="eastAsia" w:ascii="ＭＳ 明朝" w:hAnsi="ＭＳ 明朝" w:eastAsia="ＭＳ 明朝"/>
          <w:color w:val="auto"/>
          <w:kern w:val="2"/>
          <w:sz w:val="22"/>
          <w:highlight w:val="none"/>
          <w:u w:val="none" w:color="auto"/>
        </w:rPr>
        <w:t>11</w:t>
      </w:r>
      <w:r>
        <w:rPr>
          <w:rFonts w:hint="eastAsia" w:ascii="ＭＳ 明朝" w:hAnsi="ＭＳ 明朝" w:eastAsia="ＭＳ 明朝"/>
          <w:color w:val="auto"/>
          <w:kern w:val="2"/>
          <w:sz w:val="22"/>
          <w:highlight w:val="none"/>
          <w:u w:val="none" w:color="auto"/>
        </w:rPr>
        <w:t>施設（７病院、４診療所）となっており、このうち１診療所が分娩取扱いを休止しています。</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令和４年の人口動態調査における本県の出生場所別の割合をみると、病院での出生は</w:t>
      </w:r>
      <w:r>
        <w:rPr>
          <w:rFonts w:hint="eastAsia" w:ascii="ＭＳ 明朝" w:hAnsi="ＭＳ 明朝" w:eastAsia="ＭＳ 明朝"/>
          <w:color w:val="auto"/>
          <w:kern w:val="2"/>
          <w:sz w:val="22"/>
          <w:highlight w:val="none"/>
          <w:u w:val="none" w:color="auto"/>
        </w:rPr>
        <w:t>69.1</w:t>
      </w:r>
      <w:r>
        <w:rPr>
          <w:rFonts w:hint="eastAsia" w:ascii="ＭＳ 明朝" w:hAnsi="ＭＳ 明朝" w:eastAsia="ＭＳ 明朝"/>
          <w:color w:val="auto"/>
          <w:kern w:val="2"/>
          <w:sz w:val="22"/>
          <w:highlight w:val="none"/>
          <w:u w:val="none" w:color="auto"/>
        </w:rPr>
        <w:t>％、診療所で</w:t>
      </w:r>
      <w:r>
        <w:rPr>
          <w:rFonts w:hint="eastAsia" w:ascii="ＭＳ 明朝" w:hAnsi="ＭＳ 明朝" w:eastAsia="ＭＳ 明朝"/>
          <w:color w:val="auto"/>
          <w:kern w:val="2"/>
          <w:sz w:val="22"/>
          <w:highlight w:val="none"/>
          <w:u w:val="none" w:color="auto"/>
        </w:rPr>
        <w:t>30.0</w:t>
      </w:r>
      <w:r>
        <w:rPr>
          <w:rFonts w:hint="eastAsia" w:ascii="ＭＳ 明朝" w:hAnsi="ＭＳ 明朝" w:eastAsia="ＭＳ 明朝"/>
          <w:color w:val="auto"/>
          <w:kern w:val="2"/>
          <w:sz w:val="22"/>
          <w:highlight w:val="none"/>
          <w:u w:val="none" w:color="auto"/>
        </w:rPr>
        <w:t>％、助産所では</w:t>
      </w:r>
      <w:r>
        <w:rPr>
          <w:rFonts w:hint="eastAsia" w:ascii="ＭＳ 明朝" w:hAnsi="ＭＳ 明朝" w:eastAsia="ＭＳ 明朝"/>
          <w:color w:val="auto"/>
          <w:kern w:val="2"/>
          <w:sz w:val="22"/>
          <w:highlight w:val="none"/>
          <w:u w:val="none" w:color="auto"/>
        </w:rPr>
        <w:t>0.1</w:t>
      </w:r>
      <w:r>
        <w:rPr>
          <w:rFonts w:hint="eastAsia" w:ascii="ＭＳ 明朝" w:hAnsi="ＭＳ 明朝" w:eastAsia="ＭＳ 明朝"/>
          <w:color w:val="auto"/>
          <w:kern w:val="2"/>
          <w:sz w:val="22"/>
          <w:highlight w:val="none"/>
          <w:u w:val="none" w:color="auto"/>
        </w:rPr>
        <w:t>％となっており、病院での分娩が約７割を占めています。</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二次保健医療圏別にみると、</w:t>
      </w:r>
      <w:r>
        <w:rPr>
          <w:rFonts w:hint="eastAsia" w:ascii="ＭＳ 明朝" w:hAnsi="ＭＳ 明朝" w:eastAsia="ＭＳ 明朝"/>
          <w:color w:val="auto"/>
          <w:kern w:val="2"/>
          <w:sz w:val="22"/>
          <w:highlight w:val="none"/>
          <w:u w:val="none" w:color="auto"/>
        </w:rPr>
        <w:t>11</w:t>
      </w:r>
      <w:r>
        <w:rPr>
          <w:rFonts w:hint="eastAsia" w:ascii="ＭＳ 明朝" w:hAnsi="ＭＳ 明朝" w:eastAsia="ＭＳ 明朝"/>
          <w:color w:val="auto"/>
          <w:kern w:val="2"/>
          <w:sz w:val="22"/>
          <w:highlight w:val="none"/>
          <w:u w:val="none" w:color="auto"/>
        </w:rPr>
        <w:t>施設中</w:t>
      </w:r>
      <w:r>
        <w:rPr>
          <w:rFonts w:hint="eastAsia" w:ascii="ＭＳ 明朝" w:hAnsi="ＭＳ 明朝" w:eastAsia="ＭＳ 明朝"/>
          <w:color w:val="auto"/>
          <w:kern w:val="2"/>
          <w:sz w:val="22"/>
          <w:highlight w:val="none"/>
          <w:u w:val="none" w:color="auto"/>
        </w:rPr>
        <w:t>8</w:t>
      </w:r>
      <w:r>
        <w:rPr>
          <w:rFonts w:hint="eastAsia" w:ascii="ＭＳ 明朝" w:hAnsi="ＭＳ 明朝" w:eastAsia="ＭＳ 明朝"/>
          <w:color w:val="auto"/>
          <w:kern w:val="2"/>
          <w:sz w:val="22"/>
          <w:highlight w:val="none"/>
          <w:u w:val="none" w:color="auto"/>
        </w:rPr>
        <w:t>施設が中央保健医療圏に集中しており、高幡保健医療圏では平成</w:t>
      </w:r>
      <w:r>
        <w:rPr>
          <w:rFonts w:hint="eastAsia" w:ascii="ＭＳ 明朝" w:hAnsi="ＭＳ 明朝" w:eastAsia="ＭＳ 明朝"/>
          <w:color w:val="auto"/>
          <w:kern w:val="2"/>
          <w:sz w:val="22"/>
          <w:highlight w:val="none"/>
          <w:u w:val="none" w:color="auto"/>
        </w:rPr>
        <w:t>22</w:t>
      </w:r>
      <w:r>
        <w:rPr>
          <w:rFonts w:hint="eastAsia" w:ascii="ＭＳ 明朝" w:hAnsi="ＭＳ 明朝" w:eastAsia="ＭＳ 明朝"/>
          <w:color w:val="auto"/>
          <w:kern w:val="2"/>
          <w:sz w:val="22"/>
          <w:highlight w:val="none"/>
          <w:u w:val="none" w:color="auto"/>
        </w:rPr>
        <w:t>年１月以降、分娩を取扱う施設がない状況となっています。</w:t>
      </w:r>
    </w:p>
    <w:p>
      <w:pPr>
        <w:pStyle w:val="0"/>
        <w:ind w:left="227" w:leftChars="100" w:right="0" w:rightChars="0" w:firstLine="227" w:firstLineChars="100"/>
        <w:jc w:val="both"/>
        <w:rPr>
          <w:rFonts w:hint="eastAsia" w:ascii="ＭＳ 明朝" w:hAnsi="ＭＳ 明朝" w:eastAsia="ＭＳ 明朝"/>
          <w:strike w:val="1"/>
          <w:dstrike w:val="0"/>
          <w:color w:val="FF0000"/>
          <w:kern w:val="2"/>
          <w:sz w:val="22"/>
          <w:highlight w:val="none"/>
          <w:u w:val="single" w:color="auto"/>
        </w:rPr>
      </w:pPr>
      <w:r>
        <w:rPr>
          <w:rFonts w:hint="eastAsia" w:ascii="ＭＳ 明朝" w:hAnsi="ＭＳ 明朝" w:eastAsia="ＭＳ 明朝"/>
          <w:color w:val="auto"/>
          <w:kern w:val="2"/>
          <w:sz w:val="22"/>
          <w:highlight w:val="none"/>
          <w:u w:val="none" w:color="auto"/>
        </w:rPr>
        <w:t>分娩取扱い件数は、平成</w:t>
      </w:r>
      <w:r>
        <w:rPr>
          <w:rFonts w:hint="eastAsia" w:ascii="ＭＳ 明朝" w:hAnsi="ＭＳ 明朝" w:eastAsia="ＭＳ 明朝"/>
          <w:color w:val="auto"/>
          <w:kern w:val="2"/>
          <w:sz w:val="22"/>
          <w:highlight w:val="none"/>
          <w:u w:val="none" w:color="auto"/>
        </w:rPr>
        <w:t>28</w:t>
      </w:r>
      <w:r>
        <w:rPr>
          <w:rFonts w:hint="eastAsia" w:ascii="ＭＳ 明朝" w:hAnsi="ＭＳ 明朝" w:eastAsia="ＭＳ 明朝"/>
          <w:color w:val="auto"/>
          <w:kern w:val="2"/>
          <w:sz w:val="22"/>
          <w:highlight w:val="none"/>
          <w:u w:val="none" w:color="auto"/>
        </w:rPr>
        <w:t>年には</w:t>
      </w:r>
      <w:r>
        <w:rPr>
          <w:rFonts w:hint="eastAsia" w:ascii="ＭＳ 明朝" w:hAnsi="ＭＳ 明朝" w:eastAsia="ＭＳ 明朝"/>
          <w:color w:val="auto"/>
          <w:kern w:val="2"/>
          <w:sz w:val="22"/>
          <w:highlight w:val="none"/>
          <w:u w:val="none" w:color="auto"/>
        </w:rPr>
        <w:t>5,269</w:t>
      </w:r>
      <w:r>
        <w:rPr>
          <w:rFonts w:hint="eastAsia" w:ascii="ＭＳ 明朝" w:hAnsi="ＭＳ 明朝" w:eastAsia="ＭＳ 明朝"/>
          <w:color w:val="auto"/>
          <w:kern w:val="2"/>
          <w:sz w:val="22"/>
          <w:highlight w:val="none"/>
          <w:u w:val="none" w:color="auto"/>
        </w:rPr>
        <w:t>件でしたが、令和４年には</w:t>
      </w:r>
      <w:r>
        <w:rPr>
          <w:rFonts w:hint="eastAsia" w:ascii="ＭＳ 明朝" w:hAnsi="ＭＳ 明朝" w:eastAsia="ＭＳ 明朝"/>
          <w:color w:val="auto"/>
          <w:kern w:val="2"/>
          <w:sz w:val="22"/>
          <w:highlight w:val="none"/>
          <w:u w:val="none" w:color="auto"/>
        </w:rPr>
        <w:t>3,966</w:t>
      </w:r>
      <w:r>
        <w:rPr>
          <w:rFonts w:hint="eastAsia" w:ascii="ＭＳ 明朝" w:hAnsi="ＭＳ 明朝" w:eastAsia="ＭＳ 明朝"/>
          <w:color w:val="auto"/>
          <w:kern w:val="2"/>
          <w:sz w:val="22"/>
          <w:highlight w:val="none"/>
          <w:u w:val="none" w:color="auto"/>
        </w:rPr>
        <w:t>件であり、県内の分娩取扱い件数は平成</w:t>
      </w:r>
      <w:r>
        <w:rPr>
          <w:rFonts w:hint="eastAsia" w:ascii="ＭＳ 明朝" w:hAnsi="ＭＳ 明朝" w:eastAsia="ＭＳ 明朝"/>
          <w:color w:val="auto"/>
          <w:kern w:val="2"/>
          <w:sz w:val="22"/>
          <w:highlight w:val="none"/>
          <w:u w:val="none" w:color="auto"/>
        </w:rPr>
        <w:t>28</w:t>
      </w:r>
      <w:r>
        <w:rPr>
          <w:rFonts w:hint="eastAsia" w:ascii="ＭＳ 明朝" w:hAnsi="ＭＳ 明朝" w:eastAsia="ＭＳ 明朝"/>
          <w:color w:val="auto"/>
          <w:kern w:val="2"/>
          <w:sz w:val="22"/>
          <w:highlight w:val="none"/>
          <w:u w:val="none" w:color="auto"/>
        </w:rPr>
        <w:t>年と比較し、約</w:t>
      </w:r>
      <w:r>
        <w:rPr>
          <w:rFonts w:hint="eastAsia" w:ascii="ＭＳ 明朝" w:hAnsi="ＭＳ 明朝" w:eastAsia="ＭＳ 明朝"/>
          <w:color w:val="auto"/>
          <w:kern w:val="2"/>
          <w:sz w:val="22"/>
          <w:highlight w:val="none"/>
          <w:u w:val="none" w:color="auto"/>
        </w:rPr>
        <w:t>25</w:t>
      </w:r>
      <w:r>
        <w:rPr>
          <w:rFonts w:hint="eastAsia" w:ascii="ＭＳ 明朝" w:hAnsi="ＭＳ 明朝" w:eastAsia="ＭＳ 明朝"/>
          <w:color w:val="auto"/>
          <w:kern w:val="2"/>
          <w:sz w:val="22"/>
          <w:highlight w:val="none"/>
          <w:u w:val="none" w:color="auto"/>
        </w:rPr>
        <w:t>％減少しています。</w:t>
      </w:r>
    </w:p>
    <w:p>
      <w:pPr>
        <w:pStyle w:val="0"/>
        <w:spacing w:before="0" w:beforeLines="0" w:beforeAutospacing="0" w:after="0" w:afterLines="0" w:afterAutospacing="0" w:line="160" w:lineRule="exact"/>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p>
    <w:p>
      <w:pPr>
        <w:pStyle w:val="0"/>
        <w:jc w:val="center"/>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20" behindDoc="0" locked="0" layoutInCell="1" hidden="0" allowOverlap="1">
                <wp:simplePos x="0" y="0"/>
                <wp:positionH relativeFrom="column">
                  <wp:posOffset>5123815</wp:posOffset>
                </wp:positionH>
                <wp:positionV relativeFrom="paragraph">
                  <wp:posOffset>13335</wp:posOffset>
                </wp:positionV>
                <wp:extent cx="760095" cy="269875"/>
                <wp:effectExtent l="0" t="0" r="635" b="635"/>
                <wp:wrapNone/>
                <wp:docPr id="1196" name="オブジェクト 0"/>
                <a:graphic xmlns:a="http://schemas.openxmlformats.org/drawingml/2006/main">
                  <a:graphicData uri="http://schemas.microsoft.com/office/word/2010/wordprocessingShape">
                    <wps:wsp>
                      <wps:cNvPr id="1196"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5pt;mso-position-vertical-relative:text;mso-position-horizontal-relative:text;position:absolute;height:21.25pt;mso-wrap-distance-top:0pt;width:59.85pt;mso-wrap-distance-left:16pt;margin-left:403.45pt;z-index:20;" o:spid="_x0000_s119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4-1-35</w:t>
      </w:r>
      <w:r>
        <w:rPr>
          <w:rFonts w:hint="eastAsia" w:ascii="ＭＳ ゴシック" w:hAnsi="ＭＳ ゴシック" w:eastAsia="ＭＳ ゴシック"/>
          <w:color w:val="auto"/>
          <w:sz w:val="22"/>
          <w:highlight w:val="none"/>
          <w:u w:val="none" w:color="FF0000"/>
        </w:rPr>
        <w:t>）分娩を取扱う医療提供施設数の推移（助産所を除く）</w:t>
      </w:r>
    </w:p>
    <w:tbl>
      <w:tblPr>
        <w:tblStyle w:val="11"/>
        <w:tblpPr w:leftFromText="0" w:rightFromText="0" w:topFromText="0" w:bottomFromText="0" w:vertAnchor="text" w:horzAnchor="margin" w:tblpXSpec="center" w:tblpY="25"/>
        <w:tblOverlap w:val="never"/>
        <w:tblW w:w="8881" w:type="dxa"/>
        <w:tblLayout w:type="fixed"/>
        <w:tblCellMar>
          <w:left w:w="99" w:type="dxa"/>
          <w:right w:w="99" w:type="dxa"/>
        </w:tblCellMar>
        <w:tblLook w:firstRow="1" w:lastRow="0" w:firstColumn="1" w:lastColumn="0" w:noHBand="0" w:noVBand="1" w:val="04A0"/>
      </w:tblPr>
      <w:tblGrid>
        <w:gridCol w:w="941"/>
        <w:gridCol w:w="908"/>
        <w:gridCol w:w="703"/>
        <w:gridCol w:w="703"/>
        <w:gridCol w:w="703"/>
        <w:gridCol w:w="703"/>
        <w:gridCol w:w="703"/>
        <w:gridCol w:w="703"/>
        <w:gridCol w:w="703"/>
        <w:gridCol w:w="703"/>
        <w:gridCol w:w="703"/>
        <w:gridCol w:w="705"/>
      </w:tblGrid>
      <w:tr>
        <w:trPr>
          <w:trHeight w:val="360" w:hRule="atLeast"/>
        </w:trPr>
        <w:tc>
          <w:tcPr>
            <w:tcW w:w="941" w:type="dxa"/>
            <w:vMerge w:val="restart"/>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6"/>
                <w:highlight w:val="none"/>
              </w:rPr>
            </w:pPr>
          </w:p>
        </w:tc>
        <w:tc>
          <w:tcPr>
            <w:tcW w:w="908" w:type="dxa"/>
            <w:vMerge w:val="restart"/>
            <w:tcBorders>
              <w:top w:val="single" w:color="auto" w:sz="4" w:space="0"/>
              <w:left w:val="doub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6"/>
                <w:highlight w:val="none"/>
              </w:rPr>
            </w:pPr>
            <w:r>
              <w:rPr>
                <w:rFonts w:hint="eastAsia" w:ascii="ＭＳ 明朝" w:hAnsi="ＭＳ 明朝" w:eastAsia="ＭＳ 明朝"/>
                <w:color w:val="auto"/>
                <w:sz w:val="16"/>
                <w:highlight w:val="none"/>
              </w:rPr>
              <w:t>分娩施設　</w:t>
            </w:r>
          </w:p>
          <w:p>
            <w:pPr>
              <w:pStyle w:val="0"/>
              <w:widowControl w:val="1"/>
              <w:overflowPunct w:val="1"/>
              <w:adjustRightInd w:val="1"/>
              <w:spacing w:line="240" w:lineRule="auto"/>
              <w:jc w:val="center"/>
              <w:textAlignment w:val="auto"/>
              <w:rPr>
                <w:rFonts w:hint="eastAsia" w:ascii="ＭＳ 明朝" w:hAnsi="ＭＳ 明朝" w:eastAsia="ＭＳ 明朝"/>
                <w:sz w:val="16"/>
                <w:highlight w:val="none"/>
              </w:rPr>
            </w:pPr>
            <w:r>
              <w:rPr>
                <w:rFonts w:hint="eastAsia" w:ascii="ＭＳ 明朝" w:hAnsi="ＭＳ 明朝" w:eastAsia="ＭＳ 明朝"/>
                <w:color w:val="auto"/>
                <w:sz w:val="16"/>
                <w:highlight w:val="none"/>
              </w:rPr>
              <w:t>合計数</w:t>
            </w:r>
          </w:p>
        </w:tc>
        <w:tc>
          <w:tcPr>
            <w:tcW w:w="1406" w:type="dxa"/>
            <w:gridSpan w:val="2"/>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高知県</w:t>
            </w:r>
          </w:p>
        </w:tc>
        <w:tc>
          <w:tcPr>
            <w:tcW w:w="1406" w:type="dxa"/>
            <w:gridSpan w:val="2"/>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安芸</w:t>
            </w:r>
          </w:p>
        </w:tc>
        <w:tc>
          <w:tcPr>
            <w:tcW w:w="140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中央</w:t>
            </w:r>
          </w:p>
        </w:tc>
        <w:tc>
          <w:tcPr>
            <w:tcW w:w="140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高幡</w:t>
            </w:r>
          </w:p>
        </w:tc>
        <w:tc>
          <w:tcPr>
            <w:tcW w:w="1408"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幡多</w:t>
            </w:r>
          </w:p>
        </w:tc>
      </w:tr>
      <w:tr>
        <w:trPr>
          <w:trHeight w:val="297" w:hRule="atLeast"/>
        </w:trPr>
        <w:tc>
          <w:tcPr>
            <w:tcW w:w="941" w:type="dxa"/>
            <w:vMerge w:val="continue"/>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rPr>
                <w:rFonts w:hint="eastAsia"/>
              </w:rPr>
            </w:pPr>
          </w:p>
        </w:tc>
        <w:tc>
          <w:tcPr>
            <w:tcW w:w="908" w:type="dxa"/>
            <w:vMerge w:val="continue"/>
            <w:tcBorders>
              <w:top w:val="single" w:color="auto" w:sz="4" w:space="0"/>
              <w:left w:val="doub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rPr>
                <w:rFonts w:hint="eastAsia"/>
              </w:rPr>
            </w:pPr>
          </w:p>
        </w:tc>
        <w:tc>
          <w:tcPr>
            <w:tcW w:w="70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c>
          <w:tcPr>
            <w:tcW w:w="70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highlight w:val="none"/>
              </w:rPr>
              <mc:AlternateContent>
                <mc:Choice Requires="wps">
                  <w:drawing>
                    <wp:anchor distT="0" distB="0" distL="71755" distR="71755" simplePos="0" relativeHeight="19" behindDoc="0" locked="0" layoutInCell="1" hidden="0" allowOverlap="1">
                      <wp:simplePos x="0" y="0"/>
                      <wp:positionH relativeFrom="column">
                        <wp:posOffset>-321945</wp:posOffset>
                      </wp:positionH>
                      <wp:positionV relativeFrom="paragraph">
                        <wp:posOffset>119380</wp:posOffset>
                      </wp:positionV>
                      <wp:extent cx="508635" cy="269240"/>
                      <wp:effectExtent l="0" t="0" r="635" b="635"/>
                      <wp:wrapNone/>
                      <wp:docPr id="1197" name="オブジェクト 0"/>
                      <a:graphic xmlns:a="http://schemas.openxmlformats.org/drawingml/2006/main">
                        <a:graphicData uri="http://schemas.microsoft.com/office/word/2010/wordprocessingShape">
                          <wps:wsp>
                            <wps:cNvPr id="1197" name="オブジェクト 0"/>
                            <wps:cNvSpPr txBox="1">
                              <a:spLocks noChangeArrowheads="1"/>
                            </wps:cNvSpPr>
                            <wps:spPr>
                              <a:xfrm>
                                <a:off x="0" y="0"/>
                                <a:ext cx="508635" cy="269240"/>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sz w:val="12"/>
                                    </w:rPr>
                                    <w:t>※</w:t>
                                  </w:r>
                                  <w:r>
                                    <w:rPr>
                                      <w:rFonts w:hint="eastAsia"/>
                                      <w:sz w:val="12"/>
                                    </w:rPr>
                                    <w:t>1</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4pt;mso-position-vertical-relative:text;mso-position-horizontal-relative:text;position:absolute;height:21.2pt;mso-wrap-distance-top:0pt;width:40.04pt;mso-wrap-distance-left:5.65pt;margin-left:-25.35pt;z-index:19;" o:spid="_x0000_s119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sz w:val="12"/>
                              </w:rPr>
                              <w:t>※</w:t>
                            </w:r>
                            <w:r>
                              <w:rPr>
                                <w:rFonts w:hint="eastAsia"/>
                                <w:sz w:val="12"/>
                              </w:rPr>
                              <w:t>1</w:t>
                            </w:r>
                          </w:p>
                        </w:txbxContent>
                      </v:textbox>
                      <v:imagedata o:title=""/>
                      <w10:wrap type="none" anchorx="text" anchory="text"/>
                    </v:shape>
                  </w:pict>
                </mc:Fallback>
              </mc:AlternateContent>
            </w: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病院</w:t>
            </w:r>
          </w:p>
        </w:tc>
        <w:tc>
          <w:tcPr>
            <w:tcW w:w="705"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r>
      <w:tr>
        <w:trPr>
          <w:trHeight w:val="270" w:hRule="atLeast"/>
        </w:trPr>
        <w:tc>
          <w:tcPr>
            <w:tcW w:w="941"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H29.4</w:t>
            </w:r>
          </w:p>
        </w:tc>
        <w:tc>
          <w:tcPr>
            <w:tcW w:w="908" w:type="dxa"/>
            <w:tcBorders>
              <w:top w:val="doub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17</w:t>
            </w:r>
          </w:p>
        </w:tc>
        <w:tc>
          <w:tcPr>
            <w:tcW w:w="70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703" w:type="dxa"/>
            <w:tcBorders>
              <w:top w:val="doub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p>
        </w:tc>
        <w:tc>
          <w:tcPr>
            <w:tcW w:w="70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5</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 xml:space="preserve">9  </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5"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r>
      <w:tr>
        <w:trPr>
          <w:trHeight w:val="270" w:hRule="atLeast"/>
        </w:trPr>
        <w:tc>
          <w:tcPr>
            <w:tcW w:w="941"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R2.4</w:t>
            </w:r>
          </w:p>
        </w:tc>
        <w:tc>
          <w:tcPr>
            <w:tcW w:w="90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13</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70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6</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5</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6</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r>
      <w:tr>
        <w:trPr>
          <w:trHeight w:val="270" w:hRule="atLeast"/>
        </w:trPr>
        <w:tc>
          <w:tcPr>
            <w:tcW w:w="941"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R4.4</w:t>
            </w:r>
          </w:p>
        </w:tc>
        <w:tc>
          <w:tcPr>
            <w:tcW w:w="90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12</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70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5</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5</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4</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highlight w:val="none"/>
              </w:rPr>
              <mc:AlternateContent>
                <mc:Choice Requires="wps">
                  <w:drawing>
                    <wp:anchor distT="0" distB="0" distL="71755" distR="71755" simplePos="0" relativeHeight="18" behindDoc="0" locked="0" layoutInCell="1" hidden="0" allowOverlap="1">
                      <wp:simplePos x="0" y="0"/>
                      <wp:positionH relativeFrom="column">
                        <wp:posOffset>-313055</wp:posOffset>
                      </wp:positionH>
                      <wp:positionV relativeFrom="paragraph">
                        <wp:posOffset>97790</wp:posOffset>
                      </wp:positionV>
                      <wp:extent cx="508635" cy="354330"/>
                      <wp:effectExtent l="0" t="0" r="635" b="635"/>
                      <wp:wrapNone/>
                      <wp:docPr id="1198" name="オブジェクト 0"/>
                      <a:graphic xmlns:a="http://schemas.openxmlformats.org/drawingml/2006/main">
                        <a:graphicData uri="http://schemas.microsoft.com/office/word/2010/wordprocessingShape">
                          <wps:wsp>
                            <wps:cNvPr id="1198" name="オブジェクト 0"/>
                            <wps:cNvSpPr txBox="1">
                              <a:spLocks noChangeArrowheads="1"/>
                            </wps:cNvSpPr>
                            <wps:spPr>
                              <a:xfrm>
                                <a:off x="0" y="0"/>
                                <a:ext cx="508635" cy="354330"/>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sz w:val="12"/>
                                    </w:rPr>
                                    <w:t>※</w:t>
                                  </w:r>
                                  <w:r>
                                    <w:rPr>
                                      <w:rFonts w:hint="eastAsia"/>
                                      <w:sz w:val="12"/>
                                    </w:rPr>
                                    <w:t>2</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7pt;mso-position-vertical-relative:text;mso-position-horizontal-relative:text;position:absolute;height:27.9pt;mso-wrap-distance-top:0pt;width:40.04pt;mso-wrap-distance-left:5.65pt;margin-left:-24.65pt;z-index:18;" o:spid="_x0000_s119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sz w:val="12"/>
                              </w:rPr>
                              <w:t>※</w:t>
                            </w:r>
                            <w:r>
                              <w:rPr>
                                <w:rFonts w:hint="eastAsia"/>
                                <w:sz w:val="12"/>
                              </w:rPr>
                              <w:t>2</w:t>
                            </w:r>
                          </w:p>
                        </w:txbxContent>
                      </v:textbox>
                      <v:imagedata o:title=""/>
                      <w10:wrap type="none" anchorx="text" anchory="text"/>
                    </v:shape>
                  </w:pict>
                </mc:Fallback>
              </mc:AlternateContent>
            </w: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r>
      <w:tr>
        <w:trPr>
          <w:trHeight w:val="270" w:hRule="atLeast"/>
        </w:trPr>
        <w:tc>
          <w:tcPr>
            <w:tcW w:w="94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R5.4</w:t>
            </w:r>
          </w:p>
        </w:tc>
        <w:tc>
          <w:tcPr>
            <w:tcW w:w="90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11</w:t>
            </w:r>
          </w:p>
        </w:tc>
        <w:tc>
          <w:tcPr>
            <w:tcW w:w="70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703"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70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5</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highlight w:val="none"/>
              </w:rPr>
              <mc:AlternateContent>
                <mc:Choice Requires="wps">
                  <w:drawing>
                    <wp:anchor distT="0" distB="0" distL="203200" distR="203200" simplePos="0" relativeHeight="22" behindDoc="1" locked="0" layoutInCell="1" hidden="0" allowOverlap="1">
                      <wp:simplePos x="0" y="0"/>
                      <wp:positionH relativeFrom="column">
                        <wp:posOffset>-230505</wp:posOffset>
                      </wp:positionH>
                      <wp:positionV relativeFrom="page">
                        <wp:posOffset>191135</wp:posOffset>
                      </wp:positionV>
                      <wp:extent cx="1653540" cy="247650"/>
                      <wp:effectExtent l="0" t="0" r="635" b="635"/>
                      <wp:wrapNone/>
                      <wp:docPr id="1199" name="オブジェクト 0"/>
                      <a:graphic xmlns:a="http://schemas.openxmlformats.org/drawingml/2006/main">
                        <a:graphicData uri="http://schemas.microsoft.com/office/word/2010/wordprocessingShape">
                          <wps:wsp>
                            <wps:cNvPr id="1199" name="オブジェクト 0"/>
                            <wps:cNvSpPr txBox="1">
                              <a:spLocks noChangeArrowheads="1"/>
                            </wps:cNvSpPr>
                            <wps:spPr>
                              <a:xfrm>
                                <a:off x="0" y="0"/>
                                <a:ext cx="1653540" cy="247650"/>
                              </a:xfrm>
                              <a:prstGeom prst="rect">
                                <a:avLst/>
                              </a:prstGeom>
                              <a:noFill/>
                              <a:ln>
                                <a:miter/>
                              </a:ln>
                            </wps:spPr>
                            <wps:txbx>
                              <w:txbxContent>
                                <w:p>
                                  <w:pPr>
                                    <w:pStyle w:val="29"/>
                                    <w:spacing w:line="0" w:lineRule="atLeast"/>
                                    <w:ind w:left="0" w:leftChars="0" w:right="0" w:rightChars="0" w:firstLine="0" w:firstLineChars="0"/>
                                    <w:rPr>
                                      <w:rFonts w:hint="eastAsia" w:ascii="ＭＳ 明朝" w:hAnsi="ＭＳ 明朝" w:eastAsia="ＭＳ 明朝"/>
                                      <w:sz w:val="16"/>
                                    </w:rPr>
                                  </w:pPr>
                                  <w:r>
                                    <w:rPr>
                                      <w:rFonts w:hint="eastAsia" w:ascii="ＭＳ 明朝" w:hAnsi="ＭＳ 明朝" w:eastAsia="ＭＳ 明朝"/>
                                      <w:sz w:val="16"/>
                                    </w:rPr>
                                    <w:t>出典：高知県医療政策課調べ</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05pt;mso-position-vertical-relative:page;mso-position-horizontal-relative:text;position:absolute;height:19.5pt;mso-wrap-distance-top:0pt;width:130.19pt;mso-wrap-distance-left:16pt;margin-left:-18.14pt;z-index:-503316458;" o:spid="_x0000_s1199" o:allowincell="t" o:allowoverlap="t" filled="f" stroked="f" o:spt="202" type="#_x0000_t202">
                      <v:fill/>
                      <v:textbox style="layout-flow:horizontal;">
                        <w:txbxContent>
                          <w:p>
                            <w:pPr>
                              <w:pStyle w:val="29"/>
                              <w:spacing w:line="0" w:lineRule="atLeast"/>
                              <w:ind w:left="0" w:leftChars="0" w:right="0" w:rightChars="0" w:firstLine="0" w:firstLineChars="0"/>
                              <w:rPr>
                                <w:rFonts w:hint="eastAsia" w:ascii="ＭＳ 明朝" w:hAnsi="ＭＳ 明朝" w:eastAsia="ＭＳ 明朝"/>
                                <w:sz w:val="16"/>
                              </w:rPr>
                            </w:pPr>
                            <w:r>
                              <w:rPr>
                                <w:rFonts w:hint="eastAsia" w:ascii="ＭＳ 明朝" w:hAnsi="ＭＳ 明朝" w:eastAsia="ＭＳ 明朝"/>
                                <w:sz w:val="16"/>
                              </w:rPr>
                              <w:t>出典：高知県医療政策課調べ</w:t>
                            </w:r>
                          </w:p>
                        </w:txbxContent>
                      </v:textbox>
                      <v:imagedata o:title=""/>
                      <w10:wrap type="none" anchorx="text" anchory="page"/>
                    </v:shape>
                  </w:pict>
                </mc:Fallback>
              </mc:AlternateContent>
            </w:r>
            <w:r>
              <w:rPr>
                <w:rFonts w:hint="eastAsia" w:ascii="ＭＳ 明朝" w:hAnsi="ＭＳ 明朝" w:eastAsia="ＭＳ 明朝"/>
                <w:sz w:val="20"/>
                <w:highlight w:val="none"/>
              </w:rPr>
              <w:t>－</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r>
    </w:tbl>
    <w:p>
      <w:pPr>
        <w:pStyle w:val="0"/>
        <w:spacing w:line="240" w:lineRule="auto"/>
        <w:ind w:leftChars="0" w:right="0" w:rightChars="0" w:firstLineChars="0"/>
        <w:jc w:val="both"/>
        <w:rPr>
          <w:rFonts w:hint="default"/>
          <w:kern w:val="2"/>
          <w:highlight w:val="none"/>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215265</wp:posOffset>
                </wp:positionH>
                <wp:positionV relativeFrom="paragraph">
                  <wp:posOffset>1328420</wp:posOffset>
                </wp:positionV>
                <wp:extent cx="3801745" cy="433070"/>
                <wp:effectExtent l="0" t="0" r="635" b="635"/>
                <wp:wrapNone/>
                <wp:docPr id="1200" name="オブジェクト 0"/>
                <a:graphic xmlns:a="http://schemas.openxmlformats.org/drawingml/2006/main">
                  <a:graphicData uri="http://schemas.microsoft.com/office/word/2010/wordprocessingShape">
                    <wps:wsp>
                      <wps:cNvPr id="1200" name="オブジェクト 0"/>
                      <wps:cNvSpPr txBox="1">
                        <a:spLocks noChangeArrowheads="1"/>
                      </wps:cNvSpPr>
                      <wps:spPr>
                        <a:xfrm>
                          <a:off x="0" y="0"/>
                          <a:ext cx="3801745" cy="433070"/>
                        </a:xfrm>
                        <a:prstGeom prst="rect">
                          <a:avLst/>
                        </a:prstGeom>
                        <a:noFill/>
                        <a:ln cap="flat" cmpd="sng">
                          <a:prstDash val="solid"/>
                          <a:miter lim="800000"/>
                          <a:headEnd type="none" w="med" len="med"/>
                          <a:tailEnd type="none" w="med" len="med"/>
                        </a:ln>
                      </wps:spPr>
                      <wps:txbx>
                        <w:txbxContent>
                          <w:p>
                            <w:pPr>
                              <w:pStyle w:val="0"/>
                              <w:jc w:val="both"/>
                              <w:rPr>
                                <w:rFonts w:hint="eastAsia" w:ascii="ＭＳ 明朝" w:hAnsi="ＭＳ 明朝" w:eastAsia="ＭＳ 明朝"/>
                                <w:sz w:val="16"/>
                              </w:rPr>
                            </w:pPr>
                            <w:r>
                              <w:rPr>
                                <w:rFonts w:hint="eastAsia" w:ascii="ＭＳ 明朝" w:hAnsi="ＭＳ 明朝" w:eastAsia="ＭＳ 明朝"/>
                                <w:sz w:val="16"/>
                                <w:highlight w:val="none"/>
                              </w:rPr>
                              <w:t>※１：分娩休止施設３施設含む、※２：分娩休止施設１施設含む</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4.6pt;mso-position-vertical-relative:text;mso-position-horizontal-relative:text;position:absolute;height:34.1pt;mso-wrap-distance-top:0pt;width:299.35000000000002pt;mso-wrap-distance-left:16pt;margin-left:16.95pt;z-index:21;" o:spid="_x0000_s120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jc w:val="both"/>
                        <w:rPr>
                          <w:rFonts w:hint="eastAsia" w:ascii="ＭＳ 明朝" w:hAnsi="ＭＳ 明朝" w:eastAsia="ＭＳ 明朝"/>
                          <w:sz w:val="16"/>
                        </w:rPr>
                      </w:pPr>
                      <w:r>
                        <w:rPr>
                          <w:rFonts w:hint="eastAsia" w:ascii="ＭＳ 明朝" w:hAnsi="ＭＳ 明朝" w:eastAsia="ＭＳ 明朝"/>
                          <w:sz w:val="16"/>
                          <w:highlight w:val="none"/>
                        </w:rPr>
                        <w:t>※１：分娩休止施設３施設含む、※２：分娩休止施設１施設含む</w:t>
                      </w:r>
                    </w:p>
                  </w:txbxContent>
                </v:textbox>
                <v:imagedata o:title=""/>
                <w10:wrap type="none" anchorx="text" anchory="text"/>
              </v:shape>
            </w:pict>
          </mc:Fallback>
        </mc:AlternateContent>
      </w:r>
    </w:p>
    <w:p>
      <w:pPr>
        <w:pStyle w:val="0"/>
        <w:jc w:val="center"/>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25" behindDoc="0" locked="0" layoutInCell="1" hidden="0" allowOverlap="1">
                <wp:simplePos x="0" y="0"/>
                <wp:positionH relativeFrom="column">
                  <wp:posOffset>5052060</wp:posOffset>
                </wp:positionH>
                <wp:positionV relativeFrom="paragraph">
                  <wp:posOffset>8255</wp:posOffset>
                </wp:positionV>
                <wp:extent cx="760095" cy="269875"/>
                <wp:effectExtent l="0" t="0" r="635" b="635"/>
                <wp:wrapNone/>
                <wp:docPr id="1201" name="オブジェクト 0"/>
                <a:graphic xmlns:a="http://schemas.openxmlformats.org/drawingml/2006/main">
                  <a:graphicData uri="http://schemas.microsoft.com/office/word/2010/wordprocessingShape">
                    <wps:wsp>
                      <wps:cNvPr id="1201"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65pt;mso-position-vertical-relative:text;mso-position-horizontal-relative:text;position:absolute;height:21.25pt;mso-wrap-distance-top:0pt;width:59.85pt;mso-wrap-distance-left:16pt;margin-left:397.8pt;z-index:25;" o:spid="_x0000_s120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4-1-36</w:t>
      </w:r>
      <w:r>
        <w:rPr>
          <w:rFonts w:hint="eastAsia" w:ascii="ＭＳ ゴシック" w:hAnsi="ＭＳ ゴシック" w:eastAsia="ＭＳ ゴシック"/>
          <w:color w:val="auto"/>
          <w:sz w:val="22"/>
          <w:highlight w:val="none"/>
          <w:u w:val="none" w:color="FF0000"/>
        </w:rPr>
        <w:t>）保健医療圏別の分娩取扱い件数の推移</w:t>
      </w:r>
    </w:p>
    <w:tbl>
      <w:tblPr>
        <w:tblStyle w:val="11"/>
        <w:tblpPr w:leftFromText="0" w:rightFromText="0" w:topFromText="0" w:bottomFromText="0" w:vertAnchor="text" w:horzAnchor="margin" w:tblpXSpec="center" w:tblpY="55"/>
        <w:tblOverlap w:val="never"/>
        <w:tblW w:w="9222" w:type="dxa"/>
        <w:tblLayout w:type="fixed"/>
        <w:tblCellMar>
          <w:left w:w="99" w:type="dxa"/>
          <w:right w:w="99" w:type="dxa"/>
        </w:tblCellMar>
        <w:tblLook w:firstRow="1" w:lastRow="0" w:firstColumn="1" w:lastColumn="0" w:noHBand="0" w:noVBand="1" w:val="04A0"/>
      </w:tblPr>
      <w:tblGrid>
        <w:gridCol w:w="634"/>
        <w:gridCol w:w="1072"/>
        <w:gridCol w:w="1074"/>
        <w:gridCol w:w="1073"/>
        <w:gridCol w:w="1073"/>
        <w:gridCol w:w="1073"/>
        <w:gridCol w:w="1074"/>
        <w:gridCol w:w="1072"/>
        <w:gridCol w:w="1077"/>
      </w:tblGrid>
      <w:tr>
        <w:trPr>
          <w:trHeight w:val="372" w:hRule="atLeast"/>
        </w:trPr>
        <w:tc>
          <w:tcPr>
            <w:tcW w:w="634" w:type="dxa"/>
            <w:vMerge w:val="restart"/>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p>
        </w:tc>
        <w:tc>
          <w:tcPr>
            <w:tcW w:w="2147" w:type="dxa"/>
            <w:gridSpan w:val="2"/>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高知県</w:t>
            </w:r>
          </w:p>
        </w:tc>
        <w:tc>
          <w:tcPr>
            <w:tcW w:w="2147" w:type="dxa"/>
            <w:gridSpan w:val="2"/>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安芸</w:t>
            </w:r>
          </w:p>
        </w:tc>
        <w:tc>
          <w:tcPr>
            <w:tcW w:w="2147"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中央・高幡</w:t>
            </w:r>
          </w:p>
        </w:tc>
        <w:tc>
          <w:tcPr>
            <w:tcW w:w="2147"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幡多</w:t>
            </w:r>
          </w:p>
        </w:tc>
      </w:tr>
      <w:tr>
        <w:trPr>
          <w:trHeight w:val="723" w:hRule="atLeast"/>
        </w:trPr>
        <w:tc>
          <w:tcPr>
            <w:tcW w:w="634" w:type="dxa"/>
            <w:vMerge w:val="continue"/>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rPr>
                <w:rFonts w:hint="eastAsia"/>
              </w:rPr>
            </w:pPr>
          </w:p>
        </w:tc>
        <w:tc>
          <w:tcPr>
            <w:tcW w:w="107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分娩取扱い件数</w:t>
            </w:r>
          </w:p>
        </w:tc>
        <w:tc>
          <w:tcPr>
            <w:tcW w:w="1073" w:type="dxa"/>
            <w:tcBorders>
              <w:top w:val="single" w:color="auto" w:sz="4" w:space="0"/>
              <w:left w:val="nil"/>
              <w:bottom w:val="doub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（参考）</w:t>
            </w:r>
          </w:p>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出生数</w:t>
            </w:r>
          </w:p>
        </w:tc>
        <w:tc>
          <w:tcPr>
            <w:tcW w:w="107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分娩取扱い件数</w:t>
            </w:r>
          </w:p>
        </w:tc>
        <w:tc>
          <w:tcPr>
            <w:tcW w:w="107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（参考）</w:t>
            </w:r>
          </w:p>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出生数</w:t>
            </w:r>
          </w:p>
        </w:tc>
        <w:tc>
          <w:tcPr>
            <w:tcW w:w="107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分娩取扱い件数</w:t>
            </w:r>
          </w:p>
        </w:tc>
        <w:tc>
          <w:tcPr>
            <w:tcW w:w="107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（参考）</w:t>
            </w:r>
          </w:p>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出生数</w:t>
            </w:r>
          </w:p>
        </w:tc>
        <w:tc>
          <w:tcPr>
            <w:tcW w:w="107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分娩取扱い件数</w:t>
            </w:r>
          </w:p>
        </w:tc>
        <w:tc>
          <w:tcPr>
            <w:tcW w:w="1077"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（参考）</w:t>
            </w:r>
          </w:p>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出生数</w:t>
            </w:r>
          </w:p>
        </w:tc>
      </w:tr>
      <w:tr>
        <w:trPr>
          <w:trHeight w:val="362" w:hRule="atLeast"/>
        </w:trPr>
        <w:tc>
          <w:tcPr>
            <w:tcW w:w="634"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ind w:left="0" w:leftChars="0" w:right="0" w:rightChars="0" w:firstLineChars="0"/>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H28</w:t>
            </w:r>
          </w:p>
        </w:tc>
        <w:tc>
          <w:tcPr>
            <w:tcW w:w="107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5,269</w:t>
            </w:r>
          </w:p>
        </w:tc>
        <w:tc>
          <w:tcPr>
            <w:tcW w:w="1073" w:type="dxa"/>
            <w:tcBorders>
              <w:top w:val="doub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4,779</w:t>
            </w:r>
          </w:p>
        </w:tc>
        <w:tc>
          <w:tcPr>
            <w:tcW w:w="107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102</w:t>
            </w:r>
          </w:p>
        </w:tc>
        <w:tc>
          <w:tcPr>
            <w:tcW w:w="107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217</w:t>
            </w:r>
          </w:p>
        </w:tc>
        <w:tc>
          <w:tcPr>
            <w:tcW w:w="107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4,555</w:t>
            </w:r>
          </w:p>
        </w:tc>
        <w:tc>
          <w:tcPr>
            <w:tcW w:w="107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4,048</w:t>
            </w:r>
          </w:p>
        </w:tc>
        <w:tc>
          <w:tcPr>
            <w:tcW w:w="107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612</w:t>
            </w:r>
          </w:p>
        </w:tc>
        <w:tc>
          <w:tcPr>
            <w:tcW w:w="1077"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514</w:t>
            </w:r>
          </w:p>
        </w:tc>
      </w:tr>
      <w:tr>
        <w:trPr>
          <w:trHeight w:val="361" w:hRule="atLeast"/>
        </w:trPr>
        <w:tc>
          <w:tcPr>
            <w:tcW w:w="634"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R1</w:t>
            </w:r>
          </w:p>
        </w:tc>
        <w:tc>
          <w:tcPr>
            <w:tcW w:w="107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4,067</w:t>
            </w:r>
          </w:p>
        </w:tc>
        <w:tc>
          <w:tcPr>
            <w:tcW w:w="107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4,270</w:t>
            </w:r>
          </w:p>
        </w:tc>
        <w:tc>
          <w:tcPr>
            <w:tcW w:w="107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124</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190</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3,405</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3,641</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538</w:t>
            </w:r>
          </w:p>
        </w:tc>
        <w:tc>
          <w:tcPr>
            <w:tcW w:w="107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439</w:t>
            </w:r>
          </w:p>
        </w:tc>
      </w:tr>
      <w:tr>
        <w:trPr>
          <w:trHeight w:val="362" w:hRule="atLeast"/>
        </w:trPr>
        <w:tc>
          <w:tcPr>
            <w:tcW w:w="634"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R4</w:t>
            </w:r>
          </w:p>
        </w:tc>
        <w:tc>
          <w:tcPr>
            <w:tcW w:w="107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3,966</w:t>
            </w:r>
          </w:p>
        </w:tc>
        <w:tc>
          <w:tcPr>
            <w:tcW w:w="107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3,721</w:t>
            </w:r>
          </w:p>
        </w:tc>
        <w:tc>
          <w:tcPr>
            <w:tcW w:w="107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109</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160</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3,473</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highlight w:val="none"/>
              </w:rPr>
              <mc:AlternateContent>
                <mc:Choice Requires="wps">
                  <w:drawing>
                    <wp:anchor distT="0" distB="0" distL="203200" distR="203200" simplePos="0" relativeHeight="23" behindDoc="1" locked="0" layoutInCell="1" hidden="0" allowOverlap="1">
                      <wp:simplePos x="0" y="0"/>
                      <wp:positionH relativeFrom="column">
                        <wp:posOffset>-2778125</wp:posOffset>
                      </wp:positionH>
                      <wp:positionV relativeFrom="paragraph">
                        <wp:posOffset>220980</wp:posOffset>
                      </wp:positionV>
                      <wp:extent cx="4549775" cy="354965"/>
                      <wp:effectExtent l="0" t="0" r="635" b="635"/>
                      <wp:wrapNone/>
                      <wp:docPr id="1202" name="オブジェクト 0"/>
                      <a:graphic xmlns:a="http://schemas.openxmlformats.org/drawingml/2006/main">
                        <a:graphicData uri="http://schemas.microsoft.com/office/word/2010/wordprocessingShape">
                          <wps:wsp>
                            <wps:cNvPr id="1202" name="オブジェクト 0"/>
                            <wps:cNvSpPr txBox="1">
                              <a:spLocks noChangeArrowheads="1"/>
                            </wps:cNvSpPr>
                            <wps:spPr>
                              <a:xfrm>
                                <a:off x="0" y="0"/>
                                <a:ext cx="4549775" cy="354965"/>
                              </a:xfrm>
                              <a:prstGeom prst="rect">
                                <a:avLst/>
                              </a:prstGeom>
                              <a:noFill/>
                              <a:ln>
                                <a:miter/>
                              </a:ln>
                            </wps:spPr>
                            <wps:txbx>
                              <w:txbxContent>
                                <w:p>
                                  <w:pPr>
                                    <w:pStyle w:val="29"/>
                                    <w:spacing w:line="0" w:lineRule="atLeast"/>
                                    <w:ind w:left="0" w:leftChars="0" w:right="0" w:rightChars="0" w:firstLine="0" w:firstLineChars="0"/>
                                    <w:jc w:val="right"/>
                                    <w:rPr>
                                      <w:rFonts w:hint="eastAsia" w:ascii="ＭＳ 明朝" w:hAnsi="ＭＳ 明朝" w:eastAsia="ＭＳ 明朝"/>
                                      <w:sz w:val="16"/>
                                    </w:rPr>
                                  </w:pPr>
                                  <w:r>
                                    <w:rPr>
                                      <w:rFonts w:hint="eastAsia" w:ascii="ＭＳ 明朝" w:hAnsi="ＭＳ 明朝" w:eastAsia="ＭＳ 明朝"/>
                                      <w:sz w:val="16"/>
                                    </w:rPr>
                                    <w:t>出典：分娩取扱い件数：高知県医療政策課調べ、出生数：人口動態統計（厚生労働省）</w:t>
                                  </w:r>
                                </w:p>
                              </w:txbxContent>
                            </wps:txbx>
                            <wps:bodyPr vertOverflow="overflow" horzOverflow="overflow" wrap="squar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39pt;mso-position-vertical-relative:text;mso-position-horizontal-relative:text;position:absolute;height:27.95pt;mso-wrap-distance-top:0pt;width:358.25pt;mso-wrap-distance-left:16pt;margin-left:-218.75pt;z-index:-503316457;" o:spid="_x0000_s1202" o:allowincell="t" o:allowoverlap="t" filled="f" stroked="f" o:spt="202" type="#_x0000_t202">
                      <v:fill/>
                      <v:textbox style="layout-flow:horizontal;mso-fit-shape-to-text:t;">
                        <w:txbxContent>
                          <w:p>
                            <w:pPr>
                              <w:pStyle w:val="29"/>
                              <w:spacing w:line="0" w:lineRule="atLeast"/>
                              <w:ind w:left="0" w:leftChars="0" w:right="0" w:rightChars="0" w:firstLine="0" w:firstLineChars="0"/>
                              <w:jc w:val="right"/>
                              <w:rPr>
                                <w:rFonts w:hint="eastAsia" w:ascii="ＭＳ 明朝" w:hAnsi="ＭＳ 明朝" w:eastAsia="ＭＳ 明朝"/>
                                <w:sz w:val="16"/>
                              </w:rPr>
                            </w:pPr>
                            <w:r>
                              <w:rPr>
                                <w:rFonts w:hint="eastAsia" w:ascii="ＭＳ 明朝" w:hAnsi="ＭＳ 明朝" w:eastAsia="ＭＳ 明朝"/>
                                <w:sz w:val="16"/>
                              </w:rPr>
                              <w:t>出典：分娩取扱い件数：高知県医療政策課調べ、出生数：人口動態統計（厚生労働省）</w:t>
                            </w:r>
                          </w:p>
                        </w:txbxContent>
                      </v:textbox>
                      <v:imagedata o:title=""/>
                      <w10:wrap type="none" anchorx="text" anchory="text"/>
                    </v:shape>
                  </w:pict>
                </mc:Fallback>
              </mc:AlternateContent>
            </w:r>
            <w:r>
              <w:rPr>
                <w:rFonts w:hint="eastAsia" w:ascii="ＭＳ 明朝" w:hAnsi="ＭＳ 明朝" w:eastAsia="ＭＳ 明朝"/>
                <w:sz w:val="18"/>
                <w:highlight w:val="none"/>
              </w:rPr>
              <w:t>3,227</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384</w:t>
            </w:r>
          </w:p>
        </w:tc>
        <w:tc>
          <w:tcPr>
            <w:tcW w:w="107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334</w:t>
            </w:r>
          </w:p>
        </w:tc>
      </w:tr>
    </w:tbl>
    <w:p>
      <w:pPr>
        <w:pStyle w:val="0"/>
        <w:spacing w:line="240" w:lineRule="auto"/>
        <w:ind w:leftChars="0" w:right="0" w:rightChars="0" w:firstLineChars="0"/>
        <w:jc w:val="both"/>
        <w:rPr>
          <w:rFonts w:hint="eastAsia" w:ascii="ＭＳ 明朝" w:hAnsi="ＭＳ 明朝" w:eastAsia="ＭＳ 明朝"/>
          <w:b w:val="1"/>
          <w:kern w:val="2"/>
          <w:sz w:val="22"/>
          <w:highlight w:val="none"/>
        </w:rPr>
      </w:pPr>
    </w:p>
    <w:p>
      <w:pPr>
        <w:pStyle w:val="0"/>
        <w:rPr>
          <w:rFonts w:hint="eastAsia" w:ascii="ＭＳ 明朝" w:hAnsi="ＭＳ 明朝" w:eastAsia="ＭＳ 明朝"/>
          <w:b w:val="1"/>
          <w:kern w:val="2"/>
          <w:sz w:val="2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w:t>
      </w:r>
      <w:r>
        <w:rPr>
          <w:rFonts w:hint="eastAsia" w:ascii="ＭＳ 明朝" w:hAnsi="ＭＳ 明朝" w:eastAsia="ＭＳ 明朝"/>
          <w:b w:val="1"/>
          <w:color w:val="auto"/>
          <w:kern w:val="2"/>
          <w:sz w:val="22"/>
          <w:highlight w:val="none"/>
          <w:u w:val="none" w:color="FF0000"/>
        </w:rPr>
        <w:t>分娩取扱医師偏在指標</w:t>
      </w:r>
      <w:r>
        <w:rPr>
          <w:rFonts w:hint="eastAsia" w:ascii="ＭＳ 明朝" w:hAnsi="ＭＳ 明朝" w:eastAsia="ＭＳ 明朝"/>
          <w:b w:val="1"/>
          <w:kern w:val="2"/>
          <w:sz w:val="22"/>
          <w:highlight w:val="none"/>
        </w:rPr>
        <w:t>、相対的産科医師少数区域の状況</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w:t>
      </w:r>
      <w:r>
        <w:rPr>
          <w:rFonts w:hint="eastAsia" w:ascii="ＭＳ 明朝" w:hAnsi="ＭＳ 明朝" w:eastAsia="ＭＳ 明朝"/>
          <w:i w:val="0"/>
          <w:color w:val="auto"/>
          <w:kern w:val="2"/>
          <w:sz w:val="22"/>
          <w:highlight w:val="none"/>
          <w:u w:val="none" w:color="FF0000"/>
        </w:rPr>
        <w:t>分娩取扱医師偏在指標</w:t>
      </w:r>
      <w:r>
        <w:rPr>
          <w:rFonts w:hint="eastAsia" w:ascii="ＭＳ 明朝" w:hAnsi="ＭＳ 明朝" w:eastAsia="ＭＳ 明朝"/>
          <w:kern w:val="2"/>
          <w:sz w:val="22"/>
          <w:highlight w:val="none"/>
        </w:rPr>
        <w:t>」は、分母に「里帰り出産」等の妊婦の流出入の実態を踏まえた「医療施設調査」における「分娩数」を使用し、医療需要を算定するとともに、分子に性別・年齢階級別の平均労働時間を使用した指標となっています。</w:t>
      </w:r>
    </w:p>
    <w:p>
      <w:pPr>
        <w:pStyle w:val="0"/>
        <w:ind w:left="0" w:leftChars="0" w:right="0" w:rightChars="0" w:firstLine="454" w:firstLineChars="200"/>
        <w:rPr>
          <w:rFonts w:hint="eastAsia" w:ascii="ＭＳ 明朝" w:hAnsi="ＭＳ 明朝" w:eastAsia="ＭＳ 明朝"/>
          <w:b w:val="1"/>
          <w:color w:val="0070C0"/>
          <w:kern w:val="2"/>
          <w:sz w:val="22"/>
          <w:highlight w:val="none"/>
        </w:rPr>
      </w:pPr>
      <w:r>
        <w:rPr>
          <w:rFonts w:hint="eastAsia"/>
          <w:highlight w:val="none"/>
        </w:rPr>
        <mc:AlternateContent>
          <mc:Choice Requires="wpg">
            <w:drawing>
              <wp:anchor simplePos="0" relativeHeight="47" behindDoc="0" locked="0" layoutInCell="1" hidden="0" allowOverlap="1">
                <wp:simplePos x="0" y="0"/>
                <wp:positionH relativeFrom="column">
                  <wp:posOffset>2230120</wp:posOffset>
                </wp:positionH>
                <wp:positionV relativeFrom="paragraph">
                  <wp:posOffset>213995</wp:posOffset>
                </wp:positionV>
                <wp:extent cx="2581910" cy="666750"/>
                <wp:effectExtent l="0" t="0" r="635" b="635"/>
                <wp:wrapNone/>
                <wp:docPr id="1203" name="オブジェクト 0"/>
                <a:graphic xmlns:a="http://schemas.openxmlformats.org/drawingml/2006/main">
                  <a:graphicData uri="http://schemas.microsoft.com/office/word/2010/wordprocessingGroup">
                    <wpg:wgp>
                      <wpg:cNvGrpSpPr/>
                      <wpg:grpSpPr>
                        <a:xfrm>
                          <a:off x="0" y="0"/>
                          <a:ext cx="2581910" cy="666750"/>
                          <a:chOff x="4194" y="12676"/>
                          <a:chExt cx="4066" cy="1050"/>
                        </a:xfrm>
                      </wpg:grpSpPr>
                      <wps:wsp>
                        <wps:cNvPr id="1204" name="オブジェクト 0"/>
                        <wps:cNvSpPr txBox="1"/>
                        <wps:spPr>
                          <a:xfrm>
                            <a:off x="4194" y="12676"/>
                            <a:ext cx="4066" cy="10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highlight w:val="none"/>
                                </w:rPr>
                              </w:pPr>
                              <w:r>
                                <w:rPr>
                                  <w:rFonts w:hint="eastAsia" w:ascii="ＭＳ 明朝" w:hAnsi="ＭＳ 明朝" w:eastAsia="ＭＳ 明朝"/>
                                  <w:b w:val="1"/>
                                  <w:color w:val="auto"/>
                                  <w:kern w:val="2"/>
                                  <w:sz w:val="22"/>
                                  <w:highlight w:val="none"/>
                                </w:rPr>
                                <w:t>標準化分娩取扱医師数</w:t>
                              </w:r>
                              <w:r>
                                <w:rPr>
                                  <w:rFonts w:hint="eastAsia" w:ascii="ＭＳ 明朝" w:hAnsi="ＭＳ 明朝" w:eastAsia="ＭＳ 明朝"/>
                                  <w:b w:val="1"/>
                                  <w:kern w:val="2"/>
                                  <w:sz w:val="22"/>
                                  <w:highlight w:val="none"/>
                                </w:rPr>
                                <w:t>（※）</w:t>
                              </w:r>
                            </w:p>
                            <w:p>
                              <w:pPr>
                                <w:pStyle w:val="0"/>
                                <w:spacing w:before="0" w:beforeLines="0" w:beforeAutospacing="0" w:after="0" w:afterLines="0" w:afterAutospacing="0"/>
                                <w:ind w:left="0" w:leftChars="0" w:firstLine="0" w:firstLineChars="0"/>
                                <w:jc w:val="center"/>
                                <w:rPr>
                                  <w:rFonts w:hint="eastAsia"/>
                                  <w:highlight w:val="none"/>
                                </w:rPr>
                              </w:pPr>
                              <w:r>
                                <w:rPr>
                                  <w:rFonts w:hint="eastAsia" w:ascii="ＭＳ 明朝" w:hAnsi="ＭＳ 明朝" w:eastAsia="ＭＳ 明朝"/>
                                  <w:b w:val="1"/>
                                  <w:kern w:val="2"/>
                                  <w:sz w:val="22"/>
                                  <w:highlight w:val="none"/>
                                </w:rPr>
                                <w:t>分娩件数÷</w:t>
                              </w:r>
                              <w:r>
                                <w:rPr>
                                  <w:rFonts w:hint="eastAsia" w:ascii="ＭＳ 明朝" w:hAnsi="ＭＳ 明朝" w:eastAsia="ＭＳ 明朝"/>
                                  <w:b w:val="1"/>
                                  <w:kern w:val="2"/>
                                  <w:sz w:val="22"/>
                                  <w:highlight w:val="none"/>
                                </w:rPr>
                                <w:t>1000</w:t>
                              </w:r>
                              <w:r>
                                <w:rPr>
                                  <w:rFonts w:hint="eastAsia" w:ascii="ＭＳ 明朝" w:hAnsi="ＭＳ 明朝" w:eastAsia="ＭＳ 明朝"/>
                                  <w:b w:val="1"/>
                                  <w:kern w:val="2"/>
                                  <w:sz w:val="22"/>
                                  <w:highlight w:val="none"/>
                                </w:rPr>
                                <w:t>件</w:t>
                              </w:r>
                            </w:p>
                          </w:txbxContent>
                        </wps:txbx>
                        <wps:bodyPr vertOverflow="overflow" horzOverflow="overflow" wrap="square" anchor="ctr"/>
                      </wps:wsp>
                      <wps:wsp>
                        <wps:cNvPr id="1205" name="オブジェクト 0"/>
                        <wps:cNvSpPr/>
                        <wps:spPr>
                          <a:xfrm>
                            <a:off x="4243" y="13200"/>
                            <a:ext cx="3969"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16.850000000000001pt;mso-position-vertical-relative:text;mso-position-horizontal-relative:text;position:absolute;height:52.5pt;width:203.3pt;margin-left:175.6pt;z-index:47;" coordsize="4066,1050" coordorigin="4194,12676" o:spid="_x0000_s1203" o:allowincell="t" o:allowoverlap="t">
                <v:shapetype id="_x0000_t202" coordsize="21600,21600" o:spt="202" path="m,l,21600r21600,l21600,xe">
                  <v:stroke joinstyle="miter"/>
                  <v:path gradientshapeok="t" o:connecttype="rect"/>
                </v:shapetype>
                <v:shape id="オブジェクト 0" style="height:1050;width:4066;top:12676;left:4194;v-text-anchor:middle;position:absolute;" o:spid="_x0000_s1204" filled="t" fillcolor="#ffffff" stroked="f" strokeweight="0.5pt" o:spt="202" type="#_x0000_t202">
                  <v:fill/>
                  <v:stroke linestyle="single"/>
                  <v:textbox style="layout-flow:horizontal;">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highlight w:val="none"/>
                          </w:rPr>
                        </w:pPr>
                        <w:r>
                          <w:rPr>
                            <w:rFonts w:hint="eastAsia" w:ascii="ＭＳ 明朝" w:hAnsi="ＭＳ 明朝" w:eastAsia="ＭＳ 明朝"/>
                            <w:b w:val="1"/>
                            <w:color w:val="auto"/>
                            <w:kern w:val="2"/>
                            <w:sz w:val="22"/>
                            <w:highlight w:val="none"/>
                          </w:rPr>
                          <w:t>標準化分娩取扱医師数</w:t>
                        </w:r>
                        <w:r>
                          <w:rPr>
                            <w:rFonts w:hint="eastAsia" w:ascii="ＭＳ 明朝" w:hAnsi="ＭＳ 明朝" w:eastAsia="ＭＳ 明朝"/>
                            <w:b w:val="1"/>
                            <w:kern w:val="2"/>
                            <w:sz w:val="22"/>
                            <w:highlight w:val="none"/>
                          </w:rPr>
                          <w:t>（※）</w:t>
                        </w:r>
                      </w:p>
                      <w:p>
                        <w:pPr>
                          <w:pStyle w:val="0"/>
                          <w:spacing w:before="0" w:beforeLines="0" w:beforeAutospacing="0" w:after="0" w:afterLines="0" w:afterAutospacing="0"/>
                          <w:ind w:left="0" w:leftChars="0" w:firstLine="0" w:firstLineChars="0"/>
                          <w:jc w:val="center"/>
                          <w:rPr>
                            <w:rFonts w:hint="eastAsia"/>
                            <w:highlight w:val="none"/>
                          </w:rPr>
                        </w:pPr>
                        <w:r>
                          <w:rPr>
                            <w:rFonts w:hint="eastAsia" w:ascii="ＭＳ 明朝" w:hAnsi="ＭＳ 明朝" w:eastAsia="ＭＳ 明朝"/>
                            <w:b w:val="1"/>
                            <w:kern w:val="2"/>
                            <w:sz w:val="22"/>
                            <w:highlight w:val="none"/>
                          </w:rPr>
                          <w:t>分娩件数÷</w:t>
                        </w:r>
                        <w:r>
                          <w:rPr>
                            <w:rFonts w:hint="eastAsia" w:ascii="ＭＳ 明朝" w:hAnsi="ＭＳ 明朝" w:eastAsia="ＭＳ 明朝"/>
                            <w:b w:val="1"/>
                            <w:kern w:val="2"/>
                            <w:sz w:val="22"/>
                            <w:highlight w:val="none"/>
                          </w:rPr>
                          <w:t>1000</w:t>
                        </w:r>
                        <w:r>
                          <w:rPr>
                            <w:rFonts w:hint="eastAsia" w:ascii="ＭＳ 明朝" w:hAnsi="ＭＳ 明朝" w:eastAsia="ＭＳ 明朝"/>
                            <w:b w:val="1"/>
                            <w:kern w:val="2"/>
                            <w:sz w:val="22"/>
                            <w:highlight w:val="none"/>
                          </w:rPr>
                          <w:t>件</w:t>
                        </w:r>
                      </w:p>
                    </w:txbxContent>
                  </v:textbox>
                  <v:imagedata o:title=""/>
                  <w10:wrap type="none" anchorx="text" anchory="text"/>
                </v:shape>
                <v:line id="オブジェクト 0" style="height:0;width:3969;top:13200;left:4243;position:absolute;" o:spid="_x0000_s1205" filled="f" stroked="t" strokecolor="#000000" strokeweight="0.75pt" o:spt="20" from="4243,13200" to="8212,1320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r>
        <w:rPr>
          <w:rFonts w:hint="eastAsia" w:ascii="ＭＳ 明朝" w:hAnsi="ＭＳ 明朝" w:eastAsia="ＭＳ 明朝"/>
          <w:b w:val="1"/>
          <w:color w:val="0070C0"/>
          <w:kern w:val="2"/>
          <w:sz w:val="22"/>
          <w:highlight w:val="none"/>
        </w:rPr>
        <w:t>＜</w:t>
      </w:r>
      <w:r>
        <w:rPr>
          <w:rFonts w:hint="eastAsia" w:ascii="ＭＳ 明朝" w:hAnsi="ＭＳ 明朝" w:eastAsia="ＭＳ 明朝"/>
          <w:b w:val="1"/>
          <w:color w:val="2F76B7" w:themeColor="accent1" w:themeShade="C0"/>
          <w:kern w:val="2"/>
          <w:sz w:val="22"/>
          <w:highlight w:val="none"/>
          <w:u w:val="none" w:color="FF0000"/>
        </w:rPr>
        <w:t>分娩取扱医師偏在指標</w:t>
      </w:r>
      <w:r>
        <w:rPr>
          <w:rFonts w:hint="eastAsia" w:ascii="ＭＳ 明朝" w:hAnsi="ＭＳ 明朝" w:eastAsia="ＭＳ 明朝"/>
          <w:b w:val="1"/>
          <w:color w:val="0070C0"/>
          <w:kern w:val="2"/>
          <w:sz w:val="22"/>
          <w:highlight w:val="none"/>
        </w:rPr>
        <w:t>の算出方法＞</w:t>
      </w:r>
    </w:p>
    <w:p>
      <w:pPr>
        <w:pStyle w:val="0"/>
        <w:spacing w:line="240" w:lineRule="auto"/>
        <w:ind w:left="227" w:leftChars="100" w:right="0" w:rightChars="0" w:firstLine="0" w:firstLineChars="0"/>
        <w:jc w:val="both"/>
        <w:rPr>
          <w:rFonts w:hint="eastAsia"/>
          <w:kern w:val="2"/>
          <w:highlight w:val="none"/>
        </w:rPr>
      </w:pPr>
      <w:r>
        <w:rPr>
          <w:rFonts w:hint="eastAsia"/>
        </w:rPr>
        <mc:AlternateContent>
          <mc:Choice Requires="wps">
            <w:drawing>
              <wp:anchor distT="0" distB="0" distL="203200" distR="203200" simplePos="0" relativeHeight="50" behindDoc="0" locked="0" layoutInCell="1" hidden="0" allowOverlap="1">
                <wp:simplePos x="0" y="0"/>
                <wp:positionH relativeFrom="column">
                  <wp:posOffset>321310</wp:posOffset>
                </wp:positionH>
                <wp:positionV relativeFrom="paragraph">
                  <wp:posOffset>50800</wp:posOffset>
                </wp:positionV>
                <wp:extent cx="5368925" cy="1297940"/>
                <wp:effectExtent l="635" t="635" r="29845" b="10795"/>
                <wp:wrapNone/>
                <wp:docPr id="1206" name="オブジェクト 0"/>
                <a:graphic xmlns:a="http://schemas.openxmlformats.org/drawingml/2006/main">
                  <a:graphicData uri="http://schemas.microsoft.com/office/word/2010/wordprocessingShape">
                    <wps:wsp>
                      <wps:cNvPr id="1206" name="オブジェクト 0"/>
                      <wps:cNvSpPr>
                        <a:spLocks noChangeArrowheads="1"/>
                      </wps:cNvSpPr>
                      <wps:spPr>
                        <a:xfrm>
                          <a:off x="0" y="0"/>
                          <a:ext cx="5368925" cy="1297940"/>
                        </a:xfrm>
                        <a:prstGeom prst="rect">
                          <a:avLst/>
                        </a:prstGeom>
                        <a:noFill/>
                        <a:ln w="9525" cap="flat" cmpd="sng">
                          <a:solidFill>
                            <a:srgbClr val="3366FF"/>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4pt;mso-position-vertical-relative:text;mso-position-horizontal-relative:text;position:absolute;height:102.2pt;mso-wrap-distance-top:0pt;width:422.75pt;mso-wrap-distance-left:16pt;margin-left:25.3pt;z-index:50;" o:spid="_x0000_s1206" o:allowincell="t" o:allowoverlap="t" filled="f" stroked="t" strokecolor="#3366ff"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p>
    <w:p>
      <w:pPr>
        <w:pStyle w:val="0"/>
        <w:spacing w:line="240" w:lineRule="auto"/>
        <w:ind w:left="680" w:leftChars="300" w:right="0" w:rightChars="0" w:firstLineChars="0"/>
        <w:jc w:val="both"/>
        <w:rPr>
          <w:rFonts w:hint="eastAsia"/>
          <w:b w:val="1"/>
          <w:kern w:val="2"/>
          <w:highlight w:val="none"/>
          <w:u w:val="single" w:color="auto"/>
        </w:rPr>
      </w:pPr>
      <w:r>
        <w:rPr>
          <w:rFonts w:hint="eastAsia"/>
          <w:b w:val="1"/>
          <w:color w:val="auto"/>
          <w:kern w:val="2"/>
          <w:highlight w:val="none"/>
          <w:u w:val="none" w:color="auto"/>
        </w:rPr>
        <w:t>分娩取扱医師偏在指標</w:t>
      </w:r>
      <w:r>
        <w:rPr>
          <w:rFonts w:hint="eastAsia"/>
          <w:b w:val="0"/>
          <w:kern w:val="2"/>
          <w:highlight w:val="none"/>
          <w:u w:val="none" w:color="auto"/>
        </w:rPr>
        <w:t>＝</w:t>
      </w:r>
    </w:p>
    <w:p>
      <w:pPr>
        <w:pStyle w:val="0"/>
        <w:spacing w:line="240" w:lineRule="auto"/>
        <w:ind w:left="227" w:leftChars="100" w:right="0" w:rightChars="0" w:firstLine="0" w:firstLineChars="0"/>
        <w:jc w:val="both"/>
        <w:rPr>
          <w:rFonts w:hint="eastAsia"/>
          <w:kern w:val="2"/>
          <w:highlight w:val="none"/>
        </w:rPr>
      </w:pPr>
      <w:r>
        <w:rPr>
          <w:rFonts w:hint="eastAsia"/>
        </w:rPr>
        <mc:AlternateContent>
          <mc:Choice Requires="wps">
            <w:drawing>
              <wp:anchor distT="0" distB="0" distL="203200" distR="203200" simplePos="0" relativeHeight="92" behindDoc="0" locked="0" layoutInCell="1" hidden="0" allowOverlap="1">
                <wp:simplePos x="0" y="0"/>
                <wp:positionH relativeFrom="column">
                  <wp:posOffset>2786380</wp:posOffset>
                </wp:positionH>
                <wp:positionV relativeFrom="paragraph">
                  <wp:posOffset>181610</wp:posOffset>
                </wp:positionV>
                <wp:extent cx="71755" cy="323850"/>
                <wp:effectExtent l="635" t="635" r="29845" b="10795"/>
                <wp:wrapNone/>
                <wp:docPr id="1207" name="オブジェクト 0"/>
                <a:graphic xmlns:a="http://schemas.openxmlformats.org/drawingml/2006/main">
                  <a:graphicData uri="http://schemas.microsoft.com/office/word/2010/wordprocessingShape">
                    <wps:wsp>
                      <wps:cNvPr id="1207" name="オブジェクト 0"/>
                      <wps:cNvSpPr/>
                      <wps:spPr>
                        <a:xfrm>
                          <a:off x="0" y="0"/>
                          <a:ext cx="71755" cy="323850"/>
                        </a:xfrm>
                        <a:prstGeom prst="leftBracket">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オブジェクト 0" style="mso-wrap-distance-right:16pt;mso-wrap-distance-bottom:0pt;margin-top:14.3pt;mso-position-vertical-relative:text;mso-position-horizontal-relative:text;position:absolute;height:25.5pt;mso-wrap-distance-top:0pt;width:5.65pt;mso-wrap-distance-left:16pt;margin-left:219.4pt;z-index:92;" o:spid="_x0000_s1207" o:allowincell="t" o:allowoverlap="t" filled="f" stroked="t" strokecolor="#000000 [3213]" strokeweight="0.5pt" o:spt="85" type="#_x0000_t85" adj="1800">
                <v:fill/>
                <v:stroke linestyle="single" miterlimit="8" endcap="flat" dashstyle="solid" filltype="solid"/>
                <v:textbox style="layout-flow:horizontal;"/>
                <v:imagedata o:title=""/>
                <w10:wrap type="none" anchorx="text" anchory="text"/>
              </v:shape>
            </w:pict>
          </mc:Fallback>
        </mc:AlternateContent>
      </w:r>
    </w:p>
    <w:p>
      <w:pPr>
        <w:pStyle w:val="0"/>
        <w:spacing w:line="240" w:lineRule="auto"/>
        <w:ind w:left="1020" w:leftChars="450" w:right="0" w:rightChars="0" w:firstLineChars="0"/>
        <w:jc w:val="both"/>
        <w:rPr>
          <w:rFonts w:hint="eastAsia"/>
          <w:kern w:val="2"/>
          <w:sz w:val="20"/>
          <w:highlight w:val="none"/>
        </w:rPr>
      </w:pPr>
      <w:r>
        <w:rPr>
          <w:rFonts w:hint="eastAsia"/>
        </w:rPr>
        <mc:AlternateContent>
          <mc:Choice Requires="wpg">
            <w:drawing>
              <wp:anchor simplePos="0" relativeHeight="51" behindDoc="0" locked="0" layoutInCell="1" hidden="0" allowOverlap="1">
                <wp:simplePos x="0" y="0"/>
                <wp:positionH relativeFrom="column">
                  <wp:posOffset>2887345</wp:posOffset>
                </wp:positionH>
                <wp:positionV relativeFrom="paragraph">
                  <wp:posOffset>187960</wp:posOffset>
                </wp:positionV>
                <wp:extent cx="2520950" cy="555625"/>
                <wp:effectExtent l="0" t="0" r="635" b="635"/>
                <wp:wrapNone/>
                <wp:docPr id="1208" name="オブジェクト 0"/>
                <a:graphic xmlns:a="http://schemas.openxmlformats.org/drawingml/2006/main">
                  <a:graphicData uri="http://schemas.microsoft.com/office/word/2010/wordprocessingGroup">
                    <wpg:wgp>
                      <wpg:cNvGrpSpPr/>
                      <wpg:grpSpPr>
                        <a:xfrm>
                          <a:off x="0" y="0"/>
                          <a:ext cx="2520950" cy="555625"/>
                          <a:chOff x="5938" y="14018"/>
                          <a:chExt cx="3503" cy="875"/>
                        </a:xfrm>
                      </wpg:grpSpPr>
                      <wps:wsp>
                        <wps:cNvPr id="1209" name="オブジェクト 0"/>
                        <wps:cNvSpPr txBox="1">
                          <a:spLocks noChangeArrowheads="1"/>
                        </wps:cNvSpPr>
                        <wps:spPr>
                          <a:xfrm>
                            <a:off x="5938" y="14226"/>
                            <a:ext cx="414" cy="459"/>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rPr>
                                <w:t>×</w:t>
                              </w:r>
                            </w:p>
                          </w:txbxContent>
                        </wps:txbx>
                        <wps:bodyPr vertOverflow="overflow" horzOverflow="overflow" wrap="square" lIns="74295" tIns="8890" rIns="74295" bIns="8890" upright="1"/>
                      </wps:wsp>
                      <wpg:grpSp>
                        <wpg:cNvGrpSpPr/>
                        <wpg:grpSpPr>
                          <a:xfrm>
                            <a:off x="6277" y="14018"/>
                            <a:ext cx="3164" cy="875"/>
                            <a:chOff x="6273" y="14193"/>
                            <a:chExt cx="3164" cy="875"/>
                          </a:xfrm>
                        </wpg:grpSpPr>
                        <wps:wsp>
                          <wps:cNvPr id="1211"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27" w:leftChars="100" w:right="0" w:rightChars="0" w:firstLine="207" w:firstLineChars="10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414" w:firstLineChars="200"/>
                                  <w:jc w:val="both"/>
                                  <w:rPr>
                                    <w:rFonts w:hint="eastAsia"/>
                                    <w:kern w:val="2"/>
                                    <w:sz w:val="20"/>
                                  </w:rPr>
                                </w:pPr>
                                <w:r>
                                  <w:rPr>
                                    <w:rFonts w:hint="eastAsia"/>
                                    <w:kern w:val="2"/>
                                    <w:sz w:val="20"/>
                                  </w:rPr>
                                  <w:t>全医師の平均労働時間</w:t>
                                </w:r>
                              </w:p>
                              <w:p>
                                <w:pPr>
                                  <w:pStyle w:val="0"/>
                                  <w:rPr>
                                    <w:rFonts w:hint="eastAsia"/>
                                  </w:rPr>
                                </w:pPr>
                              </w:p>
                            </w:txbxContent>
                          </wps:txbx>
                          <wps:bodyPr vertOverflow="overflow" horzOverflow="overflow" wrap="square" anchor="ctr"/>
                        </wps:wsp>
                        <wps:wsp>
                          <wps:cNvPr id="1212"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grpSp>
                    </wpg:wgp>
                  </a:graphicData>
                </a:graphic>
              </wp:anchor>
            </w:drawing>
          </mc:Choice>
          <mc:Fallback>
            <w:pict>
              <v:group id="オブジェクト 0" style="margin-top:14.8pt;mso-position-vertical-relative:text;mso-position-horizontal-relative:text;position:absolute;height:43.75pt;width:198.5pt;margin-left:227.35pt;z-index:51;" coordsize="3503,875" coordorigin="5938,14018" o:spid="_x0000_s1208" o:allowincell="t" o:allowoverlap="t">
                <v:shapetype id="_x0000_t202" coordsize="21600,21600" o:spt="202" path="m,l,21600r21600,l21600,xe">
                  <v:stroke joinstyle="miter"/>
                  <v:path gradientshapeok="t" o:connecttype="rect"/>
                </v:shapetype>
                <v:shape id="オブジェクト 0" style="height:459;width:414;top:14226;left:5938;position:absolute;" o:spid="_x0000_s1209"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rPr>
                          <w:t>×</w:t>
                        </w:r>
                      </w:p>
                    </w:txbxContent>
                  </v:textbox>
                  <v:imagedata o:title=""/>
                  <w10:wrap type="none" anchorx="text" anchory="text"/>
                </v:shape>
                <v:group id="_x0000_s1210" style="height:875;width:3164;top:14018;left:6277;position:absolute;" coordsize="3164,875" coordorigin="6273,14193">
                  <v:shape id="オブジェクト 0" style="height:875;width:3164;top:14193;left:6273;v-text-anchor:middle;position:absolute;" o:spid="_x0000_s1211" filled="f" stroked="f" strokeweight="0.5pt" o:spt="202" type="#_x0000_t202">
                    <v:fill/>
                    <v:stroke linestyle="single"/>
                    <v:textbox style="layout-flow:horizontal;">
                      <w:txbxContent>
                        <w:p>
                          <w:pPr>
                            <w:pStyle w:val="0"/>
                            <w:spacing w:line="240" w:lineRule="auto"/>
                            <w:ind w:left="227" w:leftChars="100" w:right="0" w:rightChars="0" w:firstLine="207" w:firstLineChars="10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414" w:firstLineChars="200"/>
                            <w:jc w:val="both"/>
                            <w:rPr>
                              <w:rFonts w:hint="eastAsia"/>
                              <w:kern w:val="2"/>
                              <w:sz w:val="20"/>
                            </w:rPr>
                          </w:pPr>
                          <w:r>
                            <w:rPr>
                              <w:rFonts w:hint="eastAsia"/>
                              <w:kern w:val="2"/>
                              <w:sz w:val="20"/>
                            </w:rPr>
                            <w:t>全医師の平均労働時間</w:t>
                          </w:r>
                        </w:p>
                        <w:p>
                          <w:pPr>
                            <w:pStyle w:val="0"/>
                            <w:rPr>
                              <w:rFonts w:hint="eastAsia"/>
                            </w:rPr>
                          </w:pPr>
                        </w:p>
                      </w:txbxContent>
                    </v:textbox>
                    <v:imagedata o:title=""/>
                    <w10:wrap type="none" anchorx="text" anchory="text"/>
                  </v:shape>
                  <v:line id="オブジェクト 0" style="height:0;width:2835;top:14630;left:6438;position:absolute;" o:spid="_x0000_s1212"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10:wrap type="none" anchorx="text" anchory="text"/>
              </v:group>
            </w:pict>
          </mc:Fallback>
        </mc:AlternateContent>
      </w:r>
      <w:r>
        <w:rPr>
          <w:rFonts w:hint="eastAsia"/>
        </w:rPr>
        <mc:AlternateContent>
          <mc:Choice Requires="wps">
            <w:drawing>
              <wp:anchor distT="0" distB="0" distL="203200" distR="203200" simplePos="0" relativeHeight="93" behindDoc="0" locked="0" layoutInCell="1" hidden="0" allowOverlap="1">
                <wp:simplePos x="0" y="0"/>
                <wp:positionH relativeFrom="column">
                  <wp:posOffset>5300345</wp:posOffset>
                </wp:positionH>
                <wp:positionV relativeFrom="paragraph">
                  <wp:posOffset>220980</wp:posOffset>
                </wp:positionV>
                <wp:extent cx="71755" cy="421640"/>
                <wp:effectExtent l="635" t="635" r="29845" b="10795"/>
                <wp:wrapNone/>
                <wp:docPr id="1213" name="オブジェクト 0"/>
                <a:graphic xmlns:a="http://schemas.openxmlformats.org/drawingml/2006/main">
                  <a:graphicData uri="http://schemas.microsoft.com/office/word/2010/wordprocessingShape">
                    <wps:wsp>
                      <wps:cNvPr id="1213" name="オブジェクト 0"/>
                      <wps:cNvSpPr/>
                      <wps:spPr>
                        <a:xfrm>
                          <a:off x="0" y="0"/>
                          <a:ext cx="71755" cy="421640"/>
                        </a:xfrm>
                        <a:prstGeom prst="rightBracket">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オブジェクト 0" style="mso-wrap-distance-right:16pt;mso-wrap-distance-bottom:0pt;margin-top:17.39pt;mso-position-vertical-relative:text;mso-position-horizontal-relative:text;position:absolute;height:33.200000000000003pt;mso-wrap-distance-top:0pt;width:5.65pt;mso-wrap-distance-left:16pt;margin-left:417.35pt;z-index:93;" o:spid="_x0000_s1213" o:allowincell="t" o:allowoverlap="t" filled="f" stroked="t" strokecolor="#000000 [3213]" strokeweight="0.5pt" o:spt="86" type="#_x0000_t86" adj="1800">
                <v:fill/>
                <v:stroke linestyle="single" miterlimit="8" endcap="flat" dashstyle="solid" filltype="solid"/>
                <v:textbox style="layout-flow:horizontal;"/>
                <v:imagedata o:title=""/>
                <w10:wrap type="none" anchorx="text" anchory="text"/>
              </v:shape>
            </w:pict>
          </mc:Fallback>
        </mc:AlternateContent>
      </w:r>
      <w:r>
        <w:rPr>
          <w:rFonts w:hint="eastAsia"/>
          <w:kern w:val="2"/>
          <w:sz w:val="20"/>
          <w:highlight w:val="none"/>
        </w:rPr>
        <w:t>（※）</w:t>
      </w:r>
      <w:r>
        <w:rPr>
          <w:rFonts w:hint="eastAsia"/>
          <w:color w:val="auto"/>
          <w:kern w:val="2"/>
          <w:sz w:val="20"/>
          <w:highlight w:val="none"/>
          <w:u w:val="none" w:color="FF0000"/>
        </w:rPr>
        <w:t>標準化分娩取扱医師数</w:t>
      </w:r>
      <w:r>
        <w:rPr>
          <w:rFonts w:hint="eastAsia"/>
          <w:kern w:val="2"/>
          <w:sz w:val="20"/>
          <w:highlight w:val="none"/>
        </w:rPr>
        <w:t>＝　Σ　性年齢階級別</w:t>
      </w:r>
      <w:r>
        <w:rPr>
          <w:rFonts w:hint="eastAsia"/>
          <w:color w:val="auto"/>
          <w:kern w:val="2"/>
          <w:sz w:val="20"/>
          <w:highlight w:val="none"/>
          <w:u w:val="none" w:color="FF0000"/>
        </w:rPr>
        <w:t>分娩取扱</w:t>
      </w:r>
      <w:r>
        <w:rPr>
          <w:rFonts w:hint="eastAsia"/>
          <w:kern w:val="2"/>
          <w:sz w:val="20"/>
          <w:highlight w:val="none"/>
        </w:rPr>
        <w:t>医師数</w:t>
      </w:r>
    </w:p>
    <w:p>
      <w:pPr>
        <w:pStyle w:val="0"/>
        <w:spacing w:line="240" w:lineRule="auto"/>
        <w:ind w:left="227" w:leftChars="100" w:right="0" w:rightChars="0" w:firstLine="0" w:firstLineChars="0"/>
        <w:jc w:val="both"/>
        <w:rPr>
          <w:rFonts w:hint="eastAsia"/>
          <w:kern w:val="2"/>
          <w:highlight w:val="none"/>
        </w:rPr>
      </w:pPr>
    </w:p>
    <w:p>
      <w:pPr>
        <w:pStyle w:val="0"/>
        <w:spacing w:line="240" w:lineRule="auto"/>
        <w:ind w:left="227" w:leftChars="100" w:right="0" w:rightChars="0" w:firstLine="0" w:firstLineChars="0"/>
        <w:jc w:val="both"/>
        <w:rPr>
          <w:rFonts w:hint="eastAsia"/>
          <w:kern w:val="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産科は、相対的に産科医師が少数でない周産期医療圏においても不足している可能性や周産期医療圏を越えた地域間の連携が進められてきており、医師多数県・医師多数区域を設けると追加確保ができないという誤解を招く恐れがあるため、医師多数都道府県や医師多数区域は設けないこととされてい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w:t>
      </w:r>
      <w:r>
        <w:rPr>
          <w:rFonts w:hint="eastAsia" w:ascii="ＭＳ 明朝" w:hAnsi="ＭＳ 明朝" w:eastAsia="ＭＳ 明朝"/>
          <w:color w:val="auto"/>
          <w:kern w:val="2"/>
          <w:sz w:val="22"/>
          <w:highlight w:val="none"/>
          <w:u w:val="none" w:color="FF0000"/>
        </w:rPr>
        <w:t>県全体としては相対的産科医師少数県に該当しません。</w:t>
      </w:r>
      <w:r>
        <w:rPr>
          <w:rFonts w:hint="eastAsia" w:ascii="ＭＳ 明朝" w:hAnsi="ＭＳ 明朝" w:eastAsia="ＭＳ 明朝"/>
          <w:kern w:val="2"/>
          <w:sz w:val="22"/>
          <w:highlight w:val="none"/>
        </w:rPr>
        <w:t>ただし、高幡周産期医療圏は分娩取扱施設がなく分娩件数がゼロであるため医師偏在指標の算出ができませんが、絶対的産科医師不足区域とも言うべき相対的産科医師少数区域に相当します。</w:t>
      </w:r>
    </w:p>
    <w:p>
      <w:pPr>
        <w:pStyle w:val="0"/>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4-1-37</w:t>
      </w:r>
      <w:r>
        <w:rPr>
          <w:rFonts w:hint="eastAsia" w:ascii="ＭＳ ゴシック" w:hAnsi="ＭＳ ゴシック" w:eastAsia="ＭＳ ゴシック"/>
          <w:color w:val="auto"/>
          <w:sz w:val="22"/>
          <w:highlight w:val="none"/>
          <w:u w:val="none" w:color="FF0000"/>
        </w:rPr>
        <w:t>）国が公表した医師偏在指標等</w:t>
      </w:r>
    </w:p>
    <w:tbl>
      <w:tblPr>
        <w:tblStyle w:val="11"/>
        <w:tblpPr w:leftFromText="0" w:rightFromText="0" w:topFromText="0" w:bottomFromText="0" w:vertAnchor="text" w:horzAnchor="margin" w:tblpX="812" w:tblpY="17"/>
        <w:tblOverlap w:val="never"/>
        <w:tblW w:w="73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AEEF3"/>
        <w:tblLayout w:type="fixed"/>
        <w:tblCellMar>
          <w:top w:w="0" w:type="dxa"/>
          <w:left w:w="0" w:type="dxa"/>
          <w:bottom w:w="0" w:type="dxa"/>
          <w:right w:w="0" w:type="dxa"/>
        </w:tblCellMar>
        <w:tblLook w:firstRow="1" w:lastRow="0" w:firstColumn="1" w:lastColumn="0" w:noHBand="0" w:noVBand="1" w:val="04A0"/>
      </w:tblPr>
      <w:tblGrid>
        <w:gridCol w:w="1078"/>
        <w:gridCol w:w="1077"/>
        <w:gridCol w:w="1078"/>
        <w:gridCol w:w="1077"/>
        <w:gridCol w:w="1078"/>
        <w:gridCol w:w="1937"/>
      </w:tblGrid>
      <w:tr>
        <w:trPr>
          <w:trHeight w:val="508" w:hRule="atLeast"/>
        </w:trPr>
        <w:tc>
          <w:tcPr>
            <w:tcW w:w="1080"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周産期</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医療圏</w:t>
            </w:r>
          </w:p>
        </w:tc>
        <w:tc>
          <w:tcPr>
            <w:tcW w:w="1080"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医師</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偏在指標</w:t>
            </w:r>
          </w:p>
        </w:tc>
        <w:tc>
          <w:tcPr>
            <w:tcW w:w="1080"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全国順位</w:t>
            </w:r>
          </w:p>
        </w:tc>
        <w:tc>
          <w:tcPr>
            <w:tcW w:w="1080"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相対的</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医師少数</w:t>
            </w:r>
          </w:p>
        </w:tc>
        <w:tc>
          <w:tcPr>
            <w:tcW w:w="1080"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R2</w:t>
            </w:r>
            <w:r>
              <w:rPr>
                <w:rFonts w:hint="eastAsia" w:ascii="ＭＳ 明朝" w:hAnsi="ＭＳ 明朝" w:eastAsia="ＭＳ 明朝"/>
                <w:b w:val="0"/>
                <w:i w:val="0"/>
                <w:smallCaps w:val="0"/>
                <w:color w:val="000000"/>
                <w:sz w:val="20"/>
              </w:rPr>
              <w:t>年</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医師数</w:t>
            </w:r>
          </w:p>
        </w:tc>
        <w:tc>
          <w:tcPr>
            <w:tcW w:w="1942"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R8</w:t>
            </w:r>
            <w:r>
              <w:rPr>
                <w:rFonts w:hint="eastAsia" w:ascii="ＭＳ 明朝" w:hAnsi="ＭＳ 明朝" w:eastAsia="ＭＳ 明朝"/>
                <w:b w:val="0"/>
                <w:i w:val="0"/>
                <w:smallCaps w:val="0"/>
                <w:color w:val="000000"/>
                <w:sz w:val="20"/>
              </w:rPr>
              <w:t>年産科偏在対策</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基準医師数</w:t>
            </w:r>
            <w:r>
              <w:rPr>
                <w:rFonts w:hint="eastAsia" w:ascii="ＭＳ 明朝" w:hAnsi="ＭＳ 明朝" w:eastAsia="ＭＳ 明朝"/>
                <w:b w:val="0"/>
                <w:i w:val="0"/>
                <w:smallCaps w:val="0"/>
                <w:color w:val="000000"/>
                <w:sz w:val="20"/>
              </w:rPr>
              <w:t>*</w:t>
            </w:r>
          </w:p>
        </w:tc>
      </w:tr>
      <w:tr>
        <w:trPr>
          <w:trHeight w:val="323" w:hRule="atLeast"/>
        </w:trPr>
        <w:tc>
          <w:tcPr>
            <w:tcW w:w="1080" w:type="dxa"/>
            <w:tcBorders>
              <w:top w:val="double" w:color="000000" w:sz="5" w:space="0"/>
              <w:left w:val="single" w:color="000000" w:sz="4" w:space="0"/>
              <w:bottom w:val="double" w:color="000000" w:sz="5"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shd w:val="clear" w:color="auto" w:fill="auto"/>
              </w:rPr>
              <w:t>高知県</w:t>
            </w:r>
          </w:p>
        </w:tc>
        <w:tc>
          <w:tcPr>
            <w:tcW w:w="1080" w:type="dxa"/>
            <w:tcBorders>
              <w:top w:val="double" w:color="000000" w:sz="5" w:space="0"/>
              <w:left w:val="single" w:color="000000" w:themeColor="text1"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10.2</w:t>
            </w:r>
          </w:p>
        </w:tc>
        <w:tc>
          <w:tcPr>
            <w:tcW w:w="1080"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24/47</w:t>
            </w:r>
          </w:p>
        </w:tc>
        <w:tc>
          <w:tcPr>
            <w:tcW w:w="1080"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非該当</w:t>
            </w:r>
          </w:p>
        </w:tc>
        <w:tc>
          <w:tcPr>
            <w:tcW w:w="1080"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61</w:t>
            </w:r>
          </w:p>
        </w:tc>
        <w:tc>
          <w:tcPr>
            <w:tcW w:w="1942"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37</w:t>
            </w:r>
          </w:p>
        </w:tc>
      </w:tr>
      <w:tr>
        <w:trPr>
          <w:trHeight w:val="286" w:hRule="atLeast"/>
        </w:trPr>
        <w:tc>
          <w:tcPr>
            <w:tcW w:w="1080" w:type="dxa"/>
            <w:tcBorders>
              <w:top w:val="none" w:color="auto" w:sz="0" w:space="0"/>
              <w:left w:val="single" w:color="000000" w:sz="4" w:space="0"/>
              <w:bottom w:val="single" w:color="000000" w:sz="4"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安芸</w:t>
            </w:r>
          </w:p>
        </w:tc>
        <w:tc>
          <w:tcPr>
            <w:tcW w:w="1080" w:type="dxa"/>
            <w:tcBorders>
              <w:top w:val="none" w:color="auto" w:sz="0" w:space="0"/>
              <w:left w:val="single" w:color="000000" w:themeColor="text1"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31.6</w:t>
            </w:r>
          </w:p>
        </w:tc>
        <w:tc>
          <w:tcPr>
            <w:tcW w:w="1080"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6/263</w:t>
            </w:r>
          </w:p>
        </w:tc>
        <w:tc>
          <w:tcPr>
            <w:tcW w:w="1080" w:type="dxa"/>
            <w:tcBorders>
              <w:top w:val="double" w:color="000000" w:sz="5" w:space="0"/>
              <w:left w:val="single" w:color="000000" w:sz="4" w:space="0"/>
              <w:bottom w:val="none" w:color="auto" w:sz="0"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top"/>
          </w:tcPr>
          <w:p>
            <w:pPr>
              <w:pStyle w:val="0"/>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非該当</w:t>
            </w:r>
          </w:p>
        </w:tc>
        <w:tc>
          <w:tcPr>
            <w:tcW w:w="1080"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c>
          <w:tcPr>
            <w:tcW w:w="1942"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w:t>
            </w:r>
          </w:p>
        </w:tc>
      </w:tr>
      <w:tr>
        <w:trPr>
          <w:trHeight w:val="249" w:hRule="atLeast"/>
        </w:trPr>
        <w:tc>
          <w:tcPr>
            <w:tcW w:w="1080" w:type="dxa"/>
            <w:tcBorders>
              <w:top w:val="single" w:color="000000" w:sz="4" w:space="0"/>
              <w:left w:val="single" w:color="000000" w:sz="4" w:space="0"/>
              <w:bottom w:val="single" w:color="000000" w:sz="4"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中央</w:t>
            </w:r>
          </w:p>
        </w:tc>
        <w:tc>
          <w:tcPr>
            <w:tcW w:w="1080" w:type="dxa"/>
            <w:tcBorders>
              <w:top w:val="single" w:color="000000" w:sz="4" w:space="0"/>
              <w:left w:val="single" w:color="000000" w:themeColor="text1"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9.5</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118/263</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非該当</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52</w:t>
            </w:r>
          </w:p>
        </w:tc>
        <w:tc>
          <w:tcPr>
            <w:tcW w:w="194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27</w:t>
            </w:r>
          </w:p>
        </w:tc>
      </w:tr>
      <w:tr>
        <w:trPr>
          <w:trHeight w:val="239" w:hRule="atLeast"/>
        </w:trPr>
        <w:tc>
          <w:tcPr>
            <w:tcW w:w="1080" w:type="dxa"/>
            <w:tcBorders>
              <w:top w:val="single" w:color="000000" w:sz="4" w:space="0"/>
              <w:left w:val="single" w:color="000000" w:sz="4" w:space="0"/>
              <w:bottom w:val="single" w:color="000000" w:sz="4"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高幡</w:t>
            </w:r>
          </w:p>
        </w:tc>
        <w:tc>
          <w:tcPr>
            <w:tcW w:w="1080" w:type="dxa"/>
            <w:tcBorders>
              <w:top w:val="single" w:color="000000" w:sz="4" w:space="0"/>
              <w:left w:val="single" w:color="000000" w:themeColor="text1"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0</w:t>
            </w:r>
          </w:p>
        </w:tc>
        <w:tc>
          <w:tcPr>
            <w:tcW w:w="194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r>
      <w:tr>
        <w:trPr>
          <w:trHeight w:val="199" w:hRule="atLeast"/>
        </w:trPr>
        <w:tc>
          <w:tcPr>
            <w:tcW w:w="1080" w:type="dxa"/>
            <w:tcBorders>
              <w:top w:val="single" w:color="000000" w:sz="4" w:space="0"/>
              <w:left w:val="single" w:color="000000" w:sz="4" w:space="0"/>
              <w:bottom w:val="single" w:color="000000" w:sz="4"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幡多</w:t>
            </w:r>
          </w:p>
        </w:tc>
        <w:tc>
          <w:tcPr>
            <w:tcW w:w="1080" w:type="dxa"/>
            <w:tcBorders>
              <w:top w:val="single" w:color="000000" w:sz="4" w:space="0"/>
              <w:left w:val="single" w:color="000000" w:themeColor="text1"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xml:space="preserve">12.9 </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47/263</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非該当</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w:t>
            </w:r>
          </w:p>
        </w:tc>
        <w:tc>
          <w:tcPr>
            <w:tcW w:w="194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-3618230</wp:posOffset>
                      </wp:positionH>
                      <wp:positionV relativeFrom="paragraph">
                        <wp:posOffset>195580</wp:posOffset>
                      </wp:positionV>
                      <wp:extent cx="5544820" cy="290830"/>
                      <wp:effectExtent l="0" t="0" r="635" b="635"/>
                      <wp:wrapNone/>
                      <wp:docPr id="1214" name="オブジェクト 0"/>
                      <a:graphic xmlns:a="http://schemas.openxmlformats.org/drawingml/2006/main">
                        <a:graphicData uri="http://schemas.microsoft.com/office/word/2010/wordprocessingShape">
                          <wps:wsp>
                            <wps:cNvPr id="1214" name="オブジェクト 0"/>
                            <wps:cNvSpPr txBox="1">
                              <a:spLocks noChangeArrowheads="1"/>
                            </wps:cNvSpPr>
                            <wps:spPr>
                              <a:xfrm>
                                <a:off x="0" y="0"/>
                                <a:ext cx="5544820" cy="290830"/>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b w:val="0"/>
                                      <w:sz w:val="16"/>
                                    </w:rPr>
                                    <w:t>＊偏在対策基準医師数は、医療需要に応じて機械的に算出される数値であり、確保すべき医師の目標ではない。</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4pt;mso-position-vertical-relative:text;mso-position-horizontal-relative:text;position:absolute;height:22.9pt;mso-wrap-distance-top:0pt;width:436.6pt;mso-wrap-distance-left:16pt;margin-left:-284.89pt;z-index:14;" o:spid="_x0000_s1214"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b w:val="0"/>
                                <w:sz w:val="16"/>
                              </w:rPr>
                              <w:t>＊偏在対策基準医師数は、医療需要に応じて機械的に算出される数値であり、確保すべき医師の目標ではない。</w:t>
                            </w:r>
                          </w:p>
                        </w:txbxContent>
                      </v:textbox>
                      <v:imagedata o:title=""/>
                      <w10:wrap type="none" anchorx="text" anchory="text"/>
                    </v:shape>
                  </w:pict>
                </mc:Fallback>
              </mc:AlternateContent>
            </w:r>
            <w:r>
              <w:rPr>
                <w:rFonts w:hint="eastAsia" w:ascii="ＭＳ 明朝" w:hAnsi="ＭＳ 明朝" w:eastAsia="ＭＳ 明朝"/>
                <w:b w:val="0"/>
                <w:i w:val="0"/>
                <w:smallCaps w:val="0"/>
                <w:sz w:val="20"/>
              </w:rPr>
              <w:t>3</w:t>
            </w:r>
          </w:p>
        </w:tc>
      </w:tr>
    </w:tbl>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4-1-38</w:t>
      </w:r>
      <w:r>
        <w:rPr>
          <w:rFonts w:hint="eastAsia" w:ascii="ＭＳ ゴシック" w:hAnsi="ＭＳ ゴシック" w:eastAsia="ＭＳ ゴシック"/>
          <w:color w:val="auto"/>
          <w:sz w:val="22"/>
          <w:highlight w:val="none"/>
          <w:u w:val="none" w:color="FF0000"/>
        </w:rPr>
        <w:t>）医師偏在指標における本県の相対的位置</w:t>
      </w:r>
    </w:p>
    <w:p>
      <w:pPr>
        <w:pStyle w:val="0"/>
        <w:spacing w:line="240" w:lineRule="auto"/>
        <w:ind w:leftChars="0" w:right="0" w:rightChars="0" w:firstLineChars="0"/>
        <w:rPr>
          <w:rFonts w:hint="eastAsia"/>
          <w:highlight w:val="none"/>
        </w:rPr>
      </w:pPr>
      <w:r>
        <w:rPr>
          <w:rFonts w:hint="eastAsia"/>
        </w:rPr>
        <mc:AlternateContent>
          <mc:Choice Requires="wpg">
            <w:drawing>
              <wp:anchor simplePos="0" relativeHeight="221" behindDoc="0" locked="0" layoutInCell="1" hidden="0" allowOverlap="1">
                <wp:simplePos x="0" y="0"/>
                <wp:positionH relativeFrom="column">
                  <wp:posOffset>43815</wp:posOffset>
                </wp:positionH>
                <wp:positionV relativeFrom="paragraph">
                  <wp:posOffset>1270</wp:posOffset>
                </wp:positionV>
                <wp:extent cx="5696585" cy="3437255"/>
                <wp:effectExtent l="0" t="0" r="5715" b="0"/>
                <wp:wrapNone/>
                <wp:docPr id="1215" name="オブジェクト 0"/>
                <a:graphic xmlns:a="http://schemas.openxmlformats.org/drawingml/2006/main">
                  <a:graphicData uri="http://schemas.microsoft.com/office/word/2010/wordprocessingGroup">
                    <wpg:wgp>
                      <wpg:cNvGrpSpPr/>
                      <wpg:grpSpPr>
                        <a:xfrm>
                          <a:off x="0" y="0"/>
                          <a:ext cx="5696585" cy="3437255"/>
                          <a:chOff x="1487" y="8070"/>
                          <a:chExt cx="8971" cy="5413"/>
                        </a:xfrm>
                      </wpg:grpSpPr>
                      <pic:pic xmlns:pic="http://schemas.openxmlformats.org/drawingml/2006/picture">
                        <pic:nvPicPr>
                          <pic:cNvPr id="1216" name="オブジェクト 0"/>
                          <pic:cNvPicPr>
                            <a:picLocks noChangeAspect="1"/>
                          </pic:cNvPicPr>
                        </pic:nvPicPr>
                        <pic:blipFill>
                          <a:blip r:embed="rId45"/>
                          <a:stretch>
                            <a:fillRect/>
                          </a:stretch>
                        </pic:blipFill>
                        <pic:spPr>
                          <a:xfrm>
                            <a:off x="1496" y="11283"/>
                            <a:ext cx="8962" cy="2200"/>
                          </a:xfrm>
                          <a:prstGeom prst="rect">
                            <a:avLst/>
                          </a:prstGeom>
                          <a:noFill/>
                          <a:ln>
                            <a:miter/>
                          </a:ln>
                        </pic:spPr>
                      </pic:pic>
                      <wpg:grpSp>
                        <wpg:cNvGrpSpPr/>
                        <wpg:grpSpPr>
                          <a:xfrm>
                            <a:off x="1487" y="8070"/>
                            <a:ext cx="8933" cy="2563"/>
                            <a:chOff x="1533" y="9283"/>
                            <a:chExt cx="8933" cy="2563"/>
                          </a:xfrm>
                        </wpg:grpSpPr>
                        <pic:pic xmlns:pic="http://schemas.openxmlformats.org/drawingml/2006/picture">
                          <pic:nvPicPr>
                            <pic:cNvPr id="1218" name="オブジェクト 0"/>
                            <pic:cNvPicPr>
                              <a:picLocks noChangeAspect="1"/>
                            </pic:cNvPicPr>
                          </pic:nvPicPr>
                          <pic:blipFill>
                            <a:blip r:embed="rId46"/>
                            <a:stretch>
                              <a:fillRect/>
                            </a:stretch>
                          </pic:blipFill>
                          <pic:spPr>
                            <a:xfrm>
                              <a:off x="1533" y="9283"/>
                              <a:ext cx="8919" cy="2563"/>
                            </a:xfrm>
                            <a:prstGeom prst="rect">
                              <a:avLst/>
                            </a:prstGeom>
                            <a:noFill/>
                            <a:ln>
                              <a:miter/>
                            </a:ln>
                          </pic:spPr>
                        </pic:pic>
                        <wps:wsp>
                          <wps:cNvPr id="1219" name="オブジェクト 0"/>
                          <wps:cNvSpPr>
                            <a:spLocks noChangeArrowheads="1"/>
                          </wps:cNvSpPr>
                          <wps:spPr>
                            <a:xfrm>
                              <a:off x="5977" y="10145"/>
                              <a:ext cx="232" cy="1407"/>
                            </a:xfrm>
                            <a:prstGeom prst="ellipse">
                              <a:avLst/>
                            </a:prstGeom>
                            <a:noFill/>
                            <a:ln w="9525" cap="flat" cmpd="sng">
                              <a:solidFill>
                                <a:srgbClr val="000000"/>
                              </a:solidFill>
                              <a:prstDash val="solid"/>
                              <a:headEnd type="none" w="med" len="med"/>
                              <a:tailEnd type="none" w="med" len="med"/>
                            </a:ln>
                          </wps:spPr>
                          <wps:style>
                            <a:lnRef idx="2">
                              <a:srgbClr val="000000"/>
                            </a:lnRef>
                            <a:fillRef idx="1">
                              <a:srgbClr val="000000"/>
                            </a:fillRef>
                            <a:effectRef idx="0">
                              <a:srgbClr val="000000"/>
                            </a:effectRef>
                            <a:fontRef idx="minor"/>
                          </wps:style>
                          <wps:bodyPr/>
                        </wps:wsp>
                        <wps:wsp>
                          <wps:cNvPr id="1220" name="オブジェクト 0"/>
                          <wps:cNvSpPr>
                            <a:spLocks noChangeArrowheads="1"/>
                          </wps:cNvSpPr>
                          <wps:spPr>
                            <a:xfrm>
                              <a:off x="1539" y="9301"/>
                              <a:ext cx="8927" cy="2538"/>
                            </a:xfrm>
                            <a:prstGeom prst="rect">
                              <a:avLst/>
                            </a:prstGeom>
                            <a:noFill/>
                            <a:ln w="9525" cap="flat" cmpd="sng">
                              <a:solidFill>
                                <a:srgbClr val="000000"/>
                              </a:solidFill>
                              <a:prstDash val="solid"/>
                              <a:miter lim="800000"/>
                              <a:headEnd type="none" w="med" len="med"/>
                              <a:tailEnd type="none" w="med" len="med"/>
                            </a:ln>
                          </wps:spPr>
                          <wps:style>
                            <a:lnRef idx="2">
                              <a:srgbClr val="000000"/>
                            </a:lnRef>
                            <a:fillRef idx="1">
                              <a:srgbClr val="000000"/>
                            </a:fillRef>
                            <a:effectRef idx="0">
                              <a:srgbClr val="000000"/>
                            </a:effectRef>
                            <a:fontRef idx="minor"/>
                          </wps:style>
                          <wps:bodyPr/>
                        </wps:wsp>
                      </wpg:grpSp>
                      <wps:wsp>
                        <wps:cNvPr id="1221" name="オブジェクト 0"/>
                        <wps:cNvSpPr>
                          <a:spLocks noChangeArrowheads="1"/>
                        </wps:cNvSpPr>
                        <wps:spPr>
                          <a:xfrm>
                            <a:off x="9875" y="11642"/>
                            <a:ext cx="388" cy="1194"/>
                          </a:xfrm>
                          <a:prstGeom prst="rect">
                            <a:avLst/>
                          </a:prstGeom>
                          <a:noFill/>
                          <a:ln w="9525" cap="flat" cmpd="sng">
                            <a:solidFill>
                              <a:srgbClr val="FF0000"/>
                            </a:solidFill>
                            <a:prstDash val="solid"/>
                            <a:miter lim="800000"/>
                            <a:headEnd type="none" w="med" len="med"/>
                            <a:tailEnd type="none" w="med" len="med"/>
                          </a:ln>
                        </wps:spPr>
                        <wps:bodyPr/>
                      </wps:wsp>
                    </wpg:wgp>
                  </a:graphicData>
                </a:graphic>
              </wp:anchor>
            </w:drawing>
          </mc:Choice>
          <mc:Fallback>
            <w:pict>
              <v:group id="オブジェクト 0" style="margin-top:0.1pt;mso-position-vertical-relative:text;mso-position-horizontal-relative:text;position:absolute;height:270.64pt;width:448.55pt;margin-left:3.45pt;z-index:221;" coordsize="8971,5413" coordorigin="1487,8070" o:spid="_x0000_s121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200;width:8962;top:11283;left:1496;position:absolute;" o:spid="_x0000_s1216" filled="f" stroked="f" o:spt="75" type="#_x0000_t75">
                  <v:fill/>
                  <v:imagedata o:title="" r:id="rId45"/>
                  <w10:wrap type="none" anchorx="text" anchory="text"/>
                </v:shape>
                <v:group id="_x0000_s1217" style="height:2563;width:8933;top:8070;left:1487;position:absolute;" coordsize="8933,2563" coordorigin="1533,9283">
                  <v:shape id="オブジェクト 0" style="height:2563;width:8919;top:9283;left:1533;position:absolute;" o:spid="_x0000_s1218" filled="f" stroked="f" o:spt="75" type="#_x0000_t75">
                    <v:fill/>
                    <v:imagedata o:title="" r:id="rId46"/>
                    <w10:wrap type="none" anchorx="text" anchory="text"/>
                  </v:shape>
                  <v:oval id="オブジェクト 0" style="height:1407;width:232;top:10145;left:5977;position:absolute;" o:spid="_x0000_s1219" filled="f" stroked="t" strokecolor="#000000" strokeweight="0.75pt" o:spt="3">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oval>
                  <v:rect id="オブジェクト 0" style="height:2538;width:8927;top:9301;left:1539;position:absolute;" o:spid="_x0000_s1220"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10:wrap type="none" anchorx="text" anchory="text"/>
                </v:group>
                <v:rect id="オブジェクト 0" style="height:1194;width:388;top:11642;left:9875;position:absolute;" o:spid="_x0000_s1221" filled="f" stroked="t" strokecolor="#ff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10:wrap type="none" anchorx="text" anchory="text"/>
              </v:group>
            </w:pict>
          </mc:Fallback>
        </mc:AlternateContent>
      </w:r>
    </w:p>
    <w:p>
      <w:pPr>
        <w:pStyle w:val="0"/>
        <w:spacing w:line="240" w:lineRule="auto"/>
        <w:ind w:leftChars="0" w:right="0" w:rightChars="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4-1-39</w:t>
      </w:r>
      <w:r>
        <w:rPr>
          <w:rFonts w:hint="eastAsia" w:ascii="ＭＳ ゴシック" w:hAnsi="ＭＳ ゴシック" w:eastAsia="ＭＳ ゴシック"/>
          <w:color w:val="auto"/>
          <w:sz w:val="22"/>
          <w:highlight w:val="none"/>
          <w:u w:val="none" w:color="FF0000"/>
        </w:rPr>
        <w:t>）周産期医療圏別の状況</w:t>
      </w: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（３）産科医師確保の方針と目標医師数</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w:t>
      </w:r>
      <w:r>
        <w:rPr>
          <w:rFonts w:hint="eastAsia" w:ascii="ＭＳ 明朝" w:hAnsi="ＭＳ 明朝" w:eastAsia="ＭＳ 明朝"/>
          <w:color w:val="auto"/>
          <w:kern w:val="2"/>
          <w:sz w:val="22"/>
          <w:highlight w:val="none"/>
          <w:u w:val="none" w:color="FF0000"/>
        </w:rPr>
        <w:t>高幡周産期医療圏を相対的産科医師少数区域に設定し、</w:t>
      </w:r>
      <w:r>
        <w:rPr>
          <w:rFonts w:hint="eastAsia" w:ascii="ＭＳ 明朝" w:hAnsi="ＭＳ 明朝" w:eastAsia="ＭＳ 明朝"/>
          <w:kern w:val="2"/>
          <w:sz w:val="22"/>
          <w:highlight w:val="none"/>
        </w:rPr>
        <w:t>総合周産期母子医療センター、地域周産期母子医療センター、周産期医療に関連する病院、診療所及び助産所の機能分担と連携を行いながら、県全体の周産期医療提供体制の維持に必要な医師確保対策を推進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目標医師数については、</w:t>
      </w:r>
      <w:r>
        <w:rPr>
          <w:rFonts w:hint="eastAsia" w:ascii="ＭＳ 明朝" w:hAnsi="ＭＳ 明朝" w:eastAsia="ＭＳ 明朝"/>
          <w:color w:val="auto"/>
          <w:kern w:val="2"/>
          <w:sz w:val="22"/>
          <w:highlight w:val="none"/>
          <w:u w:val="none" w:color="auto"/>
        </w:rPr>
        <w:t>令和２年末の産科医師数が令和８年度の産科偏在対策基準医師数を超えている安芸・中</w:t>
      </w:r>
      <w:r>
        <w:rPr>
          <w:rFonts w:hint="eastAsia" w:ascii="ＭＳ 明朝" w:hAnsi="ＭＳ 明朝" w:eastAsia="ＭＳ 明朝"/>
          <w:kern w:val="2"/>
          <w:sz w:val="22"/>
          <w:highlight w:val="none"/>
        </w:rPr>
        <w:t>央・幡多周産期医療圏については現状維持を目標とし、相対的産科医師少数区域である高幡周産期医療圏については、医師数の増加を目指します。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4-1-40</w:t>
      </w:r>
      <w:r>
        <w:rPr>
          <w:rFonts w:hint="eastAsia" w:ascii="ＭＳ ゴシック" w:hAnsi="ＭＳ ゴシック" w:eastAsia="ＭＳ ゴシック"/>
          <w:color w:val="auto"/>
          <w:sz w:val="22"/>
          <w:highlight w:val="none"/>
          <w:u w:val="none" w:color="FF0000"/>
        </w:rPr>
        <w:t>）本計画における目標医師数</w:t>
      </w:r>
    </w:p>
    <w:tbl>
      <w:tblPr>
        <w:tblStyle w:val="11"/>
        <w:tblpPr w:leftFromText="0" w:rightFromText="0" w:topFromText="0" w:bottomFromText="0" w:vertAnchor="text" w:horzAnchor="margin" w:tblpXSpec="center" w:tblpY="2"/>
        <w:tblOverlap w:val="never"/>
        <w:tblW w:w="79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3611"/>
        <w:gridCol w:w="2147"/>
        <w:gridCol w:w="2147"/>
      </w:tblGrid>
      <w:tr>
        <w:trPr>
          <w:trHeight w:val="698" w:hRule="atLeast"/>
        </w:trPr>
        <w:tc>
          <w:tcPr>
            <w:tcW w:w="361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周産期医療圏</w:t>
            </w:r>
          </w:p>
        </w:tc>
        <w:tc>
          <w:tcPr>
            <w:tcW w:w="2147"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R8</w:t>
            </w:r>
            <w:r>
              <w:rPr>
                <w:rFonts w:hint="eastAsia" w:ascii="ＭＳ 明朝" w:hAnsi="ＭＳ 明朝" w:eastAsia="ＭＳ 明朝"/>
                <w:b w:val="0"/>
                <w:i w:val="0"/>
                <w:smallCaps w:val="0"/>
                <w:color w:val="000000"/>
                <w:sz w:val="20"/>
              </w:rPr>
              <w:t>年度末</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目標医師数</w:t>
            </w:r>
            <w:r>
              <w:rPr>
                <w:rFonts w:hint="eastAsia" w:ascii="ＭＳ 明朝" w:hAnsi="ＭＳ 明朝" w:eastAsia="ＭＳ 明朝"/>
                <w:b w:val="0"/>
                <w:i w:val="0"/>
                <w:smallCaps w:val="0"/>
                <w:color w:val="000000"/>
                <w:sz w:val="20"/>
              </w:rPr>
              <w:t>(</w:t>
            </w:r>
            <w:r>
              <w:rPr>
                <w:rFonts w:hint="eastAsia" w:ascii="ＭＳ 明朝" w:hAnsi="ＭＳ 明朝" w:eastAsia="ＭＳ 明朝"/>
                <w:b w:val="0"/>
                <w:i w:val="0"/>
                <w:smallCaps w:val="0"/>
                <w:color w:val="000000"/>
                <w:sz w:val="20"/>
              </w:rPr>
              <w:t>人）</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R2</w:t>
            </w:r>
            <w:r>
              <w:rPr>
                <w:rFonts w:hint="eastAsia" w:ascii="ＭＳ 明朝" w:hAnsi="ＭＳ 明朝" w:eastAsia="ＭＳ 明朝"/>
                <w:b w:val="0"/>
                <w:i w:val="0"/>
                <w:smallCaps w:val="0"/>
                <w:color w:val="000000"/>
                <w:sz w:val="20"/>
              </w:rPr>
              <w:t>年</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医師数</w:t>
            </w:r>
            <w:r>
              <w:rPr>
                <w:rFonts w:hint="eastAsia" w:ascii="ＭＳ 明朝" w:hAnsi="ＭＳ 明朝" w:eastAsia="ＭＳ 明朝"/>
                <w:b w:val="0"/>
                <w:i w:val="0"/>
                <w:smallCaps w:val="0"/>
                <w:color w:val="000000"/>
                <w:sz w:val="20"/>
              </w:rPr>
              <w:t>(</w:t>
            </w:r>
            <w:r>
              <w:rPr>
                <w:rFonts w:hint="eastAsia" w:ascii="ＭＳ 明朝" w:hAnsi="ＭＳ 明朝" w:eastAsia="ＭＳ 明朝"/>
                <w:b w:val="0"/>
                <w:i w:val="0"/>
                <w:smallCaps w:val="0"/>
                <w:color w:val="000000"/>
                <w:sz w:val="20"/>
              </w:rPr>
              <w:t>人）</w:t>
            </w:r>
          </w:p>
        </w:tc>
      </w:tr>
      <w:tr>
        <w:trPr>
          <w:trHeight w:val="350" w:hRule="atLeast"/>
        </w:trPr>
        <w:tc>
          <w:tcPr>
            <w:tcW w:w="361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安芸</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r>
      <w:tr>
        <w:trPr>
          <w:trHeight w:val="350" w:hRule="atLeast"/>
        </w:trPr>
        <w:tc>
          <w:tcPr>
            <w:tcW w:w="361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中央</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52</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52</w:t>
            </w:r>
          </w:p>
        </w:tc>
      </w:tr>
      <w:tr>
        <w:trPr>
          <w:trHeight w:val="350" w:hRule="atLeast"/>
        </w:trPr>
        <w:tc>
          <w:tcPr>
            <w:tcW w:w="361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Style w:val="44"/>
                <w:rFonts w:hint="eastAsia" w:ascii="ＭＳ 明朝" w:hAnsi="ＭＳ 明朝" w:eastAsia="ＭＳ 明朝"/>
                <w:b w:val="0"/>
                <w:i w:val="0"/>
                <w:smallCaps w:val="0"/>
                <w:sz w:val="20"/>
              </w:rPr>
              <w:t>　高幡（相対的産科医師少数区域）</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0</w:t>
            </w:r>
          </w:p>
        </w:tc>
      </w:tr>
      <w:tr>
        <w:trPr>
          <w:trHeight w:val="350" w:hRule="atLeast"/>
        </w:trPr>
        <w:tc>
          <w:tcPr>
            <w:tcW w:w="3611"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幡多</w:t>
            </w:r>
          </w:p>
        </w:tc>
        <w:tc>
          <w:tcPr>
            <w:tcW w:w="2147"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w:t>
            </w:r>
          </w:p>
        </w:tc>
        <w:tc>
          <w:tcPr>
            <w:tcW w:w="2147"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w:t>
            </w:r>
          </w:p>
        </w:tc>
      </w:tr>
      <w:tr>
        <w:trPr>
          <w:trHeight w:val="350" w:hRule="atLeast"/>
        </w:trPr>
        <w:tc>
          <w:tcPr>
            <w:tcW w:w="3611"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合計</w:t>
            </w:r>
          </w:p>
        </w:tc>
        <w:tc>
          <w:tcPr>
            <w:tcW w:w="2147"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62</w:t>
            </w:r>
          </w:p>
        </w:tc>
        <w:tc>
          <w:tcPr>
            <w:tcW w:w="2147"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61</w:t>
            </w:r>
          </w:p>
        </w:tc>
      </w:tr>
    </w:tbl>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left"/>
        <w:rPr>
          <w:rFonts w:hint="eastAsia"/>
          <w:highlight w:val="none"/>
        </w:rPr>
      </w:pPr>
    </w:p>
    <w:p>
      <w:pPr>
        <w:pStyle w:val="0"/>
        <w:jc w:val="left"/>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（４）目標医師数を達成するための施策</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産科・産婦人科医師の確保</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は、将来、県内の指定医療機関において産婦人科の医師として勤務する意思のある医学生に対する奨学金の加算貸与や、キャリア形成環境の整備等により若手医師の県内定着を促進するとともに、「こうちの医療ＲＹОＭＡ大使」を通じたＵ・</w:t>
      </w:r>
      <w:r>
        <w:rPr>
          <w:rFonts w:hint="eastAsia" w:ascii="ＭＳ 明朝" w:hAnsi="ＭＳ 明朝" w:eastAsia="ＭＳ 明朝"/>
          <w:kern w:val="2"/>
          <w:sz w:val="22"/>
          <w:highlight w:val="none"/>
        </w:rPr>
        <w:t>I</w:t>
      </w:r>
      <w:r>
        <w:rPr>
          <w:rFonts w:hint="eastAsia" w:ascii="ＭＳ 明朝" w:hAnsi="ＭＳ 明朝" w:eastAsia="ＭＳ 明朝"/>
          <w:kern w:val="2"/>
          <w:sz w:val="22"/>
          <w:highlight w:val="none"/>
        </w:rPr>
        <w:t>ターンの可能性のある医師へのアプローチや、県外大学との連携強化等により、周産期医療を担う医師の早期確保に努めます。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県は、産科医師の分娩手当に対する助成を継続します。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高幡周産期医療圏については、医療法人川村会くぼかわ病院への産科医師の定期的な派遣を引き続き行い、地域住民が妊婦健康診査を受診できる体制整備を支援します。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周産期医療提供体制の維持</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分娩取扱施設のない地域等に居住する妊婦については、中央周産期医療圏で分娩する際の母体及び胎児への負担を軽減するため、出産までの期間中、分娩待機や妊婦健診の際に妊婦とその家族に滞在施設として利用していただけるよう分娩待機施設の確保に引き続き取り組み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分娩取扱施設のない地域等における陣痛発来や病院外での妊産婦救急事例に突然遭遇する可能性がある救急救命士等を対象とした「妊産婦救急救命基礎研修（ＢＬＳＯ）」を行ってきたところであり、こうした妊産婦救急事例への対応力</w:t>
      </w:r>
      <w:r>
        <w:rPr>
          <w:rFonts w:hint="eastAsia" w:ascii="ＭＳ 明朝" w:hAnsi="ＭＳ 明朝" w:eastAsia="ＭＳ 明朝"/>
          <w:color w:val="auto"/>
          <w:kern w:val="2"/>
          <w:sz w:val="22"/>
          <w:highlight w:val="none"/>
          <w:u w:val="none" w:color="auto"/>
        </w:rPr>
        <w:t>の向上に努めます。</w:t>
      </w:r>
    </w:p>
    <w:p>
      <w:pPr>
        <w:pStyle w:val="0"/>
        <w:spacing w:line="240" w:lineRule="auto"/>
        <w:ind w:left="792" w:leftChars="201" w:right="0" w:rightChars="0" w:hanging="336" w:hangingChars="148"/>
        <w:jc w:val="both"/>
        <w:rPr>
          <w:rFonts w:hint="eastAsia"/>
          <w:highlight w:val="none"/>
        </w:rPr>
      </w:pPr>
      <w:r>
        <w:rPr>
          <w:rFonts w:hint="eastAsia" w:ascii="ＭＳ 明朝" w:hAnsi="ＭＳ 明朝" w:eastAsia="ＭＳ 明朝"/>
          <w:kern w:val="2"/>
          <w:sz w:val="22"/>
          <w:highlight w:val="none"/>
        </w:rPr>
        <w:t>③　三次周産期医療提供施設である高知医療センターと高知大学医学部附属病院において、一次周産期医療提供施設及び二次周産期医療提供施設と連携しながら正常分娩も受け入れていくことで、県内の分娩機能の維持に努めます。</w:t>
      </w:r>
    </w:p>
    <w:p>
      <w:pPr>
        <w:pStyle w:val="0"/>
        <w:spacing w:line="240" w:lineRule="auto"/>
        <w:ind w:left="0" w:leftChars="0" w:right="0" w:rightChars="0" w:firstLine="0" w:firstLineChars="0"/>
        <w:jc w:val="left"/>
        <w:rPr>
          <w:rFonts w:hint="eastAsia"/>
          <w:highlight w:val="none"/>
        </w:rPr>
      </w:pPr>
    </w:p>
    <w:p>
      <w:pPr>
        <w:pStyle w:val="0"/>
        <w:spacing w:line="240" w:lineRule="auto"/>
        <w:ind w:left="0" w:leftChars="0" w:right="0" w:rightChars="0" w:firstLine="0" w:firstLineChars="0"/>
        <w:jc w:val="left"/>
        <w:rPr>
          <w:rFonts w:hint="eastAsia"/>
          <w:highlight w:val="none"/>
        </w:rPr>
      </w:pPr>
    </w:p>
    <w:p>
      <w:pPr>
        <w:pStyle w:val="0"/>
        <w:spacing w:line="240" w:lineRule="auto"/>
        <w:ind w:left="0" w:leftChars="0" w:right="0" w:rightChars="0" w:firstLine="0" w:firstLineChars="0"/>
        <w:jc w:val="left"/>
        <w:rPr>
          <w:rFonts w:hint="eastAsia"/>
          <w:highlight w:val="none"/>
        </w:rPr>
      </w:pPr>
    </w:p>
    <w:p>
      <w:pPr>
        <w:pStyle w:val="0"/>
        <w:spacing w:line="240" w:lineRule="auto"/>
        <w:ind w:left="0" w:leftChars="0" w:right="0" w:rightChars="0" w:firstLine="0" w:firstLineChars="0"/>
        <w:jc w:val="both"/>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小児科医師確保計画</w:t>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（１）本県の状況</w:t>
      </w:r>
    </w:p>
    <w:p>
      <w:pPr>
        <w:pStyle w:val="0"/>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令和２年の本県の小児科医師は</w:t>
      </w:r>
      <w:r>
        <w:rPr>
          <w:rFonts w:hint="eastAsia" w:ascii="ＭＳ 明朝" w:hAnsi="ＭＳ 明朝" w:eastAsia="ＭＳ 明朝"/>
          <w:color w:val="auto"/>
          <w:kern w:val="2"/>
          <w:sz w:val="22"/>
          <w:highlight w:val="none"/>
          <w:u w:val="none" w:color="auto"/>
        </w:rPr>
        <w:t>104</w:t>
      </w:r>
      <w:r>
        <w:rPr>
          <w:rFonts w:hint="eastAsia" w:ascii="ＭＳ 明朝" w:hAnsi="ＭＳ 明朝" w:eastAsia="ＭＳ 明朝"/>
          <w:color w:val="auto"/>
          <w:kern w:val="2"/>
          <w:sz w:val="22"/>
          <w:highlight w:val="none"/>
          <w:u w:val="none" w:color="auto"/>
        </w:rPr>
        <w:t>人となっており、平成</w:t>
      </w:r>
      <w:r>
        <w:rPr>
          <w:rFonts w:hint="eastAsia" w:ascii="ＭＳ 明朝" w:hAnsi="ＭＳ 明朝" w:eastAsia="ＭＳ 明朝"/>
          <w:color w:val="auto"/>
          <w:kern w:val="2"/>
          <w:sz w:val="22"/>
          <w:highlight w:val="none"/>
          <w:u w:val="none" w:color="auto"/>
        </w:rPr>
        <w:t>22</w:t>
      </w:r>
      <w:r>
        <w:rPr>
          <w:rFonts w:hint="eastAsia" w:ascii="ＭＳ 明朝" w:hAnsi="ＭＳ 明朝" w:eastAsia="ＭＳ 明朝"/>
          <w:color w:val="auto"/>
          <w:kern w:val="2"/>
          <w:sz w:val="22"/>
          <w:highlight w:val="none"/>
          <w:u w:val="none" w:color="auto"/>
        </w:rPr>
        <w:t>年と比較すると、医師総数はわずかに増加しましたが、小児医療圏別では、依然として中央小児医療圏に８割が集中しており、この小児科医師の偏在が受療動向に影響していると考えられます。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年の小児科医師の平均年齢は</w:t>
      </w:r>
      <w:r>
        <w:rPr>
          <w:rFonts w:hint="eastAsia" w:ascii="ＭＳ 明朝" w:hAnsi="ＭＳ 明朝" w:eastAsia="ＭＳ 明朝"/>
          <w:color w:val="auto"/>
          <w:kern w:val="2"/>
          <w:sz w:val="22"/>
          <w:highlight w:val="none"/>
          <w:u w:val="none" w:color="auto"/>
        </w:rPr>
        <w:t>53.5</w:t>
      </w:r>
      <w:r>
        <w:rPr>
          <w:rFonts w:hint="eastAsia" w:ascii="ＭＳ 明朝" w:hAnsi="ＭＳ 明朝" w:eastAsia="ＭＳ 明朝"/>
          <w:color w:val="auto"/>
          <w:kern w:val="2"/>
          <w:sz w:val="22"/>
          <w:highlight w:val="none"/>
          <w:u w:val="none" w:color="auto"/>
        </w:rPr>
        <w:t>歳で、病院勤務医師は</w:t>
      </w:r>
      <w:r>
        <w:rPr>
          <w:rFonts w:hint="eastAsia" w:ascii="ＭＳ 明朝" w:hAnsi="ＭＳ 明朝" w:eastAsia="ＭＳ 明朝"/>
          <w:color w:val="auto"/>
          <w:kern w:val="2"/>
          <w:sz w:val="22"/>
          <w:highlight w:val="none"/>
          <w:u w:val="none" w:color="auto"/>
        </w:rPr>
        <w:t>48.3</w:t>
      </w:r>
      <w:r>
        <w:rPr>
          <w:rFonts w:hint="eastAsia" w:ascii="ＭＳ 明朝" w:hAnsi="ＭＳ 明朝" w:eastAsia="ＭＳ 明朝"/>
          <w:color w:val="auto"/>
          <w:kern w:val="2"/>
          <w:sz w:val="22"/>
          <w:highlight w:val="none"/>
          <w:u w:val="none" w:color="auto"/>
        </w:rPr>
        <w:t>歳、診療所勤務医師は</w:t>
      </w:r>
      <w:r>
        <w:rPr>
          <w:rFonts w:hint="eastAsia" w:ascii="ＭＳ 明朝" w:hAnsi="ＭＳ 明朝" w:eastAsia="ＭＳ 明朝"/>
          <w:color w:val="auto"/>
          <w:kern w:val="2"/>
          <w:sz w:val="22"/>
          <w:highlight w:val="none"/>
          <w:u w:val="none" w:color="auto"/>
        </w:rPr>
        <w:t>66.1</w:t>
      </w:r>
      <w:r>
        <w:rPr>
          <w:rFonts w:hint="eastAsia" w:ascii="ＭＳ 明朝" w:hAnsi="ＭＳ 明朝" w:eastAsia="ＭＳ 明朝"/>
          <w:color w:val="auto"/>
          <w:kern w:val="2"/>
          <w:sz w:val="22"/>
          <w:highlight w:val="none"/>
          <w:u w:val="none" w:color="auto"/>
        </w:rPr>
        <w:t>歳</w:t>
      </w:r>
      <w:r>
        <w:rPr>
          <w:rFonts w:hint="eastAsia" w:ascii="ＭＳ 明朝" w:hAnsi="ＭＳ 明朝" w:eastAsia="ＭＳ 明朝"/>
          <w:kern w:val="2"/>
          <w:sz w:val="22"/>
          <w:highlight w:val="none"/>
        </w:rPr>
        <w:t>となっています。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w:t>
      </w:r>
      <w:r>
        <w:rPr>
          <w:rFonts w:hint="eastAsia" w:ascii="ＭＳ 明朝" w:hAnsi="ＭＳ 明朝" w:eastAsia="ＭＳ 明朝"/>
          <w:kern w:val="2"/>
          <w:sz w:val="22"/>
          <w:highlight w:val="none"/>
        </w:rPr>
        <w:t>40</w:t>
      </w:r>
      <w:r>
        <w:rPr>
          <w:rFonts w:hint="eastAsia" w:ascii="ＭＳ 明朝" w:hAnsi="ＭＳ 明朝" w:eastAsia="ＭＳ 明朝"/>
          <w:kern w:val="2"/>
          <w:sz w:val="22"/>
          <w:highlight w:val="none"/>
        </w:rPr>
        <w:t>歳未満の小児科医師が減少し、</w:t>
      </w:r>
      <w:r>
        <w:rPr>
          <w:rFonts w:hint="eastAsia" w:ascii="ＭＳ 明朝" w:hAnsi="ＭＳ 明朝" w:eastAsia="ＭＳ 明朝"/>
          <w:kern w:val="2"/>
          <w:sz w:val="22"/>
          <w:highlight w:val="none"/>
        </w:rPr>
        <w:t>60</w:t>
      </w:r>
      <w:r>
        <w:rPr>
          <w:rFonts w:hint="eastAsia" w:ascii="ＭＳ 明朝" w:hAnsi="ＭＳ 明朝" w:eastAsia="ＭＳ 明朝"/>
          <w:kern w:val="2"/>
          <w:sz w:val="22"/>
          <w:highlight w:val="none"/>
        </w:rPr>
        <w:t>歳以上が増加するなど、徐々に平均年齢が高くなっており、特に診療所の医師の高齢化が顕著です。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4555490</wp:posOffset>
                </wp:positionH>
                <wp:positionV relativeFrom="paragraph">
                  <wp:posOffset>19050</wp:posOffset>
                </wp:positionV>
                <wp:extent cx="600075" cy="234315"/>
                <wp:effectExtent l="0" t="0" r="635" b="635"/>
                <wp:wrapNone/>
                <wp:docPr id="1222" name="オブジェクト 0"/>
                <a:graphic xmlns:a="http://schemas.openxmlformats.org/drawingml/2006/main">
                  <a:graphicData uri="http://schemas.microsoft.com/office/word/2010/wordprocessingShape">
                    <wps:wsp>
                      <wps:cNvPr id="1222" name="オブジェクト 0"/>
                      <wps:cNvSpPr txBox="1">
                        <a:spLocks noChangeArrowheads="1"/>
                      </wps:cNvSpPr>
                      <wps:spPr>
                        <a:xfrm>
                          <a:off x="0" y="0"/>
                          <a:ext cx="600075" cy="23431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pt;mso-position-vertical-relative:text;mso-position-horizontal-relative:text;position:absolute;height:18.45pt;mso-wrap-distance-top:0pt;width:47.25pt;mso-wrap-distance-left:16pt;margin-left:358.7pt;z-index:12;" o:spid="_x0000_s122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4-1-41</w:t>
      </w:r>
      <w:r>
        <w:rPr>
          <w:rFonts w:hint="eastAsia" w:ascii="ＭＳ ゴシック" w:hAnsi="ＭＳ ゴシック" w:eastAsia="ＭＳ ゴシック"/>
          <w:color w:val="auto"/>
          <w:sz w:val="22"/>
          <w:highlight w:val="none"/>
          <w:u w:val="none" w:color="FF0000"/>
        </w:rPr>
        <w:t>）小児医療圏別小児科医師数※の推移</w:t>
      </w:r>
    </w:p>
    <w:tbl>
      <w:tblPr>
        <w:tblStyle w:val="11"/>
        <w:tblpPr w:leftFromText="0" w:rightFromText="0" w:topFromText="0" w:bottomFromText="0" w:vertAnchor="text" w:horzAnchor="margin" w:tblpX="1652" w:tblpY="10"/>
        <w:tblOverlap w:val="never"/>
        <w:tblW w:w="0" w:type="auto"/>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596"/>
        <w:gridCol w:w="907"/>
        <w:gridCol w:w="907"/>
        <w:gridCol w:w="907"/>
        <w:gridCol w:w="907"/>
        <w:gridCol w:w="907"/>
      </w:tblGrid>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年</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県　計</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安　芸</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中　央</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高　幡</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幡　多</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H22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100</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81</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13</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H24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104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83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15</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H26</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102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80</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15</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H28</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106</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85</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14</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H30</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106</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14</w:t>
            </w:r>
          </w:p>
          <w:p>
            <w:pPr>
              <w:pStyle w:val="0"/>
              <w:spacing w:line="240" w:lineRule="auto"/>
              <w:jc w:val="center"/>
              <w:rPr>
                <w:rFonts w:hint="eastAsia" w:ascii="ＭＳ 明朝" w:hAnsi="ＭＳ 明朝" w:eastAsia="ＭＳ 明朝"/>
                <w:sz w:val="20"/>
                <w:highlight w:val="none"/>
              </w:rPr>
            </w:pP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R2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13</w:t>
            </w:r>
          </w:p>
          <w:p>
            <w:pPr>
              <w:pStyle w:val="0"/>
              <w:spacing w:line="240" w:lineRule="auto"/>
              <w:jc w:val="center"/>
              <w:rPr>
                <w:rFonts w:hint="eastAsia" w:ascii="ＭＳ 明朝" w:hAnsi="ＭＳ 明朝" w:eastAsia="ＭＳ 明朝"/>
                <w:sz w:val="20"/>
                <w:highlight w:val="none"/>
              </w:rPr>
            </w:pPr>
          </w:p>
        </w:tc>
      </w:tr>
    </w:tbl>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r>
        <w:rPr>
          <w:rFonts w:hint="eastAsia"/>
          <w:highlight w:val="none"/>
        </w:rPr>
        <mc:AlternateContent>
          <mc:Choice Requires="wps">
            <w:drawing>
              <wp:anchor simplePos="0" relativeHeight="5" behindDoc="0" locked="0" layoutInCell="1" hidden="0" allowOverlap="1">
                <wp:simplePos x="0" y="0"/>
                <wp:positionH relativeFrom="column">
                  <wp:posOffset>1220470</wp:posOffset>
                </wp:positionH>
                <wp:positionV relativeFrom="paragraph">
                  <wp:posOffset>209550</wp:posOffset>
                </wp:positionV>
                <wp:extent cx="3732530" cy="349250"/>
                <wp:effectExtent l="0" t="0" r="635" b="635"/>
                <wp:wrapNone/>
                <wp:docPr id="1223" name="オブジェクト 0"/>
                <a:graphic xmlns:a="http://schemas.openxmlformats.org/drawingml/2006/main">
                  <a:graphicData uri="http://schemas.microsoft.com/office/word/2010/wordprocessingShape">
                    <wps:wsp>
                      <wps:cNvPr id="1223" name="オブジェクト 0"/>
                      <wps:cNvSpPr>
                        <a:spLocks noChangeArrowheads="1"/>
                      </wps:cNvSpPr>
                      <wps:spPr>
                        <a:xfrm>
                          <a:off x="0" y="0"/>
                          <a:ext cx="3732530" cy="349250"/>
                        </a:xfrm>
                        <a:prstGeom prst="rect">
                          <a:avLst/>
                        </a:prstGeom>
                        <a:solidFill>
                          <a:srgbClr val="FFFFFF">
                            <a:alpha val="0"/>
                          </a:srgbClr>
                        </a:solidFill>
                        <a:ln>
                          <a:miter/>
                        </a:ln>
                      </wps:spPr>
                      <wps:txbx>
                        <w:txbxContent>
                          <w:p>
                            <w:pPr>
                              <w:pStyle w:val="0"/>
                              <w:spacing w:before="0" w:beforeLines="0" w:beforeAutospacing="0" w:after="0" w:afterLines="0" w:afterAutospacing="0" w:line="0" w:lineRule="atLeast"/>
                              <w:ind w:left="0" w:leftChars="0" w:right="0" w:rightChars="0"/>
                              <w:jc w:val="right"/>
                              <w:rPr>
                                <w:rFonts w:hint="default" w:ascii="游明朝" w:hAnsi="游明朝"/>
                                <w:sz w:val="16"/>
                              </w:rPr>
                            </w:pPr>
                            <w:r>
                              <w:rPr>
                                <w:rFonts w:hint="eastAsia" w:ascii="游明朝" w:hAnsi="游明朝"/>
                                <w:sz w:val="16"/>
                              </w:rPr>
                              <w:t>出典：医師・歯科医師・薬剤師調査・統計（厚生労働省）</w:t>
                            </w:r>
                          </w:p>
                          <w:p>
                            <w:pPr>
                              <w:pStyle w:val="0"/>
                              <w:spacing w:before="0" w:beforeLines="0" w:beforeAutospacing="0" w:after="0" w:afterLines="0" w:afterAutospacing="0" w:line="0" w:lineRule="atLeast"/>
                              <w:ind w:left="0" w:leftChars="0" w:right="0" w:rightChars="0" w:firstLine="0" w:firstLineChars="0"/>
                              <w:jc w:val="right"/>
                              <w:rPr>
                                <w:rFonts w:hint="eastAsia"/>
                              </w:rPr>
                            </w:pPr>
                            <w:r>
                              <w:rPr>
                                <w:rFonts w:hint="eastAsia" w:ascii="游明朝" w:hAnsi="游明朝"/>
                                <w:sz w:val="16"/>
                              </w:rPr>
                              <w:t>※小児科医師数は、単科若しくは主として小児科に従事する医師数を計上</w:t>
                            </w:r>
                          </w:p>
                        </w:txbxContent>
                      </wps:txbx>
                      <wps:bodyPr vertOverflow="overflow" horzOverflow="overflow" wrap="square" lIns="74295" tIns="8890" rIns="74295" bIns="8890" upright="1"/>
                    </wps:wsp>
                  </a:graphicData>
                </a:graphic>
              </wp:anchor>
            </w:drawing>
          </mc:Choice>
          <mc:Fallback>
            <w:pict>
              <v:rect id="オブジェクト 0" style="margin-top:16.5pt;mso-position-vertical-relative:text;mso-position-horizontal-relative:text;position:absolute;height:27.5pt;width:293.89pt;margin-left:96.1pt;z-index:5;" o:spid="_x0000_s1223" o:allowincell="t" o:allowoverlap="t" filled="t" fillcolor="#ffffff" stroked="f" o:spt="1">
                <v:fill opacity="0f"/>
                <v:textbox style="layout-flow:horizontal;" inset="2.0637499999999998mm,0.24694444444444438mm,2.0637499999999998mm,0.24694444444444438mm">
                  <w:txbxContent>
                    <w:p>
                      <w:pPr>
                        <w:pStyle w:val="0"/>
                        <w:spacing w:before="0" w:beforeLines="0" w:beforeAutospacing="0" w:after="0" w:afterLines="0" w:afterAutospacing="0" w:line="0" w:lineRule="atLeast"/>
                        <w:ind w:left="0" w:leftChars="0" w:right="0" w:rightChars="0"/>
                        <w:jc w:val="right"/>
                        <w:rPr>
                          <w:rFonts w:hint="default" w:ascii="游明朝" w:hAnsi="游明朝"/>
                          <w:sz w:val="16"/>
                        </w:rPr>
                      </w:pPr>
                      <w:r>
                        <w:rPr>
                          <w:rFonts w:hint="eastAsia" w:ascii="游明朝" w:hAnsi="游明朝"/>
                          <w:sz w:val="16"/>
                        </w:rPr>
                        <w:t>出典：医師・歯科医師・薬剤師調査・統計（厚生労働省）</w:t>
                      </w:r>
                    </w:p>
                    <w:p>
                      <w:pPr>
                        <w:pStyle w:val="0"/>
                        <w:spacing w:before="0" w:beforeLines="0" w:beforeAutospacing="0" w:after="0" w:afterLines="0" w:afterAutospacing="0" w:line="0" w:lineRule="atLeast"/>
                        <w:ind w:left="0" w:leftChars="0" w:right="0" w:rightChars="0" w:firstLine="0" w:firstLineChars="0"/>
                        <w:jc w:val="right"/>
                        <w:rPr>
                          <w:rFonts w:hint="eastAsia"/>
                        </w:rPr>
                      </w:pPr>
                      <w:r>
                        <w:rPr>
                          <w:rFonts w:hint="eastAsia" w:ascii="游明朝" w:hAnsi="游明朝"/>
                          <w:sz w:val="16"/>
                        </w:rPr>
                        <w:t>※小児科医師数は、単科若しくは主として小児科に従事する医師数を計上</w:t>
                      </w:r>
                    </w:p>
                  </w:txbxContent>
                </v:textbox>
                <v:imagedata o:title=""/>
                <w10:wrap type="none" anchorx="text" anchory="text"/>
              </v:rect>
            </w:pict>
          </mc:Fallback>
        </mc:AlternateConten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tabs>
          <w:tab w:val="clear" w:pos="4633"/>
          <w:tab w:val="left" w:leader="none" w:pos="4850"/>
        </w:tabs>
        <w:jc w:val="both"/>
        <w:rPr>
          <w:rFonts w:hint="eastAsia" w:ascii="ＭＳ ゴシック" w:hAnsi="ＭＳ ゴシック" w:eastAsia="ＭＳ ゴシック"/>
          <w:color w:val="auto"/>
          <w:sz w:val="22"/>
          <w:highlight w:val="none"/>
          <w:u w:val="non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4-1-42</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ab/>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4-1-43</w:t>
      </w:r>
      <w:r>
        <w:rPr>
          <w:rFonts w:hint="eastAsia" w:ascii="ＭＳ ゴシック" w:hAnsi="ＭＳ ゴシック" w:eastAsia="ＭＳ ゴシック"/>
          <w:color w:val="auto"/>
          <w:sz w:val="22"/>
          <w:highlight w:val="none"/>
          <w:u w:val="none" w:color="FF0000"/>
        </w:rPr>
        <w:t>）</w:t>
      </w:r>
    </w:p>
    <w:p>
      <w:pPr>
        <w:pStyle w:val="0"/>
        <w:tabs>
          <w:tab w:val="clear" w:pos="4633"/>
          <w:tab w:val="left" w:leader="none" w:pos="4850"/>
        </w:tabs>
        <w:jc w:val="both"/>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病院及び診療所の小児科医師数と平均年齢</w:t>
      </w:r>
      <w:r>
        <w:rPr>
          <w:rFonts w:hint="eastAsia" w:ascii="ＭＳ ゴシック" w:hAnsi="ＭＳ ゴシック" w:eastAsia="ＭＳ ゴシック"/>
          <w:color w:val="FF0000"/>
          <w:sz w:val="22"/>
          <w:highlight w:val="none"/>
          <w:u w:val="none" w:color="FF0000"/>
        </w:rPr>
        <w:tab/>
      </w:r>
      <w:r>
        <w:rPr>
          <w:rFonts w:hint="eastAsia" w:ascii="ＭＳ ゴシック" w:hAnsi="ＭＳ ゴシック" w:eastAsia="ＭＳ ゴシック"/>
          <w:color w:val="auto"/>
          <w:sz w:val="22"/>
          <w:highlight w:val="none"/>
          <w:u w:val="none" w:color="FF0000"/>
        </w:rPr>
        <w:t>小児科医師の平均年齢と年齢階級別人数</w:t>
      </w:r>
    </w:p>
    <w:tbl>
      <w:tblPr>
        <w:tblStyle w:val="11"/>
        <w:tblpPr w:leftFromText="142" w:rightFromText="142" w:topFromText="0" w:bottomFromText="0" w:vertAnchor="text" w:horzAnchor="margin" w:tblpX="160" w:tblpY="105"/>
        <w:tblW w:w="4111" w:type="dxa"/>
        <w:tblLayout w:type="fixed"/>
        <w:tblCellMar>
          <w:left w:w="99" w:type="dxa"/>
          <w:right w:w="99" w:type="dxa"/>
        </w:tblCellMar>
        <w:tblLook w:firstRow="1" w:lastRow="0" w:firstColumn="1" w:lastColumn="0" w:noHBand="0" w:noVBand="1" w:val="04A0"/>
      </w:tblPr>
      <w:tblGrid>
        <w:gridCol w:w="1079"/>
        <w:gridCol w:w="1134"/>
        <w:gridCol w:w="906"/>
        <w:gridCol w:w="992"/>
      </w:tblGrid>
      <w:tr>
        <w:trPr>
          <w:trHeight w:val="113" w:hRule="atLeast"/>
        </w:trPr>
        <w:tc>
          <w:tcPr>
            <w:tcW w:w="107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年</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w:t>
            </w:r>
          </w:p>
        </w:tc>
        <w:tc>
          <w:tcPr>
            <w:tcW w:w="90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病院</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診療所</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H22</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45.2</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58.8</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34</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H24</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46.8</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60.6</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37</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H26</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47.3</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62.7</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35</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H28</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46.6</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64.6</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73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33</w:t>
            </w:r>
          </w:p>
        </w:tc>
      </w:tr>
      <w:tr>
        <w:trPr>
          <w:trHeight w:val="360" w:hRule="atLeast"/>
        </w:trPr>
        <w:tc>
          <w:tcPr>
            <w:tcW w:w="1079"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H30</w:t>
            </w:r>
          </w:p>
        </w:tc>
        <w:tc>
          <w:tcPr>
            <w:tcW w:w="1134" w:type="dxa"/>
            <w:tcBorders>
              <w:top w:val="single" w:color="auto" w:sz="4" w:space="0"/>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single" w:color="auto" w:sz="4" w:space="0"/>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48.3</w:t>
            </w:r>
          </w:p>
        </w:tc>
        <w:tc>
          <w:tcPr>
            <w:tcW w:w="992" w:type="dxa"/>
            <w:tcBorders>
              <w:top w:val="single" w:color="auto" w:sz="4" w:space="0"/>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66.1</w:t>
            </w:r>
          </w:p>
        </w:tc>
      </w:tr>
      <w:tr>
        <w:trPr>
          <w:trHeight w:val="35"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dotted"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ind w:left="0" w:leftChars="0" w:right="0" w:rightChars="0" w:firstLine="207" w:firstLineChars="100"/>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dott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67</w:t>
            </w:r>
          </w:p>
        </w:tc>
        <w:tc>
          <w:tcPr>
            <w:tcW w:w="992" w:type="dxa"/>
            <w:tcBorders>
              <w:top w:val="dott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39</w:t>
            </w:r>
          </w:p>
        </w:tc>
      </w:tr>
    </w:tbl>
    <w:tbl>
      <w:tblPr>
        <w:tblStyle w:val="11"/>
        <w:tblpPr w:leftFromText="142" w:rightFromText="142" w:topFromText="0" w:bottomFromText="0" w:vertAnchor="text" w:horzAnchor="margin" w:tblpX="4959" w:tblpY="105"/>
        <w:tblW w:w="4391" w:type="dxa"/>
        <w:tblLayout w:type="fixed"/>
        <w:tblCellMar>
          <w:left w:w="99" w:type="dxa"/>
          <w:right w:w="99" w:type="dxa"/>
        </w:tblCellMar>
        <w:tblLook w:firstRow="1" w:lastRow="0" w:firstColumn="1" w:lastColumn="0" w:noHBand="0" w:noVBand="1" w:val="04A0"/>
      </w:tblPr>
      <w:tblGrid>
        <w:gridCol w:w="1151"/>
        <w:gridCol w:w="1080"/>
        <w:gridCol w:w="1080"/>
        <w:gridCol w:w="1080"/>
      </w:tblGrid>
      <w:tr>
        <w:trPr>
          <w:trHeight w:val="285"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全体</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病院</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診療所</w:t>
            </w:r>
          </w:p>
        </w:tc>
      </w:tr>
      <w:tr>
        <w:trPr>
          <w:trHeight w:val="285" w:hRule="atLeast"/>
        </w:trPr>
        <w:tc>
          <w:tcPr>
            <w:tcW w:w="115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10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53.5</w:t>
            </w:r>
          </w:p>
        </w:tc>
        <w:tc>
          <w:tcPr>
            <w:tcW w:w="10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48.3</w:t>
            </w:r>
          </w:p>
        </w:tc>
        <w:tc>
          <w:tcPr>
            <w:tcW w:w="10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66.1</w:t>
            </w:r>
          </w:p>
        </w:tc>
      </w:tr>
      <w:tr>
        <w:trPr>
          <w:trHeight w:val="270" w:hRule="atLeast"/>
        </w:trPr>
        <w:tc>
          <w:tcPr>
            <w:tcW w:w="115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29</w:t>
            </w:r>
            <w:r>
              <w:rPr>
                <w:rFonts w:hint="eastAsia" w:ascii="ＭＳ 明朝" w:hAnsi="ＭＳ 明朝" w:eastAsia="ＭＳ 明朝"/>
                <w:color w:val="000000"/>
                <w:kern w:val="0"/>
                <w:sz w:val="20"/>
                <w:highlight w:val="none"/>
              </w:rPr>
              <w:t>歳</w:t>
            </w:r>
          </w:p>
        </w:tc>
        <w:tc>
          <w:tcPr>
            <w:tcW w:w="10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7</w:t>
            </w:r>
          </w:p>
        </w:tc>
        <w:tc>
          <w:tcPr>
            <w:tcW w:w="10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7</w:t>
            </w:r>
          </w:p>
        </w:tc>
        <w:tc>
          <w:tcPr>
            <w:tcW w:w="10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0</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39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14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0</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49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25</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20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5</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50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59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24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10</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69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26</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16</w:t>
            </w:r>
          </w:p>
        </w:tc>
      </w:tr>
      <w:tr>
        <w:trPr>
          <w:trHeight w:val="285"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70</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10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2</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8</w:t>
            </w:r>
          </w:p>
        </w:tc>
      </w:tr>
      <w:tr>
        <w:trPr>
          <w:trHeight w:val="285"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合計</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106</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67</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39</w:t>
            </w:r>
          </w:p>
        </w:tc>
      </w:tr>
    </w:tbl>
    <w:p>
      <w:pPr>
        <w:pStyle w:val="0"/>
        <w:spacing w:line="240" w:lineRule="auto"/>
        <w:ind w:left="0" w:leftChars="0" w:right="0" w:rightChars="0" w:firstLine="0" w:firstLineChars="0"/>
        <w:jc w:val="both"/>
        <w:rPr>
          <w:rFonts w:hint="eastAsia"/>
          <w:highlight w:val="none"/>
        </w:rPr>
      </w:pPr>
    </w:p>
    <w:p>
      <w:pPr>
        <w:pStyle w:val="0"/>
        <w:jc w:val="both"/>
        <w:rPr>
          <w:rFonts w:hint="eastAsia" w:ascii="ＭＳ ゴシック" w:hAnsi="ＭＳ ゴシック" w:eastAsia="ＭＳ ゴシック"/>
          <w:color w:val="FF0000"/>
          <w:sz w:val="22"/>
          <w:highlight w:val="none"/>
          <w:u w:val="single" w:color="FF0000"/>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r>
        <w:rPr>
          <w:rFonts w:hint="eastAsia"/>
          <w:highlight w:val="none"/>
        </w:rPr>
        <mc:AlternateContent>
          <mc:Choice Requires="wps">
            <w:drawing>
              <wp:anchor simplePos="0" relativeHeight="4" behindDoc="0" locked="0" layoutInCell="1" hidden="0" allowOverlap="1">
                <wp:simplePos x="0" y="0"/>
                <wp:positionH relativeFrom="column">
                  <wp:posOffset>3830320</wp:posOffset>
                </wp:positionH>
                <wp:positionV relativeFrom="paragraph">
                  <wp:posOffset>60325</wp:posOffset>
                </wp:positionV>
                <wp:extent cx="2340610" cy="314960"/>
                <wp:effectExtent l="0" t="0" r="635" b="635"/>
                <wp:wrapNone/>
                <wp:docPr id="1224" name="オブジェクト 0"/>
                <a:graphic xmlns:a="http://schemas.openxmlformats.org/drawingml/2006/main">
                  <a:graphicData uri="http://schemas.microsoft.com/office/word/2010/wordprocessingShape">
                    <wps:wsp>
                      <wps:cNvPr id="1224" name="オブジェクト 0"/>
                      <wps:cNvSpPr>
                        <a:spLocks noChangeArrowheads="1"/>
                      </wps:cNvSpPr>
                      <wps:spPr>
                        <a:xfrm>
                          <a:off x="0" y="0"/>
                          <a:ext cx="2340610" cy="314960"/>
                        </a:xfrm>
                        <a:prstGeom prst="rect">
                          <a:avLst/>
                        </a:prstGeom>
                        <a:solidFill>
                          <a:srgbClr val="FFFFFF">
                            <a:alpha val="0"/>
                          </a:srgbClr>
                        </a:solidFill>
                        <a:ln>
                          <a:miter/>
                        </a:ln>
                      </wps:spPr>
                      <wps:txbx>
                        <w:txbxContent>
                          <w:p>
                            <w:pPr>
                              <w:pStyle w:val="0"/>
                              <w:rPr>
                                <w:rFonts w:hint="eastAsia"/>
                                <w:color w:val="auto"/>
                                <w:u w:val="none" w:color="auto"/>
                              </w:rPr>
                            </w:pPr>
                            <w:r>
                              <w:rPr>
                                <w:rFonts w:hint="eastAsia" w:ascii="游明朝" w:hAnsi="游明朝"/>
                                <w:color w:val="auto"/>
                                <w:sz w:val="16"/>
                                <w:u w:val="none" w:color="auto"/>
                              </w:rPr>
                              <w:t>出典：平</w:t>
                            </w:r>
                            <w:r>
                              <w:rPr>
                                <w:rFonts w:hint="eastAsia" w:ascii="ＭＳ 明朝" w:hAnsi="ＭＳ 明朝" w:eastAsia="ＭＳ 明朝"/>
                                <w:color w:val="auto"/>
                                <w:sz w:val="16"/>
                                <w:u w:val="none" w:color="auto"/>
                              </w:rPr>
                              <w:t>成</w:t>
                            </w:r>
                            <w:r>
                              <w:rPr>
                                <w:rFonts w:hint="eastAsia" w:ascii="ＭＳ 明朝" w:hAnsi="ＭＳ 明朝" w:eastAsia="ＭＳ 明朝"/>
                                <w:color w:val="auto"/>
                                <w:sz w:val="16"/>
                                <w:u w:val="none" w:color="FF0000"/>
                              </w:rPr>
                              <w:t>30</w:t>
                            </w:r>
                            <w:r>
                              <w:rPr>
                                <w:rFonts w:hint="eastAsia" w:ascii="ＭＳ 明朝" w:hAnsi="ＭＳ 明朝" w:eastAsia="ＭＳ 明朝"/>
                                <w:color w:val="auto"/>
                                <w:sz w:val="16"/>
                                <w:u w:val="none" w:color="auto"/>
                              </w:rPr>
                              <w:t>年</w:t>
                            </w:r>
                            <w:r>
                              <w:rPr>
                                <w:rFonts w:hint="eastAsia" w:ascii="游明朝" w:hAnsi="游明朝"/>
                                <w:color w:val="auto"/>
                                <w:sz w:val="16"/>
                                <w:u w:val="none" w:color="auto"/>
                              </w:rPr>
                              <w:t>高知県健康政策部調べ</w:t>
                            </w:r>
                          </w:p>
                        </w:txbxContent>
                      </wps:txbx>
                      <wps:bodyPr vertOverflow="overflow" horzOverflow="overflow" lIns="74295" tIns="8890" rIns="74295" bIns="8890" upright="1"/>
                    </wps:wsp>
                  </a:graphicData>
                </a:graphic>
              </wp:anchor>
            </w:drawing>
          </mc:Choice>
          <mc:Fallback>
            <w:pict>
              <v:rect id="オブジェクト 0" style="margin-top:4.75pt;mso-position-vertical-relative:text;mso-position-horizontal-relative:text;position:absolute;height:24.8pt;width:184.3pt;margin-left:301.60000000000002pt;z-index:4;" o:spid="_x0000_s1224" o:allowincell="t" o:allowoverlap="t" filled="t" fillcolor="#ffffff" stroked="f" o:spt="1">
                <v:fill opacity="0f"/>
                <v:textbox style="layout-flow:horizontal;" inset="2.0637499999999998mm,0.24694444444444438mm,2.0637499999999998mm,0.24694444444444438mm">
                  <w:txbxContent>
                    <w:p>
                      <w:pPr>
                        <w:pStyle w:val="0"/>
                        <w:rPr>
                          <w:rFonts w:hint="eastAsia"/>
                          <w:color w:val="auto"/>
                          <w:u w:val="none" w:color="auto"/>
                        </w:rPr>
                      </w:pPr>
                      <w:r>
                        <w:rPr>
                          <w:rFonts w:hint="eastAsia" w:ascii="游明朝" w:hAnsi="游明朝"/>
                          <w:color w:val="auto"/>
                          <w:sz w:val="16"/>
                          <w:u w:val="none" w:color="auto"/>
                        </w:rPr>
                        <w:t>出典：平</w:t>
                      </w:r>
                      <w:r>
                        <w:rPr>
                          <w:rFonts w:hint="eastAsia" w:ascii="ＭＳ 明朝" w:hAnsi="ＭＳ 明朝" w:eastAsia="ＭＳ 明朝"/>
                          <w:color w:val="auto"/>
                          <w:sz w:val="16"/>
                          <w:u w:val="none" w:color="auto"/>
                        </w:rPr>
                        <w:t>成</w:t>
                      </w:r>
                      <w:r>
                        <w:rPr>
                          <w:rFonts w:hint="eastAsia" w:ascii="ＭＳ 明朝" w:hAnsi="ＭＳ 明朝" w:eastAsia="ＭＳ 明朝"/>
                          <w:color w:val="auto"/>
                          <w:sz w:val="16"/>
                          <w:u w:val="none" w:color="FF0000"/>
                        </w:rPr>
                        <w:t>30</w:t>
                      </w:r>
                      <w:r>
                        <w:rPr>
                          <w:rFonts w:hint="eastAsia" w:ascii="ＭＳ 明朝" w:hAnsi="ＭＳ 明朝" w:eastAsia="ＭＳ 明朝"/>
                          <w:color w:val="auto"/>
                          <w:sz w:val="16"/>
                          <w:u w:val="none" w:color="auto"/>
                        </w:rPr>
                        <w:t>年</w:t>
                      </w:r>
                      <w:r>
                        <w:rPr>
                          <w:rFonts w:hint="eastAsia" w:ascii="游明朝" w:hAnsi="游明朝"/>
                          <w:color w:val="auto"/>
                          <w:sz w:val="16"/>
                          <w:u w:val="none" w:color="auto"/>
                        </w:rPr>
                        <w:t>高知県健康政策部調べ</w:t>
                      </w:r>
                    </w:p>
                  </w:txbxContent>
                </v:textbox>
                <v:imagedata o:title=""/>
                <w10:wrap type="none" anchorx="text" anchory="text"/>
              </v:rect>
            </w:pict>
          </mc:Fallback>
        </mc:AlternateConten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228" behindDoc="0" locked="0" layoutInCell="1" hidden="0" allowOverlap="1">
                <wp:simplePos x="0" y="0"/>
                <wp:positionH relativeFrom="column">
                  <wp:posOffset>645795</wp:posOffset>
                </wp:positionH>
                <wp:positionV relativeFrom="paragraph">
                  <wp:posOffset>221615</wp:posOffset>
                </wp:positionV>
                <wp:extent cx="4807585" cy="2648585"/>
                <wp:effectExtent l="23495" t="0" r="635" b="635"/>
                <wp:wrapNone/>
                <wp:docPr id="1225" name="オブジェクト 0"/>
                <a:graphic xmlns:a="http://schemas.openxmlformats.org/drawingml/2006/main">
                  <a:graphicData uri="http://schemas.microsoft.com/office/word/2010/wordprocessingGroup">
                    <wpg:wgp>
                      <wpg:cNvGrpSpPr/>
                      <wpg:grpSpPr>
                        <a:xfrm>
                          <a:off x="0" y="0"/>
                          <a:ext cx="4807585" cy="2648585"/>
                          <a:chOff x="2435" y="1767"/>
                          <a:chExt cx="7571" cy="4171"/>
                        </a:xfrm>
                      </wpg:grpSpPr>
                      <pic:pic xmlns:pic="http://schemas.openxmlformats.org/drawingml/2006/picture">
                        <pic:nvPicPr>
                          <pic:cNvPr id="1226" name="オブジェクト 0"/>
                          <pic:cNvPicPr>
                            <a:picLocks noChangeAspect="1"/>
                          </pic:cNvPicPr>
                        </pic:nvPicPr>
                        <pic:blipFill>
                          <a:blip r:embed="rId47"/>
                          <a:stretch>
                            <a:fillRect/>
                          </a:stretch>
                        </pic:blipFill>
                        <pic:spPr>
                          <a:xfrm>
                            <a:off x="2435" y="1805"/>
                            <a:ext cx="7171" cy="3512"/>
                          </a:xfrm>
                          <a:prstGeom prst="rect">
                            <a:avLst/>
                          </a:prstGeom>
                          <a:ln>
                            <a:solidFill>
                              <a:schemeClr val="tx1"/>
                            </a:solidFill>
                          </a:ln>
                        </pic:spPr>
                      </pic:pic>
                      <wps:wsp>
                        <wps:cNvPr id="1227" name="オブジェクト 0"/>
                        <wps:cNvSpPr>
                          <a:spLocks noChangeArrowheads="1"/>
                        </wps:cNvSpPr>
                        <wps:spPr>
                          <a:xfrm>
                            <a:off x="5641" y="5317"/>
                            <a:ext cx="4365" cy="621"/>
                          </a:xfrm>
                          <a:prstGeom prst="rect">
                            <a:avLst/>
                          </a:prstGeom>
                          <a:solidFill>
                            <a:srgbClr val="FFFFFF">
                              <a:alpha val="0"/>
                            </a:srgbClr>
                          </a:solidFill>
                          <a:ln>
                            <a:miter/>
                          </a:ln>
                        </wps:spPr>
                        <wps:txbx>
                          <w:txbxContent>
                            <w:p>
                              <w:pPr>
                                <w:pStyle w:val="0"/>
                                <w:spacing w:line="240" w:lineRule="exact"/>
                                <w:rPr>
                                  <w:rFonts w:hint="eastAsia" w:ascii="ＭＳ 明朝" w:hAnsi="ＭＳ 明朝" w:eastAsia="ＭＳ 明朝"/>
                                  <w:sz w:val="16"/>
                                </w:rPr>
                              </w:pPr>
                              <w:r>
                                <w:rPr>
                                  <w:rFonts w:hint="eastAsia" w:ascii="ＭＳ 明朝" w:hAnsi="ＭＳ 明朝" w:eastAsia="ＭＳ 明朝"/>
                                  <w:sz w:val="16"/>
                                </w:rPr>
                                <w:t>出典：医師・歯科医師・薬剤師調査（厚生労働省）</w:t>
                              </w:r>
                            </w:p>
                            <w:p>
                              <w:pPr>
                                <w:pStyle w:val="0"/>
                                <w:spacing w:line="240" w:lineRule="exact"/>
                                <w:rPr>
                                  <w:rFonts w:hint="eastAsia" w:ascii="ＭＳ 明朝" w:hAnsi="ＭＳ 明朝" w:eastAsia="ＭＳ 明朝"/>
                                </w:rPr>
                              </w:pPr>
                              <w:r>
                                <w:rPr>
                                  <w:rFonts w:hint="eastAsia" w:ascii="ＭＳ 明朝" w:hAnsi="ＭＳ 明朝" w:eastAsia="ＭＳ 明朝"/>
                                  <w:sz w:val="16"/>
                                </w:rPr>
                                <w:t>　　　</w:t>
                              </w:r>
                              <w:r>
                                <w:rPr>
                                  <w:rFonts w:hint="eastAsia" w:ascii="ＭＳ 明朝" w:hAnsi="ＭＳ 明朝" w:eastAsia="ＭＳ 明朝"/>
                                  <w:color w:val="000000"/>
                                  <w:sz w:val="16"/>
                                  <w:u w:val="none" w:color="auto"/>
                                </w:rPr>
                                <w:t>平成</w:t>
                              </w:r>
                              <w:r>
                                <w:rPr>
                                  <w:rFonts w:hint="eastAsia" w:ascii="ＭＳ 明朝" w:hAnsi="ＭＳ 明朝" w:eastAsia="ＭＳ 明朝"/>
                                  <w:color w:val="auto"/>
                                  <w:sz w:val="16"/>
                                  <w:u w:val="none" w:color="FF0000"/>
                                </w:rPr>
                                <w:t>30</w:t>
                              </w:r>
                              <w:r>
                                <w:rPr>
                                  <w:rFonts w:hint="eastAsia" w:ascii="ＭＳ 明朝" w:hAnsi="ＭＳ 明朝" w:eastAsia="ＭＳ 明朝"/>
                                  <w:color w:val="000000"/>
                                  <w:sz w:val="16"/>
                                  <w:u w:val="none" w:color="auto"/>
                                </w:rPr>
                                <w:t>年高知県健康政策部調べ</w:t>
                              </w:r>
                            </w:p>
                          </w:txbxContent>
                        </wps:txbx>
                        <wps:bodyPr vertOverflow="overflow" horzOverflow="overflow" lIns="74295" tIns="8890" rIns="74295" bIns="8890" upright="1"/>
                      </wps:wsp>
                      <wpg:grpSp>
                        <wpg:cNvGrpSpPr/>
                        <wpg:grpSpPr>
                          <a:xfrm>
                            <a:off x="5641" y="1767"/>
                            <a:ext cx="2217" cy="2866"/>
                            <a:chOff x="5363" y="1769"/>
                            <a:chExt cx="2217" cy="2679"/>
                          </a:xfrm>
                        </wpg:grpSpPr>
                        <wps:wsp>
                          <wps:cNvPr id="1229" name="オブジェクト 0"/>
                          <wps:cNvSpPr>
                            <a:spLocks noChangeArrowheads="1"/>
                          </wps:cNvSpPr>
                          <wps:spPr>
                            <a:xfrm>
                              <a:off x="5608" y="3974"/>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w:t>
                                </w:r>
                                <w:r>
                                  <w:rPr>
                                    <w:rFonts w:hint="eastAsia" w:ascii="游明朝" w:hAnsi="游明朝"/>
                                    <w:sz w:val="16"/>
                                  </w:rPr>
                                  <w:t>29</w:t>
                                </w:r>
                                <w:r>
                                  <w:rPr>
                                    <w:rFonts w:hint="eastAsia" w:ascii="游明朝" w:hAnsi="游明朝"/>
                                    <w:sz w:val="16"/>
                                  </w:rPr>
                                  <w:t>歳</w:t>
                                </w:r>
                              </w:p>
                            </w:txbxContent>
                          </wps:txbx>
                          <wps:bodyPr vertOverflow="overflow" horzOverflow="overflow" lIns="74295" tIns="8890" rIns="74295" bIns="8890" upright="1"/>
                        </wps:wsp>
                        <wps:wsp>
                          <wps:cNvPr id="1230" name="オブジェクト 0"/>
                          <wps:cNvSpPr>
                            <a:spLocks noChangeArrowheads="1"/>
                          </wps:cNvSpPr>
                          <wps:spPr>
                            <a:xfrm>
                              <a:off x="5363" y="2103"/>
                              <a:ext cx="1540" cy="474"/>
                            </a:xfrm>
                            <a:prstGeom prst="rect">
                              <a:avLst/>
                            </a:prstGeom>
                            <a:solidFill>
                              <a:srgbClr val="FFFFFF">
                                <a:alpha val="0"/>
                              </a:srgbClr>
                            </a:solidFill>
                            <a:ln>
                              <a:miter/>
                            </a:ln>
                          </wps:spPr>
                          <wps:txbx>
                            <w:txbxContent>
                              <w:p>
                                <w:pPr>
                                  <w:pStyle w:val="0"/>
                                  <w:ind w:firstLine="177" w:firstLineChars="100"/>
                                  <w:rPr>
                                    <w:rFonts w:hint="eastAsia"/>
                                  </w:rPr>
                                </w:pPr>
                                <w:r>
                                  <w:rPr>
                                    <w:rFonts w:hint="eastAsia" w:ascii="游明朝" w:hAnsi="游明朝"/>
                                    <w:sz w:val="16"/>
                                  </w:rPr>
                                  <w:t>60</w:t>
                                </w:r>
                                <w:r>
                                  <w:rPr>
                                    <w:rFonts w:hint="eastAsia" w:ascii="游明朝" w:hAnsi="游明朝"/>
                                    <w:sz w:val="16"/>
                                  </w:rPr>
                                  <w:t>～</w:t>
                                </w:r>
                                <w:r>
                                  <w:rPr>
                                    <w:rFonts w:hint="eastAsia" w:ascii="游明朝" w:hAnsi="游明朝"/>
                                    <w:sz w:val="16"/>
                                  </w:rPr>
                                  <w:t>69</w:t>
                                </w:r>
                                <w:r>
                                  <w:rPr>
                                    <w:rFonts w:hint="eastAsia" w:ascii="游明朝" w:hAnsi="游明朝"/>
                                    <w:sz w:val="16"/>
                                  </w:rPr>
                                  <w:t>歳</w:t>
                                </w:r>
                              </w:p>
                            </w:txbxContent>
                          </wps:txbx>
                          <wps:bodyPr vertOverflow="overflow" horzOverflow="overflow" lIns="74295" tIns="8890" rIns="74295" bIns="8890" upright="1"/>
                        </wps:wsp>
                        <wps:wsp>
                          <wps:cNvPr id="1231" name="オブジェクト 0"/>
                          <wps:cNvSpPr>
                            <a:spLocks noChangeArrowheads="1"/>
                          </wps:cNvSpPr>
                          <wps:spPr>
                            <a:xfrm>
                              <a:off x="5563" y="2577"/>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50</w:t>
                                </w:r>
                                <w:r>
                                  <w:rPr>
                                    <w:rFonts w:hint="eastAsia" w:ascii="游明朝" w:hAnsi="游明朝"/>
                                    <w:sz w:val="16"/>
                                  </w:rPr>
                                  <w:t>～</w:t>
                                </w:r>
                                <w:r>
                                  <w:rPr>
                                    <w:rFonts w:hint="eastAsia" w:ascii="游明朝" w:hAnsi="游明朝"/>
                                    <w:sz w:val="16"/>
                                  </w:rPr>
                                  <w:t>59</w:t>
                                </w:r>
                                <w:r>
                                  <w:rPr>
                                    <w:rFonts w:hint="eastAsia" w:ascii="游明朝" w:hAnsi="游明朝"/>
                                    <w:sz w:val="16"/>
                                  </w:rPr>
                                  <w:t>歳</w:t>
                                </w:r>
                              </w:p>
                            </w:txbxContent>
                          </wps:txbx>
                          <wps:bodyPr vertOverflow="overflow" horzOverflow="overflow" lIns="74295" tIns="8890" rIns="74295" bIns="8890" upright="1"/>
                        </wps:wsp>
                        <wps:wsp>
                          <wps:cNvPr id="1232" name="オブジェクト 0"/>
                          <wps:cNvSpPr>
                            <a:spLocks noChangeArrowheads="1"/>
                          </wps:cNvSpPr>
                          <wps:spPr>
                            <a:xfrm>
                              <a:off x="5563" y="3125"/>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40</w:t>
                                </w:r>
                                <w:r>
                                  <w:rPr>
                                    <w:rFonts w:hint="eastAsia" w:ascii="游明朝" w:hAnsi="游明朝"/>
                                    <w:sz w:val="16"/>
                                  </w:rPr>
                                  <w:t>～</w:t>
                                </w:r>
                                <w:r>
                                  <w:rPr>
                                    <w:rFonts w:hint="eastAsia" w:ascii="游明朝" w:hAnsi="游明朝"/>
                                    <w:sz w:val="16"/>
                                  </w:rPr>
                                  <w:t>49</w:t>
                                </w:r>
                                <w:r>
                                  <w:rPr>
                                    <w:rFonts w:hint="eastAsia" w:ascii="游明朝" w:hAnsi="游明朝"/>
                                    <w:sz w:val="16"/>
                                  </w:rPr>
                                  <w:t>歳</w:t>
                                </w:r>
                              </w:p>
                            </w:txbxContent>
                          </wps:txbx>
                          <wps:bodyPr vertOverflow="overflow" horzOverflow="overflow" lIns="74295" tIns="8890" rIns="74295" bIns="8890" upright="1"/>
                        </wps:wsp>
                        <wps:wsp>
                          <wps:cNvPr id="1233" name="オブジェクト 0"/>
                          <wps:cNvSpPr>
                            <a:spLocks noChangeArrowheads="1"/>
                          </wps:cNvSpPr>
                          <wps:spPr>
                            <a:xfrm>
                              <a:off x="5563" y="3611"/>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30</w:t>
                                </w:r>
                                <w:r>
                                  <w:rPr>
                                    <w:rFonts w:hint="eastAsia" w:ascii="游明朝" w:hAnsi="游明朝"/>
                                    <w:sz w:val="16"/>
                                  </w:rPr>
                                  <w:t>～</w:t>
                                </w:r>
                                <w:r>
                                  <w:rPr>
                                    <w:rFonts w:hint="eastAsia" w:ascii="游明朝" w:hAnsi="游明朝"/>
                                    <w:sz w:val="16"/>
                                  </w:rPr>
                                  <w:t>39</w:t>
                                </w:r>
                                <w:r>
                                  <w:rPr>
                                    <w:rFonts w:hint="eastAsia" w:ascii="游明朝" w:hAnsi="游明朝"/>
                                    <w:sz w:val="16"/>
                                  </w:rPr>
                                  <w:t>歳</w:t>
                                </w:r>
                              </w:p>
                            </w:txbxContent>
                          </wps:txbx>
                          <wps:bodyPr vertOverflow="overflow" horzOverflow="overflow" lIns="74295" tIns="8890" rIns="74295" bIns="8890" upright="1"/>
                        </wps:wsp>
                        <wps:wsp>
                          <wps:cNvPr id="1234" name="オブジェクト 0"/>
                          <wps:cNvSpPr>
                            <a:spLocks noChangeArrowheads="1"/>
                          </wps:cNvSpPr>
                          <wps:spPr>
                            <a:xfrm>
                              <a:off x="5507" y="1769"/>
                              <a:ext cx="2073" cy="566"/>
                            </a:xfrm>
                            <a:prstGeom prst="rect">
                              <a:avLst/>
                            </a:prstGeom>
                            <a:solidFill>
                              <a:srgbClr val="FFFFFF">
                                <a:alpha val="0"/>
                              </a:srgbClr>
                            </a:solidFill>
                            <a:ln>
                              <a:miter/>
                            </a:ln>
                          </wps:spPr>
                          <wps:txbx>
                            <w:txbxContent>
                              <w:p>
                                <w:pPr>
                                  <w:pStyle w:val="0"/>
                                  <w:ind w:firstLine="177" w:firstLineChars="100"/>
                                  <w:rPr>
                                    <w:rFonts w:hint="eastAsia"/>
                                  </w:rPr>
                                </w:pPr>
                                <w:r>
                                  <w:rPr>
                                    <w:rFonts w:hint="eastAsia" w:ascii="游明朝" w:hAnsi="游明朝"/>
                                    <w:sz w:val="16"/>
                                  </w:rPr>
                                  <w:t>70</w:t>
                                </w:r>
                                <w:r>
                                  <w:rPr>
                                    <w:rFonts w:hint="eastAsia" w:ascii="游明朝" w:hAnsi="游明朝"/>
                                    <w:sz w:val="16"/>
                                  </w:rPr>
                                  <w:t>歳～</w:t>
                                </w:r>
                              </w:p>
                            </w:txbxContent>
                          </wps:txbx>
                          <wps:bodyPr vertOverflow="overflow" horzOverflow="overflow" lIns="74295" tIns="8890" rIns="74295" bIns="8890" upright="1"/>
                        </wps:wsp>
                        <wps:wsp>
                          <wps:cNvPr id="1235" name="オブジェクト 0"/>
                          <wps:cNvCnPr/>
                          <wps:spPr>
                            <a:xfrm>
                              <a:off x="5603" y="2103"/>
                              <a:ext cx="705" cy="56"/>
                            </a:xfrm>
                            <a:prstGeom prst="straightConnector1">
                              <a:avLst/>
                            </a:prstGeom>
                            <a:noFill/>
                            <a:ln w="9525">
                              <a:solidFill>
                                <a:sysClr val="windowText" lastClr="000000"/>
                              </a:solidFill>
                              <a:miter/>
                              <a:tailEnd type="triangle"/>
                            </a:ln>
                          </wps:spPr>
                          <wps:bodyPr/>
                        </wps:wsp>
                        <wps:wsp>
                          <wps:cNvPr id="1236" name="オブジェクト 0"/>
                          <wps:cNvCnPr/>
                          <wps:spPr>
                            <a:xfrm>
                              <a:off x="5607" y="2438"/>
                              <a:ext cx="682" cy="119"/>
                            </a:xfrm>
                            <a:prstGeom prst="straightConnector1">
                              <a:avLst/>
                            </a:prstGeom>
                            <a:noFill/>
                            <a:ln w="9525">
                              <a:solidFill>
                                <a:sysClr val="windowText" lastClr="000000"/>
                              </a:solidFill>
                              <a:miter/>
                              <a:tailEnd type="triangle"/>
                            </a:ln>
                          </wps:spPr>
                          <wps:bodyPr/>
                        </wps:wsp>
                        <wps:wsp>
                          <wps:cNvPr id="1237" name="オブジェクト 0"/>
                          <wps:cNvCnPr/>
                          <wps:spPr>
                            <a:xfrm>
                              <a:off x="5645" y="2941"/>
                              <a:ext cx="644" cy="110"/>
                            </a:xfrm>
                            <a:prstGeom prst="straightConnector1">
                              <a:avLst/>
                            </a:prstGeom>
                            <a:noFill/>
                            <a:ln w="9525">
                              <a:solidFill>
                                <a:sysClr val="windowText" lastClr="000000"/>
                              </a:solidFill>
                              <a:miter/>
                              <a:tailEnd type="triangle"/>
                            </a:ln>
                          </wps:spPr>
                          <wps:bodyPr/>
                        </wps:wsp>
                        <wps:wsp>
                          <wps:cNvPr id="1238" name="オブジェクト 0"/>
                          <wps:cNvCnPr/>
                          <wps:spPr>
                            <a:xfrm>
                              <a:off x="5632" y="3494"/>
                              <a:ext cx="677" cy="105"/>
                            </a:xfrm>
                            <a:prstGeom prst="straightConnector1">
                              <a:avLst/>
                            </a:prstGeom>
                            <a:noFill/>
                            <a:ln w="9525">
                              <a:solidFill>
                                <a:sysClr val="windowText" lastClr="000000"/>
                              </a:solidFill>
                              <a:miter/>
                              <a:tailEnd type="triangle"/>
                            </a:ln>
                          </wps:spPr>
                          <wps:bodyPr/>
                        </wps:wsp>
                        <wps:wsp>
                          <wps:cNvPr id="1239" name="オブジェクト 0"/>
                          <wps:cNvCnPr/>
                          <wps:spPr>
                            <a:xfrm>
                              <a:off x="5633" y="4004"/>
                              <a:ext cx="677" cy="93"/>
                            </a:xfrm>
                            <a:prstGeom prst="straightConnector1">
                              <a:avLst/>
                            </a:prstGeom>
                            <a:noFill/>
                            <a:ln w="9525">
                              <a:solidFill>
                                <a:sysClr val="windowText" lastClr="000000"/>
                              </a:solidFill>
                              <a:miter/>
                              <a:tailEnd type="triangle"/>
                            </a:ln>
                          </wps:spPr>
                          <wps:bodyPr/>
                        </wps:wsp>
                        <wps:wsp>
                          <wps:cNvPr id="1240" name="オブジェクト 0"/>
                          <wps:cNvCnPr/>
                          <wps:spPr>
                            <a:xfrm>
                              <a:off x="5632" y="4389"/>
                              <a:ext cx="677" cy="0"/>
                            </a:xfrm>
                            <a:prstGeom prst="straightConnector1">
                              <a:avLst/>
                            </a:prstGeom>
                            <a:noFill/>
                            <a:ln w="9525">
                              <a:solidFill>
                                <a:sysClr val="windowText" lastClr="000000"/>
                              </a:solidFill>
                              <a:miter/>
                              <a:tailEnd type="triangle"/>
                            </a:ln>
                          </wps:spPr>
                          <wps:bodyPr/>
                        </wps:wsp>
                      </wpg:grpSp>
                    </wpg:wgp>
                  </a:graphicData>
                </a:graphic>
              </wp:anchor>
            </w:drawing>
          </mc:Choice>
          <mc:Fallback>
            <w:pict>
              <v:group id="オブジェクト 0" style="margin-top:17.45pt;mso-position-vertical-relative:text;mso-position-horizontal-relative:text;position:absolute;height:208.55pt;width:378.55pt;margin-left:50.85pt;z-index:228;" coordsize="7571,4171" coordorigin="2435,1767" o:spid="_x0000_s122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512;width:7171;top:1805;left:2435;position:absolute;" o:spid="_x0000_s1226" filled="f" stroked="t" strokecolor="#000000 [3213]" o:spt="75" type="#_x0000_t75">
                  <v:fill/>
                  <v:stroke filltype="solid"/>
                  <v:imagedata o:title="" r:id="rId47"/>
                  <w10:wrap type="none" anchorx="text" anchory="text"/>
                </v:shape>
                <v:rect id="オブジェクト 0" style="height:621;width:4365;top:5317;left:5641;position:absolute;" o:spid="_x0000_s1227" filled="t" fillcolor="#ffffff" stroked="f" o:spt="1">
                  <v:fill opacity="0f"/>
                  <v:textbox style="layout-flow:horizontal;" inset="2.0637499999999998mm,0.24694444444444438mm,2.0637499999999998mm,0.24694444444444438mm">
                    <w:txbxContent>
                      <w:p>
                        <w:pPr>
                          <w:pStyle w:val="0"/>
                          <w:spacing w:line="240" w:lineRule="exact"/>
                          <w:rPr>
                            <w:rFonts w:hint="eastAsia" w:ascii="ＭＳ 明朝" w:hAnsi="ＭＳ 明朝" w:eastAsia="ＭＳ 明朝"/>
                            <w:sz w:val="16"/>
                          </w:rPr>
                        </w:pPr>
                        <w:r>
                          <w:rPr>
                            <w:rFonts w:hint="eastAsia" w:ascii="ＭＳ 明朝" w:hAnsi="ＭＳ 明朝" w:eastAsia="ＭＳ 明朝"/>
                            <w:sz w:val="16"/>
                          </w:rPr>
                          <w:t>出典：医師・歯科医師・薬剤師調査（厚生労働省）</w:t>
                        </w:r>
                      </w:p>
                      <w:p>
                        <w:pPr>
                          <w:pStyle w:val="0"/>
                          <w:spacing w:line="240" w:lineRule="exact"/>
                          <w:rPr>
                            <w:rFonts w:hint="eastAsia" w:ascii="ＭＳ 明朝" w:hAnsi="ＭＳ 明朝" w:eastAsia="ＭＳ 明朝"/>
                          </w:rPr>
                        </w:pPr>
                        <w:r>
                          <w:rPr>
                            <w:rFonts w:hint="eastAsia" w:ascii="ＭＳ 明朝" w:hAnsi="ＭＳ 明朝" w:eastAsia="ＭＳ 明朝"/>
                            <w:sz w:val="16"/>
                          </w:rPr>
                          <w:t>　　　</w:t>
                        </w:r>
                        <w:r>
                          <w:rPr>
                            <w:rFonts w:hint="eastAsia" w:ascii="ＭＳ 明朝" w:hAnsi="ＭＳ 明朝" w:eastAsia="ＭＳ 明朝"/>
                            <w:color w:val="000000"/>
                            <w:sz w:val="16"/>
                            <w:u w:val="none" w:color="auto"/>
                          </w:rPr>
                          <w:t>平成</w:t>
                        </w:r>
                        <w:r>
                          <w:rPr>
                            <w:rFonts w:hint="eastAsia" w:ascii="ＭＳ 明朝" w:hAnsi="ＭＳ 明朝" w:eastAsia="ＭＳ 明朝"/>
                            <w:color w:val="auto"/>
                            <w:sz w:val="16"/>
                            <w:u w:val="none" w:color="FF0000"/>
                          </w:rPr>
                          <w:t>30</w:t>
                        </w:r>
                        <w:r>
                          <w:rPr>
                            <w:rFonts w:hint="eastAsia" w:ascii="ＭＳ 明朝" w:hAnsi="ＭＳ 明朝" w:eastAsia="ＭＳ 明朝"/>
                            <w:color w:val="000000"/>
                            <w:sz w:val="16"/>
                            <w:u w:val="none" w:color="auto"/>
                          </w:rPr>
                          <w:t>年高知県健康政策部調べ</w:t>
                        </w:r>
                      </w:p>
                    </w:txbxContent>
                  </v:textbox>
                  <v:imagedata o:title=""/>
                  <w10:wrap type="none" anchorx="text" anchory="text"/>
                </v:rect>
                <v:group id="_x0000_s1228" style="height:2866;width:2217;top:1767;left:5641;position:absolute;" coordsize="2217,2679" coordorigin="5363,1769">
                  <v:rect id="オブジェクト 0" style="height:474;width:1540;top:3974;left:5608;position:absolute;" o:spid="_x0000_s1229"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w:t>
                          </w:r>
                          <w:r>
                            <w:rPr>
                              <w:rFonts w:hint="eastAsia" w:ascii="游明朝" w:hAnsi="游明朝"/>
                              <w:sz w:val="16"/>
                            </w:rPr>
                            <w:t>29</w:t>
                          </w:r>
                          <w:r>
                            <w:rPr>
                              <w:rFonts w:hint="eastAsia" w:ascii="游明朝" w:hAnsi="游明朝"/>
                              <w:sz w:val="16"/>
                            </w:rPr>
                            <w:t>歳</w:t>
                          </w:r>
                        </w:p>
                      </w:txbxContent>
                    </v:textbox>
                    <v:imagedata o:title=""/>
                    <w10:wrap type="none" anchorx="text" anchory="text"/>
                  </v:rect>
                  <v:rect id="オブジェクト 0" style="height:474;width:1540;top:2103;left:5363;position:absolute;" o:spid="_x0000_s1230" filled="t" fillcolor="#ffffff" stroked="f" o:spt="1">
                    <v:fill opacity="0f"/>
                    <v:textbox style="layout-flow:horizontal;" inset="2.0637499999999998mm,0.24694444444444438mm,2.0637499999999998mm,0.24694444444444438mm">
                      <w:txbxContent>
                        <w:p>
                          <w:pPr>
                            <w:pStyle w:val="0"/>
                            <w:ind w:firstLine="177" w:firstLineChars="100"/>
                            <w:rPr>
                              <w:rFonts w:hint="eastAsia"/>
                            </w:rPr>
                          </w:pPr>
                          <w:r>
                            <w:rPr>
                              <w:rFonts w:hint="eastAsia" w:ascii="游明朝" w:hAnsi="游明朝"/>
                              <w:sz w:val="16"/>
                            </w:rPr>
                            <w:t>60</w:t>
                          </w:r>
                          <w:r>
                            <w:rPr>
                              <w:rFonts w:hint="eastAsia" w:ascii="游明朝" w:hAnsi="游明朝"/>
                              <w:sz w:val="16"/>
                            </w:rPr>
                            <w:t>～</w:t>
                          </w:r>
                          <w:r>
                            <w:rPr>
                              <w:rFonts w:hint="eastAsia" w:ascii="游明朝" w:hAnsi="游明朝"/>
                              <w:sz w:val="16"/>
                            </w:rPr>
                            <w:t>69</w:t>
                          </w:r>
                          <w:r>
                            <w:rPr>
                              <w:rFonts w:hint="eastAsia" w:ascii="游明朝" w:hAnsi="游明朝"/>
                              <w:sz w:val="16"/>
                            </w:rPr>
                            <w:t>歳</w:t>
                          </w:r>
                        </w:p>
                      </w:txbxContent>
                    </v:textbox>
                    <v:imagedata o:title=""/>
                    <w10:wrap type="none" anchorx="text" anchory="text"/>
                  </v:rect>
                  <v:rect id="オブジェクト 0" style="height:474;width:1540;top:2577;left:5563;position:absolute;" o:spid="_x0000_s1231"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50</w:t>
                          </w:r>
                          <w:r>
                            <w:rPr>
                              <w:rFonts w:hint="eastAsia" w:ascii="游明朝" w:hAnsi="游明朝"/>
                              <w:sz w:val="16"/>
                            </w:rPr>
                            <w:t>～</w:t>
                          </w:r>
                          <w:r>
                            <w:rPr>
                              <w:rFonts w:hint="eastAsia" w:ascii="游明朝" w:hAnsi="游明朝"/>
                              <w:sz w:val="16"/>
                            </w:rPr>
                            <w:t>59</w:t>
                          </w:r>
                          <w:r>
                            <w:rPr>
                              <w:rFonts w:hint="eastAsia" w:ascii="游明朝" w:hAnsi="游明朝"/>
                              <w:sz w:val="16"/>
                            </w:rPr>
                            <w:t>歳</w:t>
                          </w:r>
                        </w:p>
                      </w:txbxContent>
                    </v:textbox>
                    <v:imagedata o:title=""/>
                    <w10:wrap type="none" anchorx="text" anchory="text"/>
                  </v:rect>
                  <v:rect id="オブジェクト 0" style="height:474;width:1540;top:3125;left:5563;position:absolute;" o:spid="_x0000_s1232"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40</w:t>
                          </w:r>
                          <w:r>
                            <w:rPr>
                              <w:rFonts w:hint="eastAsia" w:ascii="游明朝" w:hAnsi="游明朝"/>
                              <w:sz w:val="16"/>
                            </w:rPr>
                            <w:t>～</w:t>
                          </w:r>
                          <w:r>
                            <w:rPr>
                              <w:rFonts w:hint="eastAsia" w:ascii="游明朝" w:hAnsi="游明朝"/>
                              <w:sz w:val="16"/>
                            </w:rPr>
                            <w:t>49</w:t>
                          </w:r>
                          <w:r>
                            <w:rPr>
                              <w:rFonts w:hint="eastAsia" w:ascii="游明朝" w:hAnsi="游明朝"/>
                              <w:sz w:val="16"/>
                            </w:rPr>
                            <w:t>歳</w:t>
                          </w:r>
                        </w:p>
                      </w:txbxContent>
                    </v:textbox>
                    <v:imagedata o:title=""/>
                    <w10:wrap type="none" anchorx="text" anchory="text"/>
                  </v:rect>
                  <v:rect id="オブジェクト 0" style="height:474;width:1540;top:3611;left:5563;position:absolute;" o:spid="_x0000_s1233"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30</w:t>
                          </w:r>
                          <w:r>
                            <w:rPr>
                              <w:rFonts w:hint="eastAsia" w:ascii="游明朝" w:hAnsi="游明朝"/>
                              <w:sz w:val="16"/>
                            </w:rPr>
                            <w:t>～</w:t>
                          </w:r>
                          <w:r>
                            <w:rPr>
                              <w:rFonts w:hint="eastAsia" w:ascii="游明朝" w:hAnsi="游明朝"/>
                              <w:sz w:val="16"/>
                            </w:rPr>
                            <w:t>39</w:t>
                          </w:r>
                          <w:r>
                            <w:rPr>
                              <w:rFonts w:hint="eastAsia" w:ascii="游明朝" w:hAnsi="游明朝"/>
                              <w:sz w:val="16"/>
                            </w:rPr>
                            <w:t>歳</w:t>
                          </w:r>
                        </w:p>
                      </w:txbxContent>
                    </v:textbox>
                    <v:imagedata o:title=""/>
                    <w10:wrap type="none" anchorx="text" anchory="text"/>
                  </v:rect>
                  <v:rect id="オブジェクト 0" style="height:566;width:2073;top:1769;left:5507;position:absolute;" o:spid="_x0000_s1234" filled="t" fillcolor="#ffffff" stroked="f" o:spt="1">
                    <v:fill opacity="0f"/>
                    <v:textbox style="layout-flow:horizontal;" inset="2.0637499999999998mm,0.24694444444444438mm,2.0637499999999998mm,0.24694444444444438mm">
                      <w:txbxContent>
                        <w:p>
                          <w:pPr>
                            <w:pStyle w:val="0"/>
                            <w:ind w:firstLine="177" w:firstLineChars="100"/>
                            <w:rPr>
                              <w:rFonts w:hint="eastAsia"/>
                            </w:rPr>
                          </w:pPr>
                          <w:r>
                            <w:rPr>
                              <w:rFonts w:hint="eastAsia" w:ascii="游明朝" w:hAnsi="游明朝"/>
                              <w:sz w:val="16"/>
                            </w:rPr>
                            <w:t>70</w:t>
                          </w:r>
                          <w:r>
                            <w:rPr>
                              <w:rFonts w:hint="eastAsia" w:ascii="游明朝" w:hAnsi="游明朝"/>
                              <w:sz w:val="16"/>
                            </w:rPr>
                            <w:t>歳～</w:t>
                          </w:r>
                        </w:p>
                      </w:txbxContent>
                    </v:textbox>
                    <v:imagedata o:title=""/>
                    <w10:wrap type="none" anchorx="text" anchory="text"/>
                  </v:rect>
                  <v:shapetype id="_x0000_t32" coordsize="21600,21600" o:spt="32" o:oned="t" path="m,l21600,21600e" filled="f">
                    <v:path arrowok="t" fillok="f" o:connecttype="none"/>
                    <o:lock v:ext="edit" shapetype="t"/>
                  </v:shapetype>
                  <v:shape id="オブジェクト 0" style="height:56;width:705;top:2103;left:5603;position:absolute;" o:spid="_x0000_s1235" filled="f" stroked="t" strokecolor="#000000" strokeweight="0.75pt" o:spt="32" type="#_x0000_t32">
                    <v:fill/>
                    <v:stroke filltype="solid" endarrow="block"/>
                    <v:imagedata o:title=""/>
                    <w10:wrap type="none" anchorx="text" anchory="text"/>
                  </v:shape>
                  <v:shape id="オブジェクト 0" style="height:119;width:682;top:2438;left:5607;position:absolute;" o:spid="_x0000_s1236" filled="f" stroked="t" strokecolor="#000000" strokeweight="0.75pt" o:spt="32" type="#_x0000_t32">
                    <v:fill/>
                    <v:stroke filltype="solid" endarrow="block"/>
                    <v:imagedata o:title=""/>
                    <w10:wrap type="none" anchorx="text" anchory="text"/>
                  </v:shape>
                  <v:shape id="オブジェクト 0" style="height:110;width:644;top:2941;left:5645;position:absolute;" o:spid="_x0000_s1237" filled="f" stroked="t" strokecolor="#000000" strokeweight="0.75pt" o:spt="32" type="#_x0000_t32">
                    <v:fill/>
                    <v:stroke filltype="solid" endarrow="block"/>
                    <v:imagedata o:title=""/>
                    <w10:wrap type="none" anchorx="text" anchory="text"/>
                  </v:shape>
                  <v:shape id="オブジェクト 0" style="height:105;width:677;top:3494;left:5632;position:absolute;" o:spid="_x0000_s1238" filled="f" stroked="t" strokecolor="#000000" strokeweight="0.75pt" o:spt="32" type="#_x0000_t32">
                    <v:fill/>
                    <v:stroke filltype="solid" endarrow="block"/>
                    <v:imagedata o:title=""/>
                    <w10:wrap type="none" anchorx="text" anchory="text"/>
                  </v:shape>
                  <v:shape id="オブジェクト 0" style="height:93;width:677;top:4004;left:5633;position:absolute;" o:spid="_x0000_s1239" filled="f" stroked="t" strokecolor="#000000" strokeweight="0.75pt" o:spt="32" type="#_x0000_t32">
                    <v:fill/>
                    <v:stroke filltype="solid" endarrow="block"/>
                    <v:imagedata o:title=""/>
                    <w10:wrap type="none" anchorx="text" anchory="text"/>
                  </v:shape>
                  <v:shape id="オブジェクト 0" style="height:0;width:677;top:4389;left:5632;position:absolute;" o:spid="_x0000_s1240" filled="f" stroked="t" strokecolor="#000000" strokeweight="0.75pt" o:spt="32" type="#_x0000_t32">
                    <v:fill/>
                    <v:stroke filltype="solid" endarrow="block"/>
                    <v:imagedata o:title=""/>
                    <w10:wrap type="none" anchorx="text" anchory="text"/>
                  </v:shape>
                  <w10:wrap type="none" anchorx="text" anchory="text"/>
                </v:group>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4-1-44</w:t>
      </w:r>
      <w:r>
        <w:rPr>
          <w:rFonts w:hint="eastAsia" w:ascii="ＭＳ ゴシック" w:hAnsi="ＭＳ ゴシック" w:eastAsia="ＭＳ ゴシック"/>
          <w:color w:val="auto"/>
          <w:sz w:val="22"/>
          <w:highlight w:val="none"/>
          <w:u w:val="none" w:color="FF0000"/>
        </w:rPr>
        <w:t>）小児科医師の年齢分布比較</w: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default"/>
          <w:highlight w:val="none"/>
        </w:rPr>
      </w:pPr>
      <w:r>
        <w:rPr>
          <w:rFonts w:hint="eastAsia"/>
          <w:highlight w:val="none"/>
        </w:rPr>
        <mc:AlternateContent>
          <mc:Choice Requires="wps">
            <w:drawing>
              <wp:anchor distT="0" distB="0" distL="203200" distR="203200" simplePos="0" relativeHeight="16" behindDoc="0" locked="0" layoutInCell="1" hidden="0" allowOverlap="1">
                <wp:simplePos x="0" y="0"/>
                <wp:positionH relativeFrom="column">
                  <wp:posOffset>-2831465</wp:posOffset>
                </wp:positionH>
                <wp:positionV relativeFrom="paragraph">
                  <wp:posOffset>73025</wp:posOffset>
                </wp:positionV>
                <wp:extent cx="1120775" cy="325755"/>
                <wp:effectExtent l="0" t="0" r="635" b="635"/>
                <wp:wrapNone/>
                <wp:docPr id="1241" name="オブジェクト 0"/>
                <a:graphic xmlns:a="http://schemas.openxmlformats.org/drawingml/2006/main">
                  <a:graphicData uri="http://schemas.microsoft.com/office/word/2010/wordprocessingShape">
                    <wps:wsp>
                      <wps:cNvPr id="1241" name="オブジェクト 0"/>
                      <wps:cNvSpPr txBox="1">
                        <a:spLocks noChangeArrowheads="1"/>
                      </wps:cNvSpPr>
                      <wps:spPr>
                        <a:xfrm>
                          <a:off x="0" y="0"/>
                          <a:ext cx="1120775" cy="325755"/>
                        </a:xfrm>
                        <a:prstGeom prst="rect">
                          <a:avLst/>
                        </a:prstGeom>
                        <a:noFill/>
                        <a:ln cap="flat" cmpd="sng">
                          <a:prstDash val="solid"/>
                          <a:miter lim="800000"/>
                          <a:headEnd type="none" w="med" len="med"/>
                          <a:tailEnd type="none" w="med" len="med"/>
                        </a:ln>
                      </wps:spPr>
                      <wps:txbx>
                        <w:txbxContent>
                          <w:p>
                            <w:pPr>
                              <w:pStyle w:val="0"/>
                              <w:jc w:val="both"/>
                              <w:rPr>
                                <w:rFonts w:hint="eastAsia"/>
                              </w:rPr>
                            </w:pPr>
                            <w:r>
                              <w:rPr>
                                <w:rFonts w:hint="eastAsia" w:ascii="メイリオ" w:hAnsi="メイリオ" w:eastAsia="メイリオ"/>
                                <w:color w:val="FF0000"/>
                                <w:sz w:val="18"/>
                              </w:rPr>
                              <w:t>（図表</w:t>
                            </w:r>
                            <w:r>
                              <w:rPr>
                                <w:rFonts w:hint="eastAsia" w:ascii="メイリオ" w:hAnsi="メイリオ" w:eastAsia="メイリオ"/>
                                <w:color w:val="FF0000"/>
                                <w:sz w:val="18"/>
                              </w:rPr>
                              <w:t>4-1-12</w:t>
                            </w:r>
                            <w:r>
                              <w:rPr>
                                <w:rFonts w:hint="eastAsia" w:ascii="メイリオ" w:hAnsi="メイリオ" w:eastAsia="メイリオ"/>
                                <w:color w:val="FF0000"/>
                                <w:sz w:val="18"/>
                              </w:rPr>
                              <w:t>）</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75pt;mso-position-vertical-relative:text;mso-position-horizontal-relative:text;position:absolute;height:25.65pt;mso-wrap-distance-top:0pt;width:88.25pt;mso-wrap-distance-left:16pt;margin-left:-222.95pt;z-index:16;" o:spid="_x0000_s124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jc w:val="both"/>
                        <w:rPr>
                          <w:rFonts w:hint="eastAsia"/>
                        </w:rPr>
                      </w:pPr>
                      <w:r>
                        <w:rPr>
                          <w:rFonts w:hint="eastAsia" w:ascii="メイリオ" w:hAnsi="メイリオ" w:eastAsia="メイリオ"/>
                          <w:color w:val="FF0000"/>
                          <w:sz w:val="18"/>
                        </w:rPr>
                        <w:t>（図表</w:t>
                      </w:r>
                      <w:r>
                        <w:rPr>
                          <w:rFonts w:hint="eastAsia" w:ascii="メイリオ" w:hAnsi="メイリオ" w:eastAsia="メイリオ"/>
                          <w:color w:val="FF0000"/>
                          <w:sz w:val="18"/>
                        </w:rPr>
                        <w:t>4-1-12</w:t>
                      </w:r>
                      <w:r>
                        <w:rPr>
                          <w:rFonts w:hint="eastAsia" w:ascii="メイリオ" w:hAnsi="メイリオ" w:eastAsia="メイリオ"/>
                          <w:color w:val="FF0000"/>
                          <w:sz w:val="18"/>
                        </w:rPr>
                        <w:t>）</w:t>
                      </w:r>
                    </w:p>
                  </w:txbxContent>
                </v:textbox>
                <v:imagedata o:title=""/>
                <w10:wrap type="none" anchorx="text" anchory="text"/>
              </v:shape>
            </w:pict>
          </mc:Fallback>
        </mc:AlternateConten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年の調査によると、専門医の資格取得者は、小児科学会専門医</w:t>
      </w:r>
      <w:r>
        <w:rPr>
          <w:rFonts w:hint="eastAsia" w:ascii="ＭＳ 明朝" w:hAnsi="ＭＳ 明朝" w:eastAsia="ＭＳ 明朝"/>
          <w:color w:val="auto"/>
          <w:kern w:val="2"/>
          <w:sz w:val="22"/>
          <w:highlight w:val="none"/>
          <w:u w:val="none" w:color="auto"/>
        </w:rPr>
        <w:t>70</w:t>
      </w:r>
      <w:r>
        <w:rPr>
          <w:rFonts w:hint="eastAsia" w:ascii="ＭＳ 明朝" w:hAnsi="ＭＳ 明朝" w:eastAsia="ＭＳ 明朝"/>
          <w:color w:val="auto"/>
          <w:kern w:val="2"/>
          <w:sz w:val="22"/>
          <w:highlight w:val="none"/>
          <w:u w:val="none" w:color="auto"/>
        </w:rPr>
        <w:t>人、日本腎臓学会専門医３人、日本血液学会専門医２人、日本感染症学会専門医１人、日本アレルギー学会専門医４人、日本小児神経学会専門医７人、日本小児循環器学会専門医１人、日本小児科医会「子どもの心」相談医５人、日本新生児医学会専門医６</w:t>
      </w:r>
      <w:r>
        <w:rPr>
          <w:rFonts w:hint="eastAsia" w:ascii="ＭＳ 明朝" w:hAnsi="ＭＳ 明朝" w:eastAsia="ＭＳ 明朝"/>
          <w:kern w:val="2"/>
          <w:sz w:val="22"/>
          <w:highlight w:val="none"/>
        </w:rPr>
        <w:t>人などとなっており、広範な分野で専門的な治療が行われています。しかし、小児科専門医の多くは中央小児医療圏に集中しており、高度な治療ほど中央小児医療圏で受療しなくてはならない状況にあり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4-1-45</w:t>
      </w:r>
      <w:r>
        <w:rPr>
          <w:rFonts w:hint="eastAsia" w:ascii="ＭＳ ゴシック" w:hAnsi="ＭＳ ゴシック" w:eastAsia="ＭＳ ゴシック"/>
          <w:color w:val="auto"/>
          <w:sz w:val="22"/>
          <w:highlight w:val="none"/>
          <w:u w:val="none" w:color="FF0000"/>
        </w:rPr>
        <w:t>）認定医の小児医療圏別状況</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重複計上あり</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w:t>
      </w:r>
    </w:p>
    <w:tbl>
      <w:tblPr>
        <w:tblStyle w:val="11"/>
        <w:tblpPr w:leftFromText="0" w:rightFromText="0" w:topFromText="0" w:bottomFromText="0" w:vertAnchor="text" w:horzAnchor="margin" w:tblpX="907" w:tblpY="45"/>
        <w:tblOverlap w:val="never"/>
        <w:tblW w:w="7352" w:type="dxa"/>
        <w:tblLayout w:type="fixed"/>
        <w:tblCellMar>
          <w:left w:w="99" w:type="dxa"/>
          <w:right w:w="99" w:type="dxa"/>
        </w:tblCellMar>
        <w:tblLook w:firstRow="1" w:lastRow="0" w:firstColumn="1" w:lastColumn="0" w:noHBand="0" w:noVBand="1" w:val="04A0"/>
      </w:tblPr>
      <w:tblGrid>
        <w:gridCol w:w="4072"/>
        <w:gridCol w:w="820"/>
        <w:gridCol w:w="820"/>
        <w:gridCol w:w="820"/>
        <w:gridCol w:w="820"/>
      </w:tblGrid>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資　　格　　名</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安芸</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中央</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高幡</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幡多</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日本小児科学会専門医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4</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54</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3</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9</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日本腎臓学会専門医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2</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日本血液学会専門医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2</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日本感染症学会専門医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1</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日本アレルギー学会専門医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3</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日本小児神経学会専門医</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5</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日本小児循環器学会専門医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1</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日本小児科医会「子どもの心」相談医</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4</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r>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日本新生児医学会専門医</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ind w:firstLine="118" w:firstLineChars="50"/>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6</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bl>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r>
        <w:rPr>
          <w:rFonts w:hint="eastAsia" w:ascii="游明朝" w:hAnsi="游明朝"/>
          <w:color w:val="000000"/>
          <w:sz w:val="16"/>
          <w:highlight w:val="none"/>
        </w:rPr>
        <w:t>※上記小児科医師数で計上</w:t>
      </w:r>
      <w:r>
        <w:rPr>
          <w:rFonts w:hint="eastAsia" w:ascii="ＭＳ 明朝" w:hAnsi="ＭＳ 明朝" w:eastAsia="ＭＳ 明朝"/>
          <w:color w:val="000000"/>
          <w:sz w:val="16"/>
          <w:highlight w:val="none"/>
        </w:rPr>
        <w:t>した</w:t>
      </w:r>
      <w:r>
        <w:rPr>
          <w:rFonts w:hint="eastAsia" w:ascii="ＭＳ 明朝" w:hAnsi="ＭＳ 明朝" w:eastAsia="ＭＳ 明朝"/>
          <w:color w:val="000000"/>
          <w:sz w:val="16"/>
          <w:highlight w:val="none"/>
        </w:rPr>
        <w:t>106</w:t>
      </w:r>
      <w:r>
        <w:rPr>
          <w:rFonts w:hint="eastAsia" w:ascii="ＭＳ 明朝" w:hAnsi="ＭＳ 明朝" w:eastAsia="ＭＳ 明朝"/>
          <w:color w:val="000000"/>
          <w:sz w:val="16"/>
          <w:highlight w:val="none"/>
        </w:rPr>
        <w:t>名を対象</w:t>
      </w:r>
      <w:r>
        <w:rPr>
          <w:rFonts w:hint="eastAsia" w:ascii="游明朝" w:hAnsi="游明朝"/>
          <w:color w:val="000000"/>
          <w:sz w:val="16"/>
          <w:highlight w:val="none"/>
        </w:rPr>
        <w:t>に調査　　出典：平成</w:t>
      </w:r>
      <w:r>
        <w:rPr>
          <w:rFonts w:hint="eastAsia" w:ascii="ＭＳ 明朝" w:hAnsi="ＭＳ 明朝" w:eastAsia="ＭＳ 明朝"/>
          <w:color w:val="auto"/>
          <w:sz w:val="16"/>
          <w:highlight w:val="none"/>
          <w:u w:val="none" w:color="FF0000"/>
        </w:rPr>
        <w:t>30</w:t>
      </w:r>
      <w:r>
        <w:rPr>
          <w:rFonts w:hint="eastAsia" w:ascii="游明朝" w:hAnsi="游明朝"/>
          <w:color w:val="000000"/>
          <w:sz w:val="16"/>
          <w:highlight w:val="none"/>
        </w:rPr>
        <w:t>年高知県健康政策部調べ</w:t>
      </w: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また、少子化を背景に本県の年少（</w:t>
      </w:r>
      <w:r>
        <w:rPr>
          <w:rFonts w:hint="eastAsia" w:ascii="ＭＳ 明朝" w:hAnsi="ＭＳ 明朝" w:eastAsia="ＭＳ 明朝"/>
          <w:kern w:val="2"/>
          <w:sz w:val="22"/>
          <w:highlight w:val="none"/>
        </w:rPr>
        <w:t>15</w:t>
      </w:r>
      <w:r>
        <w:rPr>
          <w:rFonts w:hint="eastAsia" w:ascii="ＭＳ 明朝" w:hAnsi="ＭＳ 明朝" w:eastAsia="ＭＳ 明朝"/>
          <w:kern w:val="2"/>
          <w:sz w:val="22"/>
          <w:highlight w:val="none"/>
        </w:rPr>
        <w:t>歳未満）人口は減少傾向にあり、平成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年には約</w:t>
      </w:r>
      <w:r>
        <w:rPr>
          <w:rFonts w:hint="eastAsia" w:ascii="ＭＳ 明朝" w:hAnsi="ＭＳ 明朝" w:eastAsia="ＭＳ 明朝"/>
          <w:color w:val="auto"/>
          <w:kern w:val="2"/>
          <w:sz w:val="22"/>
          <w:highlight w:val="none"/>
          <w:u w:val="none" w:color="auto"/>
        </w:rPr>
        <w:t>82</w:t>
      </w:r>
      <w:r>
        <w:rPr>
          <w:rFonts w:hint="eastAsia" w:ascii="ＭＳ 明朝" w:hAnsi="ＭＳ 明朝" w:eastAsia="ＭＳ 明朝"/>
          <w:color w:val="auto"/>
          <w:kern w:val="2"/>
          <w:sz w:val="22"/>
          <w:highlight w:val="none"/>
          <w:u w:val="none" w:color="auto"/>
        </w:rPr>
        <w:t>千人と平成</w:t>
      </w:r>
      <w:r>
        <w:rPr>
          <w:rFonts w:hint="eastAsia" w:ascii="ＭＳ 明朝" w:hAnsi="ＭＳ 明朝" w:eastAsia="ＭＳ 明朝"/>
          <w:color w:val="auto"/>
          <w:kern w:val="2"/>
          <w:sz w:val="22"/>
          <w:highlight w:val="none"/>
          <w:u w:val="none" w:color="auto"/>
        </w:rPr>
        <w:t>20</w:t>
      </w:r>
      <w:r>
        <w:rPr>
          <w:rFonts w:hint="eastAsia" w:ascii="ＭＳ 明朝" w:hAnsi="ＭＳ 明朝" w:eastAsia="ＭＳ 明朝"/>
          <w:color w:val="auto"/>
          <w:kern w:val="2"/>
          <w:sz w:val="22"/>
          <w:highlight w:val="none"/>
          <w:u w:val="none" w:color="auto"/>
        </w:rPr>
        <w:t>年以降の</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年間で</w:t>
      </w:r>
      <w:r>
        <w:rPr>
          <w:rFonts w:hint="eastAsia" w:ascii="ＭＳ 明朝" w:hAnsi="ＭＳ 明朝" w:eastAsia="ＭＳ 明朝"/>
          <w:color w:val="auto"/>
          <w:kern w:val="2"/>
          <w:sz w:val="22"/>
          <w:highlight w:val="none"/>
          <w:u w:val="none" w:color="auto"/>
        </w:rPr>
        <w:t>15</w:t>
      </w:r>
      <w:r>
        <w:rPr>
          <w:rFonts w:hint="eastAsia" w:ascii="ＭＳ 明朝" w:hAnsi="ＭＳ 明朝" w:eastAsia="ＭＳ 明朝"/>
          <w:color w:val="auto"/>
          <w:kern w:val="2"/>
          <w:sz w:val="22"/>
          <w:highlight w:val="none"/>
          <w:u w:val="none" w:color="auto"/>
        </w:rPr>
        <w:t>千</w:t>
      </w:r>
      <w:r>
        <w:rPr>
          <w:rFonts w:hint="eastAsia" w:ascii="ＭＳ 明朝" w:hAnsi="ＭＳ 明朝" w:eastAsia="ＭＳ 明朝"/>
          <w:kern w:val="2"/>
          <w:sz w:val="22"/>
          <w:highlight w:val="none"/>
        </w:rPr>
        <w:t>人減少しています。</w:t>
      </w:r>
    </w:p>
    <w:p>
      <w:pPr>
        <w:pStyle w:val="0"/>
        <w:spacing w:line="240" w:lineRule="auto"/>
        <w:ind w:left="0" w:leftChars="0" w:right="0" w:rightChars="0" w:firstLine="0" w:firstLineChars="0"/>
        <w:jc w:val="both"/>
        <w:rPr>
          <w:rFonts w:hint="default"/>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4-1-46</w:t>
      </w:r>
      <w:r>
        <w:rPr>
          <w:rFonts w:hint="eastAsia" w:ascii="ＭＳ ゴシック" w:hAnsi="ＭＳ ゴシック" w:eastAsia="ＭＳ ゴシック"/>
          <w:color w:val="auto"/>
          <w:sz w:val="22"/>
          <w:highlight w:val="none"/>
          <w:u w:val="none" w:color="FF0000"/>
        </w:rPr>
        <w:t>）県内の小児人口及び小児科施設数、小児科医師数の推移</w:t>
      </w:r>
    </w:p>
    <w:p>
      <w:pPr>
        <w:pStyle w:val="0"/>
        <w:spacing w:line="240" w:lineRule="auto"/>
        <w:ind w:left="0" w:leftChars="0" w:right="0" w:rightChars="0" w:firstLine="0" w:firstLineChars="0"/>
        <w:jc w:val="both"/>
        <w:rPr>
          <w:rFonts w:hint="default"/>
          <w:highlight w:val="none"/>
        </w:rPr>
      </w:pPr>
      <w:r>
        <w:rPr>
          <w:rFonts w:hint="eastAsia"/>
          <w:highlight w:val="none"/>
        </w:rPr>
        <w:drawing>
          <wp:anchor distT="0" distB="0" distL="203200" distR="203200" simplePos="0" relativeHeight="3" behindDoc="1" locked="0" layoutInCell="1" hidden="0" allowOverlap="1">
            <wp:simplePos x="0" y="0"/>
            <wp:positionH relativeFrom="column">
              <wp:posOffset>124460</wp:posOffset>
            </wp:positionH>
            <wp:positionV relativeFrom="paragraph">
              <wp:posOffset>57785</wp:posOffset>
            </wp:positionV>
            <wp:extent cx="5759450" cy="2602865"/>
            <wp:effectExtent l="0" t="0" r="0" b="0"/>
            <wp:wrapNone/>
            <wp:docPr id="1242" name="オブジェクト 0"/>
            <a:graphic xmlns:a="http://schemas.openxmlformats.org/drawingml/2006/main">
              <a:graphicData uri="http://schemas.openxmlformats.org/drawingml/2006/picture">
                <pic:pic xmlns:pic="http://schemas.openxmlformats.org/drawingml/2006/picture">
                  <pic:nvPicPr>
                    <pic:cNvPr id="1242" name="オブジェクト 0"/>
                    <pic:cNvPicPr>
                      <a:picLocks noChangeAspect="1"/>
                    </pic:cNvPicPr>
                  </pic:nvPicPr>
                  <pic:blipFill>
                    <a:blip r:embed="rId48"/>
                    <a:stretch>
                      <a:fillRect/>
                    </a:stretch>
                  </pic:blipFill>
                  <pic:spPr>
                    <a:xfrm>
                      <a:off x="0" y="0"/>
                      <a:ext cx="5759450" cy="2602865"/>
                    </a:xfrm>
                    <a:prstGeom prst="rect">
                      <a:avLst/>
                    </a:prstGeom>
                    <a:noFill/>
                    <a:ln>
                      <a:miter/>
                    </a:ln>
                  </pic:spPr>
                </pic:pic>
              </a:graphicData>
            </a:graphic>
          </wp:anchor>
        </w:drawing>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rPr>
          <w:rFonts w:hint="eastAsia" w:ascii="ＭＳ 明朝" w:hAnsi="ＭＳ 明朝" w:eastAsia="ＭＳ 明朝"/>
          <w:b w:val="1"/>
          <w:kern w:val="2"/>
          <w:sz w:val="2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（２）小児科医師偏在指標、相対的小児科医師少数区域の状況</w:t>
      </w:r>
    </w:p>
    <w:p>
      <w:pPr>
        <w:pStyle w:val="0"/>
        <w:spacing w:line="240" w:lineRule="auto"/>
        <w:ind w:left="227" w:leftChars="100" w:right="0" w:rightChars="0" w:firstLine="227" w:firstLineChars="100"/>
        <w:jc w:val="both"/>
        <w:rPr>
          <w:rFonts w:hint="default"/>
          <w:highlight w:val="none"/>
        </w:rPr>
      </w:pPr>
      <w:r>
        <w:rPr>
          <w:rFonts w:hint="eastAsia" w:ascii="ＭＳ 明朝" w:hAnsi="ＭＳ 明朝" w:eastAsia="ＭＳ 明朝"/>
          <w:kern w:val="2"/>
          <w:sz w:val="22"/>
          <w:highlight w:val="none"/>
        </w:rPr>
        <w:t>「小児科医師偏在指標」は、人口</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万人対医師数をベースとしながら、分母に</w:t>
      </w:r>
      <w:r>
        <w:rPr>
          <w:rFonts w:hint="eastAsia" w:ascii="ＭＳ 明朝" w:hAnsi="ＭＳ 明朝" w:eastAsia="ＭＳ 明朝"/>
          <w:kern w:val="2"/>
          <w:sz w:val="22"/>
          <w:highlight w:val="none"/>
        </w:rPr>
        <w:t>15</w:t>
      </w:r>
      <w:r>
        <w:rPr>
          <w:rFonts w:hint="eastAsia" w:ascii="ＭＳ 明朝" w:hAnsi="ＭＳ 明朝" w:eastAsia="ＭＳ 明朝"/>
          <w:kern w:val="2"/>
          <w:sz w:val="22"/>
          <w:highlight w:val="none"/>
        </w:rPr>
        <w:t>歳未満の「年少人口」を、小児医療圏ごとの人口構成の違いや流出入の状況調整したものを使用し、医療需要を算定するとともに、分子に性別・年齢階級別の平均労働時間を使用した指標となっています。</w:t>
      </w:r>
    </w:p>
    <w:p>
      <w:pPr>
        <w:pStyle w:val="0"/>
        <w:spacing w:line="240" w:lineRule="auto"/>
        <w:ind w:left="227" w:leftChars="100" w:right="0" w:rightChars="0" w:firstLine="227" w:firstLineChars="100"/>
        <w:jc w:val="both"/>
        <w:rPr>
          <w:rFonts w:hint="default"/>
          <w:highlight w:val="none"/>
        </w:rPr>
      </w:pPr>
    </w:p>
    <w:p>
      <w:pPr>
        <w:pStyle w:val="0"/>
        <w:ind w:left="454" w:leftChars="200" w:right="0" w:rightChars="0" w:firstLineChars="0"/>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＜小児科医師偏在指標の算出方法＞</w:t>
      </w:r>
    </w:p>
    <w:p>
      <w:pPr>
        <w:pStyle w:val="0"/>
        <w:spacing w:line="240" w:lineRule="auto"/>
        <w:ind w:leftChars="0" w:right="0" w:rightChars="0" w:firstLineChars="0"/>
        <w:jc w:val="both"/>
        <w:rPr>
          <w:rFonts w:hint="eastAsia"/>
          <w:kern w:val="2"/>
          <w:highlight w:val="none"/>
        </w:rPr>
      </w:pPr>
      <w:r>
        <w:rPr>
          <w:rFonts w:hint="eastAsia"/>
          <w:highlight w:val="none"/>
        </w:rPr>
        <mc:AlternateContent>
          <mc:Choice Requires="wps">
            <w:drawing>
              <wp:anchor distT="0" distB="0" distL="203200" distR="203200" simplePos="0" relativeHeight="59" behindDoc="0" locked="0" layoutInCell="1" hidden="0" allowOverlap="1">
                <wp:simplePos x="0" y="0"/>
                <wp:positionH relativeFrom="column">
                  <wp:posOffset>75565</wp:posOffset>
                </wp:positionH>
                <wp:positionV relativeFrom="paragraph">
                  <wp:posOffset>55880</wp:posOffset>
                </wp:positionV>
                <wp:extent cx="6021070" cy="2480945"/>
                <wp:effectExtent l="635" t="635" r="29845" b="10795"/>
                <wp:wrapNone/>
                <wp:docPr id="1243" name="オブジェクト 0"/>
                <a:graphic xmlns:a="http://schemas.openxmlformats.org/drawingml/2006/main">
                  <a:graphicData uri="http://schemas.microsoft.com/office/word/2010/wordprocessingShape">
                    <wps:wsp>
                      <wps:cNvPr id="1243" name="オブジェクト 0"/>
                      <wps:cNvSpPr>
                        <a:spLocks noChangeArrowheads="1"/>
                      </wps:cNvSpPr>
                      <wps:spPr>
                        <a:xfrm>
                          <a:off x="0" y="0"/>
                          <a:ext cx="6021070" cy="2480945"/>
                        </a:xfrm>
                        <a:prstGeom prst="rect">
                          <a:avLst/>
                        </a:prstGeom>
                        <a:noFill/>
                        <a:ln w="9525" cap="flat" cmpd="sng">
                          <a:solidFill>
                            <a:srgbClr val="3366FF"/>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4.4000000000000004pt;mso-position-vertical-relative:text;mso-position-horizontal-relative:text;position:absolute;height:195.35pt;mso-wrap-distance-top:0pt;width:474.1pt;mso-wrap-distance-left:16pt;margin-left:5.95pt;z-index:59;" o:spid="_x0000_s1243" o:allowincell="t" o:allowoverlap="t" filled="f" stroked="t" strokecolor="#3366ff"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r>
        <w:rPr>
          <w:rFonts w:hint="eastAsia"/>
          <w:highlight w:val="none"/>
        </w:rPr>
        <mc:AlternateContent>
          <mc:Choice Requires="wpg">
            <w:drawing>
              <wp:anchor simplePos="0" relativeHeight="56" behindDoc="0" locked="0" layoutInCell="1" hidden="0" allowOverlap="1">
                <wp:simplePos x="0" y="0"/>
                <wp:positionH relativeFrom="column">
                  <wp:posOffset>1600835</wp:posOffset>
                </wp:positionH>
                <wp:positionV relativeFrom="paragraph">
                  <wp:posOffset>0</wp:posOffset>
                </wp:positionV>
                <wp:extent cx="4164965" cy="666750"/>
                <wp:effectExtent l="0" t="0" r="635" b="635"/>
                <wp:wrapNone/>
                <wp:docPr id="1244" name="オブジェクト 0"/>
                <a:graphic xmlns:a="http://schemas.openxmlformats.org/drawingml/2006/main">
                  <a:graphicData uri="http://schemas.microsoft.com/office/word/2010/wordprocessingGroup">
                    <wpg:wgp>
                      <wpg:cNvGrpSpPr/>
                      <wpg:grpSpPr>
                        <a:xfrm>
                          <a:off x="0" y="0"/>
                          <a:ext cx="4164965" cy="666750"/>
                          <a:chOff x="4194" y="12676"/>
                          <a:chExt cx="4066" cy="1050"/>
                        </a:xfrm>
                      </wpg:grpSpPr>
                      <wps:wsp>
                        <wps:cNvPr id="1245" name="オブジェクト 0"/>
                        <wps:cNvSpPr txBox="1"/>
                        <wps:spPr>
                          <a:xfrm>
                            <a:off x="4194" y="12676"/>
                            <a:ext cx="4066" cy="10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rPr>
                              </w:pPr>
                              <w:r>
                                <w:rPr>
                                  <w:rFonts w:hint="eastAsia" w:ascii="ＭＳ 明朝" w:hAnsi="ＭＳ 明朝" w:eastAsia="ＭＳ 明朝"/>
                                  <w:b w:val="1"/>
                                  <w:kern w:val="2"/>
                                  <w:sz w:val="22"/>
                                </w:rPr>
                                <w:t>標準化小児科医師数（※１）</w:t>
                              </w:r>
                            </w:p>
                            <w:p>
                              <w:pPr>
                                <w:pStyle w:val="0"/>
                                <w:spacing w:before="0" w:beforeLines="0" w:beforeAutospacing="0" w:after="0" w:afterLines="0" w:afterAutospacing="0"/>
                                <w:ind w:left="0" w:leftChars="0" w:firstLine="0" w:firstLineChars="0"/>
                                <w:jc w:val="center"/>
                                <w:rPr>
                                  <w:rFonts w:hint="eastAsia"/>
                                </w:rPr>
                              </w:pPr>
                              <w:r>
                                <w:rPr>
                                  <w:rFonts w:hint="eastAsia" w:ascii="ＭＳ 明朝" w:hAnsi="ＭＳ 明朝" w:eastAsia="ＭＳ 明朝"/>
                                  <w:b w:val="1"/>
                                  <w:kern w:val="2"/>
                                  <w:sz w:val="22"/>
                                </w:rPr>
                                <w:t>地域の年少人口（</w:t>
                              </w:r>
                              <w:r>
                                <w:rPr>
                                  <w:rFonts w:hint="eastAsia" w:ascii="ＭＳ 明朝" w:hAnsi="ＭＳ 明朝" w:eastAsia="ＭＳ 明朝"/>
                                  <w:b w:val="1"/>
                                  <w:kern w:val="2"/>
                                  <w:sz w:val="22"/>
                                </w:rPr>
                                <w:t>10</w:t>
                              </w:r>
                              <w:r>
                                <w:rPr>
                                  <w:rFonts w:hint="eastAsia" w:ascii="ＭＳ 明朝" w:hAnsi="ＭＳ 明朝" w:eastAsia="ＭＳ 明朝"/>
                                  <w:b w:val="1"/>
                                  <w:kern w:val="2"/>
                                  <w:sz w:val="22"/>
                                </w:rPr>
                                <w:t>万人）×地域の標準化受療率比（※２）</w:t>
                              </w:r>
                            </w:p>
                          </w:txbxContent>
                        </wps:txbx>
                        <wps:bodyPr vertOverflow="overflow" horzOverflow="overflow" wrap="square" anchor="ctr"/>
                      </wps:wsp>
                      <wps:wsp>
                        <wps:cNvPr id="1246" name="オブジェクト 0"/>
                        <wps:cNvSpPr/>
                        <wps:spPr>
                          <a:xfrm>
                            <a:off x="4243" y="13200"/>
                            <a:ext cx="3969"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0pt;mso-position-vertical-relative:text;mso-position-horizontal-relative:text;position:absolute;height:52.5pt;width:327.95pt;margin-left:126.05pt;z-index:56;" coordsize="4066,1050" coordorigin="4194,12676" o:spid="_x0000_s1244" o:allowincell="t" o:allowoverlap="t">
                <v:shapetype id="_x0000_t202" coordsize="21600,21600" o:spt="202" path="m,l,21600r21600,l21600,xe">
                  <v:stroke joinstyle="miter"/>
                  <v:path gradientshapeok="t" o:connecttype="rect"/>
                </v:shapetype>
                <v:shape id="オブジェクト 0" style="height:1050;width:4066;top:12676;left:4194;v-text-anchor:middle;position:absolute;" o:spid="_x0000_s1245" filled="t" fillcolor="#ffffff" stroked="f" strokeweight="0.5pt" o:spt="202" type="#_x0000_t202">
                  <v:fill/>
                  <v:stroke linestyle="single"/>
                  <v:textbox style="layout-flow:horizontal;">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rPr>
                        </w:pPr>
                        <w:r>
                          <w:rPr>
                            <w:rFonts w:hint="eastAsia" w:ascii="ＭＳ 明朝" w:hAnsi="ＭＳ 明朝" w:eastAsia="ＭＳ 明朝"/>
                            <w:b w:val="1"/>
                            <w:kern w:val="2"/>
                            <w:sz w:val="22"/>
                          </w:rPr>
                          <w:t>標準化小児科医師数（※１）</w:t>
                        </w:r>
                      </w:p>
                      <w:p>
                        <w:pPr>
                          <w:pStyle w:val="0"/>
                          <w:spacing w:before="0" w:beforeLines="0" w:beforeAutospacing="0" w:after="0" w:afterLines="0" w:afterAutospacing="0"/>
                          <w:ind w:left="0" w:leftChars="0" w:firstLine="0" w:firstLineChars="0"/>
                          <w:jc w:val="center"/>
                          <w:rPr>
                            <w:rFonts w:hint="eastAsia"/>
                          </w:rPr>
                        </w:pPr>
                        <w:r>
                          <w:rPr>
                            <w:rFonts w:hint="eastAsia" w:ascii="ＭＳ 明朝" w:hAnsi="ＭＳ 明朝" w:eastAsia="ＭＳ 明朝"/>
                            <w:b w:val="1"/>
                            <w:kern w:val="2"/>
                            <w:sz w:val="22"/>
                          </w:rPr>
                          <w:t>地域の年少人口（</w:t>
                        </w:r>
                        <w:r>
                          <w:rPr>
                            <w:rFonts w:hint="eastAsia" w:ascii="ＭＳ 明朝" w:hAnsi="ＭＳ 明朝" w:eastAsia="ＭＳ 明朝"/>
                            <w:b w:val="1"/>
                            <w:kern w:val="2"/>
                            <w:sz w:val="22"/>
                          </w:rPr>
                          <w:t>10</w:t>
                        </w:r>
                        <w:r>
                          <w:rPr>
                            <w:rFonts w:hint="eastAsia" w:ascii="ＭＳ 明朝" w:hAnsi="ＭＳ 明朝" w:eastAsia="ＭＳ 明朝"/>
                            <w:b w:val="1"/>
                            <w:kern w:val="2"/>
                            <w:sz w:val="22"/>
                          </w:rPr>
                          <w:t>万人）×地域の標準化受療率比（※２）</w:t>
                        </w:r>
                      </w:p>
                    </w:txbxContent>
                  </v:textbox>
                  <v:imagedata o:title=""/>
                  <w10:wrap type="none" anchorx="text" anchory="text"/>
                </v:shape>
                <v:line id="オブジェクト 0" style="height:0;width:3969;top:13200;left:4243;position:absolute;" o:spid="_x0000_s1246" filled="f" stroked="t" strokecolor="#000000" strokeweight="0.75pt" o:spt="20" from="4243,13200" to="8212,1320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p>
    <w:p>
      <w:pPr>
        <w:pStyle w:val="0"/>
        <w:spacing w:line="240" w:lineRule="auto"/>
        <w:ind w:left="0" w:leftChars="0" w:right="0" w:rightChars="0" w:firstLine="227" w:firstLineChars="100"/>
        <w:jc w:val="both"/>
        <w:rPr>
          <w:rFonts w:hint="eastAsia"/>
          <w:b w:val="1"/>
          <w:kern w:val="2"/>
          <w:highlight w:val="none"/>
          <w:u w:val="single" w:color="auto"/>
        </w:rPr>
      </w:pPr>
      <w:r>
        <w:rPr>
          <w:rFonts w:hint="eastAsia"/>
          <w:b w:val="1"/>
          <w:kern w:val="2"/>
          <w:highlight w:val="none"/>
          <w:u w:val="single" w:color="auto"/>
        </w:rPr>
        <w:t>小児科医師偏在指標</w:t>
      </w:r>
      <w:r>
        <w:rPr>
          <w:rFonts w:hint="eastAsia"/>
          <w:b w:val="0"/>
          <w:kern w:val="2"/>
          <w:highlight w:val="none"/>
          <w:u w:val="none" w:color="auto"/>
        </w:rPr>
        <w:t>＝</w:t>
      </w: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r>
        <w:rPr>
          <w:rFonts w:hint="eastAsia"/>
        </w:rPr>
        <mc:AlternateContent>
          <mc:Choice Requires="wpg">
            <w:drawing>
              <wp:anchor simplePos="0" relativeHeight="60" behindDoc="0" locked="0" layoutInCell="1" hidden="0" allowOverlap="1">
                <wp:simplePos x="0" y="0"/>
                <wp:positionH relativeFrom="column">
                  <wp:posOffset>3906520</wp:posOffset>
                </wp:positionH>
                <wp:positionV relativeFrom="paragraph">
                  <wp:posOffset>54610</wp:posOffset>
                </wp:positionV>
                <wp:extent cx="2224405" cy="555625"/>
                <wp:effectExtent l="0" t="0" r="635" b="635"/>
                <wp:wrapNone/>
                <wp:docPr id="1247" name="オブジェクト 0"/>
                <a:graphic xmlns:a="http://schemas.openxmlformats.org/drawingml/2006/main">
                  <a:graphicData uri="http://schemas.microsoft.com/office/word/2010/wordprocessingGroup">
                    <wpg:wgp>
                      <wpg:cNvGrpSpPr/>
                      <wpg:grpSpPr>
                        <a:xfrm>
                          <a:off x="0" y="0"/>
                          <a:ext cx="2224405" cy="555625"/>
                          <a:chOff x="5938" y="14018"/>
                          <a:chExt cx="3503" cy="875"/>
                        </a:xfrm>
                      </wpg:grpSpPr>
                      <wps:wsp>
                        <wps:cNvPr id="1248" name="オブジェクト 0"/>
                        <wps:cNvSpPr txBox="1">
                          <a:spLocks noChangeArrowheads="1"/>
                        </wps:cNvSpPr>
                        <wps:spPr>
                          <a:xfrm>
                            <a:off x="5938" y="14226"/>
                            <a:ext cx="414" cy="459"/>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rPr>
                                <w:t>×</w:t>
                              </w:r>
                            </w:p>
                          </w:txbxContent>
                        </wps:txbx>
                        <wps:bodyPr vertOverflow="overflow" horzOverflow="overflow" wrap="square" lIns="74295" tIns="8890" rIns="74295" bIns="8890" upright="1"/>
                      </wps:wsp>
                      <wpg:grpSp>
                        <wpg:cNvGrpSpPr/>
                        <wpg:grpSpPr>
                          <a:xfrm>
                            <a:off x="6277" y="14018"/>
                            <a:ext cx="3164" cy="875"/>
                            <a:chOff x="6273" y="14193"/>
                            <a:chExt cx="3164" cy="875"/>
                          </a:xfrm>
                        </wpg:grpSpPr>
                        <wps:wsp>
                          <wps:cNvPr id="1250"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27" w:leftChars="100" w:right="0" w:rightChars="0" w:firstLine="0" w:firstLineChars="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0" w:firstLineChars="0"/>
                                  <w:jc w:val="both"/>
                                  <w:rPr>
                                    <w:rFonts w:hint="eastAsia"/>
                                    <w:kern w:val="2"/>
                                    <w:sz w:val="20"/>
                                  </w:rPr>
                                </w:pPr>
                                <w:r>
                                  <w:rPr>
                                    <w:rFonts w:hint="eastAsia"/>
                                    <w:kern w:val="2"/>
                                    <w:sz w:val="20"/>
                                  </w:rPr>
                                  <w:t>全医師の平均労働時間</w:t>
                                </w:r>
                              </w:p>
                              <w:p>
                                <w:pPr>
                                  <w:pStyle w:val="0"/>
                                  <w:rPr>
                                    <w:rFonts w:hint="eastAsia"/>
                                  </w:rPr>
                                </w:pPr>
                              </w:p>
                            </w:txbxContent>
                          </wps:txbx>
                          <wps:bodyPr vertOverflow="overflow" horzOverflow="overflow" wrap="square" anchor="ctr"/>
                        </wps:wsp>
                        <wps:wsp>
                          <wps:cNvPr id="1251"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grpSp>
                    </wpg:wgp>
                  </a:graphicData>
                </a:graphic>
              </wp:anchor>
            </w:drawing>
          </mc:Choice>
          <mc:Fallback>
            <w:pict>
              <v:group id="オブジェクト 0" style="margin-top:4.3pt;mso-position-vertical-relative:text;mso-position-horizontal-relative:text;position:absolute;height:43.75pt;width:175.15pt;margin-left:307.60000000000002pt;z-index:60;" coordsize="3503,875" coordorigin="5938,14018" o:spid="_x0000_s1247" o:allowincell="t" o:allowoverlap="t">
                <v:shapetype id="_x0000_t202" coordsize="21600,21600" o:spt="202" path="m,l,21600r21600,l21600,xe">
                  <v:stroke joinstyle="miter"/>
                  <v:path gradientshapeok="t" o:connecttype="rect"/>
                </v:shapetype>
                <v:shape id="オブジェクト 0" style="height:459;width:414;top:14226;left:5938;position:absolute;" o:spid="_x0000_s1248"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rPr>
                          <w:t>×</w:t>
                        </w:r>
                      </w:p>
                    </w:txbxContent>
                  </v:textbox>
                  <v:imagedata o:title=""/>
                  <w10:wrap type="none" anchorx="text" anchory="text"/>
                </v:shape>
                <v:group id="_x0000_s1249" style="height:875;width:3164;top:14018;left:6277;position:absolute;" coordsize="3164,875" coordorigin="6273,14193">
                  <v:shape id="オブジェクト 0" style="height:875;width:3164;top:14193;left:6273;v-text-anchor:middle;position:absolute;" o:spid="_x0000_s1250" filled="f" stroked="f" strokeweight="0.5pt" o:spt="202" type="#_x0000_t202">
                    <v:fill/>
                    <v:stroke linestyle="single"/>
                    <v:textbox style="layout-flow:horizontal;">
                      <w:txbxContent>
                        <w:p>
                          <w:pPr>
                            <w:pStyle w:val="0"/>
                            <w:spacing w:line="240" w:lineRule="auto"/>
                            <w:ind w:left="227" w:leftChars="100" w:right="0" w:rightChars="0" w:firstLine="0" w:firstLineChars="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0" w:firstLineChars="0"/>
                            <w:jc w:val="both"/>
                            <w:rPr>
                              <w:rFonts w:hint="eastAsia"/>
                              <w:kern w:val="2"/>
                              <w:sz w:val="20"/>
                            </w:rPr>
                          </w:pPr>
                          <w:r>
                            <w:rPr>
                              <w:rFonts w:hint="eastAsia"/>
                              <w:kern w:val="2"/>
                              <w:sz w:val="20"/>
                            </w:rPr>
                            <w:t>全医師の平均労働時間</w:t>
                          </w:r>
                        </w:p>
                        <w:p>
                          <w:pPr>
                            <w:pStyle w:val="0"/>
                            <w:rPr>
                              <w:rFonts w:hint="eastAsia"/>
                            </w:rPr>
                          </w:pPr>
                        </w:p>
                      </w:txbxContent>
                    </v:textbox>
                    <v:imagedata o:title=""/>
                    <w10:wrap type="none" anchorx="text" anchory="text"/>
                  </v:shape>
                  <v:line id="オブジェクト 0" style="height:0;width:2835;top:14630;left:6438;position:absolute;" o:spid="_x0000_s1251"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10:wrap type="none" anchorx="text" anchory="text"/>
              </v:group>
            </w:pict>
          </mc:Fallback>
        </mc:AlternateContent>
      </w:r>
      <w:r>
        <w:rPr>
          <w:rFonts w:hint="eastAsia"/>
        </w:rPr>
        <mc:AlternateContent>
          <mc:Choice Requires="wps">
            <w:drawing>
              <wp:anchor distT="0" distB="0" distL="203200" distR="203200" simplePos="0" relativeHeight="94" behindDoc="0" locked="0" layoutInCell="1" hidden="0" allowOverlap="1">
                <wp:simplePos x="0" y="0"/>
                <wp:positionH relativeFrom="column">
                  <wp:posOffset>2305685</wp:posOffset>
                </wp:positionH>
                <wp:positionV relativeFrom="paragraph">
                  <wp:posOffset>171450</wp:posOffset>
                </wp:positionV>
                <wp:extent cx="3755390" cy="314325"/>
                <wp:effectExtent l="635" t="635" r="29845" b="10795"/>
                <wp:wrapNone/>
                <wp:docPr id="1252" name="オブジェクト 0"/>
                <a:graphic xmlns:a="http://schemas.openxmlformats.org/drawingml/2006/main">
                  <a:graphicData uri="http://schemas.microsoft.com/office/word/2010/wordprocessingShape">
                    <wps:wsp>
                      <wps:cNvPr id="1252" name="オブジェクト 0"/>
                      <wps:cNvSpPr/>
                      <wps:spPr>
                        <a:xfrm>
                          <a:off x="0" y="0"/>
                          <a:ext cx="3755390" cy="314325"/>
                        </a:xfrm>
                        <a:prstGeom prst="bracketPair">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13.5pt;mso-position-vertical-relative:text;mso-position-horizontal-relative:text;position:absolute;height:24.75pt;mso-wrap-distance-top:0pt;width:295.7pt;mso-wrap-distance-left:16pt;margin-left:181.55pt;z-index:94;" o:spid="_x0000_s1252" o:allowincell="t" o:allowoverlap="t" filled="f" stroked="t" strokecolor="#000000 [3213]" strokeweight="0.5pt" o:spt="185" type="#_x0000_t185" adj="3600">
                <v:fill/>
                <v:stroke linestyle="single" miterlimit="8" endcap="flat" dashstyle="solid" filltype="solid"/>
                <v:textbox style="layout-flow:horizontal;"/>
                <v:imagedata o:title=""/>
                <w10:wrap type="none" anchorx="text" anchory="text"/>
              </v:shape>
            </w:pict>
          </mc:Fallback>
        </mc:AlternateContent>
      </w:r>
    </w:p>
    <w:p>
      <w:pPr>
        <w:pStyle w:val="0"/>
        <w:spacing w:line="240" w:lineRule="auto"/>
        <w:ind w:left="0" w:leftChars="0" w:right="0" w:rightChars="0" w:firstLine="207" w:firstLineChars="100"/>
        <w:jc w:val="both"/>
        <w:rPr>
          <w:rFonts w:hint="eastAsia"/>
          <w:kern w:val="2"/>
          <w:sz w:val="20"/>
          <w:highlight w:val="none"/>
        </w:rPr>
      </w:pPr>
      <w:r>
        <w:rPr>
          <w:rFonts w:hint="eastAsia"/>
          <w:kern w:val="2"/>
          <w:sz w:val="20"/>
          <w:highlight w:val="none"/>
        </w:rPr>
        <w:t>（※１）標準化小児科医師数＝　Σ　性年齢階級別</w:t>
      </w:r>
      <w:r>
        <w:rPr>
          <w:rFonts w:hint="eastAsia"/>
          <w:color w:val="auto"/>
          <w:kern w:val="2"/>
          <w:sz w:val="20"/>
          <w:highlight w:val="none"/>
          <w:u w:val="none" w:color="FF0000"/>
        </w:rPr>
        <w:t>小児科</w:t>
      </w:r>
      <w:r>
        <w:rPr>
          <w:rFonts w:hint="eastAsia"/>
          <w:kern w:val="2"/>
          <w:sz w:val="20"/>
          <w:highlight w:val="none"/>
        </w:rPr>
        <w:t>医師数</w:t>
      </w:r>
    </w:p>
    <w:p>
      <w:pPr>
        <w:pStyle w:val="0"/>
        <w:spacing w:line="240" w:lineRule="auto"/>
        <w:ind w:leftChars="0" w:right="0" w:rightChars="0" w:firstLineChars="0"/>
        <w:jc w:val="both"/>
        <w:rPr>
          <w:rFonts w:hint="eastAsia"/>
          <w:kern w:val="2"/>
          <w:highlight w:val="none"/>
        </w:rPr>
      </w:pPr>
      <w:r>
        <w:rPr>
          <w:rFonts w:hint="eastAsia"/>
          <w:highlight w:val="none"/>
        </w:rPr>
        <mc:AlternateContent>
          <mc:Choice Requires="wpg">
            <w:drawing>
              <wp:anchor simplePos="0" relativeHeight="65" behindDoc="0" locked="0" layoutInCell="1" hidden="0" allowOverlap="1">
                <wp:simplePos x="0" y="0"/>
                <wp:positionH relativeFrom="column">
                  <wp:posOffset>2181225</wp:posOffset>
                </wp:positionH>
                <wp:positionV relativeFrom="paragraph">
                  <wp:posOffset>54610</wp:posOffset>
                </wp:positionV>
                <wp:extent cx="2009140" cy="555625"/>
                <wp:effectExtent l="0" t="0" r="635" b="635"/>
                <wp:wrapNone/>
                <wp:docPr id="1253" name="オブジェクト 0"/>
                <a:graphic xmlns:a="http://schemas.openxmlformats.org/drawingml/2006/main">
                  <a:graphicData uri="http://schemas.microsoft.com/office/word/2010/wordprocessingGroup">
                    <wpg:wgp>
                      <wpg:cNvGrpSpPr/>
                      <wpg:grpSpPr>
                        <a:xfrm>
                          <a:off x="0" y="0"/>
                          <a:ext cx="2009140" cy="555625"/>
                          <a:chOff x="6273" y="14193"/>
                          <a:chExt cx="3164" cy="875"/>
                        </a:xfrm>
                      </wpg:grpSpPr>
                      <wps:wsp>
                        <wps:cNvPr id="1254"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5" w:leftChars="11" w:right="0" w:rightChars="0" w:firstLineChars="0"/>
                                <w:jc w:val="center"/>
                                <w:rPr>
                                  <w:rFonts w:hint="eastAsia"/>
                                  <w:kern w:val="2"/>
                                  <w:sz w:val="20"/>
                                </w:rPr>
                              </w:pPr>
                              <w:r>
                                <w:rPr>
                                  <w:rFonts w:hint="eastAsia"/>
                                  <w:kern w:val="2"/>
                                  <w:sz w:val="20"/>
                                </w:rPr>
                                <w:t>地域の期待受療率（※３）</w:t>
                              </w:r>
                            </w:p>
                            <w:p>
                              <w:pPr>
                                <w:pStyle w:val="0"/>
                                <w:spacing w:line="240" w:lineRule="auto"/>
                                <w:ind w:left="25" w:leftChars="11" w:right="0" w:rightChars="0" w:firstLineChars="0"/>
                                <w:jc w:val="center"/>
                                <w:rPr>
                                  <w:rFonts w:hint="eastAsia"/>
                                </w:rPr>
                              </w:pPr>
                              <w:r>
                                <w:rPr>
                                  <w:rFonts w:hint="eastAsia"/>
                                  <w:kern w:val="2"/>
                                  <w:sz w:val="20"/>
                                </w:rPr>
                                <w:t>全国の期待受療率</w:t>
                              </w:r>
                            </w:p>
                          </w:txbxContent>
                        </wps:txbx>
                        <wps:bodyPr vertOverflow="overflow" horzOverflow="overflow" wrap="square" anchor="ctr"/>
                      </wps:wsp>
                      <wps:wsp>
                        <wps:cNvPr id="1255"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4.3pt;mso-position-vertical-relative:text;mso-position-horizontal-relative:text;position:absolute;height:43.75pt;width:158.19pt;margin-left:171.75pt;z-index:65;" coordsize="3164,875" coordorigin="6273,14193" o:spid="_x0000_s1253" o:allowincell="t" o:allowoverlap="t">
                <v:shapetype id="_x0000_t202" coordsize="21600,21600" o:spt="202" path="m,l,21600r21600,l21600,xe">
                  <v:stroke joinstyle="miter"/>
                  <v:path gradientshapeok="t" o:connecttype="rect"/>
                </v:shapetype>
                <v:shape id="オブジェクト 0" style="height:875;width:3164;top:14193;left:6273;v-text-anchor:middle;position:absolute;" o:spid="_x0000_s1254" filled="f" stroked="f" strokeweight="0.5pt" o:spt="202" type="#_x0000_t202">
                  <v:fill/>
                  <v:stroke linestyle="single"/>
                  <v:textbox style="layout-flow:horizontal;">
                    <w:txbxContent>
                      <w:p>
                        <w:pPr>
                          <w:pStyle w:val="0"/>
                          <w:spacing w:line="240" w:lineRule="auto"/>
                          <w:ind w:left="25" w:leftChars="11" w:right="0" w:rightChars="0" w:firstLineChars="0"/>
                          <w:jc w:val="center"/>
                          <w:rPr>
                            <w:rFonts w:hint="eastAsia"/>
                            <w:kern w:val="2"/>
                            <w:sz w:val="20"/>
                          </w:rPr>
                        </w:pPr>
                        <w:r>
                          <w:rPr>
                            <w:rFonts w:hint="eastAsia"/>
                            <w:kern w:val="2"/>
                            <w:sz w:val="20"/>
                          </w:rPr>
                          <w:t>地域の期待受療率（※３）</w:t>
                        </w:r>
                      </w:p>
                      <w:p>
                        <w:pPr>
                          <w:pStyle w:val="0"/>
                          <w:spacing w:line="240" w:lineRule="auto"/>
                          <w:ind w:left="25" w:leftChars="11" w:right="0" w:rightChars="0" w:firstLineChars="0"/>
                          <w:jc w:val="center"/>
                          <w:rPr>
                            <w:rFonts w:hint="eastAsia"/>
                          </w:rPr>
                        </w:pPr>
                        <w:r>
                          <w:rPr>
                            <w:rFonts w:hint="eastAsia"/>
                            <w:kern w:val="2"/>
                            <w:sz w:val="20"/>
                          </w:rPr>
                          <w:t>全国の期待受療率</w:t>
                        </w:r>
                      </w:p>
                    </w:txbxContent>
                  </v:textbox>
                  <v:imagedata o:title=""/>
                  <w10:wrap type="none" anchorx="text" anchory="text"/>
                </v:shape>
                <v:line id="オブジェクト 0" style="height:0;width:2835;top:14630;left:6438;position:absolute;" o:spid="_x0000_s1255"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p>
    <w:p>
      <w:pPr>
        <w:pStyle w:val="0"/>
        <w:spacing w:line="240" w:lineRule="auto"/>
        <w:ind w:left="0" w:leftChars="0" w:right="0" w:rightChars="0" w:firstLine="207" w:firstLineChars="100"/>
        <w:jc w:val="both"/>
        <w:rPr>
          <w:rFonts w:hint="eastAsia"/>
          <w:kern w:val="2"/>
          <w:sz w:val="20"/>
          <w:highlight w:val="none"/>
        </w:rPr>
      </w:pPr>
      <w:r>
        <w:rPr>
          <w:rFonts w:hint="eastAsia"/>
          <w:kern w:val="2"/>
          <w:sz w:val="20"/>
          <w:highlight w:val="none"/>
        </w:rPr>
        <w:t>（※２）地域の標準化受療率比＝</w:t>
      </w:r>
    </w:p>
    <w:p>
      <w:pPr>
        <w:pStyle w:val="0"/>
        <w:spacing w:line="240" w:lineRule="auto"/>
        <w:ind w:leftChars="0" w:right="0" w:rightChars="0" w:firstLineChars="0"/>
        <w:jc w:val="both"/>
        <w:rPr>
          <w:rFonts w:hint="eastAsia"/>
          <w:kern w:val="2"/>
          <w:highlight w:val="none"/>
        </w:rPr>
      </w:pPr>
    </w:p>
    <w:p>
      <w:pPr>
        <w:pStyle w:val="0"/>
        <w:spacing w:line="240" w:lineRule="auto"/>
        <w:ind w:left="0" w:leftChars="0" w:right="0" w:rightChars="0" w:firstLine="227" w:firstLineChars="100"/>
        <w:jc w:val="both"/>
        <w:rPr>
          <w:rFonts w:hint="eastAsia"/>
          <w:kern w:val="2"/>
          <w:sz w:val="20"/>
          <w:highlight w:val="none"/>
        </w:rPr>
      </w:pPr>
      <w:r>
        <w:rPr>
          <w:rFonts w:hint="eastAsia"/>
          <w:highlight w:val="none"/>
        </w:rPr>
        <mc:AlternateContent>
          <mc:Choice Requires="wpg">
            <w:drawing>
              <wp:anchor simplePos="0" relativeHeight="68" behindDoc="0" locked="0" layoutInCell="1" hidden="0" allowOverlap="1">
                <wp:simplePos x="0" y="0"/>
                <wp:positionH relativeFrom="column">
                  <wp:posOffset>1651000</wp:posOffset>
                </wp:positionH>
                <wp:positionV relativeFrom="paragraph">
                  <wp:posOffset>184150</wp:posOffset>
                </wp:positionV>
                <wp:extent cx="4161790" cy="555625"/>
                <wp:effectExtent l="0" t="0" r="635" b="635"/>
                <wp:wrapNone/>
                <wp:docPr id="1256" name="オブジェクト 0"/>
                <a:graphic xmlns:a="http://schemas.openxmlformats.org/drawingml/2006/main">
                  <a:graphicData uri="http://schemas.microsoft.com/office/word/2010/wordprocessingGroup">
                    <wpg:wgp>
                      <wpg:cNvGrpSpPr/>
                      <wpg:grpSpPr>
                        <a:xfrm>
                          <a:off x="0" y="0"/>
                          <a:ext cx="4161790" cy="555625"/>
                          <a:chOff x="6273" y="14193"/>
                          <a:chExt cx="3164" cy="875"/>
                        </a:xfrm>
                      </wpg:grpSpPr>
                      <wps:wsp>
                        <wps:cNvPr id="1257"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5" w:leftChars="11" w:right="0" w:rightChars="0" w:firstLineChars="0"/>
                                <w:jc w:val="center"/>
                                <w:rPr>
                                  <w:rFonts w:hint="eastAsia"/>
                                  <w:kern w:val="2"/>
                                  <w:sz w:val="20"/>
                                  <w:highlight w:val="none"/>
                                </w:rPr>
                              </w:pPr>
                              <w:r>
                                <w:rPr>
                                  <w:rFonts w:hint="eastAsia"/>
                                  <w:kern w:val="2"/>
                                  <w:sz w:val="20"/>
                                  <w:highlight w:val="none"/>
                                </w:rPr>
                                <w:t>Σ</w:t>
                              </w:r>
                              <w:r>
                                <w:rPr>
                                  <w:rFonts w:hint="eastAsia"/>
                                  <w:kern w:val="2"/>
                                  <w:sz w:val="20"/>
                                  <w:highlight w:val="none"/>
                                </w:rPr>
                                <w:t>(</w:t>
                              </w:r>
                              <w:r>
                                <w:rPr>
                                  <w:rFonts w:hint="eastAsia"/>
                                  <w:kern w:val="2"/>
                                  <w:sz w:val="20"/>
                                  <w:highlight w:val="none"/>
                                </w:rPr>
                                <w:t>全国の性年齢階級別調整受療率×地域の性年齢階級別</w:t>
                              </w:r>
                              <w:r>
                                <w:rPr>
                                  <w:rFonts w:hint="eastAsia"/>
                                  <w:color w:val="auto"/>
                                  <w:kern w:val="2"/>
                                  <w:sz w:val="20"/>
                                  <w:highlight w:val="none"/>
                                </w:rPr>
                                <w:t>年少</w:t>
                              </w:r>
                              <w:r>
                                <w:rPr>
                                  <w:rFonts w:hint="eastAsia"/>
                                  <w:kern w:val="2"/>
                                  <w:sz w:val="20"/>
                                  <w:highlight w:val="none"/>
                                </w:rPr>
                                <w:t>人口</w:t>
                              </w:r>
                              <w:r>
                                <w:rPr>
                                  <w:rFonts w:hint="eastAsia"/>
                                  <w:kern w:val="2"/>
                                  <w:sz w:val="20"/>
                                  <w:highlight w:val="none"/>
                                </w:rPr>
                                <w:t>)</w:t>
                              </w:r>
                            </w:p>
                            <w:p>
                              <w:pPr>
                                <w:pStyle w:val="0"/>
                                <w:spacing w:line="240" w:lineRule="auto"/>
                                <w:ind w:left="25" w:leftChars="11" w:right="0" w:rightChars="0" w:firstLineChars="0"/>
                                <w:jc w:val="center"/>
                                <w:rPr>
                                  <w:rFonts w:hint="eastAsia"/>
                                  <w:highlight w:val="none"/>
                                </w:rPr>
                              </w:pPr>
                              <w:r>
                                <w:rPr>
                                  <w:rFonts w:hint="eastAsia"/>
                                  <w:kern w:val="2"/>
                                  <w:sz w:val="20"/>
                                  <w:highlight w:val="none"/>
                                </w:rPr>
                                <w:t>地域の年少人口</w:t>
                              </w:r>
                            </w:p>
                          </w:txbxContent>
                        </wps:txbx>
                        <wps:bodyPr vertOverflow="overflow" horzOverflow="overflow" wrap="square" anchor="ctr"/>
                      </wps:wsp>
                      <wps:wsp>
                        <wps:cNvPr id="1258"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14.5pt;mso-position-vertical-relative:text;mso-position-horizontal-relative:text;position:absolute;height:43.75pt;width:327.7pt;margin-left:130pt;z-index:68;" coordsize="3164,875" coordorigin="6273,14193" o:spid="_x0000_s1256" o:allowincell="t" o:allowoverlap="t">
                <v:shapetype id="_x0000_t202" coordsize="21600,21600" o:spt="202" path="m,l,21600r21600,l21600,xe">
                  <v:stroke joinstyle="miter"/>
                  <v:path gradientshapeok="t" o:connecttype="rect"/>
                </v:shapetype>
                <v:shape id="オブジェクト 0" style="height:875;width:3164;top:14193;left:6273;v-text-anchor:middle;position:absolute;" o:spid="_x0000_s1257" filled="f" stroked="f" strokeweight="0.5pt" o:spt="202" type="#_x0000_t202">
                  <v:fill/>
                  <v:stroke linestyle="single"/>
                  <v:textbox style="layout-flow:horizontal;">
                    <w:txbxContent>
                      <w:p>
                        <w:pPr>
                          <w:pStyle w:val="0"/>
                          <w:spacing w:line="240" w:lineRule="auto"/>
                          <w:ind w:left="25" w:leftChars="11" w:right="0" w:rightChars="0" w:firstLineChars="0"/>
                          <w:jc w:val="center"/>
                          <w:rPr>
                            <w:rFonts w:hint="eastAsia"/>
                            <w:kern w:val="2"/>
                            <w:sz w:val="20"/>
                            <w:highlight w:val="none"/>
                          </w:rPr>
                        </w:pPr>
                        <w:r>
                          <w:rPr>
                            <w:rFonts w:hint="eastAsia"/>
                            <w:kern w:val="2"/>
                            <w:sz w:val="20"/>
                            <w:highlight w:val="none"/>
                          </w:rPr>
                          <w:t>Σ</w:t>
                        </w:r>
                        <w:r>
                          <w:rPr>
                            <w:rFonts w:hint="eastAsia"/>
                            <w:kern w:val="2"/>
                            <w:sz w:val="20"/>
                            <w:highlight w:val="none"/>
                          </w:rPr>
                          <w:t>(</w:t>
                        </w:r>
                        <w:r>
                          <w:rPr>
                            <w:rFonts w:hint="eastAsia"/>
                            <w:kern w:val="2"/>
                            <w:sz w:val="20"/>
                            <w:highlight w:val="none"/>
                          </w:rPr>
                          <w:t>全国の性年齢階級別調整受療率×地域の性年齢階級別</w:t>
                        </w:r>
                        <w:r>
                          <w:rPr>
                            <w:rFonts w:hint="eastAsia"/>
                            <w:color w:val="auto"/>
                            <w:kern w:val="2"/>
                            <w:sz w:val="20"/>
                            <w:highlight w:val="none"/>
                          </w:rPr>
                          <w:t>年少</w:t>
                        </w:r>
                        <w:r>
                          <w:rPr>
                            <w:rFonts w:hint="eastAsia"/>
                            <w:kern w:val="2"/>
                            <w:sz w:val="20"/>
                            <w:highlight w:val="none"/>
                          </w:rPr>
                          <w:t>人口</w:t>
                        </w:r>
                        <w:r>
                          <w:rPr>
                            <w:rFonts w:hint="eastAsia"/>
                            <w:kern w:val="2"/>
                            <w:sz w:val="20"/>
                            <w:highlight w:val="none"/>
                          </w:rPr>
                          <w:t>)</w:t>
                        </w:r>
                      </w:p>
                      <w:p>
                        <w:pPr>
                          <w:pStyle w:val="0"/>
                          <w:spacing w:line="240" w:lineRule="auto"/>
                          <w:ind w:left="25" w:leftChars="11" w:right="0" w:rightChars="0" w:firstLineChars="0"/>
                          <w:jc w:val="center"/>
                          <w:rPr>
                            <w:rFonts w:hint="eastAsia"/>
                            <w:highlight w:val="none"/>
                          </w:rPr>
                        </w:pPr>
                        <w:r>
                          <w:rPr>
                            <w:rFonts w:hint="eastAsia"/>
                            <w:kern w:val="2"/>
                            <w:sz w:val="20"/>
                            <w:highlight w:val="none"/>
                          </w:rPr>
                          <w:t>地域の年少人口</w:t>
                        </w:r>
                      </w:p>
                    </w:txbxContent>
                  </v:textbox>
                  <v:imagedata o:title=""/>
                  <w10:wrap type="none" anchorx="text" anchory="text"/>
                </v:shape>
                <v:line id="オブジェクト 0" style="height:0;width:2835;top:14630;left:6438;position:absolute;" o:spid="_x0000_s1258"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r>
        <w:rPr>
          <w:rFonts w:hint="eastAsia"/>
          <w:kern w:val="2"/>
          <w:sz w:val="20"/>
          <w:highlight w:val="none"/>
        </w:rPr>
        <w:t>（※３）地域の期待受療率＝</w:t>
      </w:r>
    </w:p>
    <w:p>
      <w:pPr>
        <w:pStyle w:val="0"/>
        <w:spacing w:line="240" w:lineRule="auto"/>
        <w:ind w:leftChars="0" w:right="0" w:rightChars="0" w:firstLineChars="0"/>
        <w:jc w:val="both"/>
        <w:rPr>
          <w:rFonts w:hint="eastAsia"/>
          <w:kern w:val="2"/>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小児科は、相対的に小児科医師が少数でない小児医療圏においても不足している可能性や小児医療圏を越えた地域間の連携が進められてきており、小児科医師多数県・多数区域を設けると追加確保ができないという誤解を招く恐れがあるため、小児科医師多数都道府県や小児科医師多数区域は設けないこととされ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本県は、県全体では相対的小児科医師少数県に該当せず、また、</w:t>
      </w:r>
      <w:r>
        <w:rPr>
          <w:rFonts w:hint="eastAsia" w:ascii="ＭＳ 明朝" w:hAnsi="ＭＳ 明朝" w:eastAsia="ＭＳ 明朝"/>
          <w:kern w:val="2"/>
          <w:sz w:val="22"/>
          <w:highlight w:val="none"/>
        </w:rPr>
        <w:t>4</w:t>
      </w:r>
      <w:r>
        <w:rPr>
          <w:rFonts w:hint="eastAsia" w:ascii="ＭＳ 明朝" w:hAnsi="ＭＳ 明朝" w:eastAsia="ＭＳ 明朝"/>
          <w:kern w:val="2"/>
          <w:sz w:val="22"/>
          <w:highlight w:val="none"/>
        </w:rPr>
        <w:t>つの小児医療圏も全て相対的小児科医師少数区域に該当しません。</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しかしながら、医師偏在指標は、全国一律の基準で機械的に算出されたものであり、本県のように県土が広く東西が長いうえに中山間地域が多いなどの地理的な要因やそれに伴う医療機関へのアクセス性等が考慮されておらず、この数値をもって本県の小児科医師数が充足していると評価することは困難で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tbl>
      <w:tblPr>
        <w:tblStyle w:val="11"/>
        <w:tblpPr w:leftFromText="0" w:rightFromText="0" w:topFromText="0" w:bottomFromText="0" w:vertAnchor="text" w:horzAnchor="margin" w:tblpXSpec="center" w:tblpY="322"/>
        <w:tblOverlap w:val="never"/>
        <w:tblW w:w="72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087"/>
        <w:gridCol w:w="995"/>
        <w:gridCol w:w="995"/>
        <w:gridCol w:w="995"/>
        <w:gridCol w:w="997"/>
        <w:gridCol w:w="2163"/>
      </w:tblGrid>
      <w:tr>
        <w:trPr>
          <w:trHeight w:val="775" w:hRule="atLeast"/>
        </w:trPr>
        <w:tc>
          <w:tcPr>
            <w:tcW w:w="1087"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小児医療圏</w:t>
            </w:r>
          </w:p>
        </w:tc>
        <w:tc>
          <w:tcPr>
            <w:tcW w:w="995"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医師偏在</w:t>
            </w:r>
            <w:r>
              <w:rPr>
                <w:rFonts w:hint="default" w:ascii="ＭＳ 明朝" w:hAnsi="ＭＳ 明朝" w:eastAsia="ＭＳ 明朝"/>
                <w:b w:val="0"/>
                <w:i w:val="0"/>
                <w:smallCaps w:val="0"/>
                <w:color w:val="000000"/>
                <w:sz w:val="20"/>
              </w:rPr>
              <w:br w:type="textWrapping" w:clear="none"/>
            </w:r>
            <w:r>
              <w:rPr>
                <w:rFonts w:hint="default" w:ascii="ＭＳ 明朝" w:hAnsi="ＭＳ 明朝" w:eastAsia="ＭＳ 明朝"/>
                <w:b w:val="0"/>
                <w:i w:val="0"/>
                <w:smallCaps w:val="0"/>
                <w:color w:val="000000"/>
                <w:sz w:val="20"/>
              </w:rPr>
              <w:t>指標</w:t>
            </w:r>
          </w:p>
        </w:tc>
        <w:tc>
          <w:tcPr>
            <w:tcW w:w="995"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全国順位</w:t>
            </w:r>
          </w:p>
        </w:tc>
        <w:tc>
          <w:tcPr>
            <w:tcW w:w="995"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相対的</w:t>
            </w:r>
            <w:r>
              <w:rPr>
                <w:rFonts w:hint="default" w:ascii="ＭＳ 明朝" w:hAnsi="ＭＳ 明朝" w:eastAsia="ＭＳ 明朝"/>
                <w:b w:val="0"/>
                <w:i w:val="0"/>
                <w:smallCaps w:val="0"/>
                <w:color w:val="000000"/>
                <w:sz w:val="20"/>
              </w:rPr>
              <w:br w:type="textWrapping" w:clear="none"/>
            </w:r>
            <w:r>
              <w:rPr>
                <w:rFonts w:hint="default" w:ascii="ＭＳ 明朝" w:hAnsi="ＭＳ 明朝" w:eastAsia="ＭＳ 明朝"/>
                <w:b w:val="0"/>
                <w:i w:val="0"/>
                <w:smallCaps w:val="0"/>
                <w:color w:val="000000"/>
                <w:sz w:val="20"/>
              </w:rPr>
              <w:t>医師少数</w:t>
            </w:r>
          </w:p>
        </w:tc>
        <w:tc>
          <w:tcPr>
            <w:tcW w:w="997"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R2</w:t>
            </w:r>
            <w:r>
              <w:rPr>
                <w:rFonts w:hint="default" w:ascii="ＭＳ 明朝" w:hAnsi="ＭＳ 明朝" w:eastAsia="ＭＳ 明朝"/>
                <w:b w:val="0"/>
                <w:i w:val="0"/>
                <w:smallCaps w:val="0"/>
                <w:color w:val="000000"/>
                <w:sz w:val="20"/>
              </w:rPr>
              <w:t>年</w:t>
            </w:r>
            <w:r>
              <w:rPr>
                <w:rFonts w:hint="default" w:ascii="ＭＳ 明朝" w:hAnsi="ＭＳ 明朝" w:eastAsia="ＭＳ 明朝"/>
                <w:b w:val="0"/>
                <w:i w:val="0"/>
                <w:smallCaps w:val="0"/>
                <w:color w:val="000000"/>
                <w:sz w:val="20"/>
              </w:rPr>
              <w:br w:type="textWrapping" w:clear="none"/>
            </w:r>
            <w:r>
              <w:rPr>
                <w:rFonts w:hint="default" w:ascii="ＭＳ 明朝" w:hAnsi="ＭＳ 明朝" w:eastAsia="ＭＳ 明朝"/>
                <w:b w:val="0"/>
                <w:i w:val="0"/>
                <w:smallCaps w:val="0"/>
                <w:color w:val="000000"/>
                <w:sz w:val="20"/>
              </w:rPr>
              <w:t>医師数</w:t>
            </w:r>
          </w:p>
        </w:tc>
        <w:tc>
          <w:tcPr>
            <w:tcW w:w="2163"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R8</w:t>
            </w:r>
            <w:r>
              <w:rPr>
                <w:rFonts w:hint="default" w:ascii="ＭＳ 明朝" w:hAnsi="ＭＳ 明朝" w:eastAsia="ＭＳ 明朝"/>
                <w:b w:val="0"/>
                <w:i w:val="0"/>
                <w:smallCaps w:val="0"/>
                <w:color w:val="000000"/>
                <w:sz w:val="20"/>
              </w:rPr>
              <w:t>年小児科偏在対策</w:t>
            </w:r>
            <w:r>
              <w:rPr>
                <w:rFonts w:hint="default" w:ascii="ＭＳ 明朝" w:hAnsi="ＭＳ 明朝" w:eastAsia="ＭＳ 明朝"/>
                <w:b w:val="0"/>
                <w:i w:val="0"/>
                <w:smallCaps w:val="0"/>
                <w:color w:val="000000"/>
                <w:sz w:val="20"/>
              </w:rPr>
              <w:br w:type="textWrapping" w:clear="none"/>
            </w:r>
            <w:r>
              <w:rPr>
                <w:rFonts w:hint="default" w:ascii="ＭＳ 明朝" w:hAnsi="ＭＳ 明朝" w:eastAsia="ＭＳ 明朝"/>
                <w:b w:val="0"/>
                <w:i w:val="0"/>
                <w:smallCaps w:val="0"/>
                <w:color w:val="000000"/>
                <w:sz w:val="20"/>
              </w:rPr>
              <w:t>基準医師数</w:t>
            </w:r>
            <w:r>
              <w:rPr>
                <w:rFonts w:hint="default" w:ascii="ＭＳ 明朝" w:hAnsi="ＭＳ 明朝" w:eastAsia="ＭＳ 明朝"/>
                <w:b w:val="0"/>
                <w:i w:val="0"/>
                <w:smallCaps w:val="0"/>
                <w:color w:val="000000"/>
                <w:sz w:val="20"/>
              </w:rPr>
              <w:t>*</w:t>
            </w:r>
          </w:p>
        </w:tc>
      </w:tr>
      <w:tr>
        <w:trPr>
          <w:trHeight w:val="279" w:hRule="atLeast"/>
        </w:trPr>
        <w:tc>
          <w:tcPr>
            <w:tcW w:w="1087"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高知県</w:t>
            </w:r>
          </w:p>
        </w:tc>
        <w:tc>
          <w:tcPr>
            <w:tcW w:w="995" w:type="dxa"/>
            <w:tcBorders>
              <w:top w:val="double" w:color="000000" w:sz="5" w:space="0"/>
              <w:left w:val="single" w:color="000000" w:sz="4" w:space="0"/>
              <w:bottom w:val="double" w:color="000000" w:sz="5"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134.4</w:t>
            </w:r>
          </w:p>
        </w:tc>
        <w:tc>
          <w:tcPr>
            <w:tcW w:w="995" w:type="dxa"/>
            <w:tcBorders>
              <w:top w:val="double" w:color="000000" w:sz="5" w:space="0"/>
              <w:left w:val="single" w:color="000000" w:sz="4" w:space="0"/>
              <w:bottom w:val="double" w:color="000000" w:sz="5"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4/47</w:t>
            </w:r>
          </w:p>
        </w:tc>
        <w:tc>
          <w:tcPr>
            <w:tcW w:w="995" w:type="dxa"/>
            <w:tcBorders>
              <w:top w:val="double" w:color="000000" w:sz="5" w:space="0"/>
              <w:left w:val="single" w:color="000000" w:sz="4" w:space="0"/>
              <w:bottom w:val="double" w:color="000000" w:sz="5"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非該当</w:t>
            </w:r>
          </w:p>
        </w:tc>
        <w:tc>
          <w:tcPr>
            <w:tcW w:w="997"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104</w:t>
            </w:r>
          </w:p>
        </w:tc>
        <w:tc>
          <w:tcPr>
            <w:tcW w:w="2163"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72</w:t>
            </w:r>
          </w:p>
        </w:tc>
      </w:tr>
      <w:tr>
        <w:trPr>
          <w:trHeight w:val="280" w:hRule="atLeast"/>
        </w:trPr>
        <w:tc>
          <w:tcPr>
            <w:tcW w:w="1087"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安芸</w:t>
            </w:r>
          </w:p>
        </w:tc>
        <w:tc>
          <w:tcPr>
            <w:tcW w:w="995"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210.2</w:t>
            </w:r>
          </w:p>
        </w:tc>
        <w:tc>
          <w:tcPr>
            <w:tcW w:w="995"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4/303</w:t>
            </w:r>
          </w:p>
        </w:tc>
        <w:tc>
          <w:tcPr>
            <w:tcW w:w="995"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非該当</w:t>
            </w:r>
          </w:p>
        </w:tc>
        <w:tc>
          <w:tcPr>
            <w:tcW w:w="997"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3</w:t>
            </w:r>
          </w:p>
        </w:tc>
        <w:tc>
          <w:tcPr>
            <w:tcW w:w="2163"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w:t>
            </w:r>
          </w:p>
        </w:tc>
      </w:tr>
      <w:tr>
        <w:trPr>
          <w:trHeight w:val="275" w:hRule="atLeast"/>
        </w:trPr>
        <w:tc>
          <w:tcPr>
            <w:tcW w:w="10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中央</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122.5</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93/303</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非該当</w:t>
            </w:r>
          </w:p>
        </w:tc>
        <w:tc>
          <w:tcPr>
            <w:tcW w:w="99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84</w:t>
            </w:r>
          </w:p>
        </w:tc>
        <w:tc>
          <w:tcPr>
            <w:tcW w:w="2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54</w:t>
            </w:r>
          </w:p>
        </w:tc>
      </w:tr>
      <w:tr>
        <w:trPr>
          <w:trHeight w:val="286" w:hRule="atLeast"/>
        </w:trPr>
        <w:tc>
          <w:tcPr>
            <w:tcW w:w="10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高幡</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219.8</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2/303</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非該当</w:t>
            </w:r>
          </w:p>
        </w:tc>
        <w:tc>
          <w:tcPr>
            <w:tcW w:w="99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4</w:t>
            </w:r>
          </w:p>
        </w:tc>
        <w:tc>
          <w:tcPr>
            <w:tcW w:w="2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w:t>
            </w:r>
          </w:p>
        </w:tc>
      </w:tr>
      <w:tr>
        <w:trPr>
          <w:trHeight w:val="284" w:hRule="atLeast"/>
        </w:trPr>
        <w:tc>
          <w:tcPr>
            <w:tcW w:w="10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幡多</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173.7</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11/303</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非該当</w:t>
            </w:r>
          </w:p>
        </w:tc>
        <w:tc>
          <w:tcPr>
            <w:tcW w:w="99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13</w:t>
            </w:r>
          </w:p>
        </w:tc>
        <w:tc>
          <w:tcPr>
            <w:tcW w:w="2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5</w:t>
            </w:r>
          </w:p>
        </w:tc>
      </w:tr>
    </w:tbl>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4-1-47</w:t>
      </w:r>
      <w:r>
        <w:rPr>
          <w:rFonts w:hint="eastAsia" w:ascii="ＭＳ ゴシック" w:hAnsi="ＭＳ ゴシック" w:eastAsia="ＭＳ ゴシック"/>
          <w:color w:val="auto"/>
          <w:sz w:val="22"/>
          <w:highlight w:val="none"/>
          <w:u w:val="none" w:color="FF0000"/>
        </w:rPr>
        <w:t>）国が公表した医師偏在指標等</w: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r>
        <w:rPr>
          <w:rFonts w:hint="eastAsia"/>
        </w:rPr>
        <mc:AlternateContent>
          <mc:Choice Requires="wps">
            <w:drawing>
              <wp:anchor distT="0" distB="0" distL="203200" distR="203200" simplePos="0" relativeHeight="2" behindDoc="1" locked="0" layoutInCell="1" hidden="0" allowOverlap="1">
                <wp:simplePos x="0" y="0"/>
                <wp:positionH relativeFrom="column">
                  <wp:posOffset>263525</wp:posOffset>
                </wp:positionH>
                <wp:positionV relativeFrom="paragraph">
                  <wp:posOffset>114300</wp:posOffset>
                </wp:positionV>
                <wp:extent cx="5760085" cy="114300"/>
                <wp:effectExtent l="0" t="0" r="635" b="635"/>
                <wp:wrapNone/>
                <wp:docPr id="1259" name="オブジェクト 0"/>
                <a:graphic xmlns:a="http://schemas.openxmlformats.org/drawingml/2006/main">
                  <a:graphicData uri="http://schemas.microsoft.com/office/word/2010/wordprocessingShape">
                    <wps:wsp>
                      <wps:cNvPr id="1259" name="オブジェクト 0"/>
                      <wps:cNvSpPr txBox="1">
                        <a:spLocks noChangeArrowheads="1"/>
                      </wps:cNvSpPr>
                      <wps:spPr>
                        <a:xfrm>
                          <a:off x="0" y="0"/>
                          <a:ext cx="5760085" cy="114300"/>
                        </a:xfrm>
                        <a:prstGeom prst="rect">
                          <a:avLst/>
                        </a:prstGeom>
                        <a:noFill/>
                        <a:ln>
                          <a:miter/>
                        </a:ln>
                      </wps:spPr>
                      <wps:txbx>
                        <w:txbxContent>
                          <w:p>
                            <w:pPr>
                              <w:pStyle w:val="0"/>
                              <w:ind w:left="0" w:leftChars="0" w:right="0" w:rightChars="0" w:firstLine="0" w:firstLineChars="0"/>
                              <w:rPr>
                                <w:rFonts w:hint="eastAsia" w:ascii="ＭＳ 明朝" w:hAnsi="ＭＳ 明朝" w:eastAsia="ＭＳ 明朝"/>
                              </w:rPr>
                            </w:pPr>
                            <w:r>
                              <w:rPr>
                                <w:rFonts w:hint="eastAsia" w:ascii="ＭＳ 明朝" w:hAnsi="ＭＳ 明朝" w:eastAsia="ＭＳ 明朝"/>
                                <w:b w:val="0"/>
                                <w:sz w:val="16"/>
                              </w:rPr>
                              <w:t>＊偏在対策基準医師数は、医療受給に応じて機械的に算出される数値であり、確保すべき医師の目標ではない。</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pt;mso-position-vertical-relative:text;mso-position-horizontal-relative:text;position:absolute;height:9pt;mso-wrap-distance-top:0pt;width:453.55pt;mso-wrap-style:none;mso-wrap-distance-left:16pt;margin-left:20.75pt;z-index:-503316478;" o:spid="_x0000_s1259" o:allowincell="t" o:allowoverlap="t" filled="f" stroked="f" o:spt="202" type="#_x0000_t202">
                <v:fill/>
                <v:textbox style="layout-flow:horizontal;mso-fit-shape-to-text:t;">
                  <w:txbxContent>
                    <w:p>
                      <w:pPr>
                        <w:pStyle w:val="0"/>
                        <w:ind w:left="0" w:leftChars="0" w:right="0" w:rightChars="0" w:firstLine="0" w:firstLineChars="0"/>
                        <w:rPr>
                          <w:rFonts w:hint="eastAsia" w:ascii="ＭＳ 明朝" w:hAnsi="ＭＳ 明朝" w:eastAsia="ＭＳ 明朝"/>
                        </w:rPr>
                      </w:pPr>
                      <w:r>
                        <w:rPr>
                          <w:rFonts w:hint="eastAsia" w:ascii="ＭＳ 明朝" w:hAnsi="ＭＳ 明朝" w:eastAsia="ＭＳ 明朝"/>
                          <w:b w:val="0"/>
                          <w:sz w:val="16"/>
                        </w:rPr>
                        <w:t>＊偏在対策基準医師数は、医療受給に応じて機械的に算出される数値であり、確保すべき医師の目標ではない。</w:t>
                      </w:r>
                    </w:p>
                  </w:txbxContent>
                </v:textbox>
                <v:imagedata o:title=""/>
                <w10:wrap type="none" anchorx="text" anchory="text"/>
              </v:shape>
            </w:pict>
          </mc:Fallback>
        </mc:AlternateConten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000000" w:themeColor="text1"/>
          <w:sz w:val="22"/>
          <w:highlight w:val="none"/>
          <w:u w:val="none" w:color="FF0000"/>
        </w:rPr>
        <w:t>（図表</w:t>
      </w:r>
      <w:r>
        <w:rPr>
          <w:rFonts w:hint="eastAsia" w:ascii="ＭＳ ゴシック" w:hAnsi="ＭＳ ゴシック" w:eastAsia="ＭＳ ゴシック"/>
          <w:color w:val="000000" w:themeColor="text1"/>
          <w:sz w:val="22"/>
          <w:highlight w:val="none"/>
          <w:u w:val="none" w:color="FF0000"/>
        </w:rPr>
        <w:t>4-1-48</w:t>
      </w:r>
      <w:r>
        <w:rPr>
          <w:rFonts w:hint="eastAsia" w:ascii="ＭＳ ゴシック" w:hAnsi="ＭＳ ゴシック" w:eastAsia="ＭＳ ゴシック"/>
          <w:color w:val="000000" w:themeColor="text1"/>
          <w:sz w:val="22"/>
          <w:highlight w:val="none"/>
          <w:u w:val="none" w:color="FF0000"/>
        </w:rPr>
        <w:t>）医師偏在指標における本県の相対的位置</w:t>
      </w:r>
    </w:p>
    <w:p>
      <w:pPr>
        <w:pStyle w:val="0"/>
        <w:spacing w:line="240" w:lineRule="auto"/>
        <w:ind w:left="0" w:leftChars="0" w:right="0" w:rightChars="0" w:firstLine="0" w:firstLineChars="0"/>
        <w:jc w:val="both"/>
        <w:rPr>
          <w:rFonts w:hint="default"/>
          <w:highlight w:val="none"/>
        </w:rPr>
      </w:pPr>
      <w:r>
        <w:rPr>
          <w:rFonts w:hint="eastAsia"/>
        </w:rPr>
        <mc:AlternateContent>
          <mc:Choice Requires="wpg">
            <w:drawing>
              <wp:anchor simplePos="0" relativeHeight="244" behindDoc="0" locked="0" layoutInCell="1" hidden="0" allowOverlap="1">
                <wp:simplePos x="0" y="0"/>
                <wp:positionH relativeFrom="column">
                  <wp:posOffset>0</wp:posOffset>
                </wp:positionH>
                <wp:positionV relativeFrom="paragraph">
                  <wp:posOffset>42545</wp:posOffset>
                </wp:positionV>
                <wp:extent cx="5759450" cy="3161030"/>
                <wp:effectExtent l="0" t="635" r="0" b="0"/>
                <wp:wrapNone/>
                <wp:docPr id="1260" name="オブジェクト 0"/>
                <a:graphic xmlns:a="http://schemas.openxmlformats.org/drawingml/2006/main">
                  <a:graphicData uri="http://schemas.microsoft.com/office/word/2010/wordprocessingGroup">
                    <wpg:wgp>
                      <wpg:cNvGrpSpPr/>
                      <wpg:grpSpPr>
                        <a:xfrm>
                          <a:off x="0" y="0"/>
                          <a:ext cx="5759450" cy="3161030"/>
                          <a:chOff x="1418" y="9535"/>
                          <a:chExt cx="9070" cy="4978"/>
                        </a:xfrm>
                      </wpg:grpSpPr>
                      <pic:pic xmlns:pic="http://schemas.openxmlformats.org/drawingml/2006/picture">
                        <pic:nvPicPr>
                          <pic:cNvPr id="1261" name="オブジェクト 0"/>
                          <pic:cNvPicPr>
                            <a:picLocks noChangeAspect="1"/>
                          </pic:cNvPicPr>
                        </pic:nvPicPr>
                        <pic:blipFill>
                          <a:blip r:embed="rId49"/>
                          <a:stretch>
                            <a:fillRect/>
                          </a:stretch>
                        </pic:blipFill>
                        <pic:spPr>
                          <a:xfrm>
                            <a:off x="1460" y="12620"/>
                            <a:ext cx="8986" cy="1893"/>
                          </a:xfrm>
                          <a:prstGeom prst="rect">
                            <a:avLst/>
                          </a:prstGeom>
                          <a:noFill/>
                          <a:ln>
                            <a:miter/>
                          </a:ln>
                        </pic:spPr>
                      </pic:pic>
                      <wps:wsp>
                        <wps:cNvPr id="1262" name="オブジェクト 0"/>
                        <wps:cNvSpPr>
                          <a:spLocks noChangeArrowheads="1"/>
                        </wps:cNvSpPr>
                        <wps:spPr>
                          <a:xfrm>
                            <a:off x="2412" y="10148"/>
                            <a:ext cx="155" cy="1552"/>
                          </a:xfrm>
                          <a:prstGeom prst="ellipse">
                            <a:avLst/>
                          </a:prstGeom>
                          <a:noFill/>
                          <a:ln w="9525" cap="flat" cmpd="sng">
                            <a:solidFill>
                              <a:srgbClr val="000000"/>
                            </a:solidFill>
                            <a:prstDash val="solid"/>
                            <a:headEnd type="none" w="med" len="med"/>
                            <a:tailEnd type="none" w="med" len="med"/>
                          </a:ln>
                        </wps:spPr>
                        <wps:bodyPr/>
                      </wps:wsp>
                      <wps:wsp>
                        <wps:cNvPr id="1263" name="オブジェクト 0"/>
                        <wps:cNvSpPr>
                          <a:spLocks noChangeArrowheads="1"/>
                        </wps:cNvSpPr>
                        <wps:spPr>
                          <a:xfrm>
                            <a:off x="1435" y="9535"/>
                            <a:ext cx="8991" cy="2419"/>
                          </a:xfrm>
                          <a:prstGeom prst="rect">
                            <a:avLst/>
                          </a:prstGeom>
                          <a:noFill/>
                          <a:ln w="9525" cap="flat" cmpd="sng">
                            <a:solidFill>
                              <a:srgbClr val="000000"/>
                            </a:solidFill>
                            <a:prstDash val="solid"/>
                            <a:miter lim="800000"/>
                            <a:headEnd type="none" w="med" len="med"/>
                            <a:tailEnd type="none" w="med" len="med"/>
                          </a:ln>
                        </wps:spPr>
                        <wps:bodyPr/>
                      </wps:wsp>
                      <pic:pic xmlns:pic="http://schemas.openxmlformats.org/drawingml/2006/picture">
                        <pic:nvPicPr>
                          <pic:cNvPr id="1264" name="オブジェクト 0"/>
                          <pic:cNvPicPr>
                            <a:picLocks noChangeAspect="1"/>
                          </pic:cNvPicPr>
                        </pic:nvPicPr>
                        <pic:blipFill>
                          <a:blip r:embed="rId50"/>
                          <a:stretch>
                            <a:fillRect/>
                          </a:stretch>
                        </pic:blipFill>
                        <pic:spPr>
                          <a:xfrm>
                            <a:off x="1418" y="9539"/>
                            <a:ext cx="9070" cy="2389"/>
                          </a:xfrm>
                          <a:prstGeom prst="rect">
                            <a:avLst/>
                          </a:prstGeom>
                          <a:noFill/>
                          <a:ln>
                            <a:miter/>
                          </a:ln>
                        </pic:spPr>
                      </pic:pic>
                    </wpg:wgp>
                  </a:graphicData>
                </a:graphic>
              </wp:anchor>
            </w:drawing>
          </mc:Choice>
          <mc:Fallback>
            <w:pict>
              <v:group id="オブジェクト 0" style="margin-top:3.35pt;mso-position-vertical-relative:text;mso-position-horizontal-relative:text;position:absolute;height:248.9pt;width:453.5pt;margin-left:0pt;z-index:244;" coordsize="9070,4978" coordorigin="1418,9535" o:spid="_x0000_s126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1893;width:8986;top:12620;left:1460;position:absolute;" o:spid="_x0000_s1261" filled="f" stroked="f" o:spt="75" type="#_x0000_t75">
                  <v:fill/>
                  <v:imagedata o:title="" r:id="rId49"/>
                  <w10:wrap type="none" anchorx="text" anchory="text"/>
                </v:shape>
                <v:oval id="オブジェクト 0" style="height:1552;width:155;top:10148;left:2412;position:absolute;" o:spid="_x0000_s1262" filled="f" stroked="t" strokecolor="#000000" strokeweight="0.75pt" o:spt="3">
                  <v:fill/>
                  <v:stroke linestyle="single" endcap="flat" dashstyle="solid" filltype="solid" startarrow="none" startarrowwidth="medium" startarrowlength="medium" endarrow="none" endarrowwidth="medium" endarrowlength="medium"/>
                  <v:textbox style="layout-flow:horizontal;"/>
                  <v:imagedata o:title=""/>
                  <w10:wrap type="none" anchorx="text" anchory="text"/>
                </v:oval>
                <v:rect id="オブジェクト 0" style="height:2419;width:8991;top:9535;left:1435;position:absolute;" o:spid="_x0000_s1263"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v:shape id="オブジェクト 0" style="height:2389;width:9070;top:9539;left:1418;position:absolute;" o:spid="_x0000_s1264" filled="f" stroked="f" o:spt="75" type="#_x0000_t75">
                  <v:fill/>
                  <v:imagedata o:title="" r:id="rId50"/>
                  <w10:wrap type="none" anchorx="text" anchory="text"/>
                </v:shape>
                <w10:wrap type="none" anchorx="text" anchory="text"/>
              </v:group>
            </w:pict>
          </mc:Fallback>
        </mc:AlternateConten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000000" w:themeColor="text1"/>
          <w:sz w:val="22"/>
          <w:highlight w:val="none"/>
          <w:u w:val="none" w:color="FF0000"/>
        </w:rPr>
        <w:t>（図表</w:t>
      </w:r>
      <w:r>
        <w:rPr>
          <w:rFonts w:hint="eastAsia" w:ascii="ＭＳ ゴシック" w:hAnsi="ＭＳ ゴシック" w:eastAsia="ＭＳ ゴシック"/>
          <w:color w:val="000000" w:themeColor="text1"/>
          <w:sz w:val="22"/>
          <w:highlight w:val="none"/>
          <w:u w:val="none" w:color="FF0000"/>
        </w:rPr>
        <w:t>4-1-49</w:t>
      </w:r>
      <w:r>
        <w:rPr>
          <w:rFonts w:hint="eastAsia" w:ascii="ＭＳ ゴシック" w:hAnsi="ＭＳ ゴシック" w:eastAsia="ＭＳ ゴシック"/>
          <w:color w:val="000000" w:themeColor="text1"/>
          <w:sz w:val="22"/>
          <w:highlight w:val="none"/>
          <w:u w:val="none" w:color="FF0000"/>
        </w:rPr>
        <w:t>）小児医療圏別の状況</w: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（３）小児科医師確保の方針と目標医師数</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相対的小児科医師少数区域は設定しません。しかしながら、（２）における小児科医師偏在指標に対する評価に加え、小児救急医療に従事する医師を含む小児科医師の労働環境を鑑みれば、小児科医師が多いとされる本県でさえも小児科医師の不足感が高い現状にあります。小児救急医療の適切な受診を促す啓発事業等も行いながら、小児医療提供体制の維持、再構築に向けて必要な医師確保対策を推進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目標医師数については、</w:t>
      </w:r>
      <w:r>
        <w:rPr>
          <w:rFonts w:hint="eastAsia" w:ascii="ＭＳ 明朝" w:hAnsi="ＭＳ 明朝" w:eastAsia="ＭＳ 明朝"/>
          <w:color w:val="000000" w:themeColor="text1"/>
          <w:kern w:val="2"/>
          <w:sz w:val="22"/>
          <w:highlight w:val="none"/>
          <w:u w:val="none" w:color="auto"/>
        </w:rPr>
        <w:t>令和２年末の医師数が令和８</w:t>
      </w:r>
      <w:r>
        <w:rPr>
          <w:rFonts w:hint="eastAsia" w:ascii="ＭＳ 明朝" w:hAnsi="ＭＳ 明朝" w:eastAsia="ＭＳ 明朝"/>
          <w:kern w:val="2"/>
          <w:sz w:val="22"/>
          <w:highlight w:val="none"/>
        </w:rPr>
        <w:t>年の小児科偏在対策基準医師数をすべての小児医療圏で超えていますが、輪番当直医師への負担が過重になっており、病院群輪番制を維持していくためには、更なる医師の確保が必要であるため、中央小児医療圏で医師数の増加を目標とし、その他の小児医療圏では現状維持を目標とします。</w:t>
      </w:r>
    </w:p>
    <w:p>
      <w:pPr>
        <w:pStyle w:val="0"/>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000000" w:themeColor="text1"/>
          <w:sz w:val="22"/>
          <w:highlight w:val="none"/>
          <w:u w:val="none" w:color="FF0000"/>
        </w:rPr>
        <w:t>（図表</w:t>
      </w:r>
      <w:r>
        <w:rPr>
          <w:rFonts w:hint="eastAsia" w:ascii="ＭＳ ゴシック" w:hAnsi="ＭＳ ゴシック" w:eastAsia="ＭＳ ゴシック"/>
          <w:color w:val="000000" w:themeColor="text1"/>
          <w:sz w:val="22"/>
          <w:highlight w:val="none"/>
          <w:u w:val="none" w:color="FF0000"/>
        </w:rPr>
        <w:t>4-1-50</w:t>
      </w:r>
      <w:r>
        <w:rPr>
          <w:rFonts w:hint="eastAsia" w:ascii="ＭＳ ゴシック" w:hAnsi="ＭＳ ゴシック" w:eastAsia="ＭＳ ゴシック"/>
          <w:color w:val="000000" w:themeColor="text1"/>
          <w:sz w:val="22"/>
          <w:highlight w:val="none"/>
          <w:u w:val="none" w:color="FF0000"/>
        </w:rPr>
        <w:t>）本計画における目標医師数</w:t>
      </w:r>
    </w:p>
    <w:tbl>
      <w:tblPr>
        <w:tblStyle w:val="11"/>
        <w:tblW w:w="601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628"/>
        <w:gridCol w:w="2195"/>
        <w:gridCol w:w="2196"/>
      </w:tblGrid>
      <w:tr>
        <w:trPr>
          <w:trHeight w:val="842" w:hRule="atLeast"/>
        </w:trPr>
        <w:tc>
          <w:tcPr>
            <w:tcW w:w="162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小児医療圏</w:t>
            </w:r>
          </w:p>
        </w:tc>
        <w:tc>
          <w:tcPr>
            <w:tcW w:w="2195"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R8</w:t>
            </w:r>
            <w:r>
              <w:rPr>
                <w:rFonts w:hint="eastAsia" w:ascii="ＭＳ 明朝" w:hAnsi="ＭＳ 明朝" w:eastAsia="ＭＳ 明朝"/>
                <w:b w:val="0"/>
                <w:i w:val="0"/>
                <w:smallCaps w:val="0"/>
                <w:color w:val="000000"/>
                <w:sz w:val="20"/>
              </w:rPr>
              <w:t>年度末</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目標医師数</w:t>
            </w:r>
            <w:r>
              <w:rPr>
                <w:rFonts w:hint="eastAsia" w:ascii="ＭＳ 明朝" w:hAnsi="ＭＳ 明朝" w:eastAsia="ＭＳ 明朝"/>
                <w:b w:val="0"/>
                <w:i w:val="0"/>
                <w:smallCaps w:val="0"/>
                <w:color w:val="000000"/>
                <w:sz w:val="20"/>
              </w:rPr>
              <w:t>(</w:t>
            </w:r>
            <w:r>
              <w:rPr>
                <w:rFonts w:hint="eastAsia" w:ascii="ＭＳ 明朝" w:hAnsi="ＭＳ 明朝" w:eastAsia="ＭＳ 明朝"/>
                <w:b w:val="0"/>
                <w:i w:val="0"/>
                <w:smallCaps w:val="0"/>
                <w:color w:val="000000"/>
                <w:sz w:val="20"/>
              </w:rPr>
              <w:t>人</w:t>
            </w:r>
            <w:r>
              <w:rPr>
                <w:rFonts w:hint="eastAsia" w:ascii="ＭＳ 明朝" w:hAnsi="ＭＳ 明朝" w:eastAsia="ＭＳ 明朝"/>
                <w:b w:val="0"/>
                <w:i w:val="0"/>
                <w:smallCaps w:val="0"/>
                <w:color w:val="000000"/>
                <w:sz w:val="20"/>
              </w:rPr>
              <w:t>)</w:t>
            </w:r>
          </w:p>
        </w:tc>
        <w:tc>
          <w:tcPr>
            <w:tcW w:w="219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R2</w:t>
            </w:r>
            <w:r>
              <w:rPr>
                <w:rFonts w:hint="eastAsia" w:ascii="ＭＳ 明朝" w:hAnsi="ＭＳ 明朝" w:eastAsia="ＭＳ 明朝"/>
                <w:b w:val="0"/>
                <w:i w:val="0"/>
                <w:smallCaps w:val="0"/>
                <w:color w:val="000000"/>
                <w:sz w:val="20"/>
              </w:rPr>
              <w:t>年</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医師数</w:t>
            </w:r>
            <w:r>
              <w:rPr>
                <w:rFonts w:hint="eastAsia" w:ascii="ＭＳ 明朝" w:hAnsi="ＭＳ 明朝" w:eastAsia="ＭＳ 明朝"/>
                <w:b w:val="0"/>
                <w:i w:val="0"/>
                <w:smallCaps w:val="0"/>
                <w:color w:val="000000"/>
                <w:sz w:val="20"/>
              </w:rPr>
              <w:t>(</w:t>
            </w:r>
            <w:r>
              <w:rPr>
                <w:rFonts w:hint="eastAsia" w:ascii="ＭＳ 明朝" w:hAnsi="ＭＳ 明朝" w:eastAsia="ＭＳ 明朝"/>
                <w:b w:val="0"/>
                <w:i w:val="0"/>
                <w:smallCaps w:val="0"/>
                <w:color w:val="000000"/>
                <w:sz w:val="20"/>
              </w:rPr>
              <w:t>人）</w:t>
            </w:r>
          </w:p>
        </w:tc>
      </w:tr>
      <w:tr>
        <w:trPr>
          <w:trHeight w:val="376" w:hRule="atLeast"/>
        </w:trPr>
        <w:tc>
          <w:tcPr>
            <w:tcW w:w="162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安芸</w:t>
            </w:r>
          </w:p>
        </w:tc>
        <w:tc>
          <w:tcPr>
            <w:tcW w:w="21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c>
          <w:tcPr>
            <w:tcW w:w="219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r>
      <w:tr>
        <w:trPr>
          <w:trHeight w:val="375" w:hRule="atLeast"/>
        </w:trPr>
        <w:tc>
          <w:tcPr>
            <w:tcW w:w="162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中央</w:t>
            </w:r>
          </w:p>
        </w:tc>
        <w:tc>
          <w:tcPr>
            <w:tcW w:w="21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88</w:t>
            </w:r>
          </w:p>
        </w:tc>
        <w:tc>
          <w:tcPr>
            <w:tcW w:w="219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84</w:t>
            </w:r>
          </w:p>
        </w:tc>
      </w:tr>
      <w:tr>
        <w:trPr>
          <w:trHeight w:val="361" w:hRule="atLeast"/>
        </w:trPr>
        <w:tc>
          <w:tcPr>
            <w:tcW w:w="162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高幡</w:t>
            </w:r>
          </w:p>
        </w:tc>
        <w:tc>
          <w:tcPr>
            <w:tcW w:w="21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4</w:t>
            </w:r>
          </w:p>
        </w:tc>
        <w:tc>
          <w:tcPr>
            <w:tcW w:w="219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4</w:t>
            </w:r>
          </w:p>
        </w:tc>
      </w:tr>
      <w:tr>
        <w:trPr>
          <w:trHeight w:val="375" w:hRule="atLeast"/>
        </w:trPr>
        <w:tc>
          <w:tcPr>
            <w:tcW w:w="1628"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幡多</w:t>
            </w:r>
          </w:p>
        </w:tc>
        <w:tc>
          <w:tcPr>
            <w:tcW w:w="2195"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13</w:t>
            </w:r>
          </w:p>
        </w:tc>
        <w:tc>
          <w:tcPr>
            <w:tcW w:w="2196"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13</w:t>
            </w:r>
          </w:p>
        </w:tc>
      </w:tr>
      <w:tr>
        <w:trPr>
          <w:trHeight w:val="374" w:hRule="atLeast"/>
        </w:trPr>
        <w:tc>
          <w:tcPr>
            <w:tcW w:w="1628"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合計</w:t>
            </w:r>
          </w:p>
        </w:tc>
        <w:tc>
          <w:tcPr>
            <w:tcW w:w="2195"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108</w:t>
            </w:r>
          </w:p>
        </w:tc>
        <w:tc>
          <w:tcPr>
            <w:tcW w:w="2196"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104</w:t>
            </w:r>
          </w:p>
        </w:tc>
      </w:tr>
    </w:tbl>
    <w:p>
      <w:pPr>
        <w:pStyle w:val="0"/>
        <w:spacing w:line="240" w:lineRule="auto"/>
        <w:ind w:left="0" w:leftChars="0" w:right="0" w:rightChars="0" w:firstLine="0" w:firstLineChars="0"/>
        <w:jc w:val="both"/>
        <w:rPr>
          <w:rFonts w:hint="default"/>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（４）目標医師数を達成するための施策</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小児</w:t>
      </w:r>
      <w:r>
        <w:rPr>
          <w:rFonts w:hint="eastAsia" w:ascii="ＭＳ 明朝" w:hAnsi="ＭＳ 明朝" w:eastAsia="ＭＳ 明朝"/>
          <w:color w:val="000000" w:themeColor="text1"/>
          <w:kern w:val="2"/>
          <w:sz w:val="22"/>
          <w:highlight w:val="none"/>
          <w:u w:val="none" w:color="auto"/>
        </w:rPr>
        <w:t>科医師</w:t>
      </w:r>
      <w:r>
        <w:rPr>
          <w:rFonts w:hint="eastAsia" w:ascii="ＭＳ 明朝" w:hAnsi="ＭＳ 明朝" w:eastAsia="ＭＳ 明朝"/>
          <w:kern w:val="2"/>
          <w:sz w:val="22"/>
          <w:highlight w:val="none"/>
        </w:rPr>
        <w:t>の確保</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は、将来、県内の指定医療機関において小児科の医師として勤務する意思のある医学生に対する奨学金の加算貸与や、小児科専門医の資格取得を目指す若手医師に対する研修支援等により、小児科医師の育成を支援し、確保を図り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県は、県外からの医師の招聘に向け、引き続き、県内の医師求人情報や医師のキャリア形成支援策等の紹介、また、赴任する医師への研修修学金の貸与等を行います。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県及び医療機関等は、若手医師の県外専門医療機関での研修等を通してキャリアアップを支援し、県内の高度専門医療のレベルの向上に努めます。</w:t>
      </w:r>
    </w:p>
    <w:p>
      <w:pPr>
        <w:pStyle w:val="0"/>
        <w:ind w:left="454" w:leftChars="100" w:right="0" w:rightChars="0" w:hanging="227" w:hangingChars="100"/>
        <w:rPr>
          <w:rFonts w:hint="eastAsia" w:ascii="ＭＳ 明朝" w:hAnsi="ＭＳ 明朝" w:eastAsia="ＭＳ 明朝"/>
          <w:kern w:val="2"/>
          <w:sz w:val="2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小児医療提供体制の維持</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は、小児科医師の勤務環境の改善のため、中央小児医療圏の小児科病院群輪番制病院の運営を支援します。あわせて、小児救急勤務医師への手当の支給や、トリアージナースの配置に要する経費を支援するとともに「医師の働き方改革」に適応できるよう支援し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県は、小児科医師の負担軽減を図るため、適正受診の推進に引き続き取り組むこととし、広報紙、新聞広告やテレビ広告等のメディアを活用し小児救急電話相談事業「こうちこども救急ダイヤル（♯</w:t>
      </w:r>
      <w:r>
        <w:rPr>
          <w:rFonts w:hint="eastAsia" w:ascii="ＭＳ 明朝" w:hAnsi="ＭＳ 明朝" w:eastAsia="ＭＳ 明朝"/>
          <w:kern w:val="2"/>
          <w:sz w:val="22"/>
          <w:highlight w:val="none"/>
        </w:rPr>
        <w:t>8000</w:t>
      </w:r>
      <w:r>
        <w:rPr>
          <w:rFonts w:hint="eastAsia" w:ascii="ＭＳ 明朝" w:hAnsi="ＭＳ 明朝" w:eastAsia="ＭＳ 明朝"/>
          <w:kern w:val="2"/>
          <w:sz w:val="22"/>
          <w:highlight w:val="none"/>
        </w:rPr>
        <w:t>）」、高知県救急医療情報センター等の利用を啓発をしていきます。</w:t>
      </w:r>
    </w:p>
    <w:p>
      <w:pPr>
        <w:pStyle w:val="0"/>
        <w:spacing w:after="165" w:afterLines="50" w:afterAutospacing="0"/>
        <w:rPr>
          <w:rFonts w:hint="eastAsia" w:ascii="游明朝" w:hAnsi="游明朝" w:eastAsia="游明朝"/>
          <w:b w:val="1"/>
          <w:sz w:val="22"/>
          <w:highlight w:val="none"/>
        </w:rPr>
      </w:pPr>
      <w:r>
        <w:rPr>
          <w:rFonts w:hint="eastAsia" w:ascii="ＭＳ 明朝" w:hAnsi="ＭＳ 明朝" w:eastAsia="ＭＳ 明朝"/>
          <w:b w:val="1"/>
          <w:i w:val="0"/>
          <w:color w:val="1F497D"/>
          <w:kern w:val="2"/>
          <w:sz w:val="22"/>
          <w:highlight w:val="none"/>
        </w:rPr>
        <w:t>第</w:t>
      </w:r>
      <w:r>
        <w:rPr>
          <w:rFonts w:hint="eastAsia" w:ascii="ＭＳ 明朝" w:hAnsi="ＭＳ 明朝" w:eastAsia="ＭＳ 明朝"/>
          <w:b w:val="1"/>
          <w:i w:val="0"/>
          <w:color w:val="1F497D"/>
          <w:kern w:val="2"/>
          <w:sz w:val="22"/>
          <w:highlight w:val="none"/>
        </w:rPr>
        <w:t>7</w:t>
      </w:r>
      <w:r>
        <w:rPr>
          <w:rFonts w:hint="eastAsia" w:ascii="ＭＳ 明朝" w:hAnsi="ＭＳ 明朝" w:eastAsia="ＭＳ 明朝"/>
          <w:b w:val="1"/>
          <w:i w:val="0"/>
          <w:color w:val="1F497D"/>
          <w:kern w:val="2"/>
          <w:sz w:val="22"/>
          <w:highlight w:val="none"/>
        </w:rPr>
        <w:t>　計画の評価と進行管理</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推進体制</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県内の医師の適正配置の調整や若手医師の育成・県内定着の促進に向け、高知大学医学部に設置した「高知地域医療支援センター」や、高知県地域医療再生計画及び高知県保健医療計画の推進組織として設立した「</w:t>
      </w:r>
      <w:r>
        <w:rPr>
          <w:rFonts w:hint="eastAsia" w:ascii="ＭＳ 明朝" w:hAnsi="ＭＳ 明朝" w:eastAsia="ＭＳ 明朝"/>
          <w:color w:val="auto"/>
          <w:kern w:val="2"/>
          <w:sz w:val="22"/>
          <w:highlight w:val="none"/>
        </w:rPr>
        <w:t>（一社）高知医療再生機構</w:t>
      </w:r>
      <w:r>
        <w:rPr>
          <w:rFonts w:hint="eastAsia" w:ascii="ＭＳ 明朝" w:hAnsi="ＭＳ 明朝" w:eastAsia="ＭＳ 明朝"/>
          <w:kern w:val="2"/>
          <w:sz w:val="22"/>
          <w:highlight w:val="none"/>
        </w:rPr>
        <w:t>」と連携して医師確保の取組を進めてきました。</w:t>
      </w:r>
    </w:p>
    <w:p>
      <w:pPr>
        <w:pStyle w:val="0"/>
        <w:spacing w:line="240" w:lineRule="auto"/>
        <w:ind w:left="227" w:leftChars="100" w:right="0" w:rightChars="0" w:firstLine="227" w:firstLineChars="100"/>
        <w:jc w:val="both"/>
        <w:rPr>
          <w:rFonts w:hint="eastAsia" w:ascii="ＭＳ 明朝" w:hAnsi="ＭＳ 明朝" w:eastAsia="ＭＳ 明朝"/>
          <w:b w:val="1"/>
          <w:color w:val="0070C0"/>
          <w:kern w:val="2"/>
          <w:sz w:val="22"/>
          <w:highlight w:val="none"/>
        </w:rPr>
      </w:pPr>
      <w:r>
        <w:rPr>
          <w:rFonts w:hint="eastAsia" w:ascii="ＭＳ 明朝" w:hAnsi="ＭＳ 明朝" w:eastAsia="ＭＳ 明朝"/>
          <w:kern w:val="2"/>
          <w:sz w:val="22"/>
          <w:highlight w:val="none"/>
        </w:rPr>
        <w:t>今後も引き続きこれらの関係機関をはじめ、医師会や医療機関等と連携しながら本計画を進めていきます。</w:t>
      </w:r>
    </w:p>
    <w:p>
      <w:pPr>
        <w:pStyle w:val="0"/>
        <w:spacing w:line="240" w:lineRule="auto"/>
        <w:ind w:left="227" w:leftChars="100" w:right="0" w:rightChars="0" w:firstLine="227" w:firstLineChars="100"/>
        <w:jc w:val="both"/>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進行管理</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県は、計画に掲げた目標の達成状況や施策の効果について、分析・評価を行い、計画の進行管理を図るとともに、必要に応じた計画の見直しを行います。</w:t>
      </w:r>
    </w:p>
    <w:p>
      <w:pPr>
        <w:pStyle w:val="0"/>
        <w:ind w:left="227" w:leftChars="100" w:right="0" w:rightChars="0" w:firstLine="227" w:firstLineChars="100"/>
        <w:jc w:val="both"/>
        <w:rPr>
          <w:rFonts w:hint="eastAsia" w:ascii="游明朝" w:hAnsi="游明朝" w:eastAsia="游明朝"/>
          <w:b w:val="0"/>
          <w:sz w:val="22"/>
          <w:highlight w:val="none"/>
        </w:rPr>
      </w:pPr>
      <w:r>
        <w:rPr>
          <w:rFonts w:hint="eastAsia" w:ascii="ＭＳ 明朝" w:hAnsi="ＭＳ 明朝" w:eastAsia="ＭＳ 明朝"/>
          <w:kern w:val="2"/>
          <w:sz w:val="22"/>
          <w:highlight w:val="none"/>
        </w:rPr>
        <w:t>あわせて、計画の着実な推進を図るため、高知県医療審議会に設置する「医療従事者確保推進部会（地域医療対策協議会）」や「高知県周産期医療協議会」、「高知県小児医療体制検討会議」において、計画期間中の進行管理と評価を毎年度行うとともに、その結果を「第８期高知県保健医療計画」の進行管理の中で「高知県医療審議会」に報告します。</w:t>
      </w:r>
    </w:p>
    <w:p>
      <w:pPr>
        <w:rPr>
          <w:rFonts w:hint="eastAsia"/>
        </w:rPr>
        <w:sectPr>
          <w:footerReference r:id="rId5" w:type="default"/>
          <w:pgSz w:w="11906" w:h="16838"/>
          <w:pgMar w:top="1418" w:right="1418" w:bottom="1418" w:left="1418" w:header="567" w:footer="720" w:gutter="0"/>
          <w:pgNumType w:fmt="numberInDash" w:start="32"/>
          <w:cols w:space="720"/>
          <w:noEndnote w:val="1"/>
          <w:textDirection w:val="lrTb"/>
          <w:docGrid w:type="linesAndChars" w:linePitch="350" w:charSpace="1382"/>
        </w:sectPr>
      </w:pPr>
    </w:p>
    <w:p>
      <w:pPr>
        <w:pStyle w:val="0"/>
        <w:spacing w:after="165" w:afterLines="50" w:afterAutospacing="0"/>
        <w:rPr>
          <w:rFonts w:hint="eastAsia" w:ascii="ＭＳ 明朝" w:hAnsi="ＭＳ 明朝" w:eastAsia="ＭＳ 明朝"/>
          <w:b w:val="1"/>
          <w:sz w:val="28"/>
          <w:highlight w:val="none"/>
        </w:rPr>
      </w:pPr>
      <w:r>
        <w:rPr>
          <w:rFonts w:hint="eastAsia" w:ascii="ＭＳ 明朝" w:hAnsi="ＭＳ 明朝" w:eastAsia="ＭＳ 明朝"/>
          <w:b w:val="1"/>
          <w:i w:val="0"/>
          <w:color w:val="1F497D"/>
          <w:sz w:val="28"/>
          <w:highlight w:val="none"/>
        </w:rPr>
        <w:t>第２節　歯科医師</w:t>
      </w:r>
    </w:p>
    <w:p>
      <w:pPr>
        <w:pStyle w:val="0"/>
        <w:ind w:firstLine="22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sz w:val="22"/>
          <w:highlight w:val="none"/>
        </w:rPr>
        <w:t>歯科医師は、</w:t>
      </w:r>
      <w:r>
        <w:rPr>
          <w:rFonts w:hint="eastAsia" w:ascii="ＭＳ 明朝" w:hAnsi="ＭＳ 明朝" w:eastAsia="ＭＳ 明朝"/>
          <w:color w:val="000000"/>
          <w:sz w:val="22"/>
          <w:highlight w:val="none"/>
        </w:rPr>
        <w:t>歯科診療や保健指導、</w:t>
      </w:r>
      <w:r>
        <w:rPr>
          <w:rFonts w:hint="eastAsia" w:ascii="ＭＳ 明朝" w:hAnsi="ＭＳ 明朝" w:eastAsia="ＭＳ 明朝"/>
          <w:color w:val="000000" w:themeColor="text1"/>
          <w:sz w:val="22"/>
          <w:highlight w:val="none"/>
          <w:u w:val="none" w:color="auto"/>
        </w:rPr>
        <w:t>口腔健康管理などを通じて、むし歯・歯周病予防対策や医科と連携した歯周病による全身疾患への対策、高齢期等における口腔ケア・口腔機能維持・向上などにより、生涯に渡る歯と口の健康づくりを進める重要な役割を担います。</w:t>
      </w:r>
    </w:p>
    <w:p>
      <w:pPr>
        <w:pStyle w:val="0"/>
        <w:ind w:firstLine="227" w:firstLineChars="100"/>
        <w:rPr>
          <w:rFonts w:hint="eastAsia" w:ascii="ＭＳ 明朝" w:hAnsi="ＭＳ 明朝" w:eastAsia="ＭＳ 明朝"/>
          <w:sz w:val="22"/>
          <w:highlight w:val="none"/>
        </w:rPr>
      </w:pPr>
      <w:r>
        <w:rPr>
          <w:rFonts w:hint="eastAsia" w:ascii="ＭＳ 明朝" w:hAnsi="ＭＳ 明朝" w:eastAsia="ＭＳ 明朝"/>
          <w:color w:val="000000" w:themeColor="text1"/>
          <w:sz w:val="22"/>
          <w:highlight w:val="none"/>
          <w:u w:val="none" w:color="auto"/>
        </w:rPr>
        <w:t>また、南海トラフ地震など大規模災害時には、口腔領域の外傷対応や誤嚥性肺炎による災害関連死を防ぐための口腔健康管理</w:t>
      </w:r>
      <w:r>
        <w:rPr>
          <w:rFonts w:hint="eastAsia" w:ascii="ＭＳ 明朝" w:hAnsi="ＭＳ 明朝" w:eastAsia="ＭＳ 明朝"/>
          <w:color w:val="000000"/>
          <w:sz w:val="22"/>
          <w:highlight w:val="none"/>
        </w:rPr>
        <w:t>など、災害時の歯科保健医療活動における役割が重視されており、歯科医師の活動分野は広がっています。</w:t>
      </w:r>
    </w:p>
    <w:p>
      <w:pPr>
        <w:pStyle w:val="0"/>
        <w:spacing w:line="160" w:lineRule="exact"/>
        <w:ind w:firstLine="227" w:firstLineChars="10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bdr w:val="single" w:color="auto" w:sz="4" w:space="0"/>
          <w:shd w:val="clear" w:color="auto" w:fill="E5DFEC"/>
        </w:rPr>
      </w:pPr>
      <w:r>
        <w:rPr>
          <w:rFonts w:hint="eastAsia" w:ascii="ＭＳ 明朝" w:hAnsi="ＭＳ 明朝" w:eastAsia="ＭＳ 明朝"/>
          <w:b w:val="1"/>
          <w:sz w:val="22"/>
          <w:highlight w:val="none"/>
          <w:bdr w:val="single" w:color="auto" w:sz="4" w:space="0"/>
          <w:shd w:val="clear" w:color="auto" w:fill="E5DFEC"/>
        </w:rPr>
        <w:t>現状と課題</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歯科医師の状況</w:t>
      </w:r>
    </w:p>
    <w:p>
      <w:pPr>
        <w:pStyle w:val="0"/>
        <w:ind w:left="227" w:leftChars="100" w:firstLine="22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000000" w:themeColor="text1"/>
          <w:sz w:val="22"/>
          <w:highlight w:val="none"/>
          <w:u w:val="none" w:color="auto"/>
        </w:rPr>
        <w:t>令和２年度</w:t>
      </w:r>
      <w:r>
        <w:rPr>
          <w:rFonts w:hint="eastAsia" w:ascii="ＭＳ 明朝" w:hAnsi="ＭＳ 明朝" w:eastAsia="ＭＳ 明朝"/>
          <w:color w:val="000000" w:themeColor="text1"/>
          <w:sz w:val="22"/>
          <w:highlight w:val="none"/>
          <w:u w:val="none" w:color="auto"/>
        </w:rPr>
        <w:t xml:space="preserve"> </w:t>
      </w:r>
      <w:r>
        <w:rPr>
          <w:rFonts w:hint="eastAsia" w:ascii="ＭＳ 明朝" w:hAnsi="ＭＳ 明朝" w:eastAsia="ＭＳ 明朝"/>
          <w:color w:val="000000" w:themeColor="text1"/>
          <w:sz w:val="22"/>
          <w:highlight w:val="none"/>
          <w:u w:val="none" w:color="auto"/>
        </w:rPr>
        <w:t>医師・歯科医師・薬剤師統計により届出のあった本県の歯科医師数は、</w:t>
      </w:r>
      <w:r>
        <w:rPr>
          <w:rFonts w:hint="eastAsia" w:ascii="ＭＳ 明朝" w:hAnsi="ＭＳ 明朝" w:eastAsia="ＭＳ 明朝"/>
          <w:color w:val="000000" w:themeColor="text1"/>
          <w:sz w:val="22"/>
          <w:highlight w:val="none"/>
          <w:u w:val="none" w:color="auto"/>
        </w:rPr>
        <w:t>497</w:t>
      </w:r>
      <w:r>
        <w:rPr>
          <w:rFonts w:hint="eastAsia" w:ascii="ＭＳ 明朝" w:hAnsi="ＭＳ 明朝" w:eastAsia="ＭＳ 明朝"/>
          <w:color w:val="000000" w:themeColor="text1"/>
          <w:sz w:val="22"/>
          <w:highlight w:val="none"/>
          <w:u w:val="none" w:color="auto"/>
        </w:rPr>
        <w:t>人であり、平成</w:t>
      </w:r>
      <w:r>
        <w:rPr>
          <w:rFonts w:hint="eastAsia" w:ascii="ＭＳ 明朝" w:hAnsi="ＭＳ 明朝" w:eastAsia="ＭＳ 明朝"/>
          <w:color w:val="000000" w:themeColor="text1"/>
          <w:sz w:val="22"/>
          <w:highlight w:val="none"/>
          <w:u w:val="none" w:color="auto"/>
        </w:rPr>
        <w:t>30</w:t>
      </w:r>
      <w:r>
        <w:rPr>
          <w:rFonts w:hint="eastAsia" w:ascii="ＭＳ 明朝" w:hAnsi="ＭＳ 明朝" w:eastAsia="ＭＳ 明朝"/>
          <w:color w:val="000000" w:themeColor="text1"/>
          <w:sz w:val="22"/>
          <w:highlight w:val="none"/>
          <w:u w:val="none" w:color="auto"/>
        </w:rPr>
        <w:t>年度まで増加</w:t>
      </w:r>
      <w:r>
        <w:rPr>
          <w:rFonts w:hint="eastAsia" w:ascii="ＭＳ 明朝" w:hAnsi="ＭＳ 明朝" w:eastAsia="ＭＳ 明朝"/>
          <w:strike w:val="0"/>
          <w:dstrike w:val="0"/>
          <w:color w:val="000000" w:themeColor="text1"/>
          <w:sz w:val="22"/>
          <w:highlight w:val="none"/>
          <w:u w:val="none" w:color="auto"/>
        </w:rPr>
        <w:t>していた歯科医師数が減少に転じています。</w:t>
      </w:r>
      <w:r>
        <w:rPr>
          <w:rFonts w:hint="eastAsia" w:ascii="ＭＳ 明朝" w:hAnsi="ＭＳ 明朝" w:eastAsia="ＭＳ 明朝"/>
          <w:color w:val="000000" w:themeColor="text1"/>
          <w:sz w:val="22"/>
          <w:highlight w:val="none"/>
          <w:u w:val="none" w:color="auto"/>
        </w:rPr>
        <w:t>人口</w:t>
      </w:r>
      <w:r>
        <w:rPr>
          <w:rFonts w:hint="eastAsia" w:ascii="ＭＳ 明朝" w:hAnsi="ＭＳ 明朝" w:eastAsia="ＭＳ 明朝"/>
          <w:color w:val="000000" w:themeColor="text1"/>
          <w:sz w:val="22"/>
          <w:highlight w:val="none"/>
          <w:u w:val="none" w:color="auto"/>
        </w:rPr>
        <w:t>10</w:t>
      </w:r>
      <w:r>
        <w:rPr>
          <w:rFonts w:hint="eastAsia" w:ascii="ＭＳ 明朝" w:hAnsi="ＭＳ 明朝" w:eastAsia="ＭＳ 明朝"/>
          <w:color w:val="000000" w:themeColor="text1"/>
          <w:sz w:val="22"/>
          <w:highlight w:val="none"/>
          <w:u w:val="none" w:color="auto"/>
        </w:rPr>
        <w:t>万人当たりでは</w:t>
      </w:r>
      <w:r>
        <w:rPr>
          <w:rFonts w:hint="eastAsia" w:ascii="ＭＳ 明朝" w:hAnsi="ＭＳ 明朝" w:eastAsia="ＭＳ 明朝"/>
          <w:color w:val="000000" w:themeColor="text1"/>
          <w:sz w:val="22"/>
          <w:highlight w:val="none"/>
          <w:u w:val="none" w:color="auto"/>
          <w:shd w:val="clear" w:color="auto" w:fill="auto"/>
        </w:rPr>
        <w:t>71.9</w:t>
      </w:r>
      <w:r>
        <w:rPr>
          <w:rFonts w:hint="eastAsia" w:ascii="ＭＳ 明朝" w:hAnsi="ＭＳ 明朝" w:eastAsia="ＭＳ 明朝"/>
          <w:color w:val="000000" w:themeColor="text1"/>
          <w:sz w:val="22"/>
          <w:highlight w:val="none"/>
          <w:u w:val="none" w:color="auto"/>
          <w:shd w:val="clear" w:color="auto" w:fill="auto"/>
        </w:rPr>
        <w:t>人</w:t>
      </w:r>
      <w:r>
        <w:rPr>
          <w:rFonts w:hint="eastAsia" w:ascii="ＭＳ 明朝" w:hAnsi="ＭＳ 明朝" w:eastAsia="ＭＳ 明朝"/>
          <w:color w:val="000000" w:themeColor="text1"/>
          <w:sz w:val="22"/>
          <w:highlight w:val="none"/>
          <w:u w:val="none" w:color="auto"/>
        </w:rPr>
        <w:t>と全国平均の</w:t>
      </w:r>
      <w:r>
        <w:rPr>
          <w:rFonts w:hint="eastAsia" w:ascii="ＭＳ 明朝" w:hAnsi="ＭＳ 明朝" w:eastAsia="ＭＳ 明朝"/>
          <w:color w:val="000000" w:themeColor="text1"/>
          <w:sz w:val="22"/>
          <w:highlight w:val="none"/>
          <w:u w:val="none" w:color="auto"/>
          <w:shd w:val="clear" w:color="auto" w:fill="auto"/>
        </w:rPr>
        <w:t>85.2</w:t>
      </w:r>
      <w:r>
        <w:rPr>
          <w:rFonts w:hint="eastAsia" w:ascii="ＭＳ 明朝" w:hAnsi="ＭＳ 明朝" w:eastAsia="ＭＳ 明朝"/>
          <w:color w:val="000000" w:themeColor="text1"/>
          <w:sz w:val="22"/>
          <w:highlight w:val="none"/>
          <w:u w:val="none" w:color="auto"/>
          <w:shd w:val="clear" w:color="auto" w:fill="auto"/>
        </w:rPr>
        <w:t>人</w:t>
      </w:r>
      <w:r>
        <w:rPr>
          <w:rFonts w:hint="eastAsia" w:ascii="ＭＳ 明朝" w:hAnsi="ＭＳ 明朝" w:eastAsia="ＭＳ 明朝"/>
          <w:color w:val="000000" w:themeColor="text1"/>
          <w:sz w:val="22"/>
          <w:highlight w:val="none"/>
          <w:u w:val="none" w:color="auto"/>
        </w:rPr>
        <w:t>を下回ってはいるものの、本県と同様に</w:t>
      </w:r>
      <w:r>
        <w:rPr>
          <w:rFonts w:hint="eastAsia" w:ascii="ＭＳ 明朝" w:hAnsi="ＭＳ 明朝" w:eastAsia="ＭＳ 明朝"/>
          <w:color w:val="000000" w:themeColor="text1"/>
          <w:sz w:val="22"/>
          <w:highlight w:val="none"/>
          <w:u w:val="none" w:color="auto"/>
          <w:shd w:val="clear" w:color="auto" w:fill="auto"/>
        </w:rPr>
        <w:t>歯科医師の養成施設がない中四国の各県とほぼ同様の水準</w:t>
      </w:r>
      <w:r>
        <w:rPr>
          <w:rFonts w:hint="eastAsia" w:ascii="ＭＳ 明朝" w:hAnsi="ＭＳ 明朝" w:eastAsia="ＭＳ 明朝"/>
          <w:color w:val="000000" w:themeColor="text1"/>
          <w:sz w:val="22"/>
          <w:highlight w:val="none"/>
          <w:u w:val="none" w:color="auto"/>
        </w:rPr>
        <w:t>です。保健医療圏別にみると</w:t>
      </w:r>
      <w:r>
        <w:rPr>
          <w:rFonts w:hint="eastAsia" w:ascii="ＭＳ 明朝" w:hAnsi="ＭＳ 明朝" w:eastAsia="ＭＳ 明朝"/>
          <w:color w:val="000000" w:themeColor="text1"/>
          <w:sz w:val="22"/>
          <w:highlight w:val="none"/>
          <w:u w:val="none" w:color="auto"/>
          <w:shd w:val="clear" w:color="auto" w:fill="auto"/>
        </w:rPr>
        <w:t>安芸</w:t>
      </w:r>
      <w:r>
        <w:rPr>
          <w:rFonts w:hint="eastAsia" w:ascii="ＭＳ 明朝" w:hAnsi="ＭＳ 明朝" w:eastAsia="ＭＳ 明朝"/>
          <w:color w:val="000000" w:themeColor="text1"/>
          <w:sz w:val="22"/>
          <w:highlight w:val="none"/>
          <w:u w:val="none" w:color="auto"/>
          <w:shd w:val="clear" w:color="auto" w:fill="auto"/>
        </w:rPr>
        <w:t>27</w:t>
      </w:r>
      <w:r>
        <w:rPr>
          <w:rFonts w:hint="eastAsia" w:ascii="ＭＳ 明朝" w:hAnsi="ＭＳ 明朝" w:eastAsia="ＭＳ 明朝"/>
          <w:color w:val="000000" w:themeColor="text1"/>
          <w:sz w:val="22"/>
          <w:highlight w:val="none"/>
          <w:u w:val="none" w:color="auto"/>
          <w:shd w:val="clear" w:color="auto" w:fill="auto"/>
        </w:rPr>
        <w:t>人、中央</w:t>
      </w:r>
      <w:r>
        <w:rPr>
          <w:rFonts w:hint="eastAsia" w:ascii="ＭＳ 明朝" w:hAnsi="ＭＳ 明朝" w:eastAsia="ＭＳ 明朝"/>
          <w:color w:val="000000" w:themeColor="text1"/>
          <w:sz w:val="22"/>
          <w:highlight w:val="none"/>
          <w:u w:val="none" w:color="auto"/>
          <w:shd w:val="clear" w:color="auto" w:fill="auto"/>
        </w:rPr>
        <w:t>387</w:t>
      </w:r>
      <w:r>
        <w:rPr>
          <w:rFonts w:hint="eastAsia" w:ascii="ＭＳ 明朝" w:hAnsi="ＭＳ 明朝" w:eastAsia="ＭＳ 明朝"/>
          <w:color w:val="000000" w:themeColor="text1"/>
          <w:sz w:val="22"/>
          <w:highlight w:val="none"/>
          <w:u w:val="none" w:color="auto"/>
          <w:shd w:val="clear" w:color="auto" w:fill="auto"/>
        </w:rPr>
        <w:t>人（高知市</w:t>
      </w:r>
      <w:r>
        <w:rPr>
          <w:rFonts w:hint="eastAsia" w:ascii="ＭＳ 明朝" w:hAnsi="ＭＳ 明朝" w:eastAsia="ＭＳ 明朝"/>
          <w:color w:val="000000" w:themeColor="text1"/>
          <w:sz w:val="22"/>
          <w:highlight w:val="none"/>
          <w:u w:val="none" w:color="auto"/>
          <w:shd w:val="clear" w:color="auto" w:fill="auto"/>
        </w:rPr>
        <w:t>279</w:t>
      </w:r>
      <w:r>
        <w:rPr>
          <w:rFonts w:hint="eastAsia" w:ascii="ＭＳ 明朝" w:hAnsi="ＭＳ 明朝" w:eastAsia="ＭＳ 明朝"/>
          <w:color w:val="000000" w:themeColor="text1"/>
          <w:sz w:val="22"/>
          <w:highlight w:val="none"/>
          <w:u w:val="none" w:color="auto"/>
          <w:shd w:val="clear" w:color="auto" w:fill="auto"/>
        </w:rPr>
        <w:t>人）、高幡</w:t>
      </w:r>
      <w:r>
        <w:rPr>
          <w:rFonts w:hint="eastAsia" w:ascii="ＭＳ 明朝" w:hAnsi="ＭＳ 明朝" w:eastAsia="ＭＳ 明朝"/>
          <w:color w:val="000000" w:themeColor="text1"/>
          <w:sz w:val="22"/>
          <w:highlight w:val="none"/>
          <w:u w:val="none" w:color="auto"/>
          <w:shd w:val="clear" w:color="auto" w:fill="auto"/>
        </w:rPr>
        <w:t>28</w:t>
      </w:r>
      <w:r>
        <w:rPr>
          <w:rFonts w:hint="eastAsia" w:ascii="ＭＳ 明朝" w:hAnsi="ＭＳ 明朝" w:eastAsia="ＭＳ 明朝"/>
          <w:color w:val="000000" w:themeColor="text1"/>
          <w:sz w:val="22"/>
          <w:highlight w:val="none"/>
          <w:u w:val="none" w:color="auto"/>
          <w:shd w:val="clear" w:color="auto" w:fill="auto"/>
        </w:rPr>
        <w:t>人、幡多</w:t>
      </w:r>
      <w:r>
        <w:rPr>
          <w:rFonts w:hint="eastAsia" w:ascii="ＭＳ 明朝" w:hAnsi="ＭＳ 明朝" w:eastAsia="ＭＳ 明朝"/>
          <w:color w:val="000000" w:themeColor="text1"/>
          <w:sz w:val="22"/>
          <w:highlight w:val="none"/>
          <w:u w:val="none" w:color="auto"/>
          <w:shd w:val="clear" w:color="auto" w:fill="auto"/>
        </w:rPr>
        <w:t>55</w:t>
      </w:r>
      <w:r>
        <w:rPr>
          <w:rFonts w:hint="eastAsia" w:ascii="ＭＳ 明朝" w:hAnsi="ＭＳ 明朝" w:eastAsia="ＭＳ 明朝"/>
          <w:color w:val="000000" w:themeColor="text1"/>
          <w:sz w:val="22"/>
          <w:highlight w:val="none"/>
          <w:u w:val="none" w:color="auto"/>
          <w:shd w:val="clear" w:color="auto" w:fill="auto"/>
        </w:rPr>
        <w:t>人</w:t>
      </w:r>
      <w:r>
        <w:rPr>
          <w:rFonts w:hint="eastAsia" w:ascii="ＭＳ 明朝" w:hAnsi="ＭＳ 明朝" w:eastAsia="ＭＳ 明朝"/>
          <w:color w:val="000000" w:themeColor="text1"/>
          <w:sz w:val="22"/>
          <w:highlight w:val="none"/>
          <w:u w:val="none" w:color="auto"/>
        </w:rPr>
        <w:t>となっており、中央圏域（高知市）を除く中山間地域には歯科医師が少ない状況にあります。</w:t>
      </w:r>
    </w:p>
    <w:p>
      <w:pPr>
        <w:pStyle w:val="0"/>
        <w:ind w:left="227" w:leftChars="100" w:firstLine="227" w:firstLineChars="100"/>
        <w:rPr>
          <w:rFonts w:hint="eastAsia" w:ascii="ＭＳ 明朝" w:hAnsi="ＭＳ 明朝" w:eastAsia="ＭＳ 明朝"/>
          <w:sz w:val="22"/>
          <w:highlight w:val="none"/>
        </w:rPr>
      </w:pPr>
      <w:r>
        <w:rPr>
          <w:rFonts w:hint="eastAsia" w:ascii="ＭＳ 明朝" w:hAnsi="ＭＳ 明朝" w:eastAsia="ＭＳ 明朝"/>
          <w:color w:val="000000" w:themeColor="text1"/>
          <w:sz w:val="22"/>
          <w:highlight w:val="none"/>
          <w:u w:val="none" w:color="auto"/>
        </w:rPr>
        <w:t>また、歯科医師の平均年齢は年を追うごとに高くなっており、歯科医師の引退に伴う診療所の閉院などにより、中山間地域を中心として歯科保健医療の提供が難しくなっている地域もあります。中・長期にわたって安定的に若手の歯科医師を確保することが必要です。</w:t>
      </w:r>
    </w:p>
    <w:p>
      <w:pPr>
        <w:pStyle w:val="0"/>
        <w:ind w:left="0" w:leftChars="0" w:firstLine="210" w:firstLineChars="100"/>
        <w:jc w:val="center"/>
        <w:rPr>
          <w:rFonts w:hint="eastAsia" w:ascii="ＭＳ 明朝" w:hAnsi="ＭＳ 明朝" w:eastAsia="ＭＳ 明朝"/>
          <w:spacing w:val="6"/>
          <w:sz w:val="22"/>
          <w:highlight w:val="none"/>
        </w:rPr>
      </w:pPr>
      <w:r>
        <w:rPr>
          <w:rFonts w:hint="default" w:ascii="ＭＳ ゴシック" w:hAnsi="ＭＳ ゴシック" w:eastAsia="ＭＳ ゴシック"/>
          <w:spacing w:val="6"/>
          <w:sz w:val="21"/>
          <w:highlight w:val="none"/>
        </w:rPr>
        <mc:AlternateContent>
          <mc:Choice Requires="wps">
            <w:drawing>
              <wp:anchor simplePos="0" relativeHeight="81" behindDoc="0" locked="0" layoutInCell="1" hidden="0" allowOverlap="1">
                <wp:simplePos x="0" y="0"/>
                <wp:positionH relativeFrom="column">
                  <wp:posOffset>-214630</wp:posOffset>
                </wp:positionH>
                <wp:positionV relativeFrom="paragraph">
                  <wp:posOffset>144145</wp:posOffset>
                </wp:positionV>
                <wp:extent cx="142875" cy="419100"/>
                <wp:effectExtent l="0" t="0" r="635" b="635"/>
                <wp:wrapNone/>
                <wp:docPr id="1265" name="オブジェクト 0"/>
                <a:graphic xmlns:a="http://schemas.openxmlformats.org/drawingml/2006/main">
                  <a:graphicData uri="http://schemas.microsoft.com/office/word/2010/wordprocessingShape">
                    <wps:wsp>
                      <wps:cNvPr id="1265" name="オブジェクト 0"/>
                      <wps:cNvSpPr>
                        <a:spLocks noChangeArrowheads="1"/>
                      </wps:cNvSpPr>
                      <wps:spPr>
                        <a:xfrm>
                          <a:off x="0" y="0"/>
                          <a:ext cx="142875" cy="419100"/>
                        </a:xfrm>
                        <a:prstGeom prst="rect">
                          <a:avLst/>
                        </a:prstGeom>
                        <a:solidFill>
                          <a:srgbClr val="FFFFFF"/>
                        </a:solidFill>
                        <a:ln>
                          <a:miter/>
                        </a:ln>
                      </wps:spPr>
                      <wps:bodyPr/>
                    </wps:wsp>
                  </a:graphicData>
                </a:graphic>
              </wp:anchor>
            </w:drawing>
          </mc:Choice>
          <mc:Fallback>
            <w:pict>
              <v:rect id="オブジェクト 0" style="margin-top:11.35pt;mso-position-vertical-relative:text;mso-position-horizontal-relative:text;position:absolute;height:33pt;width:11.25pt;margin-left:-16.89pt;z-index:81;" o:spid="_x0000_s1265" o:allowincell="t" o:allowoverlap="t" filled="t" fillcolor="#ffffff" stroked="f" o:spt="1">
                <v:fill/>
                <v:textbox style="layout-flow:horizontal;"/>
                <v:imagedata o:title=""/>
                <w10:wrap type="none" anchorx="text" anchory="text"/>
              </v:rect>
            </w:pict>
          </mc:Fallback>
        </mc:AlternateContent>
      </w:r>
      <w:r>
        <w:rPr>
          <w:rFonts w:hint="eastAsia"/>
        </w:rPr>
        <mc:AlternateContent>
          <mc:Choice Requires="wpg">
            <w:drawing>
              <wp:anchor simplePos="0" relativeHeight="249" behindDoc="1" locked="0" layoutInCell="1" hidden="0" allowOverlap="1">
                <wp:simplePos x="0" y="0"/>
                <wp:positionH relativeFrom="column">
                  <wp:posOffset>1019810</wp:posOffset>
                </wp:positionH>
                <wp:positionV relativeFrom="paragraph">
                  <wp:posOffset>144145</wp:posOffset>
                </wp:positionV>
                <wp:extent cx="3696970" cy="2269490"/>
                <wp:effectExtent l="0" t="0" r="0" b="0"/>
                <wp:wrapNone/>
                <wp:docPr id="1266" name="オブジェクト 0"/>
                <a:graphic xmlns:a="http://schemas.openxmlformats.org/drawingml/2006/main">
                  <a:graphicData uri="http://schemas.microsoft.com/office/word/2010/wordprocessingGroup">
                    <wpg:wgp>
                      <wpg:cNvGrpSpPr/>
                      <wpg:grpSpPr>
                        <a:xfrm>
                          <a:off x="0" y="0"/>
                          <a:ext cx="3696970" cy="2269490"/>
                          <a:chOff x="3024" y="8750"/>
                          <a:chExt cx="5822" cy="3574"/>
                        </a:xfrm>
                      </wpg:grpSpPr>
                      <wps:wsp>
                        <wps:cNvPr id="1267" name="オブジェクト 0"/>
                        <wps:cNvSpPr txBox="1">
                          <a:spLocks noChangeArrowheads="1"/>
                        </wps:cNvSpPr>
                        <wps:spPr>
                          <a:xfrm>
                            <a:off x="3024" y="8936"/>
                            <a:ext cx="873" cy="494"/>
                          </a:xfrm>
                          <a:prstGeom prst="rect">
                            <a:avLst/>
                          </a:prstGeom>
                          <a:noFill/>
                          <a:ln>
                            <a:miter/>
                          </a:ln>
                        </wps:spPr>
                        <wps:txbx>
                          <w:txbxContent>
                            <w:p>
                              <w:pPr>
                                <w:pStyle w:val="0"/>
                                <w:rPr>
                                  <w:rFonts w:hint="eastAsia" w:ascii="ＭＳ 明朝" w:hAnsi="ＭＳ 明朝" w:eastAsia="ＭＳ 明朝"/>
                                  <w:sz w:val="16"/>
                                </w:rPr>
                              </w:pPr>
                              <w:r>
                                <w:rPr>
                                  <w:rFonts w:hint="eastAsia" w:ascii="ＭＳ 明朝" w:hAnsi="ＭＳ 明朝" w:eastAsia="ＭＳ 明朝"/>
                                  <w:sz w:val="16"/>
                                </w:rPr>
                                <w:t>（人）</w:t>
                              </w:r>
                            </w:p>
                          </w:txbxContent>
                        </wps:txbx>
                        <wps:bodyPr vertOverflow="overflow" horzOverflow="overflow" wrap="square" upright="1">
                          <a:spAutoFit/>
                        </wps:bodyPr>
                      </wps:wsp>
                      <pic:pic xmlns:pic="http://schemas.openxmlformats.org/drawingml/2006/picture">
                        <pic:nvPicPr>
                          <pic:cNvPr id="1268" name="図 18"/>
                          <pic:cNvPicPr>
                            <a:picLocks noChangeAspect="1"/>
                          </pic:cNvPicPr>
                        </pic:nvPicPr>
                        <pic:blipFill>
                          <a:blip r:embed="rId51"/>
                          <a:stretch>
                            <a:fillRect/>
                          </a:stretch>
                        </pic:blipFill>
                        <pic:spPr>
                          <a:xfrm>
                            <a:off x="3698" y="8984"/>
                            <a:ext cx="5148" cy="3340"/>
                          </a:xfrm>
                          <a:prstGeom prst="rect">
                            <a:avLst/>
                          </a:prstGeom>
                        </pic:spPr>
                      </pic:pic>
                      <wps:wsp>
                        <wps:cNvPr id="1269" name="オブジェクト 0"/>
                        <wps:cNvSpPr txBox="1">
                          <a:spLocks noChangeArrowheads="1"/>
                        </wps:cNvSpPr>
                        <wps:spPr>
                          <a:xfrm>
                            <a:off x="5268" y="8750"/>
                            <a:ext cx="1971" cy="494"/>
                          </a:xfrm>
                          <a:prstGeom prst="rect">
                            <a:avLst/>
                          </a:prstGeom>
                          <a:noFill/>
                          <a:ln>
                            <a:miter/>
                          </a:ln>
                        </wps:spPr>
                        <wps:txbx>
                          <w:txbxContent>
                            <w:p>
                              <w:pPr>
                                <w:pStyle w:val="0"/>
                                <w:rPr>
                                  <w:rFonts w:hint="eastAsia" w:ascii="ＭＳ 明朝" w:hAnsi="ＭＳ 明朝" w:eastAsia="ＭＳ 明朝"/>
                                  <w:sz w:val="16"/>
                                </w:rPr>
                              </w:pPr>
                              <w:r>
                                <w:rPr>
                                  <w:rFonts w:hint="eastAsia" w:ascii="ＭＳ 明朝" w:hAnsi="ＭＳ 明朝" w:eastAsia="ＭＳ 明朝"/>
                                  <w:sz w:val="16"/>
                                </w:rPr>
                                <w:t>（平成</w:t>
                              </w:r>
                              <w:r>
                                <w:rPr>
                                  <w:rFonts w:hint="eastAsia" w:ascii="ＭＳ 明朝" w:hAnsi="ＭＳ 明朝" w:eastAsia="ＭＳ 明朝"/>
                                  <w:sz w:val="16"/>
                                </w:rPr>
                                <w:t>14</w:t>
                              </w:r>
                              <w:r>
                                <w:rPr>
                                  <w:rFonts w:hint="eastAsia" w:ascii="ＭＳ 明朝" w:hAnsi="ＭＳ 明朝" w:eastAsia="ＭＳ 明朝"/>
                                  <w:sz w:val="16"/>
                                </w:rPr>
                                <w:t>年＝</w:t>
                              </w:r>
                              <w:r>
                                <w:rPr>
                                  <w:rFonts w:hint="eastAsia" w:ascii="ＭＳ 明朝" w:hAnsi="ＭＳ 明朝" w:eastAsia="ＭＳ 明朝"/>
                                  <w:sz w:val="16"/>
                                </w:rPr>
                                <w:t>100</w:t>
                              </w:r>
                              <w:r>
                                <w:rPr>
                                  <w:rFonts w:hint="eastAsia" w:ascii="ＭＳ 明朝" w:hAnsi="ＭＳ 明朝" w:eastAsia="ＭＳ 明朝"/>
                                  <w:sz w:val="16"/>
                                </w:rPr>
                                <w:t>）</w:t>
                              </w:r>
                            </w:p>
                          </w:txbxContent>
                        </wps:txbx>
                        <wps:bodyPr vertOverflow="overflow" horzOverflow="overflow" upright="1">
                          <a:spAutoFit/>
                        </wps:bodyPr>
                      </wps:wsp>
                    </wpg:wgp>
                  </a:graphicData>
                </a:graphic>
              </wp:anchor>
            </w:drawing>
          </mc:Choice>
          <mc:Fallback>
            <w:pict>
              <v:group id="オブジェクト 0" style="margin-top:11.35pt;mso-position-vertical-relative:text;mso-position-horizontal-relative:text;position:absolute;height:178.7pt;width:291.10000000000002pt;margin-left:80.3pt;z-index:-503316231;" coordsize="5822,3574" coordorigin="3024,8750" o:spid="_x0000_s1266" o:allowincell="t" o:allowoverlap="t">
                <v:shapetype id="_x0000_t202" coordsize="21600,21600" o:spt="202" path="m,l,21600r21600,l21600,xe">
                  <v:stroke joinstyle="miter"/>
                  <v:path gradientshapeok="t" o:connecttype="rect"/>
                </v:shapetype>
                <v:shape id="オブジェクト 0" style="height:494;width:873;top:8936;left:3024;position:absolute;" o:spid="_x0000_s1267" filled="f" stroked="f" o:spt="202" type="#_x0000_t202">
                  <v:fill/>
                  <v:textbox style="layout-flow:horizontal;mso-fit-shape-to-text:t;">
                    <w:txbxContent>
                      <w:p>
                        <w:pPr>
                          <w:pStyle w:val="0"/>
                          <w:rPr>
                            <w:rFonts w:hint="eastAsia" w:ascii="ＭＳ 明朝" w:hAnsi="ＭＳ 明朝" w:eastAsia="ＭＳ 明朝"/>
                            <w:sz w:val="16"/>
                          </w:rPr>
                        </w:pPr>
                        <w:r>
                          <w:rPr>
                            <w:rFonts w:hint="eastAsia" w:ascii="ＭＳ 明朝" w:hAnsi="ＭＳ 明朝" w:eastAsia="ＭＳ 明朝"/>
                            <w:sz w:val="16"/>
                          </w:rPr>
                          <w:t>（人）</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style="height:3340;width:5148;top:8984;left:3698;position:absolute;" o:spid="_x0000_s1268" filled="f" stroked="f" o:spt="75" type="#_x0000_t75">
                  <v:fill/>
                  <v:imagedata o:title="" r:id="rId51"/>
                  <w10:wrap type="none" anchorx="text" anchory="text"/>
                </v:shape>
                <v:shape id="オブジェクト 0" style="height:494;width:1971;top:8750;left:5268;position:absolute;" o:spid="_x0000_s1269" filled="f" stroked="f" o:spt="202" type="#_x0000_t202">
                  <v:fill/>
                  <v:textbox style="layout-flow:horizontal;mso-fit-shape-to-text:t;">
                    <w:txbxContent>
                      <w:p>
                        <w:pPr>
                          <w:pStyle w:val="0"/>
                          <w:rPr>
                            <w:rFonts w:hint="eastAsia" w:ascii="ＭＳ 明朝" w:hAnsi="ＭＳ 明朝" w:eastAsia="ＭＳ 明朝"/>
                            <w:sz w:val="16"/>
                          </w:rPr>
                        </w:pPr>
                        <w:r>
                          <w:rPr>
                            <w:rFonts w:hint="eastAsia" w:ascii="ＭＳ 明朝" w:hAnsi="ＭＳ 明朝" w:eastAsia="ＭＳ 明朝"/>
                            <w:sz w:val="16"/>
                          </w:rPr>
                          <w:t>（平成</w:t>
                        </w:r>
                        <w:r>
                          <w:rPr>
                            <w:rFonts w:hint="eastAsia" w:ascii="ＭＳ 明朝" w:hAnsi="ＭＳ 明朝" w:eastAsia="ＭＳ 明朝"/>
                            <w:sz w:val="16"/>
                          </w:rPr>
                          <w:t>14</w:t>
                        </w:r>
                        <w:r>
                          <w:rPr>
                            <w:rFonts w:hint="eastAsia" w:ascii="ＭＳ 明朝" w:hAnsi="ＭＳ 明朝" w:eastAsia="ＭＳ 明朝"/>
                            <w:sz w:val="16"/>
                          </w:rPr>
                          <w:t>年＝</w:t>
                        </w:r>
                        <w:r>
                          <w:rPr>
                            <w:rFonts w:hint="eastAsia" w:ascii="ＭＳ 明朝" w:hAnsi="ＭＳ 明朝" w:eastAsia="ＭＳ 明朝"/>
                            <w:sz w:val="16"/>
                          </w:rPr>
                          <w:t>100</w:t>
                        </w:r>
                        <w:r>
                          <w:rPr>
                            <w:rFonts w:hint="eastAsia" w:ascii="ＭＳ 明朝" w:hAnsi="ＭＳ 明朝" w:eastAsia="ＭＳ 明朝"/>
                            <w:sz w:val="16"/>
                          </w:rPr>
                          <w:t>）</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4-2-1</w:t>
      </w:r>
      <w:r>
        <w:rPr>
          <w:rFonts w:hint="eastAsia" w:ascii="ＭＳ ゴシック" w:hAnsi="ＭＳ ゴシック" w:eastAsia="ＭＳ ゴシック"/>
          <w:color w:val="auto"/>
          <w:kern w:val="0"/>
          <w:sz w:val="22"/>
          <w:highlight w:val="none"/>
        </w:rPr>
        <w:t>）歯科医師数の推移</w:t>
      </w:r>
    </w:p>
    <w:p>
      <w:pPr>
        <w:pStyle w:val="0"/>
        <w:ind w:left="0" w:leftChars="0" w:firstLine="210" w:firstLineChars="100"/>
        <w:jc w:val="both"/>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spacing w:line="120" w:lineRule="exact"/>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jc w:val="center"/>
        <w:rPr>
          <w:rFonts w:hint="eastAsia" w:ascii="ＭＳ 明朝" w:hAnsi="ＭＳ 明朝" w:eastAsia="ＭＳ 明朝"/>
          <w:spacing w:val="6"/>
          <w:sz w:val="22"/>
          <w:highlight w:val="none"/>
        </w:rPr>
      </w:pPr>
      <w:r>
        <w:rPr>
          <w:rFonts w:hint="eastAsia"/>
        </w:rPr>
        <mc:AlternateContent>
          <mc:Choice Requires="wpg">
            <w:drawing>
              <wp:anchor simplePos="0" relativeHeight="253" behindDoc="1" locked="0" layoutInCell="1" hidden="0" allowOverlap="1">
                <wp:simplePos x="0" y="0"/>
                <wp:positionH relativeFrom="column">
                  <wp:posOffset>1210310</wp:posOffset>
                </wp:positionH>
                <wp:positionV relativeFrom="paragraph">
                  <wp:posOffset>46355</wp:posOffset>
                </wp:positionV>
                <wp:extent cx="4704080" cy="2136775"/>
                <wp:effectExtent l="0" t="0" r="635" b="635"/>
                <wp:wrapNone/>
                <wp:docPr id="1270" name="オブジェクト 0"/>
                <a:graphic xmlns:a="http://schemas.openxmlformats.org/drawingml/2006/main">
                  <a:graphicData uri="http://schemas.microsoft.com/office/word/2010/wordprocessingGroup">
                    <wpg:wgp>
                      <wpg:cNvGrpSpPr/>
                      <wpg:grpSpPr>
                        <a:xfrm>
                          <a:off x="0" y="0"/>
                          <a:ext cx="4704080" cy="2136775"/>
                          <a:chOff x="3324" y="12216"/>
                          <a:chExt cx="7408" cy="3365"/>
                        </a:xfrm>
                      </wpg:grpSpPr>
                      <pic:pic xmlns:pic="http://schemas.openxmlformats.org/drawingml/2006/picture">
                        <pic:nvPicPr>
                          <pic:cNvPr id="1271" name="図 14"/>
                          <pic:cNvPicPr>
                            <a:picLocks noChangeAspect="1"/>
                          </pic:cNvPicPr>
                        </pic:nvPicPr>
                        <pic:blipFill>
                          <a:blip r:embed="rId52"/>
                          <a:stretch>
                            <a:fillRect/>
                          </a:stretch>
                        </pic:blipFill>
                        <pic:spPr>
                          <a:xfrm>
                            <a:off x="4197" y="12216"/>
                            <a:ext cx="3712" cy="3128"/>
                          </a:xfrm>
                          <a:prstGeom prst="rect">
                            <a:avLst/>
                          </a:prstGeom>
                        </pic:spPr>
                      </pic:pic>
                      <wps:wsp>
                        <wps:cNvPr id="1272" name="オブジェクト 0"/>
                        <wps:cNvSpPr txBox="1">
                          <a:spLocks noChangeArrowheads="1"/>
                        </wps:cNvSpPr>
                        <wps:spPr>
                          <a:xfrm>
                            <a:off x="3324" y="12431"/>
                            <a:ext cx="873" cy="494"/>
                          </a:xfrm>
                          <a:prstGeom prst="rect">
                            <a:avLst/>
                          </a:prstGeom>
                          <a:noFill/>
                          <a:ln>
                            <a:miter/>
                          </a:ln>
                        </wps:spPr>
                        <wps:txbx>
                          <w:txbxContent>
                            <w:p>
                              <w:pPr>
                                <w:pStyle w:val="0"/>
                                <w:rPr>
                                  <w:rFonts w:hint="eastAsia" w:ascii="ＭＳ 明朝" w:hAnsi="ＭＳ 明朝" w:eastAsia="ＭＳ 明朝"/>
                                  <w:sz w:val="16"/>
                                </w:rPr>
                              </w:pPr>
                              <w:r>
                                <w:rPr>
                                  <w:rFonts w:hint="eastAsia" w:ascii="ＭＳ 明朝" w:hAnsi="ＭＳ 明朝" w:eastAsia="ＭＳ 明朝"/>
                                  <w:sz w:val="16"/>
                                </w:rPr>
                                <w:t>（歳）</w:t>
                              </w:r>
                            </w:p>
                          </w:txbxContent>
                        </wps:txbx>
                        <wps:bodyPr vertOverflow="overflow" horzOverflow="overflow" wrap="square" upright="1">
                          <a:spAutoFit/>
                        </wps:bodyPr>
                      </wps:wsp>
                      <wps:wsp>
                        <wps:cNvPr id="1273" name="オブジェクト 0"/>
                        <wps:cNvSpPr>
                          <a:spLocks noChangeArrowheads="1"/>
                        </wps:cNvSpPr>
                        <wps:spPr>
                          <a:xfrm>
                            <a:off x="6536" y="15261"/>
                            <a:ext cx="4196" cy="320"/>
                          </a:xfrm>
                          <a:prstGeom prst="rect">
                            <a:avLst/>
                          </a:prstGeom>
                          <a:solidFill>
                            <a:srgbClr val="FFFFFF">
                              <a:alpha val="0"/>
                            </a:srgbClr>
                          </a:solidFill>
                          <a:ln>
                            <a:miter/>
                          </a:ln>
                        </wps:spPr>
                        <wps:txbx>
                          <w:txbxContent>
                            <w:p>
                              <w:pPr>
                                <w:pStyle w:val="0"/>
                                <w:spacing w:line="20" w:lineRule="atLeast"/>
                                <w:jc w:val="left"/>
                                <w:rPr>
                                  <w:rFonts w:hint="eastAsia" w:ascii="ＭＳ 明朝" w:hAnsi="ＭＳ 明朝" w:eastAsia="ＭＳ 明朝"/>
                                </w:rPr>
                              </w:pPr>
                              <w:r>
                                <w:rPr>
                                  <w:rFonts w:hint="eastAsia" w:ascii="ＭＳ 明朝" w:hAnsi="ＭＳ 明朝" w:eastAsia="ＭＳ 明朝"/>
                                  <w:sz w:val="16"/>
                                </w:rPr>
                                <w:t>出典：医師・歯科医師・薬剤師統計（厚生労働省）</w:t>
                              </w:r>
                            </w:p>
                          </w:txbxContent>
                        </wps:txbx>
                        <wps:bodyPr vertOverflow="overflow" horzOverflow="overflow" wrap="square" lIns="74295" tIns="8890" rIns="74295" bIns="8890" anchor="ctr" upright="1"/>
                      </wps:wsp>
                    </wpg:wgp>
                  </a:graphicData>
                </a:graphic>
              </wp:anchor>
            </w:drawing>
          </mc:Choice>
          <mc:Fallback>
            <w:pict>
              <v:group id="オブジェクト 0" style="margin-top:3.65pt;mso-position-vertical-relative:text;mso-position-horizontal-relative:text;position:absolute;height:168.25pt;width:370.4pt;margin-left:95.3pt;z-index:-503316227;" coordsize="7408,3365" coordorigin="3324,12216" o:spid="_x0000_s127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style="height:3128;width:3712;top:12216;left:4197;position:absolute;" o:spid="_x0000_s1271" filled="f" stroked="f" o:spt="75" type="#_x0000_t75">
                  <v:fill/>
                  <v:imagedata o:title="" r:id="rId52"/>
                  <w10:wrap type="none" anchorx="text" anchory="text"/>
                </v:shape>
                <v:shapetype id="_x0000_t202" coordsize="21600,21600" o:spt="202" path="m,l,21600r21600,l21600,xe">
                  <v:stroke joinstyle="miter"/>
                  <v:path gradientshapeok="t" o:connecttype="rect"/>
                </v:shapetype>
                <v:shape id="オブジェクト 0" style="height:494;width:873;top:12431;left:3324;position:absolute;" o:spid="_x0000_s1272" filled="f" stroked="f" o:spt="202" type="#_x0000_t202">
                  <v:fill/>
                  <v:textbox style="layout-flow:horizontal;mso-fit-shape-to-text:t;">
                    <w:txbxContent>
                      <w:p>
                        <w:pPr>
                          <w:pStyle w:val="0"/>
                          <w:rPr>
                            <w:rFonts w:hint="eastAsia" w:ascii="ＭＳ 明朝" w:hAnsi="ＭＳ 明朝" w:eastAsia="ＭＳ 明朝"/>
                            <w:sz w:val="16"/>
                          </w:rPr>
                        </w:pPr>
                        <w:r>
                          <w:rPr>
                            <w:rFonts w:hint="eastAsia" w:ascii="ＭＳ 明朝" w:hAnsi="ＭＳ 明朝" w:eastAsia="ＭＳ 明朝"/>
                            <w:sz w:val="16"/>
                          </w:rPr>
                          <w:t>（歳）</w:t>
                        </w:r>
                      </w:p>
                    </w:txbxContent>
                  </v:textbox>
                  <v:imagedata o:title=""/>
                  <w10:wrap type="none" anchorx="text" anchory="text"/>
                </v:shape>
                <v:rect id="オブジェクト 0" style="height:320;width:4196;top:15261;left:6536;v-text-anchor:middle;position:absolute;" o:spid="_x0000_s1273" filled="t" fillcolor="#ffffff" stroked="f" o:spt="1">
                  <v:fill opacity="0f"/>
                  <v:textbox style="layout-flow:horizontal;" inset="2.0637499999999998mm,0.24694444444444438mm,2.0637499999999998mm,0.24694444444444438mm">
                    <w:txbxContent>
                      <w:p>
                        <w:pPr>
                          <w:pStyle w:val="0"/>
                          <w:spacing w:line="20" w:lineRule="atLeast"/>
                          <w:jc w:val="left"/>
                          <w:rPr>
                            <w:rFonts w:hint="eastAsia" w:ascii="ＭＳ 明朝" w:hAnsi="ＭＳ 明朝" w:eastAsia="ＭＳ 明朝"/>
                          </w:rPr>
                        </w:pPr>
                        <w:r>
                          <w:rPr>
                            <w:rFonts w:hint="eastAsia" w:ascii="ＭＳ 明朝" w:hAnsi="ＭＳ 明朝" w:eastAsia="ＭＳ 明朝"/>
                            <w:sz w:val="16"/>
                          </w:rPr>
                          <w:t>出典：医師・歯科医師・薬剤師統計（厚生労働省）</w:t>
                        </w:r>
                      </w:p>
                    </w:txbxContent>
                  </v:textbox>
                  <v:imagedata o:title=""/>
                  <w10:wrap type="none" anchorx="text" anchory="text"/>
                </v:rect>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4-2-2</w:t>
      </w:r>
      <w:r>
        <w:rPr>
          <w:rFonts w:hint="eastAsia" w:ascii="ＭＳ ゴシック" w:hAnsi="ＭＳ ゴシック" w:eastAsia="ＭＳ ゴシック"/>
          <w:color w:val="auto"/>
          <w:kern w:val="0"/>
          <w:sz w:val="22"/>
          <w:highlight w:val="none"/>
        </w:rPr>
        <w:t>）歯科医師の平均年齢の推移</w:t>
      </w:r>
    </w:p>
    <w:p>
      <w:pPr>
        <w:pStyle w:val="0"/>
        <w:rPr>
          <w:rFonts w:hint="eastAsia" w:ascii="ＭＳ 明朝" w:hAnsi="ＭＳ 明朝" w:eastAsia="ＭＳ 明朝"/>
          <w:spacing w:val="6"/>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期待される役割</w:t>
      </w:r>
    </w:p>
    <w:p>
      <w:pPr>
        <w:pStyle w:val="0"/>
        <w:ind w:left="227" w:leftChars="100" w:firstLine="227" w:firstLineChars="100"/>
        <w:rPr>
          <w:rStyle w:val="30"/>
          <w:rFonts w:hint="eastAsia" w:ascii="ＭＳ 明朝" w:hAnsi="ＭＳ 明朝" w:eastAsia="ＭＳ 明朝"/>
          <w:color w:val="000000" w:themeColor="text1"/>
          <w:sz w:val="22"/>
          <w:highlight w:val="none"/>
          <w:u w:val="none" w:color="auto"/>
        </w:rPr>
      </w:pPr>
      <w:r>
        <w:rPr>
          <w:rStyle w:val="30"/>
          <w:rFonts w:hint="eastAsia" w:ascii="ＭＳ 明朝" w:hAnsi="ＭＳ 明朝" w:eastAsia="ＭＳ 明朝"/>
          <w:sz w:val="22"/>
          <w:highlight w:val="none"/>
        </w:rPr>
        <w:t>生涯に渡り歯と口の健康づくりを推進するため、妊娠期においては早産・低</w:t>
      </w:r>
      <w:r>
        <w:rPr>
          <w:rStyle w:val="30"/>
          <w:rFonts w:hint="eastAsia" w:ascii="ＭＳ 明朝" w:hAnsi="ＭＳ 明朝" w:eastAsia="ＭＳ 明朝"/>
          <w:color w:val="000000" w:themeColor="text1"/>
          <w:sz w:val="22"/>
          <w:highlight w:val="none"/>
          <w:u w:val="none" w:color="auto"/>
        </w:rPr>
        <w:t>出生体重児を出産</w:t>
      </w:r>
      <w:r>
        <w:rPr>
          <w:rStyle w:val="30"/>
          <w:rFonts w:hint="eastAsia" w:ascii="ＭＳ 明朝" w:hAnsi="ＭＳ 明朝" w:eastAsia="ＭＳ 明朝"/>
          <w:strike w:val="0"/>
          <w:dstrike w:val="0"/>
          <w:color w:val="000000" w:themeColor="text1"/>
          <w:sz w:val="22"/>
          <w:highlight w:val="none"/>
          <w:u w:val="none" w:color="auto"/>
        </w:rPr>
        <w:t>する</w:t>
      </w:r>
      <w:r>
        <w:rPr>
          <w:rStyle w:val="30"/>
          <w:rFonts w:hint="eastAsia" w:ascii="ＭＳ 明朝" w:hAnsi="ＭＳ 明朝" w:eastAsia="ＭＳ 明朝"/>
          <w:color w:val="000000" w:themeColor="text1"/>
          <w:sz w:val="22"/>
          <w:highlight w:val="none"/>
          <w:u w:val="none" w:color="auto"/>
        </w:rPr>
        <w:t>リスクに歯周病がなることの理解や定期的な歯科健診の重要性についての周知、学齢期においては効果的なむし歯予防法として学校でのフッ化物洗口の実施を推進する必要があります。加えて、歯周病が糖尿病を始めとした全身疾患に影響を与えることから医科歯科連携の推進を図ることや、高齢期等における口腔衛生状態の改善や摂食嚥下機能の向上を図ることで誤嚥性肺炎の予防やＡＤＬ（日常生活動作）の改善につなげることが重要になっています。さらに、</w:t>
      </w:r>
      <w:r>
        <w:rPr>
          <w:rFonts w:hint="eastAsia" w:ascii="ＭＳ 明朝" w:hAnsi="ＭＳ 明朝" w:eastAsia="ＭＳ 明朝"/>
          <w:color w:val="000000" w:themeColor="text1"/>
          <w:sz w:val="22"/>
          <w:highlight w:val="none"/>
          <w:u w:val="none" w:color="auto"/>
        </w:rPr>
        <w:t>高齢化の進行により介護を必要とする人も増加しているため、居宅や高齢者施設などでの訪問歯科診療のニーズが高まっており、これらを担う歯科医師の確保と、訪問歯科診療に必要な専門技術のスキルアップが必要です。</w:t>
      </w:r>
    </w:p>
    <w:p>
      <w:pPr>
        <w:pStyle w:val="0"/>
        <w:ind w:left="227" w:leftChars="100" w:firstLine="227" w:firstLineChars="100"/>
        <w:rPr>
          <w:rFonts w:hint="eastAsia" w:ascii="ＭＳ 明朝" w:hAnsi="ＭＳ 明朝" w:eastAsia="ＭＳ 明朝"/>
          <w:sz w:val="22"/>
          <w:highlight w:val="none"/>
        </w:rPr>
      </w:pPr>
      <w:r>
        <w:rPr>
          <w:rFonts w:hint="eastAsia" w:ascii="ＭＳ 明朝" w:hAnsi="ＭＳ 明朝" w:eastAsia="ＭＳ 明朝"/>
          <w:color w:val="000000" w:themeColor="text1"/>
          <w:sz w:val="22"/>
          <w:highlight w:val="none"/>
          <w:u w:val="none" w:color="auto"/>
        </w:rPr>
        <w:t>また、南海トラフ地震など大規模災害には、口腔領域の外傷対応に加え、死亡者の身元確認や被災者への口腔ケアなど多くの役割を担います。このため、災害時のマンパワーや通信連絡手段の確保、医療救護活動の体制について、更なる</w:t>
      </w:r>
      <w:r>
        <w:rPr>
          <w:rFonts w:hint="eastAsia" w:ascii="ＭＳ 明朝" w:hAnsi="ＭＳ 明朝" w:eastAsia="ＭＳ 明朝"/>
          <w:sz w:val="22"/>
          <w:highlight w:val="none"/>
        </w:rPr>
        <w:t>検討を進める必要があります。</w:t>
      </w:r>
    </w:p>
    <w:p>
      <w:pPr>
        <w:pStyle w:val="0"/>
        <w:spacing w:line="160" w:lineRule="exact"/>
        <w:ind w:left="227" w:leftChars="100" w:firstLine="227" w:firstLineChars="10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shd w:val="clear" w:color="auto" w:fill="E5DFEC"/>
        </w:rPr>
      </w:pPr>
      <w:r>
        <w:rPr>
          <w:rFonts w:hint="eastAsia" w:ascii="ＭＳ 明朝" w:hAnsi="ＭＳ 明朝" w:eastAsia="ＭＳ 明朝"/>
          <w:b w:val="1"/>
          <w:sz w:val="22"/>
          <w:highlight w:val="none"/>
          <w:bdr w:val="single" w:color="auto" w:sz="4" w:space="0"/>
          <w:shd w:val="clear" w:color="auto" w:fill="E5DFEC"/>
        </w:rPr>
        <w:t>対策</w:t>
      </w:r>
    </w:p>
    <w:p>
      <w:pPr>
        <w:pStyle w:val="0"/>
        <w:rPr>
          <w:rFonts w:hint="eastAsia" w:ascii="ＭＳ 明朝" w:hAnsi="ＭＳ 明朝" w:eastAsia="ＭＳ 明朝"/>
          <w:b w:val="1"/>
          <w:color w:val="0070C0"/>
          <w:sz w:val="22"/>
          <w:highlight w:val="none"/>
          <w:u w:val="single" w:color="auto"/>
        </w:rPr>
      </w:pPr>
      <w:r>
        <w:rPr>
          <w:rFonts w:hint="eastAsia" w:ascii="ＭＳ 明朝" w:hAnsi="ＭＳ 明朝" w:eastAsia="ＭＳ 明朝"/>
          <w:b w:val="1"/>
          <w:color w:val="2F76B7" w:themeColor="accent1" w:themeShade="C0"/>
          <w:sz w:val="22"/>
          <w:highlight w:val="none"/>
          <w:u w:val="none" w:color="auto"/>
        </w:rPr>
        <w:t>１　中山間地域で歯科保健医療の提供を担う歯科医師の確保</w:t>
      </w:r>
    </w:p>
    <w:p>
      <w:pPr>
        <w:pStyle w:val="0"/>
        <w:ind w:left="210" w:leftChars="100" w:firstLineChars="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u w:val="none" w:color="auto"/>
        </w:rPr>
        <w:t>　</w:t>
      </w:r>
      <w:r>
        <w:rPr>
          <w:rFonts w:hint="eastAsia" w:ascii="ＭＳ 明朝" w:hAnsi="ＭＳ 明朝" w:eastAsia="ＭＳ 明朝"/>
          <w:color w:val="000000" w:themeColor="text1"/>
          <w:sz w:val="22"/>
          <w:highlight w:val="none"/>
          <w:u w:val="none" w:color="auto"/>
        </w:rPr>
        <w:t>県は、歯科医師会などと連携して、歯科医師の確保や育成支援を行います。とりわけ、近い将来、不足するおそれがある中山間地域での歯科保健医療の提供を担う人材の確保に努めます。</w:t>
      </w:r>
    </w:p>
    <w:p>
      <w:pPr>
        <w:pStyle w:val="0"/>
        <w:spacing w:line="160" w:lineRule="exact"/>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2F76B7" w:themeColor="accent1" w:themeShade="C0"/>
          <w:sz w:val="22"/>
          <w:highlight w:val="none"/>
          <w:u w:val="none" w:color="auto"/>
        </w:rPr>
        <w:t>２</w:t>
      </w:r>
      <w:r>
        <w:rPr>
          <w:rFonts w:hint="eastAsia" w:ascii="ＭＳ 明朝" w:hAnsi="ＭＳ 明朝" w:eastAsia="ＭＳ 明朝"/>
          <w:b w:val="1"/>
          <w:color w:val="0070C0"/>
          <w:sz w:val="22"/>
          <w:highlight w:val="none"/>
        </w:rPr>
        <w:t>　多様化する役割への対応</w:t>
      </w:r>
    </w:p>
    <w:p>
      <w:pPr>
        <w:pStyle w:val="0"/>
        <w:overflowPunct w:val="1"/>
        <w:adjustRightInd w:val="1"/>
        <w:ind w:left="227" w:leftChars="100" w:firstLine="227" w:firstLineChars="100"/>
        <w:textAlignment w:val="auto"/>
        <w:rPr>
          <w:rFonts w:hint="eastAsia" w:ascii="ＭＳ 明朝" w:hAnsi="ＭＳ 明朝" w:eastAsia="ＭＳ 明朝"/>
          <w:sz w:val="22"/>
          <w:highlight w:val="none"/>
        </w:rPr>
      </w:pPr>
      <w:r>
        <w:rPr>
          <w:rFonts w:hint="eastAsia" w:ascii="ＭＳ 明朝" w:hAnsi="ＭＳ 明朝" w:eastAsia="ＭＳ 明朝"/>
          <w:sz w:val="22"/>
          <w:highlight w:val="none"/>
        </w:rPr>
        <w:t>県は、歯科医師会と連携して、むし歯・歯周病</w:t>
      </w:r>
      <w:r>
        <w:rPr>
          <w:rFonts w:hint="eastAsia" w:ascii="ＭＳ 明朝" w:hAnsi="ＭＳ 明朝" w:eastAsia="ＭＳ 明朝"/>
          <w:i w:val="0"/>
          <w:color w:val="000000" w:themeColor="text1"/>
          <w:sz w:val="22"/>
          <w:highlight w:val="none"/>
          <w:u w:val="none" w:color="auto"/>
        </w:rPr>
        <w:t>予防</w:t>
      </w:r>
      <w:r>
        <w:rPr>
          <w:rFonts w:hint="eastAsia" w:ascii="ＭＳ 明朝" w:hAnsi="ＭＳ 明朝" w:eastAsia="ＭＳ 明朝"/>
          <w:color w:val="000000" w:themeColor="text1"/>
          <w:sz w:val="22"/>
          <w:highlight w:val="none"/>
          <w:u w:val="none" w:color="auto"/>
        </w:rPr>
        <w:t>対策や訪問歯科診療</w:t>
      </w:r>
      <w:r>
        <w:rPr>
          <w:rFonts w:hint="eastAsia" w:ascii="ＭＳ 明朝" w:hAnsi="ＭＳ 明朝" w:eastAsia="ＭＳ 明朝"/>
          <w:sz w:val="22"/>
          <w:highlight w:val="none"/>
        </w:rPr>
        <w:t>の充実、災害時の応急対応・口腔ケア対策といった、多様化する歯科保健医療に適切に対応するための研修などを行うことにより人材の育成と確保に努めます。</w:t>
      </w:r>
    </w:p>
    <w:p>
      <w:pPr>
        <w:pStyle w:val="0"/>
        <w:overflowPunct w:val="1"/>
        <w:adjustRightInd w:val="1"/>
        <w:spacing w:line="160" w:lineRule="exact"/>
        <w:textAlignment w:val="auto"/>
        <w:rPr>
          <w:rFonts w:hint="eastAsia" w:ascii="ＭＳ 明朝" w:hAnsi="ＭＳ 明朝" w:eastAsia="ＭＳ 明朝"/>
          <w:sz w:val="22"/>
          <w:highlight w:val="none"/>
        </w:rPr>
      </w:pPr>
    </w:p>
    <w:p>
      <w:pPr>
        <w:pStyle w:val="0"/>
        <w:overflowPunct w:val="1"/>
        <w:adjustRightInd w:val="1"/>
        <w:textAlignment w:val="auto"/>
        <w:rPr>
          <w:rFonts w:hint="eastAsia" w:ascii="ＭＳ 明朝" w:hAnsi="ＭＳ 明朝" w:eastAsia="ＭＳ 明朝"/>
          <w:b w:val="1"/>
          <w:color w:val="0070C0"/>
          <w:sz w:val="22"/>
          <w:highlight w:val="none"/>
        </w:rPr>
      </w:pPr>
      <w:r>
        <w:rPr>
          <w:rFonts w:hint="eastAsia" w:ascii="ＭＳ 明朝" w:hAnsi="ＭＳ 明朝" w:eastAsia="ＭＳ 明朝"/>
          <w:b w:val="1"/>
          <w:color w:val="2F76B7" w:themeColor="accent1" w:themeShade="C0"/>
          <w:sz w:val="22"/>
          <w:highlight w:val="none"/>
          <w:u w:val="none" w:color="auto"/>
        </w:rPr>
        <w:t>３</w:t>
      </w:r>
      <w:r>
        <w:rPr>
          <w:rFonts w:hint="eastAsia" w:ascii="ＭＳ 明朝" w:hAnsi="ＭＳ 明朝" w:eastAsia="ＭＳ 明朝"/>
          <w:b w:val="1"/>
          <w:color w:val="0070C0"/>
          <w:sz w:val="22"/>
          <w:highlight w:val="none"/>
        </w:rPr>
        <w:t>　大規模災害への対応</w:t>
      </w:r>
    </w:p>
    <w:p>
      <w:pPr>
        <w:pStyle w:val="0"/>
        <w:ind w:left="210" w:leftChars="100" w:firstLine="210"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県は、災害時における地域住民の健康を守るため、それぞれの地域で歯科医師会、医師会、薬剤師会、看護協会などとの連携及び情報共有を進め、災害時に機能する連絡網の整備と歯科医師の派遣体制の検討を行います。また、避難所などで歯科治療を行うための携帯用歯科医療機器の整備を行うとともに、災害時に対応できる人材の確保に努めます。</w:t>
      </w:r>
    </w:p>
    <w:p>
      <w:pPr>
        <w:pStyle w:val="0"/>
        <w:spacing w:line="160" w:lineRule="exact"/>
        <w:ind w:left="210" w:leftChars="100" w:firstLine="210" w:firstLineChars="10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bdr w:val="single" w:color="auto" w:sz="4" w:space="0"/>
          <w:shd w:val="clear" w:color="auto" w:fill="E5DFEC"/>
        </w:rPr>
      </w:pPr>
      <w:r>
        <w:rPr>
          <w:rFonts w:hint="eastAsia" w:ascii="ＭＳ 明朝" w:hAnsi="ＭＳ 明朝" w:eastAsia="ＭＳ 明朝"/>
          <w:b w:val="1"/>
          <w:sz w:val="22"/>
          <w:highlight w:val="none"/>
          <w:bdr w:val="single" w:color="auto" w:sz="4" w:space="0"/>
          <w:shd w:val="clear" w:color="auto" w:fill="E5DFEC"/>
        </w:rPr>
        <w:t>目標</w:t>
      </w:r>
    </w:p>
    <w:p>
      <w:pPr>
        <w:pStyle w:val="0"/>
        <w:overflowPunct w:val="1"/>
        <w:adjustRightInd w:val="1"/>
        <w:ind w:firstLine="227" w:firstLineChars="100"/>
        <w:textAlignment w:val="auto"/>
        <w:rPr>
          <w:rFonts w:hint="eastAsia"/>
          <w:color w:val="000000" w:themeColor="text1"/>
          <w:sz w:val="22"/>
          <w:highlight w:val="none"/>
          <w:u w:val="none" w:color="auto"/>
        </w:rPr>
      </w:pPr>
      <w:r>
        <w:rPr>
          <w:rFonts w:hint="eastAsia" w:ascii="ＭＳ 明朝" w:hAnsi="ＭＳ 明朝" w:eastAsia="ＭＳ 明朝"/>
          <w:sz w:val="22"/>
          <w:highlight w:val="none"/>
        </w:rPr>
        <w:t>○　</w:t>
      </w:r>
      <w:r>
        <w:rPr>
          <w:rFonts w:hint="eastAsia" w:ascii="ＭＳ 明朝" w:hAnsi="ＭＳ 明朝" w:eastAsia="ＭＳ 明朝"/>
          <w:color w:val="000000" w:themeColor="text1"/>
          <w:sz w:val="22"/>
          <w:highlight w:val="none"/>
          <w:u w:val="none" w:color="auto"/>
        </w:rPr>
        <w:t>関係機関と連携した取組を開始し、歯科医師の減少傾向に歯止めをかけます。</w:t>
      </w:r>
    </w:p>
    <w:p>
      <w:pPr>
        <w:pStyle w:val="0"/>
        <w:overflowPunct w:val="1"/>
        <w:adjustRightInd w:val="1"/>
        <w:ind w:firstLine="630" w:firstLineChars="300"/>
        <w:textAlignment w:val="auto"/>
        <w:rPr>
          <w:rFonts w:hint="eastAsia"/>
          <w:sz w:val="22"/>
          <w:highlight w:val="none"/>
        </w:rPr>
      </w:pPr>
      <w:r>
        <w:rPr>
          <w:rFonts w:hint="eastAsia"/>
          <w:color w:val="000000" w:themeColor="text1"/>
          <w:highlight w:val="none"/>
          <w:u w:val="none" w:color="auto"/>
        </w:rPr>
        <mc:AlternateContent>
          <mc:Choice Requires="wps">
            <w:drawing>
              <wp:anchor distT="0" distB="0" distL="71755" distR="71755" simplePos="0" relativeHeight="82" behindDoc="0" locked="0" layoutInCell="1" hidden="0" allowOverlap="1">
                <wp:simplePos x="0" y="0"/>
                <wp:positionH relativeFrom="column">
                  <wp:posOffset>97155</wp:posOffset>
                </wp:positionH>
                <wp:positionV relativeFrom="paragraph">
                  <wp:posOffset>294005</wp:posOffset>
                </wp:positionV>
                <wp:extent cx="5360670" cy="361315"/>
                <wp:effectExtent l="635" t="635" r="29845" b="10795"/>
                <wp:wrapNone/>
                <wp:docPr id="1274" name="オブジェクト 0"/>
                <a:graphic xmlns:a="http://schemas.openxmlformats.org/drawingml/2006/main">
                  <a:graphicData uri="http://schemas.microsoft.com/office/word/2010/wordprocessingShape">
                    <wps:wsp>
                      <wps:cNvPr id="1274" name="オブジェクト 0"/>
                      <wps:cNvSpPr txBox="1">
                        <a:spLocks noChangeArrowheads="1"/>
                      </wps:cNvSpPr>
                      <wps:spPr>
                        <a:xfrm>
                          <a:off x="0" y="0"/>
                          <a:ext cx="5360670" cy="361315"/>
                        </a:xfrm>
                        <a:prstGeom prst="rect">
                          <a:avLst/>
                        </a:prstGeom>
                        <a:solidFill>
                          <a:srgbClr val="FFFFFF"/>
                        </a:solidFill>
                        <a:ln w="6350" cmpd="sng">
                          <a:solidFill>
                            <a:srgbClr val="000000"/>
                          </a:solidFill>
                          <a:miter/>
                        </a:ln>
                      </wps:spPr>
                      <wps:txbx>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Ｓ（ストラクチャー指標）：医療サービスを提供する物的・人的資源及び組織体制等を測る指標</w:t>
                            </w:r>
                          </w:p>
                          <w:p>
                            <w:pPr>
                              <w:pStyle w:val="0"/>
                              <w:snapToGrid w:val="0"/>
                              <w:ind w:left="0" w:leftChars="0" w:firstLine="0" w:firstLineChars="0"/>
                              <w:rPr>
                                <w:rFonts w:hint="eastAsia"/>
                                <w:sz w:val="16"/>
                              </w:rPr>
                            </w:pPr>
                            <w:r>
                              <w:rPr>
                                <w:rFonts w:hint="eastAsia"/>
                                <w:sz w:val="16"/>
                              </w:rPr>
                              <w:t>　　　　　</w:t>
                            </w:r>
                            <w:r>
                              <w:rPr>
                                <w:rFonts w:hint="eastAsia" w:ascii="ＭＳ 明朝" w:hAnsi="ＭＳ 明朝" w:eastAsia="ＭＳ 明朝"/>
                                <w:color w:val="000000" w:themeColor="text1"/>
                                <w:sz w:val="16"/>
                                <w:u w:val="none" w:color="auto"/>
                              </w:rPr>
                              <w:t>Ｐ（プロセス指標）：実際にサービスを提供する主体の活動や、他機関との連携体制を測る指標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3.15pt;mso-position-vertical-relative:text;mso-position-horizontal-relative:text;position:absolute;height:28.45pt;mso-wrap-distance-top:0pt;width:422.1pt;mso-wrap-distance-left:5.65pt;margin-left:7.65pt;z-index:82;" o:spid="_x0000_s127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Ｓ（ストラクチャー指標）：医療サービスを提供する物的・人的資源及び組織体制等を測る指標</w:t>
                      </w:r>
                    </w:p>
                    <w:p>
                      <w:pPr>
                        <w:pStyle w:val="0"/>
                        <w:snapToGrid w:val="0"/>
                        <w:ind w:left="0" w:leftChars="0" w:firstLine="0" w:firstLineChars="0"/>
                        <w:rPr>
                          <w:rFonts w:hint="eastAsia"/>
                          <w:sz w:val="16"/>
                        </w:rPr>
                      </w:pPr>
                      <w:r>
                        <w:rPr>
                          <w:rFonts w:hint="eastAsia"/>
                          <w:sz w:val="16"/>
                        </w:rPr>
                        <w:t>　　　　　</w:t>
                      </w:r>
                      <w:r>
                        <w:rPr>
                          <w:rFonts w:hint="eastAsia" w:ascii="ＭＳ 明朝" w:hAnsi="ＭＳ 明朝" w:eastAsia="ＭＳ 明朝"/>
                          <w:color w:val="000000" w:themeColor="text1"/>
                          <w:sz w:val="16"/>
                          <w:u w:val="none" w:color="auto"/>
                        </w:rPr>
                        <w:t>Ｐ（プロセス指標）：実際にサービスを提供する主体の活動や、他機関との連携体制を測る指標</w:t>
                      </w:r>
                    </w:p>
                  </w:txbxContent>
                </v:textbox>
                <v:imagedata o:title=""/>
                <w10:wrap type="none" anchorx="text" anchory="text"/>
              </v:shape>
            </w:pict>
          </mc:Fallback>
        </mc:AlternateContent>
      </w:r>
      <w:r>
        <w:rPr>
          <w:rFonts w:hint="eastAsia" w:ascii="ＭＳ 明朝" w:hAnsi="ＭＳ 明朝" w:eastAsia="ＭＳ 明朝"/>
          <w:color w:val="000000" w:themeColor="text1"/>
          <w:sz w:val="22"/>
          <w:highlight w:val="none"/>
          <w:u w:val="none" w:color="auto"/>
        </w:rPr>
        <w:t>（区分：</w:t>
      </w:r>
      <w:r>
        <w:rPr>
          <w:rFonts w:hint="eastAsia" w:ascii="ＭＳ 明朝" w:hAnsi="ＭＳ 明朝" w:eastAsia="ＭＳ 明朝"/>
          <w:color w:val="000000" w:themeColor="text1"/>
          <w:sz w:val="22"/>
          <w:highlight w:val="none"/>
          <w:u w:val="none" w:color="auto"/>
        </w:rPr>
        <w:t>S</w:t>
      </w:r>
      <w:r>
        <w:rPr>
          <w:rFonts w:hint="eastAsia" w:ascii="ＭＳ 明朝" w:hAnsi="ＭＳ 明朝" w:eastAsia="ＭＳ 明朝"/>
          <w:color w:val="000000" w:themeColor="text1"/>
          <w:sz w:val="22"/>
          <w:highlight w:val="none"/>
          <w:u w:val="none" w:color="auto"/>
        </w:rPr>
        <w:t>、</w:t>
      </w:r>
      <w:r>
        <w:rPr>
          <w:rFonts w:hint="eastAsia" w:ascii="ＭＳ 明朝" w:hAnsi="ＭＳ 明朝" w:eastAsia="ＭＳ 明朝"/>
          <w:color w:val="000000" w:themeColor="text1"/>
          <w:sz w:val="22"/>
          <w:highlight w:val="none"/>
          <w:u w:val="none" w:color="auto"/>
        </w:rPr>
        <w:t>P</w:t>
      </w:r>
      <w:r>
        <w:rPr>
          <w:rFonts w:hint="eastAsia" w:ascii="ＭＳ 明朝" w:hAnsi="ＭＳ 明朝" w:eastAsia="ＭＳ 明朝"/>
          <w:color w:val="000000" w:themeColor="text1"/>
          <w:sz w:val="22"/>
          <w:highlight w:val="none"/>
          <w:u w:val="none" w:color="auto"/>
        </w:rPr>
        <w:t>）</w:t>
      </w:r>
    </w:p>
    <w:p>
      <w:pPr>
        <w:pStyle w:val="0"/>
        <w:rPr>
          <w:rFonts w:hint="eastAsia"/>
          <w:highlight w:val="none"/>
        </w:rPr>
      </w:pPr>
    </w:p>
    <w:p>
      <w:pPr>
        <w:pStyle w:val="0"/>
        <w:rPr>
          <w:rFonts w:hint="eastAsia"/>
          <w:highlight w:val="none"/>
        </w:rPr>
      </w:pPr>
    </w:p>
    <w:p>
      <w:pPr>
        <w:rPr>
          <w:rFonts w:hint="eastAsia"/>
        </w:rPr>
        <w:sectPr>
          <w:pgSz w:w="11906" w:h="16838"/>
          <w:pgMar w:top="1418" w:right="1418" w:bottom="1418" w:left="1418" w:header="567" w:footer="720" w:gutter="0"/>
          <w:pgNumType w:fmt="numberInDash"/>
          <w:cols w:space="720"/>
          <w:noEndnote w:val="1"/>
          <w:textDirection w:val="lrTb"/>
          <w:docGrid w:type="linesAndChars" w:linePitch="350" w:charSpace="1382"/>
        </w:sectPr>
      </w:pPr>
    </w:p>
    <w:p>
      <w:pPr>
        <w:pStyle w:val="0"/>
        <w:spacing w:after="165" w:afterLines="50" w:afterAutospacing="0"/>
        <w:rPr>
          <w:rFonts w:hint="default" w:ascii="ＭＳ 明朝" w:hAnsi="ＭＳ 明朝" w:eastAsia="ＭＳ 明朝"/>
          <w:highlight w:val="none"/>
        </w:rPr>
      </w:pPr>
      <w:r>
        <w:rPr>
          <w:rFonts w:hint="eastAsia" w:ascii="ＭＳ 明朝" w:hAnsi="ＭＳ 明朝" w:eastAsia="ＭＳ 明朝"/>
          <w:b w:val="1"/>
          <w:i w:val="0"/>
          <w:color w:val="1F497D"/>
          <w:sz w:val="28"/>
          <w:highlight w:val="none"/>
        </w:rPr>
        <w:t>第３節　薬剤師</w:t>
      </w:r>
    </w:p>
    <w:p>
      <w:pPr>
        <w:pStyle w:val="0"/>
        <w:ind w:firstLine="210"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highlight w:val="none"/>
        </w:rPr>
        <w:t>薬剤師は医薬品の専門家として、医薬品の開発から使用に至る幅広い分野の業務に従事しています。医療の高度化や機能分化に伴い、薬剤師がチーム医療</w:t>
      </w:r>
      <w:r>
        <w:rPr>
          <w:rFonts w:hint="eastAsia" w:ascii="ＭＳ 明朝" w:hAnsi="ＭＳ 明朝" w:eastAsia="ＭＳ 明朝"/>
          <w:color w:val="000000" w:themeColor="text1"/>
          <w:highlight w:val="none"/>
          <w:u w:val="none" w:color="auto"/>
        </w:rPr>
        <w:t>や地域包括ケアシステムを担う一員として、県民の健康づくりの推進や安全かつ有効な薬物療法を切れ目なく提供することなど、職能を発揮することが求められています。</w:t>
      </w:r>
    </w:p>
    <w:p>
      <w:pPr>
        <w:pStyle w:val="0"/>
        <w:ind w:firstLine="210"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本県の薬剤師数は、</w:t>
      </w:r>
      <w:r>
        <w:rPr>
          <w:rFonts w:hint="eastAsia" w:ascii="ＭＳ 明朝" w:hAnsi="ＭＳ 明朝" w:eastAsia="ＭＳ 明朝"/>
          <w:color w:val="000000" w:themeColor="text1"/>
          <w:highlight w:val="none"/>
          <w:u w:val="none" w:color="auto"/>
        </w:rPr>
        <w:t>10</w:t>
      </w:r>
      <w:r>
        <w:rPr>
          <w:rFonts w:hint="eastAsia" w:ascii="ＭＳ 明朝" w:hAnsi="ＭＳ 明朝" w:eastAsia="ＭＳ 明朝"/>
          <w:color w:val="000000" w:themeColor="text1"/>
          <w:highlight w:val="none"/>
          <w:u w:val="none" w:color="auto"/>
        </w:rPr>
        <w:t>年間で</w:t>
      </w:r>
      <w:r>
        <w:rPr>
          <w:rFonts w:hint="eastAsia" w:ascii="ＭＳ 明朝" w:hAnsi="ＭＳ 明朝" w:eastAsia="ＭＳ 明朝"/>
          <w:color w:val="000000" w:themeColor="text1"/>
          <w:highlight w:val="none"/>
          <w:u w:val="none" w:color="auto"/>
        </w:rPr>
        <w:t>145</w:t>
      </w:r>
      <w:r>
        <w:rPr>
          <w:rFonts w:hint="eastAsia" w:ascii="ＭＳ 明朝" w:hAnsi="ＭＳ 明朝" w:eastAsia="ＭＳ 明朝"/>
          <w:color w:val="000000" w:themeColor="text1"/>
          <w:highlight w:val="none"/>
          <w:u w:val="none" w:color="auto"/>
        </w:rPr>
        <w:t>人増加して、令和２年末時点で</w:t>
      </w:r>
      <w:r>
        <w:rPr>
          <w:rFonts w:hint="eastAsia" w:ascii="ＭＳ 明朝" w:hAnsi="ＭＳ 明朝" w:eastAsia="ＭＳ 明朝"/>
          <w:color w:val="000000" w:themeColor="text1"/>
          <w:highlight w:val="none"/>
          <w:u w:val="none" w:color="auto"/>
        </w:rPr>
        <w:t>1,787</w:t>
      </w:r>
      <w:r>
        <w:rPr>
          <w:rFonts w:hint="eastAsia" w:ascii="ＭＳ 明朝" w:hAnsi="ＭＳ 明朝" w:eastAsia="ＭＳ 明朝"/>
          <w:color w:val="000000" w:themeColor="text1"/>
          <w:highlight w:val="none"/>
          <w:u w:val="none" w:color="auto"/>
        </w:rPr>
        <w:t>人となっています。</w:t>
      </w:r>
    </w:p>
    <w:p>
      <w:pPr>
        <w:pStyle w:val="0"/>
        <w:ind w:firstLine="210" w:firstLineChars="100"/>
        <w:rPr>
          <w:rFonts w:hint="default"/>
          <w:color w:val="000000" w:themeColor="text1"/>
          <w:highlight w:val="none"/>
          <w:u w:val="none" w:color="auto"/>
        </w:rPr>
      </w:pPr>
      <w:r>
        <w:rPr>
          <w:rFonts w:hint="eastAsia" w:ascii="ＭＳ 明朝" w:hAnsi="ＭＳ 明朝" w:eastAsia="ＭＳ 明朝"/>
          <w:color w:val="000000" w:themeColor="text1"/>
          <w:highlight w:val="none"/>
          <w:u w:val="none" w:color="auto"/>
        </w:rPr>
        <w:t>一方、令和５年度に県内の病院を対象に実施したアンケート調査からは、急性期病院を含む多くの病院において薬剤師が充足していない実態とともに、薬剤師業務のさらなる充実化といった課題が明らかとなっています。</w:t>
      </w:r>
    </w:p>
    <w:p>
      <w:pPr>
        <w:pStyle w:val="0"/>
        <w:ind w:firstLine="210"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このため、若手薬剤師の安定的な確保と薬剤師としてより専門性を高めるために必要な知識・技能を修得するためのキャリア形成ができる環境を整備することが重要です。</w:t>
      </w:r>
    </w:p>
    <w:p>
      <w:pPr>
        <w:pStyle w:val="0"/>
        <w:ind w:firstLine="210" w:firstLineChars="100"/>
        <w:rPr>
          <w:rFonts w:hint="default" w:ascii="ＭＳ 明朝" w:hAnsi="ＭＳ 明朝" w:eastAsia="ＭＳ 明朝"/>
          <w:highlight w:val="none"/>
          <w:u w:val="single" w:color="auto"/>
        </w:rPr>
      </w:pPr>
      <w:r>
        <w:rPr>
          <w:rFonts w:hint="eastAsia" w:ascii="ＭＳ 明朝" w:hAnsi="ＭＳ 明朝" w:eastAsia="ＭＳ 明朝"/>
          <w:color w:val="000000" w:themeColor="text1"/>
          <w:highlight w:val="none"/>
          <w:u w:val="none" w:color="auto"/>
        </w:rPr>
        <w:t>県では、県内急性期病院をはじめとして、薬剤師不足が深刻な病院や地域への就業を促進します。</w:t>
      </w:r>
    </w:p>
    <w:p>
      <w:pPr>
        <w:pStyle w:val="0"/>
        <w:rPr>
          <w:rFonts w:hint="default" w:ascii="ＭＳ 明朝" w:hAnsi="ＭＳ 明朝" w:eastAsia="ＭＳ 明朝"/>
          <w:highlight w:val="none"/>
        </w:rPr>
      </w:pPr>
    </w:p>
    <w:p>
      <w:pPr>
        <w:pStyle w:val="0"/>
        <w:rPr>
          <w:rFonts w:hint="default" w:ascii="ＭＳ 明朝" w:hAnsi="ＭＳ 明朝" w:eastAsia="ＭＳ 明朝"/>
          <w:highlight w:val="none"/>
        </w:rPr>
      </w:pPr>
      <w:r>
        <w:rPr>
          <w:rFonts w:hint="eastAsia" w:ascii="ＭＳ 明朝" w:hAnsi="ＭＳ 明朝" w:eastAsia="ＭＳ 明朝"/>
          <w:b w:val="1"/>
          <w:highlight w:val="none"/>
          <w:bdr w:val="single" w:color="auto" w:sz="4" w:space="0"/>
          <w:shd w:val="clear" w:color="auto" w:fill="E5DFEC"/>
        </w:rPr>
        <w:t>現状と課題</w:t>
      </w:r>
    </w:p>
    <w:p>
      <w:pPr>
        <w:pStyle w:val="0"/>
        <w:rPr>
          <w:rFonts w:hint="default" w:ascii="ＭＳ 明朝" w:hAnsi="ＭＳ 明朝" w:eastAsia="ＭＳ 明朝"/>
          <w:highlight w:val="none"/>
        </w:rPr>
      </w:pPr>
      <w:r>
        <w:rPr>
          <w:rFonts w:hint="eastAsia" w:ascii="ＭＳ 明朝" w:hAnsi="ＭＳ 明朝" w:eastAsia="ＭＳ 明朝"/>
          <w:b w:val="1"/>
          <w:color w:val="0070C0"/>
          <w:sz w:val="22"/>
          <w:highlight w:val="none"/>
        </w:rPr>
        <w:t>１　県内の薬剤師の状況</w:t>
      </w: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b w:val="1"/>
          <w:color w:val="000000" w:themeColor="text1"/>
          <w:highlight w:val="none"/>
          <w:u w:val="none" w:color="auto"/>
        </w:rPr>
        <w:t>（１）薬剤師</w:t>
      </w:r>
    </w:p>
    <w:p>
      <w:pPr>
        <w:pStyle w:val="0"/>
        <w:ind w:left="226" w:leftChars="100" w:firstLine="226" w:firstLineChars="100"/>
        <w:rPr>
          <w:rFonts w:hint="default"/>
          <w:color w:val="000000" w:themeColor="text1"/>
          <w:sz w:val="22"/>
          <w:highlight w:val="none"/>
          <w:u w:val="none" w:color="auto"/>
        </w:rPr>
      </w:pPr>
      <w:r>
        <w:rPr>
          <w:rFonts w:hint="eastAsia" w:ascii="ＭＳ 明朝" w:hAnsi="ＭＳ 明朝" w:eastAsia="ＭＳ 明朝"/>
          <w:color w:val="000000" w:themeColor="text1"/>
          <w:highlight w:val="none"/>
          <w:u w:val="none" w:color="auto"/>
        </w:rPr>
        <w:t>本県の薬剤師数は令和２年末時点で</w:t>
      </w:r>
      <w:r>
        <w:rPr>
          <w:rFonts w:hint="eastAsia" w:ascii="ＭＳ 明朝" w:hAnsi="ＭＳ 明朝" w:eastAsia="ＭＳ 明朝"/>
          <w:color w:val="000000" w:themeColor="text1"/>
          <w:highlight w:val="none"/>
          <w:u w:val="none" w:color="auto"/>
        </w:rPr>
        <w:t>1,787</w:t>
      </w:r>
      <w:r>
        <w:rPr>
          <w:rFonts w:hint="eastAsia" w:ascii="ＭＳ 明朝" w:hAnsi="ＭＳ 明朝" w:eastAsia="ＭＳ 明朝"/>
          <w:color w:val="000000" w:themeColor="text1"/>
          <w:highlight w:val="none"/>
          <w:u w:val="none" w:color="auto"/>
        </w:rPr>
        <w:t>人と増加傾向にあるものの、増加率は全国に比べて低くなっています。</w:t>
      </w:r>
      <w:r>
        <w:rPr>
          <w:rFonts w:hint="eastAsia"/>
          <w:color w:val="000000" w:themeColor="text1"/>
          <w:sz w:val="22"/>
          <w:highlight w:val="none"/>
          <w:u w:val="none" w:color="auto"/>
        </w:rPr>
        <w:t>　</w:t>
      </w:r>
    </w:p>
    <w:p>
      <w:pPr>
        <w:pStyle w:val="0"/>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平均年齢は、令和２年末時点で</w:t>
      </w:r>
      <w:r>
        <w:rPr>
          <w:rFonts w:hint="eastAsia" w:ascii="ＭＳ 明朝" w:hAnsi="ＭＳ 明朝" w:eastAsia="ＭＳ 明朝"/>
          <w:color w:val="000000" w:themeColor="text1"/>
          <w:highlight w:val="none"/>
          <w:u w:val="none" w:color="auto"/>
        </w:rPr>
        <w:t>50.6</w:t>
      </w:r>
      <w:r>
        <w:rPr>
          <w:rFonts w:hint="eastAsia" w:ascii="ＭＳ 明朝" w:hAnsi="ＭＳ 明朝" w:eastAsia="ＭＳ 明朝"/>
          <w:color w:val="000000" w:themeColor="text1"/>
          <w:highlight w:val="none"/>
          <w:u w:val="none" w:color="auto"/>
        </w:rPr>
        <w:t>歳と全国平均の</w:t>
      </w:r>
      <w:r>
        <w:rPr>
          <w:rFonts w:hint="eastAsia" w:ascii="ＭＳ 明朝" w:hAnsi="ＭＳ 明朝" w:eastAsia="ＭＳ 明朝"/>
          <w:color w:val="000000" w:themeColor="text1"/>
          <w:highlight w:val="none"/>
          <w:u w:val="none" w:color="auto"/>
        </w:rPr>
        <w:t>46.6</w:t>
      </w:r>
      <w:r>
        <w:rPr>
          <w:rFonts w:hint="eastAsia" w:ascii="ＭＳ 明朝" w:hAnsi="ＭＳ 明朝" w:eastAsia="ＭＳ 明朝"/>
          <w:color w:val="000000" w:themeColor="text1"/>
          <w:highlight w:val="none"/>
          <w:u w:val="none" w:color="auto"/>
        </w:rPr>
        <w:t>歳を</w:t>
      </w:r>
      <w:r>
        <w:rPr>
          <w:rFonts w:hint="eastAsia" w:ascii="ＭＳ 明朝" w:hAnsi="ＭＳ 明朝" w:eastAsia="ＭＳ 明朝"/>
          <w:color w:val="000000" w:themeColor="text1"/>
          <w:highlight w:val="none"/>
          <w:u w:val="none" w:color="auto"/>
        </w:rPr>
        <w:t>4.0</w:t>
      </w:r>
      <w:r>
        <w:rPr>
          <w:rFonts w:hint="eastAsia" w:ascii="ＭＳ 明朝" w:hAnsi="ＭＳ 明朝" w:eastAsia="ＭＳ 明朝"/>
          <w:color w:val="000000" w:themeColor="text1"/>
          <w:highlight w:val="none"/>
          <w:u w:val="none" w:color="auto"/>
        </w:rPr>
        <w:t>歳上回り、</w:t>
      </w:r>
      <w:r>
        <w:rPr>
          <w:rFonts w:hint="eastAsia" w:ascii="ＭＳ 明朝" w:hAnsi="ＭＳ 明朝" w:eastAsia="ＭＳ 明朝"/>
          <w:color w:val="000000" w:themeColor="text1"/>
          <w:highlight w:val="none"/>
          <w:u w:val="none" w:color="auto"/>
        </w:rPr>
        <w:t>40</w:t>
      </w:r>
      <w:r>
        <w:rPr>
          <w:rFonts w:hint="eastAsia" w:ascii="ＭＳ 明朝" w:hAnsi="ＭＳ 明朝" w:eastAsia="ＭＳ 明朝"/>
          <w:color w:val="000000" w:themeColor="text1"/>
          <w:highlight w:val="none"/>
          <w:u w:val="none" w:color="auto"/>
        </w:rPr>
        <w:t>歳未満の薬剤師が占める割合は</w:t>
      </w:r>
      <w:r>
        <w:rPr>
          <w:rFonts w:hint="eastAsia" w:ascii="ＭＳ 明朝" w:hAnsi="ＭＳ 明朝" w:eastAsia="ＭＳ 明朝"/>
          <w:color w:val="000000" w:themeColor="text1"/>
          <w:highlight w:val="none"/>
          <w:u w:val="none" w:color="auto"/>
        </w:rPr>
        <w:t>30.9</w:t>
      </w:r>
      <w:r>
        <w:rPr>
          <w:rFonts w:hint="eastAsia" w:ascii="ＭＳ 明朝" w:hAnsi="ＭＳ 明朝" w:eastAsia="ＭＳ 明朝"/>
          <w:color w:val="000000" w:themeColor="text1"/>
          <w:highlight w:val="none"/>
          <w:u w:val="none" w:color="auto"/>
        </w:rPr>
        <w:t>％と全国平均の</w:t>
      </w:r>
      <w:r>
        <w:rPr>
          <w:rFonts w:hint="eastAsia" w:ascii="ＭＳ 明朝" w:hAnsi="ＭＳ 明朝" w:eastAsia="ＭＳ 明朝"/>
          <w:color w:val="000000" w:themeColor="text1"/>
          <w:highlight w:val="none"/>
          <w:u w:val="none" w:color="auto"/>
        </w:rPr>
        <w:t>38.0</w:t>
      </w:r>
      <w:r>
        <w:rPr>
          <w:rFonts w:hint="eastAsia" w:ascii="ＭＳ 明朝" w:hAnsi="ＭＳ 明朝" w:eastAsia="ＭＳ 明朝"/>
          <w:color w:val="000000" w:themeColor="text1"/>
          <w:highlight w:val="none"/>
          <w:u w:val="none" w:color="auto"/>
        </w:rPr>
        <w:t>％を大きく下回っていることから、退職者の補充も含め、中・長期にわたって安定的に若手の薬剤師を確保する必要があります。</w:t>
      </w:r>
    </w:p>
    <w:p>
      <w:pPr>
        <w:pStyle w:val="0"/>
        <w:ind w:left="226" w:leftChars="100" w:firstLine="226" w:firstLineChars="100"/>
        <w:rPr>
          <w:rFonts w:hint="default" w:ascii="ＭＳ 明朝" w:hAnsi="ＭＳ 明朝" w:eastAsia="ＭＳ 明朝"/>
          <w:highlight w:val="none"/>
          <w:u w:val="single" w:color="auto"/>
        </w:rPr>
      </w:pPr>
      <w:r>
        <w:rPr>
          <w:rFonts w:hint="eastAsia" w:ascii="ＭＳ 明朝" w:hAnsi="ＭＳ 明朝" w:eastAsia="ＭＳ 明朝"/>
          <w:color w:val="000000" w:themeColor="text1"/>
          <w:highlight w:val="none"/>
          <w:u w:val="none" w:color="auto"/>
        </w:rPr>
        <w:t>また、少子化に加え、本県には薬学部がないことから県外薬系大学への進学に伴う経済的な負担等により受験者数が減少し、県出身薬学生は</w:t>
      </w:r>
      <w:r>
        <w:rPr>
          <w:rFonts w:hint="default" w:ascii="ＭＳ 明朝" w:hAnsi="ＭＳ 明朝" w:eastAsia="ＭＳ 明朝"/>
          <w:color w:val="000000" w:themeColor="text1"/>
          <w:highlight w:val="none"/>
          <w:u w:val="none" w:color="auto"/>
        </w:rPr>
        <w:t>H30</w:t>
      </w:r>
      <w:r>
        <w:rPr>
          <w:rFonts w:hint="eastAsia" w:ascii="ＭＳ 明朝" w:hAnsi="ＭＳ 明朝" w:eastAsia="ＭＳ 明朝"/>
          <w:color w:val="000000" w:themeColor="text1"/>
          <w:highlight w:val="none"/>
          <w:u w:val="none" w:color="auto"/>
        </w:rPr>
        <w:t>年度</w:t>
      </w:r>
      <w:r>
        <w:rPr>
          <w:rFonts w:hint="default" w:ascii="ＭＳ 明朝" w:hAnsi="ＭＳ 明朝" w:eastAsia="ＭＳ 明朝"/>
          <w:color w:val="000000" w:themeColor="text1"/>
          <w:highlight w:val="none"/>
          <w:u w:val="none" w:color="auto"/>
        </w:rPr>
        <w:t>476</w:t>
      </w:r>
      <w:r>
        <w:rPr>
          <w:rFonts w:hint="eastAsia" w:ascii="ＭＳ 明朝" w:hAnsi="ＭＳ 明朝" w:eastAsia="ＭＳ 明朝"/>
          <w:color w:val="000000" w:themeColor="text1"/>
          <w:highlight w:val="none"/>
          <w:u w:val="none" w:color="auto"/>
        </w:rPr>
        <w:t>人でしたが、</w:t>
      </w:r>
      <w:r>
        <w:rPr>
          <w:rFonts w:hint="default" w:ascii="ＭＳ 明朝" w:hAnsi="ＭＳ 明朝" w:eastAsia="ＭＳ 明朝"/>
          <w:color w:val="000000" w:themeColor="text1"/>
          <w:highlight w:val="none"/>
          <w:u w:val="none" w:color="auto"/>
        </w:rPr>
        <w:t>R5</w:t>
      </w:r>
      <w:r>
        <w:rPr>
          <w:rFonts w:hint="eastAsia" w:ascii="ＭＳ 明朝" w:hAnsi="ＭＳ 明朝" w:eastAsia="ＭＳ 明朝"/>
          <w:color w:val="000000" w:themeColor="text1"/>
          <w:highlight w:val="none"/>
          <w:u w:val="none" w:color="auto"/>
        </w:rPr>
        <w:t>年度には</w:t>
      </w:r>
      <w:r>
        <w:rPr>
          <w:rFonts w:hint="default" w:ascii="ＭＳ 明朝" w:hAnsi="ＭＳ 明朝" w:eastAsia="ＭＳ 明朝"/>
          <w:color w:val="000000" w:themeColor="text1"/>
          <w:highlight w:val="none"/>
          <w:u w:val="none" w:color="auto"/>
        </w:rPr>
        <w:t xml:space="preserve"> 387</w:t>
      </w:r>
      <w:r>
        <w:rPr>
          <w:rFonts w:hint="eastAsia" w:ascii="ＭＳ 明朝" w:hAnsi="ＭＳ 明朝" w:eastAsia="ＭＳ 明朝"/>
          <w:color w:val="000000" w:themeColor="text1"/>
          <w:highlight w:val="none"/>
          <w:u w:val="none" w:color="auto"/>
        </w:rPr>
        <w:t>人へと減少しており（出典：「在籍者数調査結果」一般社団法人薬学教育協議会）、薬学部を目指す中高生への対策も必要です。</w:t>
      </w:r>
    </w:p>
    <w:p>
      <w:pPr>
        <w:pStyle w:val="0"/>
        <w:ind w:left="226" w:leftChars="100" w:firstLine="226" w:firstLineChars="100"/>
        <w:rPr>
          <w:rFonts w:hint="default" w:ascii="ＭＳ 明朝" w:hAnsi="ＭＳ 明朝" w:eastAsia="ＭＳ 明朝"/>
          <w:highlight w:val="none"/>
          <w:u w:val="single" w:color="auto"/>
        </w:rPr>
      </w:pPr>
    </w:p>
    <w:p>
      <w:pPr>
        <w:pStyle w:val="0"/>
        <w:jc w:val="center"/>
        <w:rPr>
          <w:rFonts w:hint="default" w:ascii="ＭＳ 明朝" w:hAnsi="ＭＳ 明朝" w:eastAsia="ＭＳ 明朝"/>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4-3-1</w:t>
      </w:r>
      <w:r>
        <w:rPr>
          <w:rFonts w:hint="eastAsia" w:ascii="ＭＳ ゴシック" w:hAnsi="ＭＳ ゴシック" w:eastAsia="ＭＳ ゴシック"/>
          <w:color w:val="auto"/>
          <w:kern w:val="0"/>
          <w:sz w:val="22"/>
          <w:highlight w:val="none"/>
        </w:rPr>
        <w:t>）若手薬剤師（</w:t>
      </w:r>
      <w:r>
        <w:rPr>
          <w:rFonts w:hint="eastAsia" w:ascii="ＭＳ ゴシック" w:hAnsi="ＭＳ ゴシック" w:eastAsia="ＭＳ ゴシック"/>
          <w:color w:val="auto"/>
          <w:kern w:val="0"/>
          <w:sz w:val="22"/>
          <w:highlight w:val="none"/>
        </w:rPr>
        <w:t>40</w:t>
      </w:r>
      <w:r>
        <w:rPr>
          <w:rFonts w:hint="eastAsia" w:ascii="ＭＳ ゴシック" w:hAnsi="ＭＳ ゴシック" w:eastAsia="ＭＳ ゴシック"/>
          <w:color w:val="auto"/>
          <w:kern w:val="0"/>
          <w:sz w:val="22"/>
          <w:highlight w:val="none"/>
        </w:rPr>
        <w:t>歳未満）の割合</w:t>
      </w:r>
    </w:p>
    <w:p>
      <w:pPr>
        <w:pStyle w:val="0"/>
        <w:jc w:val="center"/>
        <w:rPr>
          <w:rFonts w:hint="default" w:ascii="ＭＳ 明朝" w:hAnsi="ＭＳ 明朝" w:eastAsia="ＭＳ 明朝"/>
          <w:highlight w:val="none"/>
        </w:rPr>
      </w:pPr>
      <w:r>
        <w:rPr>
          <w:rFonts w:hint="eastAsia"/>
        </w:rPr>
        <mc:AlternateContent>
          <mc:Choice Requires="wpg">
            <w:drawing>
              <wp:anchor simplePos="0" relativeHeight="257" behindDoc="0" locked="0" layoutInCell="1" hidden="0" allowOverlap="1">
                <wp:simplePos x="0" y="0"/>
                <wp:positionH relativeFrom="column">
                  <wp:posOffset>1270635</wp:posOffset>
                </wp:positionH>
                <wp:positionV relativeFrom="paragraph">
                  <wp:posOffset>113665</wp:posOffset>
                </wp:positionV>
                <wp:extent cx="3192145" cy="1533525"/>
                <wp:effectExtent l="0" t="0" r="635" b="635"/>
                <wp:wrapNone/>
                <wp:docPr id="1275" name="オブジェクト 0"/>
                <a:graphic xmlns:a="http://schemas.openxmlformats.org/drawingml/2006/main">
                  <a:graphicData uri="http://schemas.microsoft.com/office/word/2010/wordprocessingGroup">
                    <wpg:wgp>
                      <wpg:cNvGrpSpPr/>
                      <wpg:grpSpPr>
                        <a:xfrm>
                          <a:off x="0" y="0"/>
                          <a:ext cx="3192145" cy="1533525"/>
                          <a:chOff x="3419" y="12622"/>
                          <a:chExt cx="5027" cy="2415"/>
                        </a:xfrm>
                      </wpg:grpSpPr>
                      <pic:pic xmlns:pic="http://schemas.openxmlformats.org/drawingml/2006/picture">
                        <pic:nvPicPr>
                          <pic:cNvPr id="1276" name="オブジェクト 0"/>
                          <pic:cNvPicPr>
                            <a:picLocks noChangeAspect="1"/>
                          </pic:cNvPicPr>
                        </pic:nvPicPr>
                        <pic:blipFill>
                          <a:blip r:embed="rId53"/>
                          <a:stretch>
                            <a:fillRect/>
                          </a:stretch>
                        </pic:blipFill>
                        <pic:spPr>
                          <a:xfrm>
                            <a:off x="3419" y="12622"/>
                            <a:ext cx="4996" cy="2104"/>
                          </a:xfrm>
                          <a:prstGeom prst="rect">
                            <a:avLst/>
                          </a:prstGeom>
                        </pic:spPr>
                      </pic:pic>
                      <wps:wsp>
                        <wps:cNvPr id="1277" name="オブジェクト 0"/>
                        <wps:cNvSpPr/>
                        <wps:spPr>
                          <a:xfrm>
                            <a:off x="4036" y="14512"/>
                            <a:ext cx="4410" cy="52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wps:txbx>
                        <wps:bodyPr vertOverflow="overflow" horzOverflow="overflow" wrap="square" anchor="ctr"/>
                      </wps:wsp>
                    </wpg:wgp>
                  </a:graphicData>
                </a:graphic>
              </wp:anchor>
            </w:drawing>
          </mc:Choice>
          <mc:Fallback>
            <w:pict>
              <v:group id="オブジェクト 0" style="margin-top:8.94pt;mso-position-vertical-relative:text;mso-position-horizontal-relative:text;position:absolute;height:120.75pt;width:251.35pt;margin-left:100.05pt;z-index:257;" coordsize="5027,2415" coordorigin="3419,12622" o:spid="_x0000_s127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104;width:4996;top:12622;left:3419;position:absolute;" o:spid="_x0000_s1276" filled="f" stroked="f" o:spt="75" type="#_x0000_t75">
                  <v:fill/>
                  <v:imagedata o:title="" r:id="rId53"/>
                  <w10:wrap type="none" anchorx="text" anchory="text"/>
                </v:shape>
                <v:rect id="オブジェクト 0" style="height:525;width:4410;top:14512;left:4036;v-text-anchor:middle;position:absolute;" o:spid="_x0000_s1277" filled="f" stroked="f" strokecolor="#42709c" strokeweight="1pt" o:spt="1">
                  <v:fill/>
                  <v:stroke linestyle="single" miterlimit="8" endcap="flat" dashstyle="solid"/>
                  <v:textbox style="layout-flow:horizontal;">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v:textbox>
                  <v:imagedata o:title=""/>
                  <w10:wrap type="none" anchorx="text" anchory="text"/>
                </v:rect>
                <w10:wrap type="none" anchorx="text" anchory="text"/>
              </v:group>
            </w:pict>
          </mc:Fallback>
        </mc:AlternateContent>
      </w: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ind w:right="840" w:rightChars="400"/>
        <w:rPr>
          <w:rFonts w:hint="default" w:ascii="ＭＳ 明朝" w:hAnsi="ＭＳ 明朝" w:eastAsia="ＭＳ 明朝"/>
          <w:highlight w:val="none"/>
        </w:rPr>
      </w:pPr>
    </w:p>
    <w:p>
      <w:pPr>
        <w:pStyle w:val="0"/>
        <w:rPr>
          <w:rFonts w:hint="default" w:ascii="ＭＳ 明朝" w:hAnsi="ＭＳ 明朝" w:eastAsia="ＭＳ 明朝"/>
          <w:highlight w:val="none"/>
        </w:rPr>
      </w:pPr>
    </w:p>
    <w:p>
      <w:pPr>
        <w:pStyle w:val="0"/>
        <w:rPr>
          <w:rFonts w:hint="default" w:ascii="ＭＳ 明朝" w:hAnsi="ＭＳ 明朝" w:eastAsia="ＭＳ 明朝"/>
          <w:color w:val="FF0000"/>
          <w:highlight w:val="none"/>
          <w:u w:val="single" w:color="auto"/>
        </w:rPr>
      </w:pPr>
    </w:p>
    <w:p>
      <w:pPr>
        <w:pStyle w:val="0"/>
        <w:rPr>
          <w:rFonts w:hint="default" w:ascii="ＭＳ 明朝" w:hAnsi="ＭＳ 明朝" w:eastAsia="ＭＳ 明朝"/>
          <w:color w:val="FF0000"/>
          <w:highlight w:val="none"/>
          <w:u w:val="single" w:color="auto"/>
        </w:rPr>
      </w:pPr>
    </w:p>
    <w:p>
      <w:pPr>
        <w:pStyle w:val="0"/>
        <w:rPr>
          <w:rFonts w:hint="default" w:ascii="ＭＳ 明朝" w:hAnsi="ＭＳ 明朝" w:eastAsia="ＭＳ 明朝"/>
          <w:color w:val="FF0000"/>
          <w:highlight w:val="none"/>
          <w:u w:val="single" w:color="auto"/>
        </w:rPr>
      </w:pP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b w:val="1"/>
          <w:color w:val="000000" w:themeColor="text1"/>
          <w:highlight w:val="none"/>
          <w:u w:val="none" w:color="auto"/>
        </w:rPr>
        <w:t>（２）就業種別</w:t>
      </w:r>
    </w:p>
    <w:p>
      <w:pPr>
        <w:pStyle w:val="0"/>
        <w:ind w:left="226" w:leftChars="100" w:firstLine="226" w:firstLineChars="100"/>
        <w:rPr>
          <w:rFonts w:hint="default" w:ascii="ＭＳ 明朝" w:hAnsi="ＭＳ 明朝" w:eastAsia="ＭＳ 明朝"/>
          <w:highlight w:val="none"/>
          <w:u w:val="single" w:color="auto"/>
        </w:rPr>
      </w:pPr>
      <w:r>
        <w:rPr>
          <w:rFonts w:hint="eastAsia" w:ascii="ＭＳ 明朝" w:hAnsi="ＭＳ 明朝" w:eastAsia="ＭＳ 明朝"/>
          <w:color w:val="000000" w:themeColor="text1"/>
          <w:highlight w:val="none"/>
          <w:u w:val="none" w:color="auto"/>
        </w:rPr>
        <w:t>就業種別では、薬局薬剤師数は増加傾向にあるものの、本県の病院薬剤師数はほぼ横ばいで、病床当たりの薬剤師数は</w:t>
      </w:r>
      <w:r>
        <w:rPr>
          <w:rFonts w:hint="eastAsia" w:ascii="ＭＳ 明朝" w:hAnsi="ＭＳ 明朝" w:eastAsia="ＭＳ 明朝"/>
          <w:color w:val="000000" w:themeColor="text1"/>
          <w:highlight w:val="none"/>
          <w:u w:val="none" w:color="auto"/>
        </w:rPr>
        <w:t>3.6</w:t>
      </w:r>
      <w:r>
        <w:rPr>
          <w:rFonts w:hint="eastAsia" w:ascii="ＭＳ 明朝" w:hAnsi="ＭＳ 明朝" w:eastAsia="ＭＳ 明朝"/>
          <w:color w:val="000000" w:themeColor="text1"/>
          <w:highlight w:val="none"/>
          <w:u w:val="none" w:color="auto"/>
        </w:rPr>
        <w:t>人（全国平均</w:t>
      </w:r>
      <w:r>
        <w:rPr>
          <w:rFonts w:hint="eastAsia" w:ascii="ＭＳ 明朝" w:hAnsi="ＭＳ 明朝" w:eastAsia="ＭＳ 明朝"/>
          <w:color w:val="000000" w:themeColor="text1"/>
          <w:highlight w:val="none"/>
          <w:u w:val="none" w:color="auto"/>
        </w:rPr>
        <w:t>4.12</w:t>
      </w:r>
      <w:r>
        <w:rPr>
          <w:rFonts w:hint="eastAsia" w:ascii="ＭＳ 明朝" w:hAnsi="ＭＳ 明朝" w:eastAsia="ＭＳ 明朝"/>
          <w:color w:val="000000" w:themeColor="text1"/>
          <w:highlight w:val="none"/>
          <w:u w:val="none" w:color="auto"/>
        </w:rPr>
        <w:t>人）、病棟薬剤業務実施加算の算定状況は</w:t>
      </w:r>
      <w:r>
        <w:rPr>
          <w:rFonts w:hint="eastAsia" w:ascii="ＭＳ 明朝" w:hAnsi="ＭＳ 明朝" w:eastAsia="ＭＳ 明朝"/>
          <w:color w:val="000000" w:themeColor="text1"/>
          <w:highlight w:val="none"/>
          <w:u w:val="none" w:color="auto"/>
        </w:rPr>
        <w:t>18</w:t>
      </w:r>
      <w:r>
        <w:rPr>
          <w:rFonts w:hint="eastAsia" w:ascii="ＭＳ 明朝" w:hAnsi="ＭＳ 明朝" w:eastAsia="ＭＳ 明朝"/>
          <w:color w:val="000000" w:themeColor="text1"/>
          <w:highlight w:val="none"/>
          <w:u w:val="none" w:color="auto"/>
        </w:rPr>
        <w:t>％（全国平均</w:t>
      </w:r>
      <w:r>
        <w:rPr>
          <w:rFonts w:hint="eastAsia" w:ascii="ＭＳ 明朝" w:hAnsi="ＭＳ 明朝" w:eastAsia="ＭＳ 明朝"/>
          <w:color w:val="000000" w:themeColor="text1"/>
          <w:highlight w:val="none"/>
          <w:u w:val="none" w:color="auto"/>
        </w:rPr>
        <w:t>35</w:t>
      </w:r>
      <w:r>
        <w:rPr>
          <w:rFonts w:hint="eastAsia" w:ascii="ＭＳ 明朝" w:hAnsi="ＭＳ 明朝" w:eastAsia="ＭＳ 明朝"/>
          <w:color w:val="000000" w:themeColor="text1"/>
          <w:highlight w:val="none"/>
          <w:u w:val="none" w:color="auto"/>
        </w:rPr>
        <w:t>％）と全国平均を下回っており（出典：令和４年度「病院薬剤師の勤務実態調査」（厚生労働省））、急性期病院をはじめ、病棟への薬剤師の配置が十分ではない状況です。</w:t>
      </w:r>
    </w:p>
    <w:p>
      <w:pPr>
        <w:pStyle w:val="0"/>
        <w:ind w:firstLine="210" w:firstLineChars="10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 xml:space="preserve"> 4-3-2</w:t>
      </w:r>
      <w:r>
        <w:rPr>
          <w:rFonts w:hint="eastAsia" w:ascii="ＭＳ ゴシック" w:hAnsi="ＭＳ ゴシック" w:eastAsia="ＭＳ ゴシック"/>
          <w:color w:val="auto"/>
          <w:kern w:val="0"/>
          <w:sz w:val="22"/>
          <w:highlight w:val="none"/>
        </w:rPr>
        <w:t>）就業種別の薬剤師数（</w:t>
      </w:r>
      <w:r>
        <w:rPr>
          <w:rFonts w:hint="eastAsia" w:ascii="ＭＳ ゴシック" w:hAnsi="ＭＳ ゴシック" w:eastAsia="ＭＳ ゴシック"/>
          <w:color w:val="auto"/>
          <w:kern w:val="0"/>
          <w:sz w:val="22"/>
          <w:highlight w:val="none"/>
        </w:rPr>
        <w:t>H22</w:t>
      </w:r>
      <w:r>
        <w:rPr>
          <w:rFonts w:hint="eastAsia" w:ascii="ＭＳ ゴシック" w:hAnsi="ＭＳ ゴシック" w:eastAsia="ＭＳ ゴシック"/>
          <w:color w:val="auto"/>
          <w:kern w:val="0"/>
          <w:sz w:val="22"/>
          <w:highlight w:val="none"/>
        </w:rPr>
        <w:t>年を</w:t>
      </w:r>
      <w:r>
        <w:rPr>
          <w:rFonts w:hint="eastAsia" w:ascii="ＭＳ ゴシック" w:hAnsi="ＭＳ ゴシック" w:eastAsia="ＭＳ ゴシック"/>
          <w:color w:val="auto"/>
          <w:kern w:val="0"/>
          <w:sz w:val="22"/>
          <w:highlight w:val="none"/>
        </w:rPr>
        <w:t>100</w:t>
      </w:r>
      <w:r>
        <w:rPr>
          <w:rFonts w:hint="eastAsia" w:ascii="ＭＳ ゴシック" w:hAnsi="ＭＳ ゴシック" w:eastAsia="ＭＳ ゴシック"/>
          <w:color w:val="auto"/>
          <w:kern w:val="0"/>
          <w:sz w:val="22"/>
          <w:highlight w:val="none"/>
        </w:rPr>
        <w:t>とした場合の推移）</w:t>
      </w:r>
      <w:r>
        <w:rPr>
          <w:rFonts w:hint="eastAsia" w:ascii="ＭＳ 明朝" w:hAnsi="ＭＳ 明朝" w:eastAsia="ＭＳ 明朝"/>
          <w:highlight w:val="none"/>
        </w:rPr>
        <w:t xml:space="preserve"> </w:t>
      </w:r>
    </w:p>
    <w:p>
      <w:pPr>
        <w:pStyle w:val="0"/>
        <w:jc w:val="center"/>
        <w:rPr>
          <w:rFonts w:hint="default" w:ascii="ＭＳ 明朝" w:hAnsi="ＭＳ 明朝" w:eastAsia="ＭＳ 明朝"/>
          <w:highlight w:val="none"/>
        </w:rPr>
      </w:pPr>
      <w:r>
        <w:rPr>
          <w:rFonts w:hint="eastAsia"/>
          <w:highlight w:val="none"/>
        </w:rPr>
        <mc:AlternateContent>
          <mc:Choice Requires="wps">
            <w:drawing>
              <wp:anchor distT="0" distB="0" distL="203200" distR="203200" simplePos="0" relativeHeight="83" behindDoc="0" locked="0" layoutInCell="1" hidden="0" allowOverlap="1">
                <wp:simplePos x="0" y="0"/>
                <wp:positionH relativeFrom="column">
                  <wp:posOffset>2352040</wp:posOffset>
                </wp:positionH>
                <wp:positionV relativeFrom="paragraph">
                  <wp:posOffset>2360930</wp:posOffset>
                </wp:positionV>
                <wp:extent cx="2876550" cy="333375"/>
                <wp:effectExtent l="0" t="0" r="635" b="635"/>
                <wp:wrapNone/>
                <wp:docPr id="1278" name="オブジェクト 0"/>
                <a:graphic xmlns:a="http://schemas.openxmlformats.org/drawingml/2006/main">
                  <a:graphicData uri="http://schemas.microsoft.com/office/word/2010/wordprocessingShape">
                    <wps:wsp>
                      <wps:cNvPr id="1278" name="オブジェクト 0"/>
                      <wps:cNvSpPr/>
                      <wps:spPr>
                        <a:xfrm>
                          <a:off x="0" y="0"/>
                          <a:ext cx="2876550" cy="33337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wps:txbx>
                      <wps:bodyPr vertOverflow="overflow" horzOverflow="overflow" wrap="square" anchor="ctr"/>
                    </wps:wsp>
                  </a:graphicData>
                </a:graphic>
              </wp:anchor>
            </w:drawing>
          </mc:Choice>
          <mc:Fallback>
            <w:pict>
              <v:rect id="オブジェクト 0" style="mso-wrap-distance-right:16pt;mso-wrap-distance-bottom:0pt;margin-top:185.9pt;mso-position-vertical-relative:text;mso-position-horizontal-relative:text;v-text-anchor:middle;position:absolute;height:26.25pt;mso-wrap-distance-top:0pt;width:226.5pt;mso-wrap-distance-left:16pt;margin-left:185.2pt;z-index:83;" o:spid="_x0000_s1278" o:allowincell="t" o:allowoverlap="t" filled="f" stroked="f" strokecolor="#42709c" strokeweight="1pt" o:spt="1">
                <v:fill/>
                <v:stroke linestyle="single" miterlimit="8" endcap="flat" dashstyle="solid"/>
                <v:textbox style="layout-flow:horizontal;">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v:textbox>
                <v:imagedata o:title=""/>
                <w10:wrap type="none" anchorx="text" anchory="text"/>
              </v:rect>
            </w:pict>
          </mc:Fallback>
        </mc:AlternateContent>
      </w:r>
      <w:r>
        <w:rPr>
          <w:rFonts w:hint="eastAsia"/>
          <w:highlight w:val="none"/>
        </w:rPr>
        <w:drawing>
          <wp:inline distT="0" distB="0" distL="203200" distR="203200">
            <wp:extent cx="4443730" cy="2268855"/>
            <wp:effectExtent l="0" t="0" r="0" b="0"/>
            <wp:docPr id="1279" name="オブジェクト 0"/>
            <a:graphic xmlns:a="http://schemas.openxmlformats.org/drawingml/2006/main">
              <a:graphicData uri="http://schemas.openxmlformats.org/drawingml/2006/picture">
                <pic:pic xmlns:pic="http://schemas.openxmlformats.org/drawingml/2006/picture">
                  <pic:nvPicPr>
                    <pic:cNvPr id="1279" name="オブジェクト 0"/>
                    <pic:cNvPicPr>
                      <a:picLocks noChangeAspect="1"/>
                    </pic:cNvPicPr>
                  </pic:nvPicPr>
                  <pic:blipFill>
                    <a:blip r:embed="rId54"/>
                    <a:stretch>
                      <a:fillRect/>
                    </a:stretch>
                  </pic:blipFill>
                  <pic:spPr>
                    <a:xfrm>
                      <a:off x="0" y="0"/>
                      <a:ext cx="4443730" cy="2268855"/>
                    </a:xfrm>
                    <a:prstGeom prst="rect">
                      <a:avLst/>
                    </a:prstGeom>
                  </pic:spPr>
                </pic:pic>
              </a:graphicData>
            </a:graphic>
          </wp:inline>
        </w:drawing>
      </w:r>
    </w:p>
    <w:p>
      <w:pPr>
        <w:pStyle w:val="0"/>
        <w:jc w:val="center"/>
        <w:rPr>
          <w:rFonts w:hint="default" w:ascii="ＭＳ 明朝" w:hAnsi="ＭＳ 明朝" w:eastAsia="ＭＳ 明朝"/>
          <w:highlight w:val="none"/>
        </w:rPr>
      </w:pPr>
    </w:p>
    <w:p>
      <w:pPr>
        <w:pStyle w:val="0"/>
        <w:jc w:val="both"/>
        <w:rPr>
          <w:rFonts w:hint="default" w:ascii="ＭＳ 明朝" w:hAnsi="ＭＳ 明朝" w:eastAsia="ＭＳ 明朝"/>
          <w:highlight w:val="none"/>
        </w:rPr>
      </w:pP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b w:val="1"/>
          <w:color w:val="000000" w:themeColor="text1"/>
          <w:highlight w:val="none"/>
          <w:u w:val="none" w:color="auto"/>
        </w:rPr>
        <w:t>（３）就業地域別</w:t>
      </w:r>
    </w:p>
    <w:p>
      <w:pPr>
        <w:pStyle w:val="0"/>
        <w:ind w:left="226" w:leftChars="100" w:firstLine="226" w:firstLineChars="100"/>
        <w:rPr>
          <w:rFonts w:hint="default" w:ascii="ＭＳ 明朝" w:hAnsi="ＭＳ 明朝" w:eastAsia="ＭＳ 明朝"/>
          <w:highlight w:val="none"/>
        </w:rPr>
      </w:pPr>
      <w:r>
        <w:rPr>
          <w:rFonts w:hint="eastAsia" w:ascii="ＭＳ 明朝" w:hAnsi="ＭＳ 明朝" w:eastAsia="ＭＳ 明朝"/>
          <w:color w:val="000000" w:themeColor="text1"/>
          <w:highlight w:val="none"/>
          <w:u w:val="none" w:color="auto"/>
        </w:rPr>
        <w:t>就業地域別では、高知市は人口</w:t>
      </w:r>
      <w:r>
        <w:rPr>
          <w:rFonts w:hint="eastAsia" w:ascii="ＭＳ 明朝" w:hAnsi="ＭＳ 明朝" w:eastAsia="ＭＳ 明朝"/>
          <w:color w:val="000000" w:themeColor="text1"/>
          <w:highlight w:val="none"/>
          <w:u w:val="none" w:color="auto"/>
        </w:rPr>
        <w:t>10</w:t>
      </w:r>
      <w:r>
        <w:rPr>
          <w:rFonts w:hint="eastAsia" w:ascii="ＭＳ 明朝" w:hAnsi="ＭＳ 明朝" w:eastAsia="ＭＳ 明朝"/>
          <w:color w:val="000000" w:themeColor="text1"/>
          <w:highlight w:val="none"/>
          <w:u w:val="none" w:color="auto"/>
        </w:rPr>
        <w:t>万人当たり</w:t>
      </w:r>
      <w:r>
        <w:rPr>
          <w:rFonts w:hint="eastAsia" w:ascii="ＭＳ 明朝" w:hAnsi="ＭＳ 明朝" w:eastAsia="ＭＳ 明朝"/>
          <w:color w:val="000000" w:themeColor="text1"/>
          <w:highlight w:val="none"/>
          <w:u w:val="none" w:color="auto"/>
        </w:rPr>
        <w:t>319.1</w:t>
      </w:r>
      <w:r>
        <w:rPr>
          <w:rFonts w:hint="eastAsia" w:ascii="ＭＳ 明朝" w:hAnsi="ＭＳ 明朝" w:eastAsia="ＭＳ 明朝"/>
          <w:color w:val="000000" w:themeColor="text1"/>
          <w:highlight w:val="none"/>
          <w:u w:val="none" w:color="auto"/>
        </w:rPr>
        <w:t>人で全国平均（</w:t>
      </w:r>
      <w:r>
        <w:rPr>
          <w:rFonts w:hint="eastAsia" w:ascii="ＭＳ 明朝" w:hAnsi="ＭＳ 明朝" w:eastAsia="ＭＳ 明朝"/>
          <w:color w:val="000000" w:themeColor="text1"/>
          <w:highlight w:val="none"/>
          <w:u w:val="none" w:color="auto"/>
        </w:rPr>
        <w:t>255.2</w:t>
      </w:r>
      <w:r>
        <w:rPr>
          <w:rFonts w:hint="eastAsia" w:ascii="ＭＳ 明朝" w:hAnsi="ＭＳ 明朝" w:eastAsia="ＭＳ 明朝"/>
          <w:color w:val="000000" w:themeColor="text1"/>
          <w:highlight w:val="none"/>
          <w:u w:val="none" w:color="auto"/>
        </w:rPr>
        <w:t>人）を上回っていますが、その他の地域ではいずれも全国平均を下回っており、地域偏在が顕著で、郡部では薬局や病院を問わず恒常的に薬剤師が不足しています。</w:t>
      </w:r>
    </w:p>
    <w:p>
      <w:pPr>
        <w:pStyle w:val="0"/>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r>
        <w:rPr>
          <w:rFonts w:hint="eastAsia" w:ascii="ＭＳ 明朝" w:hAnsi="ＭＳ 明朝" w:eastAsia="ＭＳ 明朝"/>
          <w:highlight w:val="none"/>
        </w:rPr>
        <w:t>（</w: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 xml:space="preserve"> 4-3-3</w:t>
      </w:r>
      <w:r>
        <w:rPr>
          <w:rFonts w:hint="eastAsia" w:ascii="ＭＳ ゴシック" w:hAnsi="ＭＳ ゴシック" w:eastAsia="ＭＳ ゴシック"/>
          <w:color w:val="auto"/>
          <w:kern w:val="0"/>
          <w:sz w:val="22"/>
          <w:highlight w:val="none"/>
        </w:rPr>
        <w:t>）就業地域別の薬剤師数（人口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　</w:t>
      </w:r>
    </w:p>
    <w:p>
      <w:pPr>
        <w:pStyle w:val="0"/>
        <w:jc w:val="center"/>
        <w:rPr>
          <w:rFonts w:hint="default" w:ascii="ＭＳ 明朝" w:hAnsi="ＭＳ 明朝" w:eastAsia="ＭＳ 明朝"/>
          <w:highlight w:val="none"/>
        </w:rPr>
      </w:pPr>
      <w:r>
        <w:rPr>
          <w:rFonts w:hint="eastAsia"/>
        </w:rPr>
        <mc:AlternateContent>
          <mc:Choice Requires="wpg">
            <w:drawing>
              <wp:anchor simplePos="0" relativeHeight="261" behindDoc="0" locked="0" layoutInCell="1" hidden="0" allowOverlap="1">
                <wp:simplePos x="0" y="0"/>
                <wp:positionH relativeFrom="column">
                  <wp:posOffset>875030</wp:posOffset>
                </wp:positionH>
                <wp:positionV relativeFrom="paragraph">
                  <wp:posOffset>43815</wp:posOffset>
                </wp:positionV>
                <wp:extent cx="4297680" cy="2590800"/>
                <wp:effectExtent l="0" t="0" r="0" b="635"/>
                <wp:wrapNone/>
                <wp:docPr id="1280" name="オブジェクト 0"/>
                <a:graphic xmlns:a="http://schemas.openxmlformats.org/drawingml/2006/main">
                  <a:graphicData uri="http://schemas.microsoft.com/office/word/2010/wordprocessingGroup">
                    <wpg:wgp>
                      <wpg:cNvGrpSpPr/>
                      <wpg:grpSpPr>
                        <a:xfrm>
                          <a:off x="0" y="0"/>
                          <a:ext cx="4297680" cy="2590800"/>
                          <a:chOff x="2796" y="10937"/>
                          <a:chExt cx="6768" cy="4080"/>
                        </a:xfrm>
                      </wpg:grpSpPr>
                      <wpg:graphicFrame>
                        <wpg:cNvPr id="1281" name="オブジェクト 0"/>
                        <wpg:cNvFrPr/>
                        <wpg:xfrm>
                          <a:off x="2796" y="11101"/>
                          <a:ext cx="6768" cy="3818"/>
                        </wpg:xfrm>
                        <a:graphic>
                          <a:graphicData uri="http://schemas.openxmlformats.org/drawingml/2006/chart">
                            <c:chart xmlns:c="http://schemas.openxmlformats.org/drawingml/2006/chart" r:id="rId55"/>
                          </a:graphicData>
                        </a:graphic>
                      </wpg:graphicFrame>
                      <wps:wsp>
                        <wps:cNvPr id="1282" name="オブジェクト 0"/>
                        <wps:cNvSpPr txBox="1"/>
                        <wps:spPr>
                          <a:xfrm>
                            <a:off x="7908" y="10937"/>
                            <a:ext cx="1410" cy="4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0"/>
                                </w:rPr>
                              </w:pPr>
                              <w:r>
                                <w:rPr>
                                  <w:rFonts w:hint="eastAsia" w:ascii="ＭＳ ゴシック" w:hAnsi="ＭＳ ゴシック" w:eastAsia="ＭＳ ゴシック"/>
                                  <w:color w:val="auto"/>
                                  <w:kern w:val="0"/>
                                  <w:sz w:val="16"/>
                                </w:rPr>
                                <w:t>（単位</w:t>
                              </w:r>
                              <w:r>
                                <w:rPr>
                                  <w:rFonts w:hint="eastAsia" w:ascii="ＭＳ ゴシック" w:hAnsi="ＭＳ ゴシック" w:eastAsia="ＭＳ ゴシック"/>
                                  <w:color w:val="auto"/>
                                  <w:kern w:val="0"/>
                                  <w:sz w:val="16"/>
                                </w:rPr>
                                <w:t>:</w:t>
                              </w:r>
                              <w:r>
                                <w:rPr>
                                  <w:rFonts w:hint="eastAsia" w:ascii="ＭＳ ゴシック" w:hAnsi="ＭＳ ゴシック" w:eastAsia="ＭＳ ゴシック"/>
                                  <w:color w:val="auto"/>
                                  <w:kern w:val="0"/>
                                  <w:sz w:val="16"/>
                                </w:rPr>
                                <w:t>人）</w:t>
                              </w:r>
                            </w:p>
                          </w:txbxContent>
                        </wps:txbx>
                        <wps:bodyPr vertOverflow="overflow" horzOverflow="overflow" wrap="square" lIns="74295" tIns="8890" rIns="74295" bIns="8890"/>
                      </wps:wsp>
                      <wps:wsp>
                        <wps:cNvPr id="1283" name="オブジェクト 0"/>
                        <wps:cNvSpPr/>
                        <wps:spPr>
                          <a:xfrm>
                            <a:off x="4930" y="14582"/>
                            <a:ext cx="4470" cy="43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wps:txbx>
                        <wps:bodyPr vertOverflow="overflow" horzOverflow="overflow" wrap="square" anchor="ctr"/>
                      </wps:wsp>
                    </wpg:wgp>
                  </a:graphicData>
                </a:graphic>
              </wp:anchor>
            </w:drawing>
          </mc:Choice>
          <mc:Fallback>
            <w:pict>
              <v:group id="オブジェクト 0" style="margin-top:3.45pt;mso-position-vertical-relative:text;mso-position-horizontal-relative:text;position:absolute;height:204pt;width:338.4pt;margin-left:68.900000000000006pt;z-index:261;" coordsize="6768,4080" coordorigin="2796,10937" o:spid="_x0000_s128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818;width:6768;top:11101;left:2796;position:absolute;" o:spid="_x0000_s1281" filled="f" stroked="f" o:spt="75" type="#_x0000_t75">
                  <v:fill/>
                  <v:imagedata o:title="" r:id="rId56"/>
                  <w10:wrap type="none" anchorx="text" anchory="text"/>
                </v:shape>
                <v:shapetype id="_x0000_t202" coordsize="21600,21600" o:spt="202" path="m,l,21600r21600,l21600,xe">
                  <v:stroke joinstyle="miter"/>
                  <v:path gradientshapeok="t" o:connecttype="rect"/>
                </v:shapetype>
                <v:shape id="オブジェクト 0" style="height:450;width:1410;top:10937;left:7908;position:absolute;" o:spid="_x0000_s1282" filled="f" stroked="f" strokeweight="0.5pt" o:spt="202" type="#_x0000_t202">
                  <v:fill/>
                  <v:stroke linestyle="single"/>
                  <v:textbox style="layout-flow:horizontal;" inset="2.0637499999999998mm,0.24694444444444438mm,2.0637499999999998mm,0.24694444444444438mm">
                    <w:txbxContent>
                      <w:p>
                        <w:pPr>
                          <w:pStyle w:val="0"/>
                          <w:rPr>
                            <w:rFonts w:hint="eastAsia"/>
                            <w:sz w:val="20"/>
                          </w:rPr>
                        </w:pPr>
                        <w:r>
                          <w:rPr>
                            <w:rFonts w:hint="eastAsia" w:ascii="ＭＳ ゴシック" w:hAnsi="ＭＳ ゴシック" w:eastAsia="ＭＳ ゴシック"/>
                            <w:color w:val="auto"/>
                            <w:kern w:val="0"/>
                            <w:sz w:val="16"/>
                          </w:rPr>
                          <w:t>（単位</w:t>
                        </w:r>
                        <w:r>
                          <w:rPr>
                            <w:rFonts w:hint="eastAsia" w:ascii="ＭＳ ゴシック" w:hAnsi="ＭＳ ゴシック" w:eastAsia="ＭＳ ゴシック"/>
                            <w:color w:val="auto"/>
                            <w:kern w:val="0"/>
                            <w:sz w:val="16"/>
                          </w:rPr>
                          <w:t>:</w:t>
                        </w:r>
                        <w:r>
                          <w:rPr>
                            <w:rFonts w:hint="eastAsia" w:ascii="ＭＳ ゴシック" w:hAnsi="ＭＳ ゴシック" w:eastAsia="ＭＳ ゴシック"/>
                            <w:color w:val="auto"/>
                            <w:kern w:val="0"/>
                            <w:sz w:val="16"/>
                          </w:rPr>
                          <w:t>人）</w:t>
                        </w:r>
                      </w:p>
                    </w:txbxContent>
                  </v:textbox>
                  <v:imagedata o:title=""/>
                  <w10:wrap type="none" anchorx="text" anchory="text"/>
                </v:shape>
                <v:rect id="オブジェクト 0" style="height:435;width:4470;top:14582;left:4930;v-text-anchor:middle;position:absolute;" o:spid="_x0000_s1283" filled="f" stroked="f" strokecolor="#42709c" strokeweight="1pt" o:spt="1">
                  <v:fill/>
                  <v:stroke linestyle="single" miterlimit="8" endcap="flat" dashstyle="solid"/>
                  <v:textbox style="layout-flow:horizontal;">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v:textbox>
                  <v:imagedata o:title=""/>
                  <w10:wrap type="none" anchorx="text" anchory="text"/>
                </v:rect>
                <w10:wrap type="none" anchorx="text" anchory="text"/>
              </v:group>
            </w:pict>
          </mc:Fallback>
        </mc:AlternateContent>
      </w: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ind w:left="105" w:leftChars="50" w:firstLine="210" w:firstLineChars="100"/>
        <w:rPr>
          <w:rFonts w:hint="default" w:ascii="ＭＳ 明朝" w:hAnsi="ＭＳ 明朝" w:eastAsia="ＭＳ 明朝"/>
          <w:highlight w:val="none"/>
        </w:rPr>
      </w:pPr>
    </w:p>
    <w:p>
      <w:pPr>
        <w:pStyle w:val="0"/>
        <w:ind w:left="105" w:leftChars="50" w:firstLine="210" w:firstLineChars="100"/>
        <w:rPr>
          <w:rFonts w:hint="default" w:ascii="ＭＳ 明朝" w:hAnsi="ＭＳ 明朝" w:eastAsia="ＭＳ 明朝"/>
          <w:highlight w:val="none"/>
        </w:rPr>
      </w:pPr>
    </w:p>
    <w:p>
      <w:pPr>
        <w:pStyle w:val="0"/>
        <w:ind w:left="105" w:leftChars="50" w:firstLine="210" w:firstLineChars="1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rPr>
          <w:rFonts w:hint="default" w:ascii="ＭＳ 明朝" w:hAnsi="ＭＳ 明朝" w:eastAsia="ＭＳ 明朝"/>
          <w:b w:val="1"/>
          <w:color w:val="0070C0"/>
          <w:sz w:val="22"/>
          <w:highlight w:val="none"/>
        </w:rPr>
      </w:pPr>
    </w:p>
    <w:p>
      <w:pPr>
        <w:pStyle w:val="0"/>
        <w:rPr>
          <w:rFonts w:hint="default" w:ascii="ＭＳ 明朝" w:hAnsi="ＭＳ 明朝" w:eastAsia="ＭＳ 明朝"/>
          <w:b w:val="1"/>
          <w:color w:val="0070C0"/>
          <w:sz w:val="22"/>
          <w:highlight w:val="none"/>
        </w:rPr>
      </w:pPr>
    </w:p>
    <w:p>
      <w:pPr>
        <w:pStyle w:val="0"/>
        <w:rPr>
          <w:rFonts w:hint="default"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期待される薬剤師の役割</w:t>
      </w:r>
    </w:p>
    <w:p>
      <w:pPr>
        <w:pStyle w:val="0"/>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highlight w:val="none"/>
        </w:rPr>
        <w:t>近年、医療技術の進展とともに薬物療法が高度化しており、医療の質の向上及び医療安全の確保の観点から、</w:t>
      </w:r>
      <w:r>
        <w:rPr>
          <w:rFonts w:hint="eastAsia" w:ascii="ＭＳ 明朝" w:hAnsi="ＭＳ 明朝" w:eastAsia="ＭＳ 明朝"/>
          <w:color w:val="000000" w:themeColor="text1"/>
          <w:highlight w:val="none"/>
          <w:u w:val="none" w:color="auto"/>
        </w:rPr>
        <w:t>薬剤師には、適正な薬物治療のための薬剤相互作用や副作用の防止・早期発見、ポリファーマシー</w:t>
      </w:r>
      <w:r>
        <w:rPr>
          <w:rFonts w:hint="eastAsia" w:ascii="ＭＳ 明朝" w:hAnsi="ＭＳ 明朝" w:eastAsia="ＭＳ 明朝"/>
          <w:color w:val="000000" w:themeColor="text1"/>
          <w:highlight w:val="none"/>
          <w:u w:val="none" w:color="auto"/>
          <w:vertAlign w:val="superscript"/>
        </w:rPr>
        <w:t>（注</w:t>
      </w:r>
      <w:r>
        <w:rPr>
          <w:rFonts w:hint="eastAsia" w:ascii="ＭＳ 明朝" w:hAnsi="ＭＳ 明朝" w:eastAsia="ＭＳ 明朝"/>
          <w:color w:val="000000" w:themeColor="text1"/>
          <w:highlight w:val="none"/>
          <w:u w:val="none" w:color="auto"/>
          <w:vertAlign w:val="superscript"/>
        </w:rPr>
        <w:t>1</w:t>
      </w:r>
      <w:r>
        <w:rPr>
          <w:rFonts w:hint="eastAsia" w:ascii="ＭＳ 明朝" w:hAnsi="ＭＳ 明朝" w:eastAsia="ＭＳ 明朝"/>
          <w:color w:val="000000" w:themeColor="text1"/>
          <w:highlight w:val="none"/>
          <w:u w:val="none" w:color="auto"/>
          <w:vertAlign w:val="superscript"/>
        </w:rPr>
        <w:t>）</w:t>
      </w:r>
      <w:r>
        <w:rPr>
          <w:rFonts w:hint="eastAsia" w:ascii="ＭＳ 明朝" w:hAnsi="ＭＳ 明朝" w:eastAsia="ＭＳ 明朝"/>
          <w:color w:val="000000" w:themeColor="text1"/>
          <w:highlight w:val="none"/>
          <w:u w:val="none" w:color="auto"/>
        </w:rPr>
        <w:t>の解消などの役割が求められています。</w:t>
      </w:r>
    </w:p>
    <w:p>
      <w:pPr>
        <w:pStyle w:val="0"/>
        <w:spacing w:line="360" w:lineRule="exact"/>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薬局に従事する薬剤師は、かかりつけ薬剤師として、患者の服薬情報を一元的・継続的に把握しそれに基づく薬学的管理・指導を行うとともに、自宅で療養している患者や施設の入所者の服薬管理への積極的な参画や、薬局内外での健康づくりやセルフメディケーション</w:t>
      </w:r>
      <w:r>
        <w:rPr>
          <w:rFonts w:hint="eastAsia" w:ascii="ＭＳ 明朝" w:hAnsi="ＭＳ 明朝" w:eastAsia="ＭＳ 明朝"/>
          <w:color w:val="000000" w:themeColor="text1"/>
          <w:highlight w:val="none"/>
          <w:u w:val="none" w:color="auto"/>
          <w:vertAlign w:val="superscript"/>
        </w:rPr>
        <w:t>（注２）</w:t>
      </w:r>
      <w:r>
        <w:rPr>
          <w:rFonts w:hint="eastAsia" w:ascii="ＭＳ 明朝" w:hAnsi="ＭＳ 明朝" w:eastAsia="ＭＳ 明朝"/>
          <w:color w:val="000000" w:themeColor="text1"/>
          <w:highlight w:val="none"/>
          <w:u w:val="none" w:color="auto"/>
        </w:rPr>
        <w:t>の推進など、県民が安心して相談できる身近な医療従事者としての役割が期待されています。</w:t>
      </w:r>
    </w:p>
    <w:p>
      <w:pPr>
        <w:pStyle w:val="0"/>
        <w:snapToGrid w:val="0"/>
        <w:spacing w:line="360" w:lineRule="exact"/>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病院に従事する薬剤師は、急性期から慢性期まで、患者に切れ目なく安全で有効な薬物療法を提供するために、病院機能に合わせた介入が期待されています。活動場所も調剤室だけでなく病棟や外来、手術室など多岐にわたり、医療安全に配慮した薬学的管理、医師への処方提案、</w:t>
      </w:r>
      <w:r>
        <w:rPr>
          <w:rFonts w:hint="eastAsia" w:ascii="ＭＳ 明朝" w:hAnsi="ＭＳ 明朝" w:eastAsia="ＭＳ 明朝"/>
          <w:color w:val="000000" w:themeColor="text1"/>
          <w:highlight w:val="none"/>
          <w:u w:val="none" w:color="auto"/>
          <w:shd w:val="clear" w:color="auto" w:fill="FFFFFF"/>
        </w:rPr>
        <w:t>タスクシフト・シェア</w:t>
      </w:r>
      <w:r>
        <w:rPr>
          <w:rFonts w:hint="eastAsia" w:ascii="ＭＳ 明朝" w:hAnsi="ＭＳ 明朝" w:eastAsia="ＭＳ 明朝"/>
          <w:color w:val="000000" w:themeColor="text1"/>
          <w:highlight w:val="none"/>
          <w:u w:val="none" w:color="auto"/>
          <w:vertAlign w:val="superscript"/>
        </w:rPr>
        <w:t>（注３）</w:t>
      </w:r>
      <w:r>
        <w:rPr>
          <w:rFonts w:hint="eastAsia" w:ascii="ＭＳ 明朝" w:hAnsi="ＭＳ 明朝" w:eastAsia="ＭＳ 明朝"/>
          <w:color w:val="000000" w:themeColor="text1"/>
          <w:highlight w:val="none"/>
          <w:u w:val="none" w:color="auto"/>
          <w:shd w:val="clear" w:color="auto" w:fill="FFFFFF"/>
        </w:rPr>
        <w:t>による医師の負担軽減などチーム医療における</w:t>
      </w:r>
      <w:r>
        <w:rPr>
          <w:rFonts w:hint="eastAsia" w:ascii="ＭＳ 明朝" w:hAnsi="ＭＳ 明朝" w:eastAsia="ＭＳ 明朝"/>
          <w:color w:val="000000" w:themeColor="text1"/>
          <w:highlight w:val="none"/>
          <w:u w:val="none" w:color="auto"/>
        </w:rPr>
        <w:t>医薬品の専門家として、より高度な専門性が必要となっています。</w:t>
      </w:r>
    </w:p>
    <w:p>
      <w:pPr>
        <w:pStyle w:val="0"/>
        <w:snapToGrid w:val="0"/>
        <w:spacing w:line="360" w:lineRule="exact"/>
        <w:ind w:left="226" w:leftChars="100" w:firstLine="226" w:firstLineChars="100"/>
        <w:rPr>
          <w:rFonts w:hint="default"/>
          <w:color w:val="000000" w:themeColor="text1"/>
          <w:highlight w:val="none"/>
          <w:u w:val="none" w:color="auto"/>
        </w:rPr>
      </w:pPr>
      <w:r>
        <w:rPr>
          <w:rFonts w:hint="eastAsia" w:ascii="ＭＳ 明朝" w:hAnsi="ＭＳ 明朝" w:eastAsia="ＭＳ 明朝"/>
          <w:color w:val="000000" w:themeColor="text1"/>
          <w:highlight w:val="none"/>
          <w:u w:val="none" w:color="auto"/>
        </w:rPr>
        <w:t>さらに、入院時の持参薬の整理や、退院後の安全で適正な薬物療法を継続するため、薬局と病院の薬剤師が服薬情報や患者の基本情報を共有するなど薬薬連携をさらに強化する必要があります。</w:t>
      </w:r>
    </w:p>
    <w:p>
      <w:pPr>
        <w:pStyle w:val="0"/>
        <w:spacing w:line="360" w:lineRule="exact"/>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こうした薬剤師の職能の向上、薬剤師間や多職種での連携を強化するためには、薬剤師としての基本的な知識や技能を修得する段階から、学位や専門・認定資格の取得など、より専門的なキャリア形成への支援が必要です。</w:t>
      </w:r>
    </w:p>
    <w:p>
      <w:pPr>
        <w:pStyle w:val="0"/>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また、南海トラフ地震などの大規模災害時には、医療救護チームとして、あるいは薬剤の専門家として被災者への医薬品の供給調整や、医薬品の交付及び服薬指導、また避難所等の衛生管理など、被災者の支援を行う必要があります。</w:t>
      </w:r>
    </w:p>
    <w:p>
      <w:pPr>
        <w:pStyle w:val="0"/>
        <w:spacing w:line="200" w:lineRule="exact"/>
        <w:ind w:left="667" w:hanging="667" w:hangingChars="400"/>
        <w:jc w:val="both"/>
        <w:rPr>
          <w:rFonts w:hint="default"/>
          <w:color w:val="000000" w:themeColor="text1"/>
          <w:highlight w:val="none"/>
          <w:u w:val="none" w:color="auto"/>
        </w:rPr>
      </w:pPr>
      <w:r>
        <w:rPr>
          <w:rFonts w:hint="eastAsia" w:ascii="ＭＳ 明朝" w:hAnsi="ＭＳ 明朝" w:eastAsia="ＭＳ 明朝"/>
          <w:color w:val="000000" w:themeColor="text1"/>
          <w:sz w:val="16"/>
          <w:highlight w:val="none"/>
          <w:u w:val="none" w:color="auto"/>
        </w:rPr>
        <w:t>（注１）ポリファーマシー：単に服用する薬剤数が多いのみならず、それに関連して薬物有害事象のリスク増加、服用過誤、服薬アドヒアランス低下等の問題につながる状態（出典：厚生労働省）</w:t>
      </w:r>
    </w:p>
    <w:p>
      <w:pPr>
        <w:pStyle w:val="0"/>
        <w:spacing w:line="200" w:lineRule="exact"/>
        <w:ind w:left="667" w:hanging="667" w:hangingChars="400"/>
        <w:jc w:val="both"/>
        <w:rPr>
          <w:rFonts w:hint="default"/>
          <w:color w:val="000000" w:themeColor="text1"/>
          <w:highlight w:val="none"/>
        </w:rPr>
      </w:pPr>
      <w:r>
        <w:rPr>
          <w:rFonts w:hint="eastAsia" w:ascii="ＭＳ 明朝" w:hAnsi="ＭＳ 明朝" w:eastAsia="ＭＳ 明朝"/>
          <w:color w:val="000000" w:themeColor="text1"/>
          <w:sz w:val="16"/>
          <w:highlight w:val="none"/>
          <w:u w:val="none" w:color="auto"/>
        </w:rPr>
        <w:t>（注２）</w:t>
      </w:r>
      <w:r>
        <w:rPr>
          <w:rFonts w:hint="eastAsia"/>
          <w:color w:val="000000" w:themeColor="text1"/>
          <w:sz w:val="16"/>
          <w:highlight w:val="none"/>
          <w:u w:val="none" w:color="auto"/>
        </w:rPr>
        <w:t>セルフメディケーション：「自分自身の健康に責任を持ち、軽度な身体の不調は自分で手当てする」世界保健機構（ＷＨＯ）の定義</w:t>
      </w:r>
    </w:p>
    <w:p>
      <w:pPr>
        <w:pStyle w:val="0"/>
        <w:spacing w:line="200" w:lineRule="exact"/>
        <w:ind w:left="667" w:hanging="667" w:hangingChars="400"/>
        <w:jc w:val="both"/>
        <w:rPr>
          <w:rFonts w:hint="default"/>
          <w:color w:val="000000" w:themeColor="text1"/>
          <w:highlight w:val="none"/>
        </w:rPr>
      </w:pPr>
      <w:r>
        <w:rPr>
          <w:rFonts w:hint="eastAsia" w:ascii="ＭＳ 明朝" w:hAnsi="ＭＳ 明朝" w:eastAsia="ＭＳ 明朝"/>
          <w:color w:val="000000" w:themeColor="text1"/>
          <w:sz w:val="16"/>
          <w:highlight w:val="none"/>
          <w:u w:val="none" w:color="auto"/>
        </w:rPr>
        <w:t>（注３）</w:t>
      </w:r>
      <w:r>
        <w:rPr>
          <w:rFonts w:hint="eastAsia"/>
          <w:color w:val="000000" w:themeColor="text1"/>
          <w:sz w:val="16"/>
          <w:highlight w:val="none"/>
          <w:u w:val="none" w:color="auto"/>
        </w:rPr>
        <w:t>タスクシフト・シェア：医師の担っている業務のうち、一部を他の医療スタッフ（看護師、薬剤師、臨床検査技師、事務職（医師事務作業補助者）など）に移管（シフト）や分担（シェア）すること（出典：厚生労働省）</w:t>
      </w:r>
    </w:p>
    <w:p>
      <w:pPr>
        <w:pStyle w:val="0"/>
        <w:spacing w:line="160" w:lineRule="exact"/>
        <w:rPr>
          <w:rFonts w:hint="default" w:ascii="ＭＳ 明朝" w:hAnsi="ＭＳ 明朝" w:eastAsia="ＭＳ 明朝"/>
          <w:b w:val="1"/>
          <w:highlight w:val="none"/>
          <w:bdr w:val="single" w:color="auto" w:sz="4" w:space="0"/>
          <w:shd w:val="clear" w:color="auto" w:fill="E5DFEC"/>
        </w:rPr>
      </w:pPr>
    </w:p>
    <w:p>
      <w:pPr>
        <w:pStyle w:val="0"/>
        <w:rPr>
          <w:rFonts w:hint="default" w:ascii="ＭＳ 明朝" w:hAnsi="ＭＳ 明朝" w:eastAsia="ＭＳ 明朝"/>
          <w:highlight w:val="none"/>
        </w:rPr>
      </w:pPr>
      <w:r>
        <w:rPr>
          <w:rFonts w:hint="eastAsia" w:ascii="ＭＳ 明朝" w:hAnsi="ＭＳ 明朝" w:eastAsia="ＭＳ 明朝"/>
          <w:b w:val="1"/>
          <w:highlight w:val="none"/>
          <w:bdr w:val="single" w:color="auto" w:sz="4" w:space="0"/>
          <w:shd w:val="clear" w:color="auto" w:fill="E5DFEC"/>
        </w:rPr>
        <w:t>対策</w:t>
      </w: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FF0000"/>
          <w:highlight w:val="none"/>
        </w:rPr>
        <w:t>　</w:t>
      </w:r>
      <w:r>
        <w:rPr>
          <w:rFonts w:hint="eastAsia" w:ascii="ＭＳ 明朝" w:hAnsi="ＭＳ 明朝" w:eastAsia="ＭＳ 明朝"/>
          <w:color w:val="000000" w:themeColor="text1"/>
          <w:highlight w:val="none"/>
          <w:u w:val="none" w:color="auto"/>
        </w:rPr>
        <w:t>県は、県薬剤師会及び県病院薬剤師会と協働で以下の取組</w:t>
      </w:r>
      <w:bookmarkStart w:id="0" w:name="_GoBack"/>
      <w:bookmarkEnd w:id="0"/>
      <w:r>
        <w:rPr>
          <w:rFonts w:hint="eastAsia" w:ascii="ＭＳ 明朝" w:hAnsi="ＭＳ 明朝" w:eastAsia="ＭＳ 明朝"/>
          <w:color w:val="000000" w:themeColor="text1"/>
          <w:highlight w:val="none"/>
          <w:u w:val="none" w:color="auto"/>
        </w:rPr>
        <w:t>を推進します。</w:t>
      </w:r>
    </w:p>
    <w:p>
      <w:pPr>
        <w:pStyle w:val="0"/>
        <w:spacing w:before="165" w:beforeLines="50" w:beforeAutospacing="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70C0"/>
          <w:sz w:val="22"/>
          <w:highlight w:val="none"/>
          <w:u w:val="none" w:color="auto"/>
        </w:rPr>
        <w:t>１　若手薬剤師の確保</w:t>
      </w:r>
      <w:r>
        <w:rPr>
          <w:rFonts w:hint="eastAsia" w:ascii="ＭＳ 明朝" w:hAnsi="ＭＳ 明朝" w:eastAsia="ＭＳ 明朝"/>
          <w:b w:val="1"/>
          <w:color w:val="000000" w:themeColor="text1"/>
          <w:sz w:val="22"/>
          <w:highlight w:val="none"/>
          <w:u w:val="none" w:color="auto"/>
        </w:rPr>
        <w:t>　　　　</w:t>
      </w:r>
    </w:p>
    <w:p>
      <w:pPr>
        <w:pStyle w:val="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0000" w:themeColor="text1"/>
          <w:sz w:val="22"/>
          <w:highlight w:val="none"/>
          <w:u w:val="none" w:color="auto"/>
        </w:rPr>
        <w:t>（１）中高生への啓発</w:t>
      </w:r>
    </w:p>
    <w:p>
      <w:pPr>
        <w:pStyle w:val="0"/>
        <w:ind w:left="226" w:leftChars="100" w:firstLine="226" w:firstLineChars="10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color w:val="000000" w:themeColor="text1"/>
          <w:sz w:val="22"/>
          <w:highlight w:val="none"/>
          <w:u w:val="none" w:color="auto"/>
        </w:rPr>
        <w:t>県は、中高生を対象として、薬学部進学セミナーなどの開催による進学情報の提供、協定締結大学薬学部オープンキャンパスへの参加を支援します。加えて、奨学金返還への支援やキャリアビジョン等、将来像がよりイメージしやすくなるように学生とその保護者に周知します。</w:t>
      </w:r>
    </w:p>
    <w:p>
      <w:pPr>
        <w:pStyle w:val="0"/>
        <w:adjustRightInd w:val="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0000" w:themeColor="text1"/>
          <w:sz w:val="22"/>
          <w:highlight w:val="none"/>
          <w:u w:val="none" w:color="auto"/>
        </w:rPr>
        <w:t>（２）薬学生への啓発</w:t>
      </w:r>
    </w:p>
    <w:p>
      <w:pPr>
        <w:pStyle w:val="0"/>
        <w:adjustRightInd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000000" w:themeColor="text1"/>
          <w:sz w:val="22"/>
          <w:highlight w:val="none"/>
          <w:u w:val="none" w:color="auto"/>
        </w:rPr>
        <w:t>県は、薬学生を対象として、インターンシップの実施やふるさと実習の受入体制の強化、関西地区等での就職説明会を適宜開催します。併せて、</w:t>
      </w:r>
      <w:r>
        <w:rPr>
          <w:rFonts w:hint="eastAsia" w:ascii="ＭＳ 明朝" w:hAnsi="ＭＳ 明朝" w:eastAsia="ＭＳ 明朝"/>
          <w:color w:val="000000" w:themeColor="text1"/>
          <w:sz w:val="22"/>
          <w:highlight w:val="none"/>
          <w:u w:val="none" w:color="auto"/>
        </w:rPr>
        <w:t>SNS</w:t>
      </w:r>
      <w:r>
        <w:rPr>
          <w:rFonts w:hint="eastAsia" w:ascii="ＭＳ 明朝" w:hAnsi="ＭＳ 明朝" w:eastAsia="ＭＳ 明朝"/>
          <w:color w:val="000000" w:themeColor="text1"/>
          <w:sz w:val="22"/>
          <w:highlight w:val="none"/>
          <w:u w:val="none" w:color="auto"/>
        </w:rPr>
        <w:t>等を活用した求人情報サイトの周知や、卒業後のキャリア形成支援を周知します。</w:t>
      </w:r>
    </w:p>
    <w:p>
      <w:pPr>
        <w:pStyle w:val="0"/>
        <w:adjustRightInd w:val="0"/>
        <w:spacing w:line="0" w:lineRule="atLeast"/>
        <w:rPr>
          <w:rFonts w:hint="default" w:ascii="ＭＳ 明朝" w:hAnsi="ＭＳ 明朝" w:eastAsia="ＭＳ 明朝"/>
          <w:b w:val="1"/>
          <w:color w:val="auto"/>
          <w:sz w:val="22"/>
          <w:highlight w:val="none"/>
          <w:u w:val="none" w:color="auto"/>
        </w:rPr>
      </w:pPr>
      <w:bookmarkStart w:id="1" w:name="_Hlk149641146"/>
      <w:r>
        <w:rPr>
          <w:rFonts w:hint="eastAsia" w:ascii="ＭＳ 明朝" w:hAnsi="ＭＳ 明朝" w:eastAsia="ＭＳ 明朝"/>
          <w:b w:val="1"/>
          <w:color w:val="auto"/>
          <w:sz w:val="22"/>
          <w:highlight w:val="none"/>
          <w:u w:val="none" w:color="auto"/>
        </w:rPr>
        <w:t>（３）若手薬剤師のキャリア形成支援</w:t>
      </w:r>
    </w:p>
    <w:p>
      <w:pPr>
        <w:pStyle w:val="0"/>
        <w:adjustRightInd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県は、県薬剤師会及び県病院薬剤師会と連携したキャリア形成プログラムを確立し、病院等での基本的な知識や技能の修得とともに、就業しながら大学院での学位の取得や専門・認定資格の取得を支援します。こうした魅力あるキャリア形成プログラムにより、意欲のある若手薬剤師のＵ・Ｉターンを促すとともに、地域医療における薬剤師職能の向上を図ります。</w:t>
      </w:r>
      <w:bookmarkEnd w:id="1"/>
    </w:p>
    <w:p>
      <w:pPr>
        <w:pStyle w:val="0"/>
        <w:adjustRightInd w:val="0"/>
        <w:spacing w:line="0" w:lineRule="atLeast"/>
        <w:ind w:firstLine="221" w:firstLineChars="100"/>
        <w:rPr>
          <w:rFonts w:hint="default" w:ascii="ＭＳ 明朝" w:hAnsi="ＭＳ 明朝" w:eastAsia="ＭＳ 明朝"/>
          <w:b w:val="1"/>
          <w:color w:val="FF0000"/>
          <w:sz w:val="22"/>
          <w:highlight w:val="none"/>
          <w:u w:val="single" w:color="auto"/>
        </w:rPr>
      </w:pPr>
    </w:p>
    <w:p>
      <w:pPr>
        <w:pStyle w:val="0"/>
        <w:rPr>
          <w:rFonts w:hint="default"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２　病院等の薬剤師確保</w:t>
      </w:r>
    </w:p>
    <w:p>
      <w:pPr>
        <w:pStyle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県は、病院へ就職した薬剤師には、奨学金返還支援制度により経済的支援を行います。また、協定締結大学や協定締結企業などと連携し、その特色を活かした実効性のある薬剤師確保策を進めます。</w:t>
      </w:r>
    </w:p>
    <w:p>
      <w:pPr>
        <w:pStyle w:val="0"/>
        <w:adjustRightInd w:val="0"/>
        <w:spacing w:line="0" w:lineRule="atLeast"/>
        <w:ind w:firstLine="221" w:firstLineChars="100"/>
        <w:rPr>
          <w:rFonts w:hint="default" w:ascii="ＭＳ 明朝" w:hAnsi="ＭＳ 明朝" w:eastAsia="ＭＳ 明朝"/>
          <w:b w:val="1"/>
          <w:color w:val="FF0000"/>
          <w:sz w:val="22"/>
          <w:highlight w:val="none"/>
          <w:u w:val="single" w:color="auto"/>
        </w:rPr>
      </w:pPr>
    </w:p>
    <w:p>
      <w:pPr>
        <w:pStyle w:val="0"/>
        <w:rPr>
          <w:rFonts w:hint="default"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３　地域偏在の解消</w:t>
      </w:r>
    </w:p>
    <w:p>
      <w:pPr>
        <w:pStyle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県は、キャリア形成プログラムを活用して薬剤師不足地域における薬剤師を確保するため、薬局や病院でキャリアを積んだ薬剤師が、薬剤師不足地域の薬局や病院に一定期間就業するといった、薬局・病院間や病院間での相互支援を可能とする人事交流制度の創設に向けた検討を進めます。</w:t>
      </w:r>
    </w:p>
    <w:p>
      <w:pPr>
        <w:pStyle w:val="0"/>
        <w:adjustRightInd w:val="0"/>
        <w:spacing w:line="0" w:lineRule="atLeast"/>
        <w:ind w:firstLine="221" w:firstLineChars="100"/>
        <w:rPr>
          <w:rFonts w:hint="default" w:ascii="ＭＳ 明朝" w:hAnsi="ＭＳ 明朝" w:eastAsia="ＭＳ 明朝"/>
          <w:b w:val="1"/>
          <w:color w:val="FF0000"/>
          <w:sz w:val="22"/>
          <w:highlight w:val="none"/>
          <w:u w:val="single" w:color="auto"/>
        </w:rPr>
      </w:pPr>
    </w:p>
    <w:p>
      <w:pPr>
        <w:pStyle w:val="0"/>
        <w:rPr>
          <w:rFonts w:hint="default"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４　薬剤師のキャリア形成支援</w:t>
      </w:r>
    </w:p>
    <w:p>
      <w:pPr>
        <w:pStyle w:val="0"/>
        <w:rPr>
          <w:rFonts w:hint="default" w:ascii="ＭＳ 明朝" w:hAnsi="ＭＳ 明朝" w:eastAsia="ＭＳ 明朝"/>
          <w:color w:val="auto"/>
          <w:sz w:val="22"/>
          <w:highlight w:val="none"/>
          <w:u w:val="none" w:color="auto"/>
        </w:rPr>
      </w:pPr>
      <w:r>
        <w:rPr>
          <w:rFonts w:hint="eastAsia" w:ascii="ＭＳ 明朝" w:hAnsi="ＭＳ 明朝" w:eastAsia="ＭＳ 明朝"/>
          <w:b w:val="1"/>
          <w:color w:val="auto"/>
          <w:sz w:val="22"/>
          <w:highlight w:val="none"/>
          <w:u w:val="none" w:color="auto"/>
        </w:rPr>
        <w:t>（１）研修等への支援</w:t>
      </w:r>
    </w:p>
    <w:p>
      <w:pPr>
        <w:pStyle w:val="0"/>
        <w:ind w:left="226" w:leftChars="100" w:firstLine="226" w:firstLineChars="100"/>
        <w:rPr>
          <w:rFonts w:hint="default"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県は、薬剤師の業務をさらに充実、強化し、薬物療法をとりまく最新の知見を幅広く修得するなど生涯研修による資質の向上を図るため、関係団体が実施する研修等を支援します。</w:t>
      </w:r>
    </w:p>
    <w:p>
      <w:pPr>
        <w:pStyle w:val="0"/>
        <w:ind w:left="226" w:leftChars="100" w:firstLine="226" w:firstLineChars="100"/>
        <w:rPr>
          <w:rFonts w:hint="default"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また、就業、未就業に関わらず希望する薬剤師が、病院や薬局等で研修ができる制度の創設に向けた検討を進めます。</w:t>
      </w:r>
    </w:p>
    <w:p>
      <w:pPr>
        <w:pStyle w:val="0"/>
        <w:rPr>
          <w:rFonts w:hint="default" w:ascii="ＭＳ 明朝" w:hAnsi="ＭＳ 明朝" w:eastAsia="ＭＳ 明朝"/>
          <w:color w:val="auto"/>
          <w:sz w:val="22"/>
          <w:highlight w:val="none"/>
          <w:u w:val="none" w:color="auto"/>
        </w:rPr>
      </w:pPr>
      <w:r>
        <w:rPr>
          <w:rFonts w:hint="eastAsia" w:ascii="ＭＳ 明朝" w:hAnsi="ＭＳ 明朝" w:eastAsia="ＭＳ 明朝"/>
          <w:b w:val="1"/>
          <w:color w:val="auto"/>
          <w:sz w:val="22"/>
          <w:highlight w:val="none"/>
          <w:u w:val="none" w:color="auto"/>
        </w:rPr>
        <w:t>（２）大学や企業等との連携</w:t>
      </w:r>
    </w:p>
    <w:p>
      <w:pPr>
        <w:pStyle w:val="0"/>
        <w:ind w:left="226" w:leftChars="100" w:firstLine="226" w:firstLineChars="100"/>
        <w:rPr>
          <w:rFonts w:hint="default" w:ascii="ＭＳ 明朝" w:hAnsi="ＭＳ 明朝" w:eastAsia="ＭＳ 明朝"/>
          <w:color w:val="FF0000"/>
          <w:sz w:val="22"/>
          <w:highlight w:val="none"/>
        </w:rPr>
      </w:pPr>
      <w:r>
        <w:rPr>
          <w:rFonts w:hint="eastAsia" w:ascii="ＭＳ 明朝" w:hAnsi="ＭＳ 明朝" w:eastAsia="ＭＳ 明朝"/>
          <w:color w:val="auto"/>
          <w:sz w:val="22"/>
          <w:highlight w:val="none"/>
          <w:u w:val="none" w:color="auto"/>
        </w:rPr>
        <w:t>本県には薬系大学がないことから、県は協定締結大学や協定締結企業などと地域振興のための協働研究や、社会人大学院での地域医療に係る研究、就職支援など、幅広い分野での連携を強化します。</w:t>
      </w:r>
    </w:p>
    <w:p>
      <w:pPr>
        <w:pStyle w:val="0"/>
        <w:rPr>
          <w:rFonts w:hint="default" w:ascii="ＭＳ 明朝" w:hAnsi="ＭＳ 明朝" w:eastAsia="ＭＳ 明朝"/>
          <w:highlight w:val="none"/>
        </w:rPr>
      </w:pPr>
    </w:p>
    <w:p>
      <w:pPr>
        <w:pStyle w:val="0"/>
        <w:rPr>
          <w:rFonts w:hint="default"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５　災害時の対応に向けた取組み</w:t>
      </w:r>
    </w:p>
    <w:p>
      <w:pPr>
        <w:pStyle w:val="0"/>
        <w:ind w:firstLine="210" w:firstLineChars="100"/>
        <w:rPr>
          <w:rFonts w:hint="default"/>
          <w:color w:val="000000"/>
          <w:highlight w:val="none"/>
        </w:rPr>
      </w:pPr>
      <w:r>
        <w:rPr>
          <w:rFonts w:hint="eastAsia" w:ascii="ＭＳ 明朝" w:hAnsi="ＭＳ 明朝" w:eastAsia="ＭＳ 明朝"/>
          <w:color w:val="000000"/>
          <w:highlight w:val="none"/>
        </w:rPr>
        <w:t>県は、大規模災害時における薬剤師の活動が円滑にできるよう、平成</w:t>
      </w:r>
      <w:r>
        <w:rPr>
          <w:rFonts w:hint="eastAsia" w:ascii="ＭＳ 明朝" w:hAnsi="ＭＳ 明朝" w:eastAsia="ＭＳ 明朝"/>
          <w:color w:val="000000"/>
          <w:highlight w:val="none"/>
        </w:rPr>
        <w:t>24</w:t>
      </w:r>
      <w:r>
        <w:rPr>
          <w:rFonts w:hint="eastAsia" w:ascii="ＭＳ 明朝" w:hAnsi="ＭＳ 明朝" w:eastAsia="ＭＳ 明朝"/>
          <w:color w:val="000000"/>
          <w:highlight w:val="none"/>
        </w:rPr>
        <w:t>年度から配置した災害薬事コーディネーターを中心として、研修の開催や医療救護訓練を実施します。</w:t>
      </w:r>
    </w:p>
    <w:p>
      <w:pPr>
        <w:pStyle w:val="0"/>
        <w:rPr>
          <w:rFonts w:hint="default" w:ascii="ＭＳ 明朝" w:hAnsi="ＭＳ 明朝" w:eastAsia="ＭＳ 明朝"/>
          <w:highlight w:val="none"/>
        </w:rPr>
      </w:pPr>
      <w:r>
        <w:rPr>
          <w:rFonts w:hint="eastAsia" w:ascii="ＭＳ 明朝" w:hAnsi="ＭＳ 明朝" w:eastAsia="ＭＳ 明朝"/>
          <w:color w:val="000000"/>
          <w:highlight w:val="none"/>
        </w:rPr>
        <w:t>また、災害薬事コーディネーターのもと、地域で活動するリーダー的薬剤師の育成も実施します。</w:t>
      </w:r>
    </w:p>
    <w:p>
      <w:pPr>
        <w:pStyle w:val="0"/>
        <w:ind w:left="210" w:leftChars="100" w:firstLine="210" w:firstLineChars="100"/>
        <w:rPr>
          <w:rFonts w:hint="default" w:ascii="ＭＳ 明朝" w:hAnsi="ＭＳ 明朝" w:eastAsia="ＭＳ 明朝"/>
          <w:highlight w:val="none"/>
        </w:rPr>
      </w:pPr>
    </w:p>
    <w:p>
      <w:pPr>
        <w:pStyle w:val="0"/>
        <w:autoSpaceDE w:val="0"/>
        <w:autoSpaceDN w:val="0"/>
        <w:adjustRightInd w:val="0"/>
        <w:jc w:val="left"/>
        <w:rPr>
          <w:rFonts w:hint="default"/>
          <w:b w:val="1"/>
          <w:kern w:val="0"/>
          <w:highlight w:val="none"/>
          <w:bdr w:val="single" w:color="auto" w:sz="4" w:space="0"/>
          <w:shd w:val="clear" w:color="auto" w:fill="E5DFEC"/>
        </w:rPr>
      </w:pPr>
      <w:r>
        <w:rPr>
          <w:rFonts w:hint="eastAsia" w:ascii="ＭＳ 明朝" w:hAnsi="ＭＳ 明朝" w:eastAsia="ＭＳ 明朝"/>
          <w:b w:val="1"/>
          <w:kern w:val="0"/>
          <w:highlight w:val="none"/>
          <w:bdr w:val="single" w:color="auto" w:sz="4" w:space="0"/>
          <w:shd w:val="clear" w:color="auto" w:fill="E5DFEC"/>
        </w:rPr>
        <w:t>目標</w:t>
      </w:r>
    </w:p>
    <w:p>
      <w:pPr>
        <w:pStyle w:val="0"/>
        <w:rPr>
          <w:rFonts w:hint="default" w:ascii="ＭＳ 明朝" w:hAnsi="ＭＳ 明朝" w:eastAsia="ＭＳ 明朝"/>
          <w:highlight w:val="none"/>
        </w:rPr>
      </w:pPr>
      <w:r>
        <w:rPr>
          <w:rFonts w:hint="eastAsia" w:ascii="ＭＳ 明朝" w:hAnsi="ＭＳ 明朝" w:eastAsia="ＭＳ 明朝"/>
          <w:highlight w:val="none"/>
        </w:rPr>
        <w:t>○　</w:t>
      </w:r>
      <w:r>
        <w:rPr>
          <w:rFonts w:hint="eastAsia" w:ascii="ＭＳ 明朝" w:hAnsi="ＭＳ 明朝" w:eastAsia="ＭＳ 明朝"/>
          <w:color w:val="auto"/>
          <w:highlight w:val="none"/>
          <w:u w:val="none" w:color="auto"/>
        </w:rPr>
        <w:t>病院薬剤師を確保します。（区分：Ｓ）</w:t>
      </w:r>
    </w:p>
    <w:p>
      <w:pPr>
        <w:pStyle w:val="0"/>
        <w:rPr>
          <w:rFonts w:hint="default" w:ascii="ＭＳ 明朝" w:hAnsi="ＭＳ 明朝" w:eastAsia="ＭＳ 明朝"/>
          <w:highlight w:val="none"/>
        </w:rPr>
      </w:pPr>
      <w:r>
        <w:rPr>
          <w:rFonts w:hint="eastAsia" w:ascii="ＭＳ 明朝" w:hAnsi="ＭＳ 明朝" w:eastAsia="ＭＳ 明朝"/>
          <w:highlight w:val="none"/>
          <w:u w:val="none" w:color="auto"/>
        </w:rPr>
        <w:t>○　</w:t>
      </w:r>
      <w:r>
        <w:rPr>
          <w:rFonts w:hint="eastAsia" w:ascii="ＭＳ 明朝" w:hAnsi="ＭＳ 明朝" w:eastAsia="ＭＳ 明朝"/>
          <w:color w:val="auto"/>
          <w:highlight w:val="none"/>
          <w:u w:val="none" w:color="auto"/>
        </w:rPr>
        <w:t>若手薬剤師（</w:t>
      </w:r>
      <w:r>
        <w:rPr>
          <w:rFonts w:hint="eastAsia" w:ascii="ＭＳ 明朝" w:hAnsi="ＭＳ 明朝" w:eastAsia="ＭＳ 明朝"/>
          <w:color w:val="auto"/>
          <w:highlight w:val="none"/>
          <w:u w:val="none" w:color="auto"/>
        </w:rPr>
        <w:t>40</w:t>
      </w:r>
      <w:r>
        <w:rPr>
          <w:rFonts w:hint="eastAsia" w:ascii="ＭＳ 明朝" w:hAnsi="ＭＳ 明朝" w:eastAsia="ＭＳ 明朝"/>
          <w:color w:val="auto"/>
          <w:highlight w:val="none"/>
          <w:u w:val="none" w:color="auto"/>
        </w:rPr>
        <w:t>歳未満）を確保します。（区分：Ｓ）</w:t>
      </w:r>
    </w:p>
    <w:p>
      <w:pPr>
        <w:pStyle w:val="0"/>
        <w:rPr>
          <w:rFonts w:hint="default"/>
          <w:b w:val="1"/>
          <w:color w:val="1F497D"/>
          <w:sz w:val="28"/>
          <w:highlight w:val="none"/>
        </w:rPr>
      </w:pPr>
      <w:r>
        <w:rPr>
          <w:rFonts w:hint="eastAsia"/>
          <w:highlight w:val="none"/>
        </w:rPr>
        <mc:AlternateContent>
          <mc:Choice Requires="wps">
            <w:drawing>
              <wp:anchor distT="0" distB="0" distL="71755" distR="71755" simplePos="0" relativeHeight="84" behindDoc="0" locked="0" layoutInCell="1" hidden="0" allowOverlap="1">
                <wp:simplePos x="0" y="0"/>
                <wp:positionH relativeFrom="column">
                  <wp:posOffset>-43180</wp:posOffset>
                </wp:positionH>
                <wp:positionV relativeFrom="paragraph">
                  <wp:posOffset>120015</wp:posOffset>
                </wp:positionV>
                <wp:extent cx="5360670" cy="151765"/>
                <wp:effectExtent l="635" t="635" r="29845" b="10795"/>
                <wp:wrapNone/>
                <wp:docPr id="1284" name="オブジェクト 0"/>
                <a:graphic xmlns:a="http://schemas.openxmlformats.org/drawingml/2006/main">
                  <a:graphicData uri="http://schemas.microsoft.com/office/word/2010/wordprocessingShape">
                    <wps:wsp>
                      <wps:cNvPr id="1284" name="オブジェクト 0"/>
                      <wps:cNvSpPr txBox="1">
                        <a:spLocks noChangeArrowheads="1"/>
                      </wps:cNvSpPr>
                      <wps:spPr>
                        <a:xfrm>
                          <a:off x="0" y="0"/>
                          <a:ext cx="5360670" cy="151765"/>
                        </a:xfrm>
                        <a:prstGeom prst="rect">
                          <a:avLst/>
                        </a:prstGeom>
                        <a:solidFill>
                          <a:srgbClr val="FFFFFF"/>
                        </a:solidFill>
                        <a:ln w="6350" cmpd="sng">
                          <a:solidFill>
                            <a:srgbClr val="000000"/>
                          </a:solidFill>
                          <a:miter/>
                        </a:ln>
                      </wps:spPr>
                      <wps:txbx>
                        <w:txbxContent>
                          <w:p>
                            <w:pPr>
                              <w:pStyle w:val="0"/>
                              <w:snapToGrid w:val="0"/>
                              <w:rPr>
                                <w:rFonts w:hint="default"/>
                                <w:sz w:val="16"/>
                              </w:rPr>
                            </w:pPr>
                            <w:r>
                              <w:rPr>
                                <w:rFonts w:hint="eastAsia" w:ascii="ＭＳ 明朝" w:hAnsi="ＭＳ 明朝" w:eastAsia="ＭＳ 明朝"/>
                                <w:sz w:val="16"/>
                              </w:rPr>
                              <w:t>区分の欄　Ｓ（ストラクチャー指標）：医療サービスを提供する物的・人的資源及び組織体制等を測る指標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44pt;mso-position-vertical-relative:text;mso-position-horizontal-relative:text;position:absolute;height:11.95pt;mso-wrap-distance-top:0pt;width:422.1pt;mso-wrap-distance-left:5.65pt;margin-left:-3.4pt;z-index:84;" o:spid="_x0000_s128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rPr>
                          <w:rFonts w:hint="default"/>
                          <w:sz w:val="16"/>
                        </w:rPr>
                      </w:pPr>
                      <w:r>
                        <w:rPr>
                          <w:rFonts w:hint="eastAsia" w:ascii="ＭＳ 明朝" w:hAnsi="ＭＳ 明朝" w:eastAsia="ＭＳ 明朝"/>
                          <w:sz w:val="16"/>
                        </w:rPr>
                        <w:t>区分の欄　Ｓ（ストラクチャー指標）：医療サービスを提供する物的・人的資源及び組織体制等を測る指標</w:t>
                      </w:r>
                    </w:p>
                  </w:txbxContent>
                </v:textbox>
                <v:imagedata o:title=""/>
                <w10:wrap type="none" anchorx="text" anchory="text"/>
              </v:shape>
            </w:pict>
          </mc:Fallback>
        </mc:AlternateContent>
      </w:r>
    </w:p>
    <w:p>
      <w:pPr>
        <w:pStyle w:val="0"/>
        <w:rPr>
          <w:rFonts w:hint="default"/>
          <w:b w:val="1"/>
          <w:color w:val="1F497D"/>
          <w:highlight w:val="none"/>
        </w:rPr>
      </w:pPr>
      <w:r>
        <w:rPr>
          <w:rFonts w:hint="eastAsia"/>
          <w:b w:val="1"/>
          <w:color w:val="1F497D"/>
          <w:sz w:val="28"/>
          <w:highlight w:val="none"/>
        </w:rPr>
        <w:t>第４節　看護職員</w:t>
      </w:r>
    </w:p>
    <w:p>
      <w:pPr>
        <w:pStyle w:val="0"/>
        <w:spacing w:after="165" w:afterLines="50" w:afterAutospacing="0"/>
        <w:rPr>
          <w:rFonts w:hint="default"/>
          <w:b w:val="1"/>
          <w:color w:val="1F497D"/>
          <w:highlight w:val="none"/>
        </w:rPr>
      </w:pPr>
      <w:r>
        <w:rPr>
          <w:rFonts w:hint="eastAsia"/>
          <w:b w:val="1"/>
          <w:color w:val="1F497D"/>
          <w:highlight w:val="none"/>
        </w:rPr>
        <w:t>第１　看護師・准看護師</w:t>
      </w:r>
    </w:p>
    <w:p>
      <w:pPr>
        <w:pStyle w:val="0"/>
        <w:ind w:firstLine="227" w:firstLineChars="100"/>
        <w:rPr>
          <w:rFonts w:hint="default"/>
          <w:highlight w:val="none"/>
        </w:rPr>
      </w:pPr>
      <w:r>
        <w:rPr>
          <w:rFonts w:hint="eastAsia"/>
          <w:highlight w:val="none"/>
        </w:rPr>
        <w:t>看護師・准看護師</w:t>
      </w:r>
      <w:r>
        <w:rPr>
          <w:rFonts w:hint="eastAsia"/>
          <w:sz w:val="20"/>
          <w:highlight w:val="none"/>
        </w:rPr>
        <w:t>（以下「看護師等」という。）</w:t>
      </w:r>
      <w:r>
        <w:rPr>
          <w:rFonts w:hint="eastAsia"/>
          <w:highlight w:val="none"/>
        </w:rPr>
        <w:t>は、医療の高度化や在院日数の短縮化、医療安全に対する意識の高まりなど、患者側からの医療需要が増大・多様化しており、また、高度化・専門化する医療においてチーム医療を行う一員として、その役割が増大しています。</w:t>
      </w:r>
    </w:p>
    <w:p>
      <w:pPr>
        <w:pStyle w:val="0"/>
        <w:ind w:firstLine="227" w:firstLineChars="100"/>
        <w:rPr>
          <w:rFonts w:hint="default"/>
          <w:highlight w:val="none"/>
        </w:rPr>
      </w:pPr>
      <w:r>
        <w:rPr>
          <w:rFonts w:hint="eastAsia"/>
          <w:highlight w:val="none"/>
        </w:rPr>
        <w:t>このため、看護師等の量的確保とともに、資質向上が求められています。</w:t>
      </w:r>
    </w:p>
    <w:p>
      <w:pPr>
        <w:pStyle w:val="0"/>
        <w:ind w:firstLine="227" w:firstLineChars="100"/>
        <w:rPr>
          <w:rFonts w:hint="default"/>
          <w:highlight w:val="none"/>
        </w:rPr>
      </w:pPr>
      <w:r>
        <w:rPr>
          <w:rFonts w:hint="eastAsia"/>
          <w:highlight w:val="none"/>
        </w:rPr>
        <w:t>また、全国に先駆けて高齢化が進む本県では、より一層看護師等の活動の場の拡大が求められており、特に中山間地域などでの看護師等の確保に積極的に取り組む必要があります。</w:t>
      </w:r>
    </w:p>
    <w:p>
      <w:pPr>
        <w:pStyle w:val="0"/>
        <w:ind w:firstLine="227" w:firstLineChars="100"/>
        <w:rPr>
          <w:rFonts w:hint="default"/>
          <w:highlight w:val="none"/>
        </w:rPr>
      </w:pPr>
    </w:p>
    <w:p>
      <w:pPr>
        <w:pStyle w:val="0"/>
        <w:rPr>
          <w:rFonts w:hint="default"/>
          <w:b w:val="1"/>
          <w:highlight w:val="none"/>
          <w:shd w:val="clear" w:color="auto" w:fill="E5DFEC"/>
        </w:rPr>
      </w:pPr>
      <w:r>
        <w:rPr>
          <w:rFonts w:hint="eastAsia"/>
          <w:b w:val="1"/>
          <w:highlight w:val="none"/>
          <w:bdr w:val="single" w:color="auto" w:sz="4" w:space="0"/>
          <w:shd w:val="clear" w:color="auto" w:fill="E5DFEC"/>
        </w:rPr>
        <w:t>現状と課題</w:t>
      </w:r>
    </w:p>
    <w:p>
      <w:pPr>
        <w:pStyle w:val="0"/>
        <w:rPr>
          <w:rFonts w:hint="default"/>
          <w:b w:val="1"/>
          <w:color w:val="0070C0"/>
          <w:highlight w:val="none"/>
        </w:rPr>
      </w:pPr>
      <w:r>
        <w:rPr>
          <w:rFonts w:hint="eastAsia"/>
          <w:b w:val="1"/>
          <w:color w:val="0070C0"/>
          <w:highlight w:val="none"/>
        </w:rPr>
        <w:t>１　就業状況</w:t>
      </w:r>
    </w:p>
    <w:p>
      <w:pPr>
        <w:pStyle w:val="0"/>
        <w:jc w:val="center"/>
        <w:rPr>
          <w:rFonts w:hint="default"/>
          <w:b w:val="1"/>
          <w:sz w:val="16"/>
          <w:highlight w:val="none"/>
        </w:rPr>
      </w:pPr>
      <w:r>
        <w:rPr>
          <w:rFonts w:hint="eastAsia"/>
          <w:b w:val="1"/>
          <w:highlight w:val="none"/>
        </w:rPr>
        <w:t>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4-4-1</w:t>
      </w:r>
      <w:r>
        <w:rPr>
          <w:rFonts w:hint="eastAsia" w:ascii="ＭＳ ゴシック" w:hAnsi="ＭＳ ゴシック" w:eastAsia="ＭＳ ゴシック"/>
          <w:sz w:val="22"/>
          <w:highlight w:val="none"/>
        </w:rPr>
        <w:t>）高知県の看護師等の就労場所の状況</w:t>
      </w:r>
      <w:r>
        <w:rPr>
          <w:rFonts w:hint="eastAsia"/>
          <w:sz w:val="21"/>
          <w:highlight w:val="none"/>
        </w:rPr>
        <w:t>　　　　　　　</w:t>
      </w:r>
      <w:r>
        <w:rPr>
          <w:rFonts w:hint="eastAsia"/>
          <w:sz w:val="16"/>
          <w:highlight w:val="none"/>
        </w:rPr>
        <w:t>単位：人</w:t>
      </w:r>
    </w:p>
    <w:tbl>
      <w:tblPr>
        <w:tblStyle w:val="11"/>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959"/>
        <w:gridCol w:w="850"/>
        <w:gridCol w:w="851"/>
        <w:gridCol w:w="850"/>
        <w:gridCol w:w="1134"/>
        <w:gridCol w:w="993"/>
        <w:gridCol w:w="992"/>
        <w:gridCol w:w="850"/>
        <w:gridCol w:w="851"/>
        <w:gridCol w:w="992"/>
      </w:tblGrid>
      <w:tr>
        <w:trPr>
          <w:trHeight w:val="489" w:hRule="atLeast"/>
        </w:trPr>
        <w:tc>
          <w:tcPr>
            <w:tcW w:w="959"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default"/>
                <w:color w:val="auto"/>
                <w:sz w:val="16"/>
                <w:highlight w:val="none"/>
              </w:rPr>
              <mc:AlternateContent>
                <mc:Choice Requires="wps">
                  <w:drawing>
                    <wp:anchor distT="0" distB="0" distL="114300" distR="114300" simplePos="0" relativeHeight="85" behindDoc="0" locked="0" layoutInCell="1" hidden="0" allowOverlap="1">
                      <wp:simplePos x="0" y="0"/>
                      <wp:positionH relativeFrom="column">
                        <wp:posOffset>-80010</wp:posOffset>
                      </wp:positionH>
                      <wp:positionV relativeFrom="paragraph">
                        <wp:posOffset>-9525</wp:posOffset>
                      </wp:positionV>
                      <wp:extent cx="627380" cy="448945"/>
                      <wp:effectExtent l="635" t="635" r="29845" b="10795"/>
                      <wp:wrapNone/>
                      <wp:docPr id="1285" name="オブジェクト 0"/>
                      <a:graphic xmlns:a="http://schemas.openxmlformats.org/drawingml/2006/main">
                        <a:graphicData uri="http://schemas.microsoft.com/office/word/2010/wordprocessingShape">
                          <wps:wsp>
                            <wps:cNvPr id="1285" name="オブジェクト 0"/>
                            <wps:cNvCnPr/>
                            <wps:spPr>
                              <a:xfrm>
                                <a:off x="0" y="0"/>
                                <a:ext cx="627380" cy="448945"/>
                              </a:xfrm>
                              <a:prstGeom prst="straightConnector1">
                                <a:avLst/>
                              </a:prstGeom>
                              <a:solidFill>
                                <a:srgbClr val="FFFFFF"/>
                              </a:solidFill>
                              <a:ln w="6350">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wrap-distance-right:9pt;mso-wrap-distance-bottom:0pt;margin-top:-0.75pt;mso-position-vertical-relative:text;mso-position-horizontal-relative:text;position:absolute;height:35.35pt;mso-wrap-distance-top:0pt;width:49.4pt;mso-wrap-distance-left:9pt;margin-left:-6.3pt;z-index:85;" o:spid="_x0000_s1285" o:allowincell="t" o:allowoverlap="t" filled="t" fillcolor="#ffffff" stroked="t" strokecolor="#000000" strokeweight="0.5pt" o:spt="32" type="#_x0000_t32">
                      <v:fill/>
                      <v:stroke filltype="solid"/>
                      <v:imagedata o:title=""/>
                      <w10:wrap type="none" anchorx="text" anchory="text"/>
                    </v:shape>
                  </w:pict>
                </mc:Fallback>
              </mc:AlternateContent>
            </w:r>
            <w:r>
              <w:rPr>
                <w:rFonts w:hint="eastAsia"/>
                <w:color w:val="auto"/>
                <w:sz w:val="16"/>
                <w:highlight w:val="none"/>
              </w:rPr>
              <w:t>　場所</w:t>
            </w:r>
          </w:p>
          <w:p>
            <w:pPr>
              <w:pStyle w:val="0"/>
              <w:jc w:val="left"/>
              <w:rPr>
                <w:rFonts w:hint="default"/>
                <w:color w:val="auto"/>
                <w:sz w:val="16"/>
                <w:highlight w:val="none"/>
              </w:rPr>
            </w:pPr>
            <w:r>
              <w:rPr>
                <w:rFonts w:hint="eastAsia"/>
                <w:color w:val="auto"/>
                <w:sz w:val="16"/>
                <w:highlight w:val="none"/>
              </w:rPr>
              <w:t>職種</w:t>
            </w:r>
          </w:p>
        </w:tc>
        <w:tc>
          <w:tcPr>
            <w:tcW w:w="85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病院</w:t>
            </w:r>
          </w:p>
        </w:tc>
        <w:tc>
          <w:tcPr>
            <w:tcW w:w="851"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診療所</w:t>
            </w:r>
          </w:p>
        </w:tc>
        <w:tc>
          <w:tcPr>
            <w:tcW w:w="85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助産所</w:t>
            </w:r>
          </w:p>
        </w:tc>
        <w:tc>
          <w:tcPr>
            <w:tcW w:w="1134"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訪問看護</w:t>
            </w:r>
          </w:p>
          <w:p>
            <w:pPr>
              <w:pStyle w:val="0"/>
              <w:snapToGrid w:val="0"/>
              <w:jc w:val="center"/>
              <w:rPr>
                <w:rFonts w:hint="default"/>
                <w:color w:val="auto"/>
                <w:sz w:val="14"/>
                <w:highlight w:val="none"/>
              </w:rPr>
            </w:pPr>
            <w:r>
              <w:rPr>
                <w:rFonts w:hint="eastAsia"/>
                <w:color w:val="auto"/>
                <w:sz w:val="14"/>
                <w:highlight w:val="none"/>
              </w:rPr>
              <w:t>ステーション</w:t>
            </w:r>
          </w:p>
        </w:tc>
        <w:tc>
          <w:tcPr>
            <w:tcW w:w="9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介護保険施設</w:t>
            </w:r>
          </w:p>
        </w:tc>
        <w:tc>
          <w:tcPr>
            <w:tcW w:w="992"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社会福祉施設</w:t>
            </w:r>
          </w:p>
        </w:tc>
        <w:tc>
          <w:tcPr>
            <w:tcW w:w="85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保健所</w:t>
            </w:r>
          </w:p>
          <w:p>
            <w:pPr>
              <w:pStyle w:val="0"/>
              <w:snapToGrid w:val="0"/>
              <w:jc w:val="center"/>
              <w:rPr>
                <w:rFonts w:hint="default"/>
                <w:color w:val="auto"/>
                <w:sz w:val="16"/>
                <w:highlight w:val="none"/>
              </w:rPr>
            </w:pPr>
            <w:r>
              <w:rPr>
                <w:rFonts w:hint="eastAsia"/>
                <w:color w:val="auto"/>
                <w:sz w:val="16"/>
                <w:highlight w:val="none"/>
              </w:rPr>
              <w:t>市町村</w:t>
            </w:r>
          </w:p>
        </w:tc>
        <w:tc>
          <w:tcPr>
            <w:tcW w:w="851" w:type="dxa"/>
            <w:tcBorders>
              <w:top w:val="single" w:color="auto" w:sz="4"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その他</w:t>
            </w:r>
          </w:p>
        </w:tc>
        <w:tc>
          <w:tcPr>
            <w:tcW w:w="992" w:type="dxa"/>
            <w:tcBorders>
              <w:top w:val="single" w:color="auto" w:sz="4" w:space="0"/>
              <w:left w:val="doub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合計</w:t>
            </w:r>
          </w:p>
        </w:tc>
      </w:tr>
      <w:tr>
        <w:trPr/>
        <w:tc>
          <w:tcPr>
            <w:tcW w:w="959"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看護師</w:t>
            </w:r>
          </w:p>
        </w:tc>
        <w:tc>
          <w:tcPr>
            <w:tcW w:w="850"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8,322</w:t>
            </w:r>
          </w:p>
        </w:tc>
        <w:tc>
          <w:tcPr>
            <w:tcW w:w="85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893</w:t>
            </w:r>
          </w:p>
        </w:tc>
        <w:tc>
          <w:tcPr>
            <w:tcW w:w="850"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w:t>
            </w:r>
          </w:p>
        </w:tc>
        <w:tc>
          <w:tcPr>
            <w:tcW w:w="1134"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437</w:t>
            </w:r>
          </w:p>
        </w:tc>
        <w:tc>
          <w:tcPr>
            <w:tcW w:w="993"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1,038</w:t>
            </w:r>
          </w:p>
        </w:tc>
        <w:tc>
          <w:tcPr>
            <w:tcW w:w="992"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387</w:t>
            </w:r>
          </w:p>
        </w:tc>
        <w:tc>
          <w:tcPr>
            <w:tcW w:w="850"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83</w:t>
            </w:r>
          </w:p>
        </w:tc>
        <w:tc>
          <w:tcPr>
            <w:tcW w:w="851"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232</w:t>
            </w:r>
          </w:p>
        </w:tc>
        <w:tc>
          <w:tcPr>
            <w:tcW w:w="992" w:type="dxa"/>
            <w:tcBorders>
              <w:top w:val="none" w:color="auto" w:sz="0" w:space="0"/>
              <w:left w:val="double" w:color="auto" w:sz="4" w:space="0"/>
              <w:bottom w:val="none" w:color="auto" w:sz="0"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11,393</w:t>
            </w:r>
          </w:p>
        </w:tc>
      </w:tr>
      <w:tr>
        <w:trPr/>
        <w:tc>
          <w:tcPr>
            <w:tcW w:w="959" w:type="dxa"/>
            <w:tcBorders>
              <w:top w:val="none" w:color="auto" w:sz="0" w:space="0"/>
              <w:left w:val="single" w:color="auto" w:sz="4" w:space="0"/>
              <w:bottom w:val="double" w:color="auto" w:sz="4"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准看護師</w:t>
            </w:r>
          </w:p>
        </w:tc>
        <w:tc>
          <w:tcPr>
            <w:tcW w:w="85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1,196</w:t>
            </w:r>
          </w:p>
        </w:tc>
        <w:tc>
          <w:tcPr>
            <w:tcW w:w="851"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619</w:t>
            </w:r>
          </w:p>
        </w:tc>
        <w:tc>
          <w:tcPr>
            <w:tcW w:w="85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0</w:t>
            </w:r>
          </w:p>
        </w:tc>
        <w:tc>
          <w:tcPr>
            <w:tcW w:w="113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33</w:t>
            </w:r>
          </w:p>
        </w:tc>
        <w:tc>
          <w:tcPr>
            <w:tcW w:w="99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 xml:space="preserve">  709</w:t>
            </w:r>
          </w:p>
        </w:tc>
        <w:tc>
          <w:tcPr>
            <w:tcW w:w="99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181</w:t>
            </w:r>
          </w:p>
        </w:tc>
        <w:tc>
          <w:tcPr>
            <w:tcW w:w="85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12</w:t>
            </w:r>
          </w:p>
        </w:tc>
        <w:tc>
          <w:tcPr>
            <w:tcW w:w="851"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7</w:t>
            </w:r>
          </w:p>
        </w:tc>
        <w:tc>
          <w:tcPr>
            <w:tcW w:w="992" w:type="dxa"/>
            <w:tcBorders>
              <w:top w:val="none" w:color="auto" w:sz="0" w:space="0"/>
              <w:left w:val="double" w:color="auto" w:sz="4" w:space="0"/>
              <w:bottom w:val="double" w:color="auto" w:sz="4"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2,757</w:t>
            </w:r>
          </w:p>
        </w:tc>
      </w:tr>
      <w:tr>
        <w:trPr/>
        <w:tc>
          <w:tcPr>
            <w:tcW w:w="959" w:type="dxa"/>
            <w:tcBorders>
              <w:top w:val="double" w:color="auto" w:sz="4" w:space="0"/>
              <w:left w:val="single" w:color="auto" w:sz="4" w:space="0"/>
              <w:bottom w:val="none" w:color="auto" w:sz="0"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合計</w:t>
            </w:r>
          </w:p>
        </w:tc>
        <w:tc>
          <w:tcPr>
            <w:tcW w:w="85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9,518</w:t>
            </w:r>
          </w:p>
        </w:tc>
        <w:tc>
          <w:tcPr>
            <w:tcW w:w="851"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1,512</w:t>
            </w:r>
          </w:p>
        </w:tc>
        <w:tc>
          <w:tcPr>
            <w:tcW w:w="85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w:t>
            </w:r>
          </w:p>
        </w:tc>
        <w:tc>
          <w:tcPr>
            <w:tcW w:w="113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470</w:t>
            </w:r>
          </w:p>
        </w:tc>
        <w:tc>
          <w:tcPr>
            <w:tcW w:w="99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1,747</w:t>
            </w:r>
          </w:p>
        </w:tc>
        <w:tc>
          <w:tcPr>
            <w:tcW w:w="99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568</w:t>
            </w:r>
          </w:p>
        </w:tc>
        <w:tc>
          <w:tcPr>
            <w:tcW w:w="85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95</w:t>
            </w:r>
          </w:p>
        </w:tc>
        <w:tc>
          <w:tcPr>
            <w:tcW w:w="851"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239</w:t>
            </w:r>
          </w:p>
        </w:tc>
        <w:tc>
          <w:tcPr>
            <w:tcW w:w="992" w:type="dxa"/>
            <w:tcBorders>
              <w:top w:val="double" w:color="auto" w:sz="4" w:space="0"/>
              <w:left w:val="double" w:color="auto" w:sz="4" w:space="0"/>
              <w:bottom w:val="none" w:color="auto" w:sz="0"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14,150</w:t>
            </w:r>
          </w:p>
        </w:tc>
      </w:tr>
      <w:tr>
        <w:trPr/>
        <w:tc>
          <w:tcPr>
            <w:tcW w:w="959"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構成比</w:t>
            </w:r>
          </w:p>
        </w:tc>
        <w:tc>
          <w:tcPr>
            <w:tcW w:w="8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67.3%</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10.7%</w:t>
            </w:r>
          </w:p>
        </w:tc>
        <w:tc>
          <w:tcPr>
            <w:tcW w:w="8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0.0%</w:t>
            </w: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3.3%</w:t>
            </w:r>
          </w:p>
        </w:tc>
        <w:tc>
          <w:tcPr>
            <w:tcW w:w="99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12.3%</w:t>
            </w:r>
          </w:p>
        </w:tc>
        <w:tc>
          <w:tcPr>
            <w:tcW w:w="99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4.0%</w:t>
            </w:r>
          </w:p>
        </w:tc>
        <w:tc>
          <w:tcPr>
            <w:tcW w:w="8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0.7%</w:t>
            </w:r>
          </w:p>
        </w:tc>
        <w:tc>
          <w:tcPr>
            <w:tcW w:w="851" w:type="dxa"/>
            <w:tcBorders>
              <w:top w:val="none" w:color="auto" w:sz="0" w:space="0"/>
              <w:left w:val="none" w:color="auto" w:sz="0" w:space="0"/>
              <w:bottom w:val="single" w:color="auto" w:sz="4"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1.7%</w:t>
            </w:r>
          </w:p>
        </w:tc>
        <w:tc>
          <w:tcPr>
            <w:tcW w:w="992" w:type="dxa"/>
            <w:tcBorders>
              <w:top w:val="none" w:color="auto" w:sz="0" w:space="0"/>
              <w:left w:val="doub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100%</w:t>
            </w:r>
          </w:p>
        </w:tc>
      </w:tr>
    </w:tbl>
    <w:p>
      <w:pPr>
        <w:pStyle w:val="0"/>
        <w:spacing w:line="0" w:lineRule="atLeast"/>
        <w:jc w:val="right"/>
        <w:rPr>
          <w:rFonts w:hint="default"/>
          <w:color w:val="auto"/>
          <w:highlight w:val="none"/>
        </w:rPr>
      </w:pPr>
      <w:r>
        <w:rPr>
          <w:rFonts w:hint="eastAsia"/>
          <w:color w:val="auto"/>
          <w:sz w:val="16"/>
          <w:highlight w:val="none"/>
        </w:rPr>
        <w:t>出典：</w:t>
      </w:r>
      <w:r>
        <w:rPr>
          <w:rFonts w:hint="eastAsia"/>
          <w:color w:val="auto"/>
          <w:sz w:val="16"/>
          <w:highlight w:val="none"/>
          <w:u w:val="none" w:color="auto"/>
        </w:rPr>
        <w:t>令和４</w:t>
      </w:r>
      <w:r>
        <w:rPr>
          <w:rFonts w:hint="eastAsia"/>
          <w:color w:val="auto"/>
          <w:sz w:val="16"/>
          <w:highlight w:val="none"/>
        </w:rPr>
        <w:t>年衛生行政報告例（厚生労働省）</w:t>
      </w:r>
    </w:p>
    <w:p>
      <w:pPr>
        <w:pStyle w:val="0"/>
        <w:ind w:firstLine="227" w:firstLineChars="100"/>
        <w:rPr>
          <w:rFonts w:hint="default"/>
          <w:color w:val="auto"/>
          <w:highlight w:val="none"/>
        </w:rPr>
      </w:pPr>
    </w:p>
    <w:p>
      <w:pPr>
        <w:pStyle w:val="0"/>
        <w:ind w:firstLine="227" w:firstLineChars="100"/>
        <w:rPr>
          <w:rFonts w:hint="default"/>
          <w:color w:val="auto"/>
          <w:highlight w:val="none"/>
        </w:rPr>
      </w:pPr>
      <w:r>
        <w:rPr>
          <w:rFonts w:hint="eastAsia"/>
          <w:color w:val="auto"/>
          <w:highlight w:val="none"/>
        </w:rPr>
        <w:t>本県の看護師の人口</w:t>
      </w:r>
      <w:r>
        <w:rPr>
          <w:rFonts w:hint="eastAsia"/>
          <w:color w:val="auto"/>
          <w:highlight w:val="none"/>
        </w:rPr>
        <w:t>10</w:t>
      </w:r>
      <w:r>
        <w:rPr>
          <w:rFonts w:hint="eastAsia"/>
          <w:color w:val="auto"/>
          <w:highlight w:val="none"/>
        </w:rPr>
        <w:t>万人当たりの就業者数は、</w:t>
      </w:r>
      <w:r>
        <w:rPr>
          <w:rFonts w:hint="eastAsia"/>
          <w:color w:val="auto"/>
          <w:highlight w:val="none"/>
          <w:u w:val="none" w:color="auto"/>
        </w:rPr>
        <w:t>1,685.4</w:t>
      </w:r>
      <w:r>
        <w:rPr>
          <w:rFonts w:hint="eastAsia"/>
          <w:color w:val="auto"/>
          <w:highlight w:val="none"/>
          <w:u w:val="none" w:color="auto"/>
        </w:rPr>
        <w:t>人と全国平均を大きく上回り全国第</w:t>
      </w:r>
      <w:r>
        <w:rPr>
          <w:rFonts w:hint="eastAsia"/>
          <w:color w:val="auto"/>
          <w:highlight w:val="none"/>
          <w:u w:val="none" w:color="auto"/>
        </w:rPr>
        <w:t>1</w:t>
      </w:r>
      <w:r>
        <w:rPr>
          <w:rFonts w:hint="eastAsia"/>
          <w:color w:val="auto"/>
          <w:highlight w:val="none"/>
          <w:u w:val="none" w:color="auto"/>
        </w:rPr>
        <w:t>位です。また、准看護師の人口</w:t>
      </w:r>
      <w:r>
        <w:rPr>
          <w:rFonts w:hint="eastAsia"/>
          <w:color w:val="auto"/>
          <w:highlight w:val="none"/>
          <w:u w:val="none" w:color="auto"/>
        </w:rPr>
        <w:t>10</w:t>
      </w:r>
      <w:r>
        <w:rPr>
          <w:rFonts w:hint="eastAsia"/>
          <w:color w:val="auto"/>
          <w:highlight w:val="none"/>
          <w:u w:val="none" w:color="auto"/>
        </w:rPr>
        <w:t>万人当たりの就業者数は、</w:t>
      </w:r>
      <w:r>
        <w:rPr>
          <w:rFonts w:hint="eastAsia"/>
          <w:color w:val="auto"/>
          <w:highlight w:val="none"/>
          <w:u w:val="none" w:color="auto"/>
        </w:rPr>
        <w:t>407.8</w:t>
      </w:r>
      <w:r>
        <w:rPr>
          <w:rFonts w:hint="eastAsia"/>
          <w:color w:val="auto"/>
          <w:highlight w:val="none"/>
          <w:u w:val="none" w:color="auto"/>
        </w:rPr>
        <w:t>人で全国第</w:t>
      </w:r>
      <w:r>
        <w:rPr>
          <w:rFonts w:hint="eastAsia"/>
          <w:color w:val="auto"/>
          <w:highlight w:val="none"/>
          <w:u w:val="none" w:color="auto"/>
        </w:rPr>
        <w:t>9</w:t>
      </w:r>
      <w:r>
        <w:rPr>
          <w:rFonts w:hint="eastAsia"/>
          <w:color w:val="auto"/>
          <w:highlight w:val="none"/>
          <w:u w:val="none" w:color="auto"/>
        </w:rPr>
        <w:t>位</w:t>
      </w:r>
      <w:r>
        <w:rPr>
          <w:rFonts w:hint="eastAsia"/>
          <w:color w:val="auto"/>
          <w:highlight w:val="none"/>
        </w:rPr>
        <w:t>です。</w:t>
      </w:r>
    </w:p>
    <w:p>
      <w:pPr>
        <w:pStyle w:val="0"/>
        <w:ind w:firstLine="1951" w:firstLineChars="900"/>
        <w:jc w:val="left"/>
        <w:rPr>
          <w:rFonts w:hint="default"/>
          <w:color w:val="auto"/>
          <w:sz w:val="16"/>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4-4-2</w:t>
      </w:r>
      <w:r>
        <w:rPr>
          <w:rFonts w:hint="eastAsia" w:ascii="ＭＳ ゴシック" w:hAnsi="ＭＳ ゴシック" w:eastAsia="ＭＳ ゴシック"/>
          <w:color w:val="auto"/>
          <w:sz w:val="22"/>
          <w:highlight w:val="none"/>
        </w:rPr>
        <w:t>）人口</w:t>
      </w:r>
      <w:r>
        <w:rPr>
          <w:rFonts w:hint="eastAsia" w:ascii="ＭＳ ゴシック" w:hAnsi="ＭＳ ゴシック" w:eastAsia="ＭＳ ゴシック"/>
          <w:color w:val="auto"/>
          <w:sz w:val="22"/>
          <w:highlight w:val="none"/>
        </w:rPr>
        <w:t>10</w:t>
      </w:r>
      <w:r>
        <w:rPr>
          <w:rFonts w:hint="eastAsia" w:ascii="ＭＳ ゴシック" w:hAnsi="ＭＳ ゴシック" w:eastAsia="ＭＳ ゴシック"/>
          <w:color w:val="auto"/>
          <w:sz w:val="22"/>
          <w:highlight w:val="none"/>
        </w:rPr>
        <w:t>万人当たりの就業者数</w:t>
      </w:r>
      <w:r>
        <w:rPr>
          <w:rFonts w:hint="eastAsia"/>
          <w:color w:val="auto"/>
          <w:sz w:val="16"/>
          <w:highlight w:val="none"/>
        </w:rPr>
        <w:t>　　単位：人</w:t>
      </w:r>
    </w:p>
    <w:tbl>
      <w:tblPr>
        <w:tblStyle w:val="11"/>
        <w:tblW w:w="5769" w:type="dxa"/>
        <w:tblInd w:w="18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442"/>
        <w:gridCol w:w="1443"/>
        <w:gridCol w:w="1442"/>
        <w:gridCol w:w="1442"/>
      </w:tblGrid>
      <w:tr>
        <w:trPr/>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区分</w:t>
            </w:r>
          </w:p>
        </w:tc>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看護師</w:t>
            </w:r>
          </w:p>
        </w:tc>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准看護師</w:t>
            </w:r>
          </w:p>
        </w:tc>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合計</w:t>
            </w:r>
          </w:p>
        </w:tc>
      </w:tr>
      <w:tr>
        <w:trPr/>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高知県</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1,685.4</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407.8</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2,093.2</w:t>
            </w:r>
          </w:p>
        </w:tc>
      </w:tr>
      <w:tr>
        <w:trPr/>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全国</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1,049.8</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203.5</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1,253.3</w:t>
            </w:r>
          </w:p>
        </w:tc>
      </w:tr>
    </w:tbl>
    <w:p>
      <w:pPr>
        <w:pStyle w:val="0"/>
        <w:spacing w:line="0" w:lineRule="atLeast"/>
        <w:ind w:left="3873" w:leftChars="1708" w:right="1270"/>
        <w:jc w:val="left"/>
        <w:rPr>
          <w:rFonts w:hint="default"/>
          <w:color w:val="FF0000"/>
          <w:sz w:val="20"/>
          <w:highlight w:val="none"/>
          <w:u w:val="single" w:color="auto"/>
        </w:rPr>
      </w:pPr>
      <w:r>
        <w:rPr>
          <w:rFonts w:hint="eastAsia"/>
          <w:color w:val="auto"/>
          <w:sz w:val="16"/>
          <w:highlight w:val="none"/>
        </w:rPr>
        <w:t>出典：</w:t>
      </w:r>
      <w:r>
        <w:rPr>
          <w:rFonts w:hint="eastAsia"/>
          <w:color w:val="auto"/>
          <w:sz w:val="16"/>
          <w:highlight w:val="none"/>
          <w:u w:val="none" w:color="auto"/>
        </w:rPr>
        <w:t>令和４</w:t>
      </w:r>
      <w:r>
        <w:rPr>
          <w:rFonts w:hint="eastAsia"/>
          <w:color w:val="auto"/>
          <w:sz w:val="16"/>
          <w:highlight w:val="none"/>
        </w:rPr>
        <w:t>年度衛生行政報告例（厚生労働省）</w:t>
      </w:r>
    </w:p>
    <w:p>
      <w:pPr>
        <w:pStyle w:val="0"/>
        <w:spacing w:line="0" w:lineRule="atLeast"/>
        <w:ind w:left="3873" w:leftChars="1708" w:right="1270"/>
        <w:jc w:val="left"/>
        <w:rPr>
          <w:rFonts w:hint="default"/>
          <w:color w:val="FF0000"/>
          <w:sz w:val="20"/>
          <w:highlight w:val="none"/>
          <w:u w:val="single" w:color="auto"/>
        </w:rPr>
      </w:pPr>
    </w:p>
    <w:p>
      <w:pPr>
        <w:pStyle w:val="0"/>
        <w:ind w:firstLine="227" w:firstLineChars="100"/>
        <w:rPr>
          <w:rFonts w:hint="default"/>
          <w:color w:val="000000"/>
          <w:highlight w:val="none"/>
        </w:rPr>
      </w:pPr>
      <w:r>
        <w:rPr>
          <w:rFonts w:hint="eastAsia"/>
          <w:color w:val="auto"/>
          <w:highlight w:val="none"/>
        </w:rPr>
        <w:t>100</w:t>
      </w:r>
      <w:r>
        <w:rPr>
          <w:rFonts w:hint="eastAsia"/>
          <w:color w:val="auto"/>
          <w:highlight w:val="none"/>
        </w:rPr>
        <w:t>床当たりの就業者数では、看護師が全国平均</w:t>
      </w:r>
      <w:r>
        <w:rPr>
          <w:rFonts w:hint="eastAsia"/>
          <w:color w:val="auto"/>
          <w:highlight w:val="none"/>
          <w:u w:val="none" w:color="auto"/>
        </w:rPr>
        <w:t>55.8</w:t>
      </w:r>
      <w:r>
        <w:rPr>
          <w:rFonts w:hint="eastAsia"/>
          <w:color w:val="auto"/>
          <w:highlight w:val="none"/>
          <w:u w:val="none" w:color="auto"/>
        </w:rPr>
        <w:t>人（常勤換算）に対して、本県は</w:t>
      </w:r>
      <w:r>
        <w:rPr>
          <w:rFonts w:hint="eastAsia"/>
          <w:color w:val="auto"/>
          <w:highlight w:val="none"/>
          <w:u w:val="none" w:color="auto"/>
        </w:rPr>
        <w:t>51.3</w:t>
      </w:r>
      <w:r>
        <w:rPr>
          <w:rFonts w:hint="eastAsia"/>
          <w:color w:val="auto"/>
          <w:highlight w:val="none"/>
          <w:u w:val="none" w:color="auto"/>
        </w:rPr>
        <w:t>人と全国</w:t>
      </w:r>
      <w:r>
        <w:rPr>
          <w:rFonts w:hint="eastAsia"/>
          <w:color w:val="auto"/>
          <w:highlight w:val="none"/>
          <w:u w:val="none" w:color="auto"/>
        </w:rPr>
        <w:t>36</w:t>
      </w:r>
      <w:r>
        <w:rPr>
          <w:rFonts w:hint="eastAsia"/>
          <w:color w:val="auto"/>
          <w:highlight w:val="none"/>
          <w:u w:val="none" w:color="auto"/>
        </w:rPr>
        <w:t>位です。また、准看護師では、全国平均</w:t>
      </w:r>
      <w:r>
        <w:rPr>
          <w:rFonts w:hint="eastAsia"/>
          <w:color w:val="auto"/>
          <w:highlight w:val="none"/>
          <w:u w:val="none" w:color="auto"/>
        </w:rPr>
        <w:t>6.1</w:t>
      </w:r>
      <w:r>
        <w:rPr>
          <w:rFonts w:hint="eastAsia"/>
          <w:color w:val="auto"/>
          <w:highlight w:val="none"/>
          <w:u w:val="none" w:color="auto"/>
        </w:rPr>
        <w:t>人（常勤換算）に対して、本県は</w:t>
      </w:r>
      <w:r>
        <w:rPr>
          <w:rFonts w:hint="eastAsia"/>
          <w:color w:val="auto"/>
          <w:highlight w:val="none"/>
          <w:u w:val="none" w:color="auto"/>
        </w:rPr>
        <w:t>8.4</w:t>
      </w:r>
      <w:r>
        <w:rPr>
          <w:rFonts w:hint="eastAsia"/>
          <w:color w:val="auto"/>
          <w:highlight w:val="none"/>
          <w:u w:val="none" w:color="auto"/>
        </w:rPr>
        <w:t>人と全国８位となっています。（出典：令和２</w:t>
      </w:r>
      <w:r>
        <w:rPr>
          <w:rFonts w:hint="eastAsia"/>
          <w:color w:val="auto"/>
          <w:highlight w:val="none"/>
        </w:rPr>
        <w:t>年「医療施設（静態・動態）調査」厚生労働省）</w:t>
      </w:r>
    </w:p>
    <w:p>
      <w:pPr>
        <w:pStyle w:val="0"/>
        <w:ind w:firstLine="227" w:firstLineChars="100"/>
        <w:rPr>
          <w:rFonts w:hint="default"/>
          <w:color w:val="000000"/>
          <w:highlight w:val="none"/>
        </w:rPr>
      </w:pPr>
      <w:r>
        <w:rPr>
          <w:rFonts w:hint="eastAsia"/>
          <w:color w:val="000000"/>
          <w:highlight w:val="none"/>
        </w:rPr>
        <w:t>また、保健医療圏ごとの就業先では、看護師等の約８割が、中央保健医療圏に集中しており、これは高知市内に医療機関が集中していることが主な要因と考えられます。</w:t>
      </w:r>
    </w:p>
    <w:p>
      <w:pPr>
        <w:pStyle w:val="0"/>
        <w:jc w:val="center"/>
        <w:rPr>
          <w:rFonts w:hint="default" w:ascii="ＭＳ ゴシック" w:hAnsi="ＭＳ ゴシック" w:eastAsia="ＭＳ ゴシック"/>
          <w:highlight w:val="none"/>
        </w:rPr>
      </w:pPr>
    </w:p>
    <w:p>
      <w:pPr>
        <w:pStyle w:val="0"/>
        <w:jc w:val="center"/>
        <w:rPr>
          <w:rFonts w:hint="default" w:ascii="ＭＳ ゴシック" w:hAnsi="ＭＳ ゴシック" w:eastAsia="ＭＳ ゴシック"/>
          <w:highlight w:val="none"/>
        </w:rPr>
      </w:pPr>
    </w:p>
    <w:p>
      <w:pPr>
        <w:pStyle w:val="0"/>
        <w:jc w:val="center"/>
        <w:rPr>
          <w:rFonts w:hint="default" w:ascii="ＭＳ ゴシック" w:hAnsi="ＭＳ ゴシック" w:eastAsia="ＭＳ ゴシック"/>
          <w:highlight w:val="none"/>
        </w:rPr>
      </w:pPr>
      <w:r>
        <w:rPr>
          <w:rFonts w:hint="eastAsia" w:ascii="ＭＳ ゴシック" w:hAnsi="ＭＳ ゴシック" w:eastAsia="ＭＳ ゴシック"/>
          <w:highlight w:val="none"/>
        </w:rPr>
        <w:t>（図表</w:t>
      </w:r>
      <w:r>
        <w:rPr>
          <w:rFonts w:hint="eastAsia" w:ascii="ＭＳ ゴシック" w:hAnsi="ＭＳ ゴシック" w:eastAsia="ＭＳ ゴシック"/>
          <w:highlight w:val="none"/>
        </w:rPr>
        <w:t>4-4-3</w:t>
      </w:r>
      <w:r>
        <w:rPr>
          <w:rFonts w:hint="eastAsia" w:ascii="ＭＳ ゴシック" w:hAnsi="ＭＳ ゴシック" w:eastAsia="ＭＳ ゴシック"/>
          <w:highlight w:val="none"/>
        </w:rPr>
        <w:t>）保健医療圏ごとの看護師等数</w:t>
      </w:r>
    </w:p>
    <w:p>
      <w:pPr>
        <w:pStyle w:val="0"/>
        <w:jc w:val="left"/>
        <w:rPr>
          <w:rFonts w:hint="default"/>
          <w:b w:val="1"/>
          <w:color w:val="0070C0"/>
          <w:highlight w:val="none"/>
        </w:rPr>
      </w:pPr>
      <w:r>
        <w:rPr>
          <w:rFonts w:hint="eastAsia"/>
        </w:rPr>
        <mc:AlternateContent>
          <mc:Choice Requires="wpg">
            <w:drawing>
              <wp:anchor simplePos="0" relativeHeight="265" behindDoc="0" locked="0" layoutInCell="1" hidden="0" allowOverlap="1">
                <wp:simplePos x="0" y="0"/>
                <wp:positionH relativeFrom="column">
                  <wp:posOffset>996950</wp:posOffset>
                </wp:positionH>
                <wp:positionV relativeFrom="paragraph">
                  <wp:posOffset>31750</wp:posOffset>
                </wp:positionV>
                <wp:extent cx="4841875" cy="2759075"/>
                <wp:effectExtent l="0" t="0" r="635" b="635"/>
                <wp:wrapNone/>
                <wp:docPr id="1286" name="オブジェクト 0"/>
                <a:graphic xmlns:a="http://schemas.openxmlformats.org/drawingml/2006/main">
                  <a:graphicData uri="http://schemas.microsoft.com/office/word/2010/wordprocessingGroup">
                    <wpg:wgp>
                      <wpg:cNvGrpSpPr/>
                      <wpg:grpSpPr>
                        <a:xfrm>
                          <a:off x="0" y="0"/>
                          <a:ext cx="4841875" cy="2759075"/>
                          <a:chOff x="2988" y="1818"/>
                          <a:chExt cx="7625" cy="4345"/>
                        </a:xfrm>
                      </wpg:grpSpPr>
                      <pic:pic xmlns:pic="http://schemas.openxmlformats.org/drawingml/2006/picture">
                        <pic:nvPicPr>
                          <pic:cNvPr id="1287" name="オブジェクト 0"/>
                          <pic:cNvPicPr>
                            <a:picLocks noChangeAspect="1"/>
                          </pic:cNvPicPr>
                        </pic:nvPicPr>
                        <pic:blipFill>
                          <a:blip r:embed="rId57"/>
                          <a:stretch>
                            <a:fillRect/>
                          </a:stretch>
                        </pic:blipFill>
                        <pic:spPr>
                          <a:xfrm>
                            <a:off x="2988" y="1818"/>
                            <a:ext cx="6038" cy="4119"/>
                          </a:xfrm>
                          <a:prstGeom prst="rect">
                            <a:avLst/>
                          </a:prstGeom>
                        </pic:spPr>
                      </pic:pic>
                      <wps:wsp>
                        <wps:cNvPr id="1288" name="オブジェクト 0"/>
                        <wps:cNvSpPr txBox="1">
                          <a:spLocks noChangeArrowheads="1"/>
                        </wps:cNvSpPr>
                        <wps:spPr>
                          <a:xfrm>
                            <a:off x="5905" y="5699"/>
                            <a:ext cx="4708" cy="464"/>
                          </a:xfrm>
                          <a:prstGeom prst="rect">
                            <a:avLst/>
                          </a:prstGeom>
                          <a:solidFill>
                            <a:srgbClr val="FFFFFF"/>
                          </a:solidFill>
                          <a:ln>
                            <a:miter/>
                          </a:ln>
                        </wps:spPr>
                        <wps:txbx>
                          <w:txbxContent>
                            <w:p>
                              <w:pPr>
                                <w:pStyle w:val="0"/>
                                <w:ind w:right="668"/>
                                <w:jc w:val="center"/>
                                <w:rPr>
                                  <w:rFonts w:hint="default"/>
                                  <w:b w:val="1"/>
                                  <w:color w:val="FF0000"/>
                                  <w:u w:val="single" w:color="auto"/>
                                </w:rPr>
                              </w:pPr>
                              <w:r>
                                <w:rPr>
                                  <w:rFonts w:hint="eastAsia"/>
                                  <w:color w:val="auto"/>
                                  <w:sz w:val="16"/>
                                </w:rPr>
                                <w:t>出典：</w:t>
                              </w:r>
                              <w:r>
                                <w:rPr>
                                  <w:rFonts w:hint="eastAsia"/>
                                  <w:color w:val="auto"/>
                                  <w:sz w:val="16"/>
                                  <w:u w:val="none" w:color="auto"/>
                                </w:rPr>
                                <w:t>令和４</w:t>
                              </w:r>
                              <w:r>
                                <w:rPr>
                                  <w:rFonts w:hint="eastAsia"/>
                                  <w:color w:val="auto"/>
                                  <w:sz w:val="16"/>
                                </w:rPr>
                                <w:t>年度衛生行政報告例（厚生労働省）</w:t>
                              </w:r>
                            </w:p>
                            <w:p>
                              <w:pPr>
                                <w:pStyle w:val="0"/>
                                <w:rPr>
                                  <w:rFonts w:hint="default"/>
                                </w:rPr>
                              </w:pPr>
                            </w:p>
                          </w:txbxContent>
                        </wps:txbx>
                        <wps:bodyPr vertOverflow="overflow" horzOverflow="overflow" wrap="square" lIns="74295" tIns="8890" rIns="74295" bIns="8890" upright="1"/>
                      </wps:wsp>
                    </wpg:wgp>
                  </a:graphicData>
                </a:graphic>
              </wp:anchor>
            </w:drawing>
          </mc:Choice>
          <mc:Fallback>
            <w:pict>
              <v:group id="オブジェクト 0" style="margin-top:2.5pt;mso-position-vertical-relative:text;mso-position-horizontal-relative:text;position:absolute;height:217.25pt;width:381.25pt;margin-left:78.5pt;z-index:265;" coordsize="7625,4345" coordorigin="2988,1818" o:spid="_x0000_s128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119;width:6038;top:1818;left:2988;position:absolute;" o:spid="_x0000_s1287" filled="f" stroked="f" o:spt="75" type="#_x0000_t75">
                  <v:fill/>
                  <v:imagedata o:title="" r:id="rId57"/>
                  <w10:wrap type="none" anchorx="text" anchory="text"/>
                </v:shape>
                <v:shapetype id="_x0000_t202" coordsize="21600,21600" o:spt="202" path="m,l,21600r21600,l21600,xe">
                  <v:stroke joinstyle="miter"/>
                  <v:path gradientshapeok="t" o:connecttype="rect"/>
                </v:shapetype>
                <v:shape id="オブジェクト 0" style="height:464;width:4708;top:5699;left:5905;position:absolute;" o:spid="_x0000_s1288" filled="t" fillcolor="#ffffff" stroked="f" o:spt="202" type="#_x0000_t202">
                  <v:fill/>
                  <v:textbox style="layout-flow:horizontal;" inset="2.0637499999999998mm,0.24694444444444438mm,2.0637499999999998mm,0.24694444444444438mm">
                    <w:txbxContent>
                      <w:p>
                        <w:pPr>
                          <w:pStyle w:val="0"/>
                          <w:ind w:right="668"/>
                          <w:jc w:val="center"/>
                          <w:rPr>
                            <w:rFonts w:hint="default"/>
                            <w:b w:val="1"/>
                            <w:color w:val="FF0000"/>
                            <w:u w:val="single" w:color="auto"/>
                          </w:rPr>
                        </w:pPr>
                        <w:r>
                          <w:rPr>
                            <w:rFonts w:hint="eastAsia"/>
                            <w:color w:val="auto"/>
                            <w:sz w:val="16"/>
                          </w:rPr>
                          <w:t>出典：</w:t>
                        </w:r>
                        <w:r>
                          <w:rPr>
                            <w:rFonts w:hint="eastAsia"/>
                            <w:color w:val="auto"/>
                            <w:sz w:val="16"/>
                            <w:u w:val="none" w:color="auto"/>
                          </w:rPr>
                          <w:t>令和４</w:t>
                        </w:r>
                        <w:r>
                          <w:rPr>
                            <w:rFonts w:hint="eastAsia"/>
                            <w:color w:val="auto"/>
                            <w:sz w:val="16"/>
                          </w:rPr>
                          <w:t>年度衛生行政報告例（厚生労働省）</w:t>
                        </w:r>
                      </w:p>
                      <w:p>
                        <w:pPr>
                          <w:pStyle w:val="0"/>
                          <w:rPr>
                            <w:rFonts w:hint="default"/>
                          </w:rPr>
                        </w:pPr>
                      </w:p>
                    </w:txbxContent>
                  </v:textbox>
                  <v:imagedata o:title=""/>
                  <w10:wrap type="none" anchorx="text" anchory="text"/>
                </v:shape>
                <w10:wrap type="none" anchorx="text" anchory="text"/>
              </v:group>
            </w:pict>
          </mc:Fallback>
        </mc:AlternateContent>
      </w: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r>
        <w:rPr>
          <w:rFonts w:hint="eastAsia"/>
          <w:b w:val="1"/>
          <w:color w:val="0070C0"/>
          <w:highlight w:val="none"/>
        </w:rPr>
        <w:t>２　養成、確保、定着状況</w:t>
      </w:r>
    </w:p>
    <w:p>
      <w:pPr>
        <w:pStyle w:val="0"/>
        <w:ind w:left="227" w:leftChars="100" w:firstLine="227" w:firstLineChars="100"/>
        <w:rPr>
          <w:rFonts w:hint="default"/>
          <w:color w:val="000000"/>
          <w:highlight w:val="none"/>
        </w:rPr>
      </w:pPr>
      <w:r>
        <w:rPr>
          <w:rFonts w:hint="eastAsia"/>
          <w:color w:val="000000"/>
          <w:highlight w:val="none"/>
        </w:rPr>
        <w:t>県内には</w:t>
      </w:r>
      <w:r>
        <w:rPr>
          <w:rFonts w:hint="eastAsia"/>
          <w:color w:val="auto"/>
          <w:highlight w:val="none"/>
          <w:u w:val="none" w:color="auto"/>
        </w:rPr>
        <w:t>令和５年４月時点で</w:t>
      </w:r>
      <w:r>
        <w:rPr>
          <w:rFonts w:hint="eastAsia"/>
          <w:color w:val="auto"/>
          <w:highlight w:val="none"/>
          <w:u w:val="none" w:color="auto"/>
        </w:rPr>
        <w:t>12</w:t>
      </w:r>
      <w:r>
        <w:rPr>
          <w:rFonts w:hint="eastAsia"/>
          <w:color w:val="auto"/>
          <w:highlight w:val="none"/>
          <w:u w:val="none" w:color="auto"/>
        </w:rPr>
        <w:t>校の看護師等養成施設</w:t>
      </w:r>
      <w:r>
        <w:rPr>
          <w:rFonts w:hint="eastAsia"/>
          <w:color w:val="auto"/>
          <w:sz w:val="20"/>
          <w:highlight w:val="none"/>
          <w:u w:val="none" w:color="auto"/>
        </w:rPr>
        <w:t>（以下「養成施設」という。）</w:t>
      </w:r>
      <w:r>
        <w:rPr>
          <w:rFonts w:hint="eastAsia"/>
          <w:color w:val="auto"/>
          <w:highlight w:val="none"/>
          <w:u w:val="none" w:color="auto"/>
        </w:rPr>
        <w:t>があり、令和５年度の入学定員数は</w:t>
      </w:r>
      <w:r>
        <w:rPr>
          <w:rFonts w:hint="eastAsia"/>
          <w:color w:val="auto"/>
          <w:highlight w:val="none"/>
          <w:u w:val="none" w:color="auto"/>
        </w:rPr>
        <w:t>625</w:t>
      </w:r>
      <w:r>
        <w:rPr>
          <w:rFonts w:hint="eastAsia"/>
          <w:color w:val="auto"/>
          <w:highlight w:val="none"/>
          <w:u w:val="none" w:color="auto"/>
        </w:rPr>
        <w:t>人となっています。今後、養成施設２校が閉校予定であり、入学定員数も減少する見込みです。一方で入学定員に対する充足率は、平成</w:t>
      </w:r>
      <w:r>
        <w:rPr>
          <w:rFonts w:hint="eastAsia"/>
          <w:color w:val="auto"/>
          <w:highlight w:val="none"/>
          <w:u w:val="none" w:color="auto"/>
        </w:rPr>
        <w:t>28</w:t>
      </w:r>
      <w:r>
        <w:rPr>
          <w:rFonts w:hint="eastAsia"/>
          <w:color w:val="auto"/>
          <w:highlight w:val="none"/>
          <w:u w:val="none" w:color="auto"/>
        </w:rPr>
        <w:t>年度の</w:t>
      </w:r>
      <w:r>
        <w:rPr>
          <w:rFonts w:hint="eastAsia"/>
          <w:color w:val="auto"/>
          <w:highlight w:val="none"/>
          <w:u w:val="none" w:color="auto"/>
        </w:rPr>
        <w:t>95.5</w:t>
      </w:r>
      <w:r>
        <w:rPr>
          <w:rFonts w:hint="eastAsia"/>
          <w:color w:val="auto"/>
          <w:highlight w:val="none"/>
          <w:u w:val="none" w:color="auto"/>
        </w:rPr>
        <w:t>％から令和５年度には</w:t>
      </w:r>
      <w:r>
        <w:rPr>
          <w:rFonts w:hint="eastAsia"/>
          <w:color w:val="auto"/>
          <w:highlight w:val="none"/>
          <w:u w:val="none" w:color="auto"/>
        </w:rPr>
        <w:t>73.3</w:t>
      </w:r>
      <w:r>
        <w:rPr>
          <w:rFonts w:hint="eastAsia"/>
          <w:color w:val="auto"/>
          <w:highlight w:val="none"/>
          <w:u w:val="none" w:color="auto"/>
        </w:rPr>
        <w:t>％と低下しており、看護師等を目指す人材の確保と県内定着について取組を進めて行く必要があります。</w:t>
      </w:r>
    </w:p>
    <w:p>
      <w:pPr>
        <w:pStyle w:val="0"/>
        <w:spacing w:line="200" w:lineRule="exact"/>
        <w:ind w:left="227" w:leftChars="100" w:firstLine="227" w:firstLineChars="100"/>
        <w:rPr>
          <w:rFonts w:hint="default"/>
          <w:color w:val="000000"/>
          <w:highlight w:val="none"/>
        </w:rPr>
      </w:pPr>
    </w:p>
    <w:p>
      <w:pPr>
        <w:pStyle w:val="0"/>
        <w:ind w:left="1134" w:leftChars="500"/>
        <w:jc w:val="center"/>
        <w:rPr>
          <w:rFonts w:hint="default"/>
          <w:sz w:val="16"/>
          <w:highlight w:val="none"/>
        </w:rPr>
      </w:pPr>
      <w:r>
        <w:rPr>
          <w:rFonts w:hint="eastAsia" w:ascii="ＭＳ ゴシック" w:hAnsi="ＭＳ ゴシック" w:eastAsia="ＭＳ ゴシック"/>
          <w:highlight w:val="none"/>
        </w:rPr>
        <w:t>（図表</w:t>
      </w:r>
      <w:r>
        <w:rPr>
          <w:rFonts w:hint="eastAsia" w:ascii="ＭＳ ゴシック" w:hAnsi="ＭＳ ゴシック" w:eastAsia="ＭＳ ゴシック"/>
          <w:highlight w:val="none"/>
        </w:rPr>
        <w:t>4-4-4</w:t>
      </w:r>
      <w:r>
        <w:rPr>
          <w:rFonts w:hint="eastAsia" w:ascii="ＭＳ ゴシック" w:hAnsi="ＭＳ ゴシック" w:eastAsia="ＭＳ ゴシック"/>
          <w:highlight w:val="none"/>
        </w:rPr>
        <w:t>）看護師等養成施設の入学定員数</w:t>
      </w:r>
      <w:r>
        <w:rPr>
          <w:rFonts w:hint="eastAsia"/>
          <w:highlight w:val="none"/>
        </w:rPr>
        <w:t>　　　　　　</w:t>
      </w:r>
      <w:r>
        <w:rPr>
          <w:rFonts w:hint="eastAsia"/>
          <w:sz w:val="16"/>
          <w:highlight w:val="none"/>
        </w:rPr>
        <w:t>単位：人</w:t>
      </w:r>
    </w:p>
    <w:tbl>
      <w:tblPr>
        <w:tblStyle w:val="46"/>
        <w:tblW w:w="0" w:type="auto"/>
        <w:tblInd w:w="0" w:type="dxa"/>
        <w:tblLayout w:type="fixed"/>
        <w:tblLook w:firstRow="1" w:lastRow="0" w:firstColumn="1" w:lastColumn="0" w:noHBand="0" w:noVBand="1" w:val="04A0"/>
      </w:tblPr>
      <w:tblGrid>
        <w:gridCol w:w="449"/>
        <w:gridCol w:w="681"/>
        <w:gridCol w:w="2724"/>
        <w:gridCol w:w="551"/>
        <w:gridCol w:w="630"/>
        <w:gridCol w:w="630"/>
        <w:gridCol w:w="630"/>
        <w:gridCol w:w="630"/>
        <w:gridCol w:w="630"/>
        <w:gridCol w:w="630"/>
        <w:gridCol w:w="630"/>
      </w:tblGrid>
      <w:tr>
        <w:trPr/>
        <w:tc>
          <w:tcPr>
            <w:tcW w:w="3854"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accent1" w:themeFillTint="33" w:themeFillShade="FF"/>
            <w:vAlign w:val="top"/>
          </w:tcPr>
          <w:p>
            <w:pPr>
              <w:pStyle w:val="0"/>
              <w:jc w:val="center"/>
              <w:rPr>
                <w:rFonts w:hint="eastAsia"/>
                <w:highlight w:val="none"/>
              </w:rPr>
            </w:pPr>
            <w:r>
              <w:rPr>
                <w:rFonts w:hint="eastAsia"/>
                <w:sz w:val="16"/>
                <w:highlight w:val="none"/>
              </w:rPr>
              <w:t>養成施設名</w:t>
            </w:r>
          </w:p>
        </w:tc>
        <w:tc>
          <w:tcPr>
            <w:tcW w:w="551" w:type="dxa"/>
            <w:shd w:val="clear" w:color="auto" w:themeFill="accent1" w:themeFillTint="33" w:themeFillShade="FF"/>
            <w:vAlign w:val="top"/>
          </w:tcPr>
          <w:p>
            <w:pPr>
              <w:pStyle w:val="0"/>
              <w:spacing w:line="200" w:lineRule="exact"/>
              <w:jc w:val="center"/>
              <w:rPr>
                <w:rFonts w:hint="default"/>
                <w:color w:val="auto"/>
                <w:highlight w:val="none"/>
                <w:u w:val="none" w:color="auto"/>
              </w:rPr>
            </w:pPr>
            <w:r>
              <w:rPr>
                <w:rFonts w:hint="eastAsia"/>
                <w:color w:val="auto"/>
                <w:sz w:val="16"/>
                <w:highlight w:val="none"/>
                <w:u w:val="none" w:color="auto"/>
              </w:rPr>
              <w:t>H29</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highlight w:val="none"/>
                <w:u w:val="none" w:color="auto"/>
              </w:rPr>
            </w:pPr>
            <w:r>
              <w:rPr>
                <w:rFonts w:hint="eastAsia"/>
                <w:color w:val="auto"/>
                <w:sz w:val="16"/>
                <w:highlight w:val="none"/>
                <w:u w:val="none" w:color="auto"/>
              </w:rPr>
              <w:t>H30</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R1</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R2</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R3</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highlight w:val="none"/>
                <w:u w:val="none" w:color="auto"/>
              </w:rPr>
            </w:pPr>
            <w:r>
              <w:rPr>
                <w:rFonts w:hint="eastAsia"/>
                <w:color w:val="auto"/>
                <w:sz w:val="16"/>
                <w:highlight w:val="none"/>
                <w:u w:val="none" w:color="auto"/>
              </w:rPr>
              <w:t>R4</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R5</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R6</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r>
      <w:tr>
        <w:trPr>
          <w:trHeight w:val="290" w:hRule="atLeast"/>
        </w:trPr>
        <w:tc>
          <w:tcPr>
            <w:tcW w:w="449" w:type="dxa"/>
            <w:vMerge w:val="restart"/>
            <w:shd w:val="clear" w:color="auto" w:themeFill="accent1" w:themeFillTint="33" w:themeFillShade="FF"/>
            <w:textDirection w:val="tbRlV"/>
            <w:vAlign w:val="center"/>
          </w:tcPr>
          <w:p>
            <w:pPr>
              <w:pStyle w:val="0"/>
              <w:ind w:left="113" w:leftChars="0" w:right="113" w:rightChars="0"/>
              <w:jc w:val="center"/>
              <w:rPr>
                <w:rFonts w:hint="eastAsia"/>
                <w:highlight w:val="none"/>
              </w:rPr>
            </w:pPr>
            <w:r>
              <w:rPr>
                <w:rFonts w:hint="eastAsia"/>
                <w:sz w:val="16"/>
                <w:highlight w:val="none"/>
              </w:rPr>
              <w:t>看　護　師</w:t>
            </w:r>
          </w:p>
        </w:tc>
        <w:tc>
          <w:tcPr>
            <w:tcW w:w="681" w:type="dxa"/>
            <w:vMerge w:val="restart"/>
            <w:shd w:val="clear" w:color="auto" w:themeFill="accent1" w:themeFillTint="33" w:themeFillShade="FF"/>
            <w:vAlign w:val="center"/>
          </w:tcPr>
          <w:p>
            <w:pPr>
              <w:pStyle w:val="0"/>
              <w:jc w:val="center"/>
              <w:rPr>
                <w:rFonts w:hint="eastAsia"/>
                <w:highlight w:val="none"/>
              </w:rPr>
            </w:pPr>
            <w:r>
              <w:rPr>
                <w:rFonts w:hint="eastAsia"/>
                <w:sz w:val="16"/>
                <w:highlight w:val="none"/>
              </w:rPr>
              <w:t>大学</w:t>
            </w: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高知大学医学部看護学科</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r>
      <w:tr>
        <w:trPr>
          <w:trHeight w:val="28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高知県立大学看護学部看護学科</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r>
      <w:tr>
        <w:trPr>
          <w:trHeight w:val="270" w:hRule="atLeast"/>
        </w:trPr>
        <w:tc>
          <w:tcPr>
            <w:tcW w:w="449" w:type="dxa"/>
            <w:vMerge w:val="continue"/>
            <w:shd w:val="clear" w:color="auto" w:themeFill="accent1" w:themeFillTint="33" w:themeFillShade="FF"/>
            <w:vAlign w:val="center"/>
          </w:tcPr>
          <w:p>
            <w:pPr>
              <w:pStyle w:val="0"/>
              <w:rPr>
                <w:rFonts w:hint="eastAsia"/>
              </w:rPr>
            </w:pPr>
          </w:p>
        </w:tc>
        <w:tc>
          <w:tcPr>
            <w:tcW w:w="681" w:type="dxa"/>
            <w:shd w:val="clear" w:color="auto" w:themeFill="accent1" w:themeFillTint="33" w:themeFillShade="FF"/>
            <w:vAlign w:val="center"/>
          </w:tcPr>
          <w:p>
            <w:pPr>
              <w:pStyle w:val="0"/>
              <w:jc w:val="center"/>
              <w:rPr>
                <w:rFonts w:hint="eastAsia"/>
                <w:highlight w:val="none"/>
              </w:rPr>
            </w:pPr>
            <w:r>
              <w:rPr>
                <w:rFonts w:hint="eastAsia"/>
                <w:sz w:val="16"/>
                <w:highlight w:val="none"/>
              </w:rPr>
              <w:t>短大</w:t>
            </w:r>
          </w:p>
        </w:tc>
        <w:tc>
          <w:tcPr>
            <w:tcW w:w="2724" w:type="dxa"/>
            <w:shd w:val="clear" w:color="auto" w:themeFill="accent1" w:themeFillTint="33" w:themeFillShade="FF"/>
            <w:vAlign w:val="top"/>
          </w:tcPr>
          <w:p>
            <w:pPr>
              <w:pStyle w:val="0"/>
              <w:rPr>
                <w:rFonts w:hint="eastAsia"/>
                <w:highlight w:val="none"/>
              </w:rPr>
            </w:pPr>
            <w:r>
              <w:rPr>
                <w:rFonts w:hint="eastAsia"/>
                <w:sz w:val="16"/>
                <w:highlight w:val="none"/>
              </w:rPr>
              <w:t>高知学園短期大学看護学科</w:t>
            </w:r>
          </w:p>
        </w:tc>
        <w:tc>
          <w:tcPr>
            <w:tcW w:w="551"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r>
      <w:tr>
        <w:trPr>
          <w:trHeight w:val="26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restart"/>
            <w:shd w:val="clear" w:color="auto" w:themeFill="accent1" w:themeFillTint="33" w:themeFillShade="FF"/>
            <w:vAlign w:val="center"/>
          </w:tcPr>
          <w:p>
            <w:pPr>
              <w:pStyle w:val="0"/>
              <w:jc w:val="center"/>
              <w:rPr>
                <w:rFonts w:hint="eastAsia"/>
                <w:highlight w:val="none"/>
              </w:rPr>
            </w:pPr>
            <w:r>
              <w:rPr>
                <w:rFonts w:hint="eastAsia"/>
                <w:sz w:val="16"/>
                <w:highlight w:val="none"/>
              </w:rPr>
              <w:t>３年課程</w:t>
            </w:r>
          </w:p>
        </w:tc>
        <w:tc>
          <w:tcPr>
            <w:tcW w:w="2724" w:type="dxa"/>
            <w:shd w:val="clear" w:color="auto" w:themeFill="accent1" w:themeFillTint="33" w:themeFillShade="FF"/>
            <w:vAlign w:val="top"/>
          </w:tcPr>
          <w:p>
            <w:pPr>
              <w:pStyle w:val="0"/>
              <w:jc w:val="both"/>
              <w:rPr>
                <w:rFonts w:hint="default"/>
                <w:sz w:val="12"/>
                <w:highlight w:val="none"/>
              </w:rPr>
            </w:pPr>
            <w:r>
              <w:rPr>
                <w:rFonts w:hint="eastAsia"/>
                <w:sz w:val="12"/>
                <w:highlight w:val="none"/>
              </w:rPr>
              <w:t>国立病院機構高知病院附属看護学校</w:t>
            </w:r>
            <w:r>
              <w:rPr>
                <w:rFonts w:hint="eastAsia"/>
                <w:sz w:val="12"/>
                <w:highlight w:val="none"/>
                <w:vertAlign w:val="baseline"/>
              </w:rPr>
              <w:t>（注１）</w:t>
            </w:r>
          </w:p>
        </w:tc>
        <w:tc>
          <w:tcPr>
            <w:tcW w:w="551"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highlight w:val="none"/>
                <w:u w:val="none" w:color="auto"/>
              </w:rPr>
              <w:t>－</w:t>
            </w:r>
          </w:p>
        </w:tc>
      </w:tr>
      <w:tr>
        <w:trPr>
          <w:trHeight w:val="25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高知県立幡多看護専門学校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r>
      <w:tr>
        <w:trPr>
          <w:trHeight w:val="24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龍馬看護ふくし専門学校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r>
      <w:tr>
        <w:trPr>
          <w:trHeight w:val="23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四万十看護学院</w:t>
            </w:r>
            <w:r>
              <w:rPr>
                <w:rFonts w:hint="eastAsia"/>
                <w:sz w:val="16"/>
                <w:highlight w:val="none"/>
                <w:vertAlign w:val="baseline"/>
              </w:rPr>
              <w:t>（注２）</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highlight w:val="none"/>
                <w:u w:val="none" w:color="auto"/>
              </w:rPr>
              <w:t>－</w:t>
            </w:r>
          </w:p>
        </w:tc>
        <w:tc>
          <w:tcPr>
            <w:tcW w:w="630" w:type="dxa"/>
            <w:vAlign w:val="top"/>
          </w:tcPr>
          <w:p>
            <w:pPr>
              <w:pStyle w:val="0"/>
              <w:jc w:val="right"/>
              <w:rPr>
                <w:rFonts w:hint="default"/>
                <w:color w:val="auto"/>
                <w:highlight w:val="none"/>
                <w:u w:val="none" w:color="auto"/>
              </w:rPr>
            </w:pPr>
            <w:r>
              <w:rPr>
                <w:rFonts w:hint="eastAsia"/>
                <w:color w:val="auto"/>
                <w:highlight w:val="none"/>
                <w:u w:val="none" w:color="auto"/>
              </w:rPr>
              <w:t>－</w:t>
            </w:r>
          </w:p>
        </w:tc>
      </w:tr>
      <w:tr>
        <w:trPr>
          <w:trHeight w:val="22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高知開成専門学校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r>
      <w:tr>
        <w:trPr>
          <w:trHeight w:val="21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近森病院附属看護学校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r>
      <w:tr>
        <w:trPr>
          <w:trHeight w:val="200" w:hRule="atLeast"/>
        </w:trPr>
        <w:tc>
          <w:tcPr>
            <w:tcW w:w="449" w:type="dxa"/>
            <w:vMerge w:val="continue"/>
            <w:shd w:val="clear" w:color="auto" w:themeFill="accent1" w:themeFillTint="33" w:themeFillShade="FF"/>
            <w:vAlign w:val="center"/>
          </w:tcPr>
          <w:p>
            <w:pPr>
              <w:pStyle w:val="0"/>
              <w:rPr>
                <w:rFonts w:hint="eastAsia"/>
              </w:rPr>
            </w:pPr>
          </w:p>
        </w:tc>
        <w:tc>
          <w:tcPr>
            <w:tcW w:w="681" w:type="dxa"/>
            <w:shd w:val="clear" w:color="auto" w:themeFill="accent1" w:themeFillTint="33" w:themeFillShade="FF"/>
            <w:vAlign w:val="center"/>
          </w:tcPr>
          <w:p>
            <w:pPr>
              <w:pStyle w:val="0"/>
              <w:spacing w:line="0" w:lineRule="atLeast"/>
              <w:jc w:val="center"/>
              <w:rPr>
                <w:rFonts w:hint="eastAsia"/>
                <w:sz w:val="12"/>
                <w:highlight w:val="none"/>
              </w:rPr>
            </w:pPr>
            <w:r>
              <w:rPr>
                <w:rFonts w:hint="eastAsia"/>
                <w:sz w:val="12"/>
                <w:highlight w:val="none"/>
              </w:rPr>
              <w:t>２年</w:t>
            </w:r>
          </w:p>
          <w:p>
            <w:pPr>
              <w:pStyle w:val="0"/>
              <w:spacing w:line="0" w:lineRule="atLeast"/>
              <w:jc w:val="center"/>
              <w:rPr>
                <w:rFonts w:hint="eastAsia"/>
                <w:highlight w:val="none"/>
              </w:rPr>
            </w:pPr>
            <w:r>
              <w:rPr>
                <w:rFonts w:hint="eastAsia"/>
                <w:sz w:val="12"/>
                <w:highlight w:val="none"/>
              </w:rPr>
              <w:t>課程</w:t>
            </w:r>
          </w:p>
        </w:tc>
        <w:tc>
          <w:tcPr>
            <w:tcW w:w="2724" w:type="dxa"/>
            <w:shd w:val="clear" w:color="auto" w:themeFill="accent1" w:themeFillTint="33" w:themeFillShade="FF"/>
            <w:vAlign w:val="top"/>
          </w:tcPr>
          <w:p>
            <w:pPr>
              <w:pStyle w:val="0"/>
              <w:rPr>
                <w:rFonts w:hint="eastAsia"/>
                <w:sz w:val="16"/>
                <w:highlight w:val="none"/>
              </w:rPr>
            </w:pPr>
            <w:r>
              <w:rPr>
                <w:rFonts w:hint="eastAsia"/>
                <w:sz w:val="16"/>
                <w:highlight w:val="none"/>
              </w:rPr>
              <w:t>高知県医師会看護専門学校</w:t>
            </w:r>
          </w:p>
        </w:tc>
        <w:tc>
          <w:tcPr>
            <w:tcW w:w="551"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r>
      <w:tr>
        <w:trPr>
          <w:trHeight w:val="190" w:hRule="atLeast"/>
        </w:trPr>
        <w:tc>
          <w:tcPr>
            <w:tcW w:w="449" w:type="dxa"/>
            <w:vMerge w:val="continue"/>
            <w:shd w:val="clear" w:color="auto" w:themeFill="accent1" w:themeFillTint="33" w:themeFillShade="FF"/>
            <w:textDirection w:val="tbRlV"/>
            <w:vAlign w:val="center"/>
          </w:tcPr>
          <w:p>
            <w:pPr>
              <w:pStyle w:val="0"/>
              <w:rPr>
                <w:rFonts w:hint="eastAsia"/>
              </w:rPr>
            </w:pPr>
          </w:p>
        </w:tc>
        <w:tc>
          <w:tcPr>
            <w:tcW w:w="681" w:type="dxa"/>
            <w:vMerge w:val="restart"/>
            <w:shd w:val="clear" w:color="auto" w:themeFill="accent1" w:themeFillTint="33" w:themeFillShade="FF"/>
            <w:vAlign w:val="center"/>
          </w:tcPr>
          <w:p>
            <w:pPr>
              <w:pStyle w:val="0"/>
              <w:spacing w:line="0" w:lineRule="atLeast"/>
              <w:jc w:val="center"/>
              <w:rPr>
                <w:rFonts w:hint="eastAsia"/>
                <w:highlight w:val="none"/>
              </w:rPr>
            </w:pPr>
            <w:r>
              <w:rPr>
                <w:rFonts w:hint="eastAsia"/>
                <w:sz w:val="16"/>
                <w:highlight w:val="none"/>
              </w:rPr>
              <w:t>５年一貫</w:t>
            </w: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高知県立高知東高等学校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r>
      <w:tr>
        <w:trPr>
          <w:trHeight w:val="180" w:hRule="atLeast"/>
        </w:trPr>
        <w:tc>
          <w:tcPr>
            <w:tcW w:w="449" w:type="dxa"/>
            <w:vMerge w:val="continue"/>
            <w:shd w:val="clear" w:color="auto" w:themeFill="accent1" w:themeFillTint="33" w:themeFillShade="FF"/>
            <w:textDirection w:val="tbRlV"/>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高知中央高等学校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r>
      <w:tr>
        <w:trPr>
          <w:trHeight w:val="170" w:hRule="atLeast"/>
        </w:trPr>
        <w:tc>
          <w:tcPr>
            <w:tcW w:w="1130" w:type="dxa"/>
            <w:gridSpan w:val="2"/>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accent1" w:themeFillTint="33" w:themeFillShade="FF"/>
            <w:vAlign w:val="center"/>
          </w:tcPr>
          <w:p>
            <w:pPr>
              <w:pStyle w:val="0"/>
              <w:jc w:val="center"/>
              <w:rPr>
                <w:rFonts w:hint="eastAsia"/>
                <w:sz w:val="16"/>
                <w:highlight w:val="none"/>
              </w:rPr>
            </w:pPr>
            <w:r>
              <w:rPr>
                <w:rFonts w:hint="eastAsia"/>
                <w:sz w:val="16"/>
                <w:highlight w:val="none"/>
              </w:rPr>
              <w:t>准看護師</w:t>
            </w:r>
          </w:p>
        </w:tc>
        <w:tc>
          <w:tcPr>
            <w:tcW w:w="2724" w:type="dxa"/>
            <w:shd w:val="clear" w:color="auto" w:themeFill="accent1" w:themeFillTint="33" w:themeFillShade="FF"/>
            <w:vAlign w:val="center"/>
          </w:tcPr>
          <w:p>
            <w:pPr>
              <w:pStyle w:val="0"/>
              <w:jc w:val="left"/>
              <w:rPr>
                <w:rFonts w:hint="eastAsia"/>
                <w:highlight w:val="none"/>
              </w:rPr>
            </w:pPr>
            <w:r>
              <w:rPr>
                <w:rFonts w:hint="eastAsia"/>
                <w:sz w:val="16"/>
                <w:highlight w:val="none"/>
              </w:rPr>
              <w:t>高知県医師会准看護学院</w:t>
            </w:r>
          </w:p>
        </w:tc>
        <w:tc>
          <w:tcPr>
            <w:tcW w:w="551"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r>
      <w:tr>
        <w:trPr>
          <w:trHeight w:val="335" w:hRule="atLeast"/>
        </w:trPr>
        <w:tc>
          <w:tcPr>
            <w:tcW w:w="1130" w:type="dxa"/>
            <w:gridSpan w:val="2"/>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1" w:themeFillTint="33" w:themeFillShade="FF"/>
            <w:vAlign w:val="top"/>
          </w:tcPr>
          <w:p>
            <w:pPr>
              <w:pStyle w:val="0"/>
              <w:rPr>
                <w:rFonts w:hint="eastAsia"/>
              </w:rPr>
            </w:pPr>
          </w:p>
        </w:tc>
        <w:tc>
          <w:tcPr>
            <w:tcW w:w="272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1" w:themeFillTint="33" w:themeFillShade="FF"/>
            <w:vAlign w:val="top"/>
          </w:tcPr>
          <w:p>
            <w:pPr>
              <w:pStyle w:val="0"/>
              <w:rPr>
                <w:rFonts w:hint="default"/>
                <w:highlight w:val="none"/>
              </w:rPr>
            </w:pPr>
            <w:r>
              <w:rPr>
                <w:rFonts w:hint="eastAsia"/>
                <w:sz w:val="16"/>
                <w:highlight w:val="none"/>
              </w:rPr>
              <w:t>清和准看護学院</w:t>
            </w:r>
          </w:p>
        </w:tc>
        <w:tc>
          <w:tcPr>
            <w:tcW w:w="551"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r>
      <w:tr>
        <w:trPr>
          <w:trHeight w:val="100" w:hRule="atLeast"/>
        </w:trPr>
        <w:tc>
          <w:tcPr>
            <w:tcW w:w="3854" w:type="dxa"/>
            <w:gridSpan w:val="3"/>
            <w:tcBorders>
              <w:top w:val="double" w:color="auto" w:sz="4" w:space="0"/>
              <w:left w:val="single" w:color="auto" w:sz="4" w:space="0"/>
              <w:bottom w:val="single" w:color="auto" w:sz="4" w:space="0"/>
              <w:right w:val="single" w:color="auto" w:sz="4" w:space="0"/>
              <w:tl2br w:val="nil"/>
              <w:tr2bl w:val="nil"/>
            </w:tcBorders>
            <w:shd w:val="clear" w:color="auto" w:themeFill="accent1" w:themeFillTint="33" w:themeFillShade="FF"/>
            <w:vAlign w:val="top"/>
          </w:tcPr>
          <w:p>
            <w:pPr>
              <w:pStyle w:val="0"/>
              <w:jc w:val="center"/>
              <w:rPr>
                <w:rFonts w:hint="eastAsia"/>
                <w:sz w:val="16"/>
                <w:highlight w:val="none"/>
              </w:rPr>
            </w:pPr>
            <w:r>
              <w:rPr>
                <w:rFonts w:hint="eastAsia"/>
                <w:sz w:val="16"/>
                <w:highlight w:val="none"/>
              </w:rPr>
              <w:t>合　計</w:t>
            </w:r>
          </w:p>
        </w:tc>
        <w:tc>
          <w:tcPr>
            <w:tcW w:w="551"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825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745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745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665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665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665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625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585</w:t>
            </w:r>
          </w:p>
        </w:tc>
      </w:tr>
    </w:tbl>
    <w:p>
      <w:pPr>
        <w:pStyle w:val="0"/>
        <w:snapToGrid w:val="0"/>
        <w:ind w:leftChars="0" w:hanging="1067" w:hangingChars="640"/>
        <w:jc w:val="left"/>
        <w:rPr>
          <w:rFonts w:hint="default"/>
          <w:color w:val="auto"/>
          <w:sz w:val="16"/>
          <w:highlight w:val="none"/>
          <w:u w:val="none" w:color="auto"/>
        </w:rPr>
      </w:pPr>
      <w:r>
        <w:rPr>
          <w:rFonts w:hint="eastAsia"/>
          <w:color w:val="auto"/>
          <w:sz w:val="16"/>
          <w:highlight w:val="none"/>
          <w:u w:val="none" w:color="auto"/>
        </w:rPr>
        <w:t>（注</w:t>
      </w:r>
      <w:r>
        <w:rPr>
          <w:rFonts w:hint="eastAsia"/>
          <w:color w:val="auto"/>
          <w:sz w:val="16"/>
          <w:highlight w:val="none"/>
          <w:u w:val="none" w:color="auto"/>
        </w:rPr>
        <w:t>1</w:t>
      </w:r>
      <w:r>
        <w:rPr>
          <w:rFonts w:hint="eastAsia"/>
          <w:color w:val="auto"/>
          <w:sz w:val="16"/>
          <w:highlight w:val="none"/>
          <w:u w:val="none" w:color="auto"/>
        </w:rPr>
        <w:t>）令和８年３月末閉校予定　　　　　　　　　　　　　　　　出典：看護系学校状況調査（高知県医療政策課）</w:t>
      </w:r>
    </w:p>
    <w:p>
      <w:pPr>
        <w:pStyle w:val="0"/>
        <w:snapToGrid w:val="0"/>
        <w:ind w:leftChars="0" w:hanging="1459" w:hangingChars="875"/>
        <w:jc w:val="left"/>
        <w:rPr>
          <w:rFonts w:hint="default"/>
          <w:sz w:val="16"/>
          <w:highlight w:val="none"/>
        </w:rPr>
      </w:pPr>
      <w:r>
        <w:rPr>
          <w:rFonts w:hint="eastAsia"/>
          <w:color w:val="auto"/>
          <w:sz w:val="16"/>
          <w:u w:val="none" w:color="auto"/>
        </w:rPr>
        <w:t>（注</w:t>
      </w:r>
      <w:r>
        <w:rPr>
          <w:rFonts w:hint="eastAsia"/>
          <w:color w:val="auto"/>
          <w:sz w:val="16"/>
          <w:u w:val="none" w:color="auto"/>
        </w:rPr>
        <w:t>2</w:t>
      </w:r>
      <w:r>
        <w:rPr>
          <w:rFonts w:hint="eastAsia"/>
          <w:color w:val="auto"/>
          <w:sz w:val="16"/>
          <w:u w:val="none" w:color="auto"/>
        </w:rPr>
        <w:t>）令和７年３月末閉校予定</w:t>
      </w:r>
    </w:p>
    <w:p>
      <w:pPr>
        <w:pStyle w:val="0"/>
        <w:ind w:left="1456" w:leftChars="-300" w:hanging="2136" w:hangingChars="942"/>
        <w:jc w:val="center"/>
        <w:rPr>
          <w:rFonts w:hint="default"/>
          <w:sz w:val="16"/>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4-4-5</w:t>
      </w:r>
      <w:r>
        <w:rPr>
          <w:rFonts w:hint="eastAsia" w:ascii="ＭＳ ゴシック" w:hAnsi="ＭＳ ゴシック" w:eastAsia="ＭＳ ゴシック"/>
          <w:color w:val="auto"/>
          <w:sz w:val="22"/>
          <w:highlight w:val="none"/>
          <w:u w:val="none" w:color="auto"/>
        </w:rPr>
        <w:t>）看護師等養成施設の入学者の推移</w:t>
      </w:r>
    </w:p>
    <w:p>
      <w:pPr>
        <w:pStyle w:val="0"/>
        <w:ind w:firstLine="227" w:firstLineChars="100"/>
        <w:rPr>
          <w:rFonts w:hint="default"/>
          <w:color w:val="000000"/>
          <w:highlight w:val="none"/>
        </w:rPr>
      </w:pPr>
      <w:r>
        <w:rPr>
          <w:rFonts w:hint="eastAsia"/>
          <w:highlight w:val="none"/>
        </w:rPr>
        <w:drawing>
          <wp:inline distT="0" distB="0" distL="203200" distR="203200">
            <wp:extent cx="5759450" cy="3013710"/>
            <wp:effectExtent l="0" t="0" r="0" b="0"/>
            <wp:docPr id="1289" name="オブジェクト 0"/>
            <a:graphic xmlns:a="http://schemas.openxmlformats.org/drawingml/2006/main">
              <a:graphicData uri="http://schemas.openxmlformats.org/drawingml/2006/picture">
                <pic:pic xmlns:pic="http://schemas.openxmlformats.org/drawingml/2006/picture">
                  <pic:nvPicPr>
                    <pic:cNvPr id="1289" name="オブジェクト 0"/>
                    <pic:cNvPicPr>
                      <a:picLocks noChangeAspect="1"/>
                    </pic:cNvPicPr>
                  </pic:nvPicPr>
                  <pic:blipFill>
                    <a:blip r:embed="rId58"/>
                    <a:stretch>
                      <a:fillRect/>
                    </a:stretch>
                  </pic:blipFill>
                  <pic:spPr>
                    <a:xfrm>
                      <a:off x="0" y="0"/>
                      <a:ext cx="5759450" cy="3013710"/>
                    </a:xfrm>
                    <a:prstGeom prst="rect">
                      <a:avLst/>
                    </a:prstGeom>
                  </pic:spPr>
                </pic:pic>
              </a:graphicData>
            </a:graphic>
          </wp:inline>
        </w:drawing>
      </w:r>
    </w:p>
    <w:p>
      <w:pPr>
        <w:pStyle w:val="0"/>
        <w:ind w:leftChars="0" w:firstLine="5439" w:firstLineChars="3262"/>
        <w:rPr>
          <w:rFonts w:hint="default"/>
          <w:color w:val="000000"/>
          <w:highlight w:val="none"/>
        </w:rPr>
      </w:pPr>
      <w:r>
        <w:rPr>
          <w:rFonts w:hint="eastAsia"/>
          <w:sz w:val="16"/>
          <w:highlight w:val="none"/>
        </w:rPr>
        <w:t>出典：看護系学校状況調査（高知県医療政策課）</w:t>
      </w:r>
    </w:p>
    <w:p>
      <w:pPr>
        <w:pStyle w:val="0"/>
        <w:ind w:firstLine="227" w:firstLineChars="100"/>
        <w:rPr>
          <w:rFonts w:hint="default"/>
          <w:color w:val="000000"/>
          <w:highlight w:val="none"/>
        </w:rPr>
      </w:pPr>
    </w:p>
    <w:p>
      <w:pPr>
        <w:pStyle w:val="0"/>
        <w:ind w:firstLine="227" w:firstLineChars="100"/>
        <w:rPr>
          <w:rFonts w:hint="default"/>
          <w:color w:val="auto"/>
          <w:highlight w:val="none"/>
          <w:u w:val="none" w:color="auto"/>
        </w:rPr>
      </w:pPr>
      <w:r>
        <w:rPr>
          <w:rFonts w:hint="eastAsia"/>
          <w:color w:val="000000"/>
          <w:highlight w:val="none"/>
        </w:rPr>
        <w:t>県内の養成施設を卒業して就職した者について、その就職先（県内の医療機関）を保健医療圏ごとに見ると、</w:t>
      </w:r>
      <w:r>
        <w:rPr>
          <w:rFonts w:hint="eastAsia"/>
          <w:color w:val="auto"/>
          <w:highlight w:val="none"/>
          <w:u w:val="none" w:color="auto"/>
        </w:rPr>
        <w:t>約８割が中央保健医療圏に、特に６割以上が高知市内に就職しています。依然として中央圏域以外への就職割合は低く、新卒者が確保しにくくなっています。</w:t>
      </w:r>
    </w:p>
    <w:p>
      <w:pPr>
        <w:pStyle w:val="0"/>
        <w:ind w:firstLine="227" w:firstLineChars="100"/>
        <w:rPr>
          <w:rFonts w:hint="default"/>
          <w:color w:val="FF0000"/>
          <w:highlight w:val="none"/>
        </w:rPr>
      </w:pPr>
      <w:r>
        <w:rPr>
          <w:rFonts w:hint="eastAsia"/>
          <w:color w:val="auto"/>
          <w:highlight w:val="none"/>
          <w:u w:val="none" w:color="auto"/>
        </w:rPr>
        <w:t>また、県内就職率について養成施設全体では６割を維持していますが、課程別にみると県外出身者の多い大学では令和４年度で３割を切る状況となっており、今後、県内で養成した看護師等の県内定着について取り組みを進めて行く必要があります。</w:t>
      </w:r>
    </w:p>
    <w:p>
      <w:pPr>
        <w:pStyle w:val="0"/>
        <w:rPr>
          <w:rFonts w:hint="default"/>
          <w:color w:val="000000"/>
          <w:highlight w:val="none"/>
        </w:rPr>
      </w:pPr>
    </w:p>
    <w:tbl>
      <w:tblPr>
        <w:tblStyle w:val="11"/>
        <w:tblpPr w:leftFromText="142" w:rightFromText="142" w:topFromText="0" w:bottomFromText="0" w:vertAnchor="text" w:horzAnchor="margin" w:tblpX="357" w:tblpY="365"/>
        <w:tblW w:w="8505" w:type="dxa"/>
        <w:tblLayout w:type="fixed"/>
        <w:tblCellMar>
          <w:left w:w="99" w:type="dxa"/>
          <w:right w:w="99" w:type="dxa"/>
        </w:tblCellMar>
        <w:tblLook w:firstRow="1" w:lastRow="0" w:firstColumn="1" w:lastColumn="0" w:noHBand="0" w:noVBand="1" w:val="04A0"/>
      </w:tblPr>
      <w:tblGrid>
        <w:gridCol w:w="1233"/>
        <w:gridCol w:w="567"/>
        <w:gridCol w:w="534"/>
        <w:gridCol w:w="538"/>
        <w:gridCol w:w="651"/>
        <w:gridCol w:w="538"/>
        <w:gridCol w:w="651"/>
        <w:gridCol w:w="538"/>
        <w:gridCol w:w="651"/>
        <w:gridCol w:w="538"/>
        <w:gridCol w:w="651"/>
        <w:gridCol w:w="764"/>
        <w:gridCol w:w="651"/>
      </w:tblGrid>
      <w:tr>
        <w:trPr>
          <w:trHeight w:val="350" w:hRule="atLeast"/>
        </w:trPr>
        <w:tc>
          <w:tcPr>
            <w:tcW w:w="1233" w:type="dxa"/>
            <w:vMerge w:val="restart"/>
            <w:tcBorders>
              <w:top w:val="single" w:color="auto" w:sz="8" w:space="0"/>
              <w:left w:val="single" w:color="auto" w:sz="8" w:space="0"/>
              <w:bottom w:val="single" w:color="000000"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年度</w:t>
            </w:r>
          </w:p>
        </w:tc>
        <w:tc>
          <w:tcPr>
            <w:tcW w:w="1101" w:type="dxa"/>
            <w:gridSpan w:val="2"/>
            <w:vMerge w:val="restart"/>
            <w:tcBorders>
              <w:top w:val="single" w:color="auto" w:sz="8" w:space="0"/>
              <w:left w:val="single" w:color="auto"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H30</w:t>
            </w:r>
          </w:p>
        </w:tc>
        <w:tc>
          <w:tcPr>
            <w:tcW w:w="1189" w:type="dxa"/>
            <w:gridSpan w:val="2"/>
            <w:vMerge w:val="restart"/>
            <w:tcBorders>
              <w:top w:val="single" w:color="auto" w:sz="8" w:space="0"/>
              <w:left w:val="single" w:color="auto"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R1</w:t>
            </w:r>
          </w:p>
        </w:tc>
        <w:tc>
          <w:tcPr>
            <w:tcW w:w="1189" w:type="dxa"/>
            <w:gridSpan w:val="2"/>
            <w:vMerge w:val="restart"/>
            <w:tcBorders>
              <w:top w:val="single" w:color="auto" w:sz="8" w:space="0"/>
              <w:left w:val="single" w:color="000000"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R2</w:t>
            </w:r>
          </w:p>
        </w:tc>
        <w:tc>
          <w:tcPr>
            <w:tcW w:w="1189" w:type="dxa"/>
            <w:gridSpan w:val="2"/>
            <w:vMerge w:val="restart"/>
            <w:tcBorders>
              <w:top w:val="single" w:color="auto" w:sz="8" w:space="0"/>
              <w:left w:val="single" w:color="auto"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R3</w:t>
            </w:r>
          </w:p>
        </w:tc>
        <w:tc>
          <w:tcPr>
            <w:tcW w:w="1189" w:type="dxa"/>
            <w:gridSpan w:val="2"/>
            <w:vMerge w:val="restart"/>
            <w:tcBorders>
              <w:top w:val="single" w:color="auto" w:sz="8" w:space="0"/>
              <w:left w:val="single" w:color="auto" w:sz="8" w:space="0"/>
              <w:bottom w:val="single" w:color="000000" w:sz="8" w:space="0"/>
              <w:right w:val="double" w:color="000000" w:sz="6"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R4</w:t>
            </w:r>
          </w:p>
        </w:tc>
        <w:tc>
          <w:tcPr>
            <w:tcW w:w="1415" w:type="dxa"/>
            <w:gridSpan w:val="2"/>
            <w:vMerge w:val="restart"/>
            <w:tcBorders>
              <w:top w:val="single" w:color="auto" w:sz="8" w:space="0"/>
              <w:left w:val="double" w:color="auto" w:sz="6"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合計</w:t>
            </w:r>
          </w:p>
        </w:tc>
      </w:tr>
      <w:tr>
        <w:trPr>
          <w:trHeight w:val="350" w:hRule="atLeast"/>
        </w:trPr>
        <w:tc>
          <w:tcPr>
            <w:tcW w:w="1233" w:type="dxa"/>
            <w:vMerge w:val="continue"/>
            <w:tcBorders>
              <w:top w:val="single" w:color="auto" w:sz="8" w:space="0"/>
              <w:left w:val="single" w:color="auto" w:sz="8" w:space="0"/>
              <w:bottom w:val="single" w:color="000000" w:sz="8" w:space="0"/>
              <w:right w:val="single" w:color="auto"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01" w:type="dxa"/>
            <w:gridSpan w:val="2"/>
            <w:vMerge w:val="continue"/>
            <w:tcBorders>
              <w:top w:val="single" w:color="auto" w:sz="8" w:space="0"/>
              <w:left w:val="single" w:color="auto"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auto"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000000"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auto"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auto" w:sz="8" w:space="0"/>
              <w:bottom w:val="single" w:color="auto" w:sz="8" w:space="0"/>
              <w:right w:val="double" w:color="000000" w:sz="6"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415" w:type="dxa"/>
            <w:gridSpan w:val="2"/>
            <w:vMerge w:val="continue"/>
            <w:tcBorders>
              <w:top w:val="single" w:color="auto" w:sz="8" w:space="0"/>
              <w:left w:val="double" w:color="auto" w:sz="6"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r>
      <w:tr>
        <w:trPr>
          <w:trHeight w:val="234" w:hRule="atLeast"/>
        </w:trPr>
        <w:tc>
          <w:tcPr>
            <w:tcW w:w="1233" w:type="dxa"/>
            <w:vMerge w:val="continue"/>
            <w:tcBorders>
              <w:top w:val="single" w:color="auto" w:sz="8" w:space="0"/>
              <w:left w:val="single" w:color="auto" w:sz="8" w:space="0"/>
              <w:bottom w:val="single" w:color="000000" w:sz="8" w:space="0"/>
              <w:right w:val="single" w:color="auto" w:sz="8" w:space="0"/>
              <w:tl2br w:val="none" w:color="auto" w:sz="0" w:space="0"/>
              <w:tr2bl w:val="none" w:color="auto" w:sz="0" w:space="0"/>
            </w:tcBorders>
            <w:vAlign w:val="center"/>
          </w:tcPr>
          <w:p>
            <w:pPr>
              <w:pStyle w:val="0"/>
              <w:widowControl w:val="1"/>
              <w:overflowPunct w:val="1"/>
              <w:adjustRightInd w:val="1"/>
              <w:jc w:val="left"/>
              <w:textAlignment w:val="auto"/>
              <w:rPr>
                <w:rFonts w:hint="eastAsia"/>
              </w:rPr>
            </w:pPr>
          </w:p>
        </w:tc>
        <w:tc>
          <w:tcPr>
            <w:tcW w:w="567"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534"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double"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764" w:type="dxa"/>
            <w:tcBorders>
              <w:top w:val="single" w:color="auto" w:sz="8" w:space="0"/>
              <w:left w:val="double" w:color="auto" w:sz="4"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安芸</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21</w:t>
            </w:r>
          </w:p>
        </w:tc>
        <w:tc>
          <w:tcPr>
            <w:tcW w:w="534" w:type="dxa"/>
            <w:tcBorders>
              <w:top w:val="single" w:color="auto" w:sz="8" w:space="0"/>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5.0 </w:t>
            </w:r>
          </w:p>
        </w:tc>
        <w:tc>
          <w:tcPr>
            <w:tcW w:w="538" w:type="dxa"/>
            <w:tcBorders>
              <w:top w:val="single" w:color="auto" w:sz="8" w:space="0"/>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16</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4.0</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12</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3.7</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16</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4.9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20</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7.0</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85</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4.8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snapToGrid w:val="0"/>
              <w:jc w:val="center"/>
              <w:textAlignment w:val="auto"/>
              <w:rPr>
                <w:rFonts w:hint="default"/>
                <w:color w:val="000000"/>
                <w:sz w:val="16"/>
                <w:highlight w:val="none"/>
              </w:rPr>
            </w:pPr>
            <w:r>
              <w:rPr>
                <w:rFonts w:hint="eastAsia"/>
                <w:color w:val="000000"/>
                <w:sz w:val="16"/>
                <w:highlight w:val="none"/>
              </w:rPr>
              <w:t>中央</w:t>
            </w:r>
            <w:r>
              <w:rPr>
                <w:rFonts w:hint="eastAsia"/>
                <w:color w:val="000000"/>
                <w:sz w:val="16"/>
                <w:highlight w:val="none"/>
              </w:rPr>
              <w:br w:type="textWrapping" w:clear="none"/>
            </w:r>
            <w:r>
              <w:rPr>
                <w:rFonts w:hint="eastAsia"/>
                <w:color w:val="000000"/>
                <w:sz w:val="16"/>
                <w:highlight w:val="none"/>
              </w:rPr>
              <w:t>(</w:t>
            </w:r>
            <w:r>
              <w:rPr>
                <w:rFonts w:hint="eastAsia"/>
                <w:color w:val="000000"/>
                <w:sz w:val="16"/>
                <w:highlight w:val="none"/>
              </w:rPr>
              <w:t>高知市除く</w:t>
            </w:r>
            <w:r>
              <w:rPr>
                <w:rFonts w:hint="eastAsia"/>
                <w:color w:val="000000"/>
                <w:sz w:val="16"/>
                <w:highlight w:val="none"/>
              </w:rPr>
              <w:t>)</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87</w:t>
            </w:r>
          </w:p>
        </w:tc>
        <w:tc>
          <w:tcPr>
            <w:tcW w:w="534" w:type="dxa"/>
            <w:tcBorders>
              <w:top w:val="single" w:color="auto" w:sz="8" w:space="0"/>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20.9 </w:t>
            </w:r>
          </w:p>
        </w:tc>
        <w:tc>
          <w:tcPr>
            <w:tcW w:w="538" w:type="dxa"/>
            <w:tcBorders>
              <w:top w:val="single" w:color="auto" w:sz="8" w:space="0"/>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94</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23.5</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59</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18.0</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66</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20.1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43</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15.1</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349</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19.9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高知市</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279</w:t>
            </w:r>
          </w:p>
        </w:tc>
        <w:tc>
          <w:tcPr>
            <w:tcW w:w="534" w:type="dxa"/>
            <w:tcBorders>
              <w:top w:val="nil"/>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67.1 </w:t>
            </w:r>
          </w:p>
        </w:tc>
        <w:tc>
          <w:tcPr>
            <w:tcW w:w="538" w:type="dxa"/>
            <w:tcBorders>
              <w:top w:val="nil"/>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248</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62.0</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textAlignment w:val="auto"/>
              <w:rPr>
                <w:rFonts w:hint="default"/>
                <w:color w:val="auto"/>
                <w:sz w:val="16"/>
                <w:highlight w:val="none"/>
                <w:u w:val="none" w:color="auto"/>
              </w:rPr>
            </w:pPr>
            <w:r>
              <w:rPr>
                <w:rFonts w:hint="eastAsia"/>
                <w:color w:val="auto"/>
                <w:sz w:val="16"/>
                <w:highlight w:val="none"/>
                <w:u w:val="none" w:color="auto"/>
              </w:rPr>
              <w:t>220</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67.1</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217</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66.2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182</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64.1</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1146</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65.3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高幡</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12</w:t>
            </w:r>
          </w:p>
        </w:tc>
        <w:tc>
          <w:tcPr>
            <w:tcW w:w="534" w:type="dxa"/>
            <w:tcBorders>
              <w:top w:val="nil"/>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2.9 </w:t>
            </w:r>
          </w:p>
        </w:tc>
        <w:tc>
          <w:tcPr>
            <w:tcW w:w="538" w:type="dxa"/>
            <w:tcBorders>
              <w:top w:val="nil"/>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27</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6.8</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14</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4.3</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10</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3.0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17</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6.0</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80</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4.6 </w:t>
            </w:r>
          </w:p>
        </w:tc>
      </w:tr>
      <w:tr>
        <w:trPr>
          <w:trHeight w:val="424" w:hRule="atLeast"/>
        </w:trPr>
        <w:tc>
          <w:tcPr>
            <w:tcW w:w="1233" w:type="dxa"/>
            <w:tcBorders>
              <w:top w:val="nil"/>
              <w:left w:val="single" w:color="auto" w:sz="8" w:space="0"/>
              <w:bottom w:val="double" w:color="auto" w:sz="6"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幡多</w:t>
            </w:r>
          </w:p>
        </w:tc>
        <w:tc>
          <w:tcPr>
            <w:tcW w:w="567"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17</w:t>
            </w:r>
          </w:p>
        </w:tc>
        <w:tc>
          <w:tcPr>
            <w:tcW w:w="534" w:type="dxa"/>
            <w:tcBorders>
              <w:top w:val="nil"/>
              <w:left w:val="dashSmallGap" w:color="auto" w:sz="4" w:space="0"/>
              <w:bottom w:val="double" w:color="auto" w:sz="6"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4.1 </w:t>
            </w:r>
          </w:p>
        </w:tc>
        <w:tc>
          <w:tcPr>
            <w:tcW w:w="538" w:type="dxa"/>
            <w:tcBorders>
              <w:top w:val="nil"/>
              <w:left w:val="single" w:color="auto" w:sz="4"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15</w:t>
            </w:r>
          </w:p>
        </w:tc>
        <w:tc>
          <w:tcPr>
            <w:tcW w:w="651" w:type="dxa"/>
            <w:tcBorders>
              <w:top w:val="nil"/>
              <w:left w:val="dashSmallGap" w:color="auto" w:sz="4" w:space="0"/>
              <w:bottom w:val="double" w:color="auto" w:sz="6"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3.8</w:t>
            </w:r>
          </w:p>
        </w:tc>
        <w:tc>
          <w:tcPr>
            <w:tcW w:w="538"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23</w:t>
            </w:r>
          </w:p>
        </w:tc>
        <w:tc>
          <w:tcPr>
            <w:tcW w:w="651" w:type="dxa"/>
            <w:tcBorders>
              <w:top w:val="nil"/>
              <w:left w:val="dashSmallGap" w:color="auto" w:sz="4" w:space="0"/>
              <w:bottom w:val="double" w:color="auto" w:sz="6"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7.0</w:t>
            </w:r>
          </w:p>
        </w:tc>
        <w:tc>
          <w:tcPr>
            <w:tcW w:w="538"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19</w:t>
            </w:r>
          </w:p>
        </w:tc>
        <w:tc>
          <w:tcPr>
            <w:tcW w:w="651" w:type="dxa"/>
            <w:tcBorders>
              <w:top w:val="nil"/>
              <w:left w:val="dashSmallGap" w:color="auto" w:sz="4" w:space="0"/>
              <w:bottom w:val="double" w:color="auto" w:sz="6"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5.8 </w:t>
            </w:r>
          </w:p>
        </w:tc>
        <w:tc>
          <w:tcPr>
            <w:tcW w:w="538"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22</w:t>
            </w:r>
          </w:p>
        </w:tc>
        <w:tc>
          <w:tcPr>
            <w:tcW w:w="651" w:type="dxa"/>
            <w:tcBorders>
              <w:top w:val="nil"/>
              <w:left w:val="dashSmallGap" w:color="auto" w:sz="4" w:space="0"/>
              <w:bottom w:val="double" w:color="auto" w:sz="6"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7.7</w:t>
            </w:r>
          </w:p>
        </w:tc>
        <w:tc>
          <w:tcPr>
            <w:tcW w:w="764" w:type="dxa"/>
            <w:tcBorders>
              <w:top w:val="nil"/>
              <w:left w:val="double" w:color="auto" w:sz="4"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96</w:t>
            </w:r>
          </w:p>
        </w:tc>
        <w:tc>
          <w:tcPr>
            <w:tcW w:w="651" w:type="dxa"/>
            <w:tcBorders>
              <w:top w:val="nil"/>
              <w:left w:val="dashSmallGap" w:color="auto" w:sz="4" w:space="0"/>
              <w:bottom w:val="double" w:color="auto" w:sz="6"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5.5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県計</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416</w:t>
            </w:r>
          </w:p>
        </w:tc>
        <w:tc>
          <w:tcPr>
            <w:tcW w:w="534" w:type="dxa"/>
            <w:tcBorders>
              <w:top w:val="nil"/>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left"/>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textAlignment w:val="auto"/>
              <w:rPr>
                <w:rFonts w:hint="default"/>
                <w:color w:val="auto"/>
                <w:sz w:val="16"/>
                <w:highlight w:val="none"/>
                <w:u w:val="none" w:color="auto"/>
              </w:rPr>
            </w:pPr>
            <w:r>
              <w:rPr>
                <w:rFonts w:hint="eastAsia"/>
                <w:color w:val="auto"/>
                <w:sz w:val="16"/>
                <w:highlight w:val="none"/>
                <w:u w:val="none" w:color="auto"/>
              </w:rPr>
              <w:t>400</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textAlignment w:val="auto"/>
              <w:rPr>
                <w:rFonts w:hint="default"/>
                <w:color w:val="auto"/>
                <w:sz w:val="16"/>
                <w:highlight w:val="none"/>
                <w:u w:val="none" w:color="auto"/>
              </w:rPr>
            </w:pPr>
            <w:r>
              <w:rPr>
                <w:rFonts w:hint="eastAsia"/>
                <w:color w:val="auto"/>
                <w:sz w:val="16"/>
                <w:highlight w:val="none"/>
                <w:u w:val="none" w:color="auto"/>
              </w:rPr>
              <w:t>328</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328</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left"/>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284</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ascii="Century" w:hAnsi="Century" w:eastAsia="ＭＳ Ｐゴシック"/>
                <w:color w:val="auto"/>
                <w:sz w:val="16"/>
                <w:highlight w:val="none"/>
                <w:u w:val="none" w:color="auto"/>
              </w:rPr>
            </w:pP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1,756</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left"/>
              <w:textAlignment w:val="auto"/>
              <w:rPr>
                <w:rFonts w:hint="default" w:ascii="Century" w:hAnsi="Century" w:eastAsia="ＭＳ Ｐゴシック"/>
                <w:color w:val="auto"/>
                <w:sz w:val="16"/>
                <w:highlight w:val="none"/>
                <w:u w:val="wave" w:color="auto"/>
              </w:rPr>
            </w:pPr>
          </w:p>
        </w:tc>
      </w:tr>
    </w:tbl>
    <w:p>
      <w:pPr>
        <w:pStyle w:val="0"/>
        <w:widowControl w:val="1"/>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4-4-6</w:t>
      </w:r>
      <w:r>
        <w:rPr>
          <w:rFonts w:hint="eastAsia" w:ascii="ＭＳ ゴシック" w:hAnsi="ＭＳ ゴシック" w:eastAsia="ＭＳ ゴシック"/>
          <w:sz w:val="22"/>
          <w:highlight w:val="none"/>
        </w:rPr>
        <w:t>）看護師等養成施設新卒者</w:t>
      </w:r>
      <w:r>
        <w:rPr>
          <w:rFonts w:hint="eastAsia" w:ascii="ＭＳ ゴシック" w:hAnsi="ＭＳ ゴシック" w:eastAsia="ＭＳ ゴシック"/>
          <w:sz w:val="18"/>
          <w:highlight w:val="none"/>
          <w:vertAlign w:val="superscript"/>
        </w:rPr>
        <w:t>（注</w:t>
      </w:r>
      <w:r>
        <w:rPr>
          <w:rFonts w:hint="eastAsia" w:ascii="ＭＳ ゴシック" w:hAnsi="ＭＳ ゴシック" w:eastAsia="ＭＳ ゴシック"/>
          <w:sz w:val="18"/>
          <w:highlight w:val="none"/>
          <w:vertAlign w:val="superscript"/>
        </w:rPr>
        <w:t>3</w:t>
      </w:r>
      <w:r>
        <w:rPr>
          <w:rFonts w:hint="eastAsia" w:ascii="ＭＳ ゴシック" w:hAnsi="ＭＳ ゴシック" w:eastAsia="ＭＳ ゴシック"/>
          <w:sz w:val="18"/>
          <w:highlight w:val="none"/>
          <w:vertAlign w:val="superscript"/>
        </w:rPr>
        <w:t>）</w:t>
      </w:r>
      <w:r>
        <w:rPr>
          <w:rFonts w:hint="eastAsia" w:ascii="ＭＳ ゴシック" w:hAnsi="ＭＳ ゴシック" w:eastAsia="ＭＳ ゴシック"/>
          <w:sz w:val="22"/>
          <w:highlight w:val="none"/>
        </w:rPr>
        <w:t>の保健医療圏ごとの就業状況</w:t>
      </w:r>
    </w:p>
    <w:p>
      <w:pPr>
        <w:pStyle w:val="0"/>
        <w:widowControl w:val="1"/>
        <w:ind w:firstLine="667" w:firstLineChars="400"/>
        <w:jc w:val="left"/>
        <w:rPr>
          <w:rFonts w:hint="default"/>
          <w:sz w:val="16"/>
          <w:highlight w:val="none"/>
        </w:rPr>
      </w:pPr>
      <w:r>
        <w:rPr>
          <w:rFonts w:hint="eastAsia"/>
          <w:sz w:val="16"/>
          <w:highlight w:val="none"/>
        </w:rPr>
        <w:t>（注</w:t>
      </w:r>
      <w:r>
        <w:rPr>
          <w:rFonts w:hint="eastAsia"/>
          <w:sz w:val="16"/>
          <w:highlight w:val="none"/>
        </w:rPr>
        <w:t>3</w:t>
      </w:r>
      <w:r>
        <w:rPr>
          <w:rFonts w:hint="eastAsia"/>
          <w:sz w:val="16"/>
          <w:highlight w:val="none"/>
        </w:rPr>
        <w:t>）</w:t>
      </w:r>
      <w:r>
        <w:rPr>
          <w:rFonts w:hint="eastAsia"/>
          <w:sz w:val="16"/>
          <w:highlight w:val="none"/>
        </w:rPr>
        <w:t xml:space="preserve"> </w:t>
      </w:r>
      <w:r>
        <w:rPr>
          <w:rFonts w:hint="eastAsia"/>
          <w:sz w:val="16"/>
          <w:highlight w:val="none"/>
        </w:rPr>
        <w:t>看護師・准看護師として就業した者　　　　　　　　出典：看護系学校状況調査（高知県医療政策課）</w:t>
      </w:r>
    </w:p>
    <w:p>
      <w:pPr>
        <w:pStyle w:val="0"/>
        <w:widowControl w:val="1"/>
        <w:spacing w:line="0" w:lineRule="atLeast"/>
        <w:ind w:right="907" w:rightChars="400"/>
        <w:rPr>
          <w:rFonts w:hint="default" w:ascii="ＭＳ ゴシック" w:hAnsi="ＭＳ ゴシック" w:eastAsia="ＭＳ ゴシック"/>
          <w:highlight w:val="none"/>
        </w:rPr>
      </w:pPr>
    </w:p>
    <w:p>
      <w:pPr>
        <w:pStyle w:val="0"/>
        <w:widowControl w:val="1"/>
        <w:spacing w:line="0" w:lineRule="atLeast"/>
        <w:ind w:right="907" w:rightChars="400"/>
        <w:rPr>
          <w:rFonts w:hint="default" w:ascii="ＭＳ ゴシック" w:hAnsi="ＭＳ ゴシック" w:eastAsia="ＭＳ ゴシック"/>
          <w:highlight w:val="none"/>
        </w:rPr>
      </w:pPr>
    </w:p>
    <w:p>
      <w:pPr>
        <w:pStyle w:val="0"/>
        <w:widowControl w:val="1"/>
        <w:spacing w:line="0" w:lineRule="atLeast"/>
        <w:ind w:right="907" w:rightChars="400"/>
        <w:rPr>
          <w:rFonts w:hint="default" w:ascii="ＭＳ ゴシック" w:hAnsi="ＭＳ ゴシック" w:eastAsia="ＭＳ ゴシック"/>
          <w:highlight w:val="none"/>
        </w:rPr>
      </w:pPr>
    </w:p>
    <w:p>
      <w:pPr>
        <w:pStyle w:val="0"/>
        <w:widowControl w:val="1"/>
        <w:ind w:right="335" w:firstLine="217" w:firstLineChars="100"/>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w:t>
      </w:r>
      <w:r>
        <w:rPr>
          <w:rFonts w:hint="eastAsia" w:ascii="ＭＳ ゴシック" w:hAnsi="ＭＳ ゴシック" w:eastAsia="ＭＳ ゴシック"/>
          <w:color w:val="auto"/>
          <w:sz w:val="22"/>
          <w:highlight w:val="none"/>
          <w:u w:val="none" w:color="auto"/>
        </w:rPr>
        <w:t>7</w:t>
      </w:r>
      <w:r>
        <w:rPr>
          <w:rFonts w:hint="eastAsia" w:ascii="ＭＳ ゴシック" w:hAnsi="ＭＳ ゴシック" w:eastAsia="ＭＳ ゴシック"/>
          <w:sz w:val="22"/>
          <w:highlight w:val="none"/>
        </w:rPr>
        <w:t>）看護師等養成施設新卒者の就職状況</w:t>
      </w:r>
    </w:p>
    <w:tbl>
      <w:tblPr>
        <w:tblStyle w:val="11"/>
        <w:tblW w:w="5000" w:type="pct"/>
        <w:tblInd w:w="0" w:type="dxa"/>
        <w:tblBorders>
          <w:top w:val="single" w:color="000000" w:sz="8" w:space="0"/>
          <w:bottom w:val="single" w:color="000000" w:sz="4" w:space="0"/>
          <w:right w:val="single" w:color="000000" w:sz="8" w:space="0"/>
          <w:insideH w:val="single" w:color="000000" w:sz="8" w:space="0"/>
        </w:tblBorders>
        <w:tblLayout w:type="fixed"/>
        <w:tblCellMar>
          <w:left w:w="0" w:type="dxa"/>
          <w:right w:w="0" w:type="dxa"/>
        </w:tblCellMar>
        <w:tblLook w:firstRow="1" w:lastRow="0" w:firstColumn="1" w:lastColumn="0" w:noHBand="0" w:noVBand="1" w:val="04A0"/>
      </w:tblPr>
      <w:tblGrid>
        <w:gridCol w:w="1112"/>
        <w:gridCol w:w="520"/>
        <w:gridCol w:w="520"/>
        <w:gridCol w:w="520"/>
        <w:gridCol w:w="520"/>
        <w:gridCol w:w="520"/>
        <w:gridCol w:w="520"/>
        <w:gridCol w:w="520"/>
        <w:gridCol w:w="520"/>
        <w:gridCol w:w="520"/>
        <w:gridCol w:w="601"/>
        <w:gridCol w:w="520"/>
        <w:gridCol w:w="520"/>
        <w:gridCol w:w="520"/>
        <w:gridCol w:w="520"/>
        <w:gridCol w:w="577"/>
      </w:tblGrid>
      <w:tr>
        <w:trPr>
          <w:trHeight w:val="360" w:hRule="atLeast"/>
        </w:trPr>
        <w:tc>
          <w:tcPr>
            <w:tcW w:w="605" w:type="pct"/>
            <w:tcBorders>
              <w:top w:val="none" w:color="auto" w:sz="0" w:space="0"/>
              <w:left w:val="single" w:color="000000" w:sz="8" w:space="0"/>
              <w:bottom w:val="none" w:color="auto" w:sz="0" w:space="0"/>
              <w:right w:val="none" w:color="auto" w:sz="0" w:space="0"/>
              <w:tl2br w:val="nil"/>
              <w:tr2bl w:val="nil"/>
            </w:tcBorders>
            <w:shd w:val="clear" w:color="auto" w:fill="DCEFF3"/>
            <w:tcMar>
              <w:top w:w="0" w:type="dxa"/>
              <w:left w:w="10" w:type="dxa"/>
              <w:bottom w:w="0" w:type="dxa"/>
              <w:right w:w="0" w:type="dxa"/>
            </w:tcMar>
            <w:vAlign w:val="bottom"/>
          </w:tcPr>
          <w:p>
            <w:pPr>
              <w:pStyle w:val="0"/>
              <w:shd w:val="clear" w:color="auto" w:fill="DCEFF3"/>
              <w:rPr>
                <w:rFonts w:hint="default"/>
                <w:color w:val="000000"/>
                <w:sz w:val="16"/>
                <w:highlight w:val="none"/>
              </w:rPr>
            </w:pPr>
            <w:r>
              <w:rPr>
                <w:rFonts w:hint="eastAsia"/>
                <w:color w:val="000000"/>
                <w:sz w:val="16"/>
                <w:highlight w:val="none"/>
              </w:rPr>
              <w:t>　</w:t>
            </w:r>
          </w:p>
        </w:tc>
        <w:tc>
          <w:tcPr>
            <w:tcW w:w="283" w:type="pct"/>
            <w:gridSpan w:val="5"/>
            <w:tcBorders>
              <w:top w:val="none" w:color="auto" w:sz="0" w:space="0"/>
              <w:left w:val="double" w:color="000000" w:sz="5" w:space="0"/>
              <w:bottom w:val="none" w:color="auto" w:sz="0" w:space="0"/>
              <w:right w:val="double" w:color="000000" w:sz="5" w:space="0"/>
              <w:tl2br w:val="nil"/>
              <w:tr2bl w:val="nil"/>
            </w:tcBorders>
            <w:shd w:val="clear" w:color="auto" w:fill="DCEFF3"/>
            <w:tcMar>
              <w:top w:w="0" w:type="dxa"/>
              <w:left w:w="20" w:type="dxa"/>
              <w:bottom w:w="0" w:type="dxa"/>
              <w:right w:w="2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令和２年度卒業（</w:t>
            </w:r>
            <w:r>
              <w:rPr>
                <w:rFonts w:hint="eastAsia"/>
                <w:color w:val="000000"/>
                <w:sz w:val="16"/>
                <w:highlight w:val="none"/>
              </w:rPr>
              <w:t>R3.3</w:t>
            </w:r>
            <w:r>
              <w:rPr>
                <w:rFonts w:hint="eastAsia"/>
                <w:color w:val="000000"/>
                <w:sz w:val="16"/>
                <w:highlight w:val="none"/>
              </w:rPr>
              <w:t>）</w:t>
            </w:r>
          </w:p>
        </w:tc>
        <w:tc>
          <w:tcPr>
            <w:tcW w:w="283" w:type="pct"/>
            <w:gridSpan w:val="5"/>
            <w:tcBorders>
              <w:top w:val="none" w:color="auto" w:sz="0" w:space="0"/>
              <w:left w:val="double" w:color="000000" w:sz="5" w:space="0"/>
              <w:bottom w:val="none" w:color="auto" w:sz="0" w:space="0"/>
              <w:right w:val="double" w:color="000000" w:sz="5" w:space="0"/>
              <w:tl2br w:val="nil"/>
              <w:tr2bl w:val="nil"/>
            </w:tcBorders>
            <w:shd w:val="clear" w:color="auto" w:fill="DCEFF3"/>
            <w:tcMar>
              <w:top w:w="0" w:type="dxa"/>
              <w:left w:w="20" w:type="dxa"/>
              <w:bottom w:w="0" w:type="dxa"/>
              <w:right w:w="2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令和３年度卒業（</w:t>
            </w:r>
            <w:r>
              <w:rPr>
                <w:rFonts w:hint="eastAsia"/>
                <w:color w:val="000000"/>
                <w:sz w:val="16"/>
                <w:highlight w:val="none"/>
              </w:rPr>
              <w:t>R4.3</w:t>
            </w:r>
            <w:r>
              <w:rPr>
                <w:rFonts w:hint="eastAsia"/>
                <w:color w:val="000000"/>
                <w:sz w:val="16"/>
                <w:highlight w:val="none"/>
              </w:rPr>
              <w:t>）</w:t>
            </w:r>
          </w:p>
        </w:tc>
        <w:tc>
          <w:tcPr>
            <w:tcW w:w="283" w:type="pct"/>
            <w:gridSpan w:val="5"/>
            <w:tcBorders>
              <w:top w:val="none" w:color="auto" w:sz="0" w:space="0"/>
              <w:left w:val="double" w:color="000000" w:sz="5" w:space="0"/>
              <w:bottom w:val="none" w:color="auto" w:sz="0" w:space="0"/>
              <w:right w:val="none" w:color="auto" w:sz="0" w:space="0"/>
              <w:tl2br w:val="nil"/>
              <w:tr2bl w:val="nil"/>
            </w:tcBorders>
            <w:shd w:val="clear" w:color="auto" w:fill="DCEFF3"/>
            <w:tcMar>
              <w:top w:w="0" w:type="dxa"/>
              <w:left w:w="20" w:type="dxa"/>
              <w:bottom w:w="0" w:type="dxa"/>
              <w:right w:w="1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令和４年度卒業（</w:t>
            </w:r>
            <w:r>
              <w:rPr>
                <w:rFonts w:hint="eastAsia"/>
                <w:color w:val="000000"/>
                <w:sz w:val="16"/>
                <w:highlight w:val="none"/>
              </w:rPr>
              <w:t>R5.3</w:t>
            </w:r>
            <w:r>
              <w:rPr>
                <w:rFonts w:hint="eastAsia"/>
                <w:color w:val="000000"/>
                <w:sz w:val="16"/>
                <w:highlight w:val="none"/>
              </w:rPr>
              <w:t>）</w:t>
            </w:r>
          </w:p>
        </w:tc>
      </w:tr>
      <w:tr>
        <w:trPr>
          <w:trHeight w:val="675"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養成所</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卒業者</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就職者数</w:t>
            </w:r>
          </w:p>
          <w:p>
            <w:pPr>
              <w:pStyle w:val="0"/>
              <w:spacing w:line="240" w:lineRule="exact"/>
              <w:jc w:val="center"/>
              <w:rPr>
                <w:rFonts w:hint="default"/>
                <w:color w:val="000000"/>
                <w:sz w:val="16"/>
                <w:highlight w:val="none"/>
              </w:rPr>
            </w:pPr>
            <w:r>
              <w:rPr>
                <w:rFonts w:hint="eastAsia"/>
                <w:color w:val="000000"/>
                <w:sz w:val="16"/>
                <w:highlight w:val="none"/>
              </w:rPr>
              <w:t>(a)</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県内</w:t>
            </w:r>
            <w:r>
              <w:rPr>
                <w:rFonts w:hint="eastAsia"/>
                <w:color w:val="000000"/>
                <w:sz w:val="16"/>
                <w:highlight w:val="none"/>
              </w:rPr>
              <w:br w:type="textWrapping" w:clear="none"/>
            </w:r>
            <w:r>
              <w:rPr>
                <w:rFonts w:hint="eastAsia"/>
                <w:color w:val="000000"/>
                <w:sz w:val="16"/>
                <w:highlight w:val="none"/>
              </w:rPr>
              <w:t>就職者</w:t>
            </w:r>
            <w:r>
              <w:rPr>
                <w:rFonts w:hint="eastAsia"/>
                <w:color w:val="000000"/>
                <w:sz w:val="16"/>
                <w:highlight w:val="none"/>
              </w:rPr>
              <w:br w:type="textWrapping" w:clear="none"/>
            </w:r>
            <w:r>
              <w:rPr>
                <w:rFonts w:hint="eastAsia"/>
                <w:color w:val="000000"/>
                <w:sz w:val="16"/>
                <w:highlight w:val="none"/>
              </w:rPr>
              <w:t>(b)</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県内</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就職</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の割合</w:t>
            </w:r>
            <w:r>
              <w:rPr>
                <w:rFonts w:hint="eastAsia"/>
                <w:color w:val="000000"/>
                <w:sz w:val="16"/>
                <w:highlight w:val="none"/>
              </w:rPr>
              <w:br w:type="textWrapping" w:clear="none"/>
            </w:r>
            <w:r>
              <w:rPr>
                <w:rFonts w:hint="eastAsia"/>
                <w:color w:val="000000"/>
                <w:sz w:val="16"/>
                <w:highlight w:val="none"/>
              </w:rPr>
              <w:t>(b/a)</w:t>
            </w:r>
          </w:p>
        </w:tc>
        <w:tc>
          <w:tcPr>
            <w:tcW w:w="283" w:type="pct"/>
            <w:tcBorders>
              <w:top w:val="none" w:color="auto" w:sz="0"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県外</w:t>
            </w:r>
          </w:p>
          <w:p>
            <w:pPr>
              <w:pStyle w:val="0"/>
              <w:spacing w:line="240" w:lineRule="exact"/>
              <w:jc w:val="center"/>
              <w:rPr>
                <w:rFonts w:hint="default"/>
                <w:color w:val="000000"/>
                <w:sz w:val="16"/>
                <w:highlight w:val="none"/>
              </w:rPr>
            </w:pPr>
            <w:r>
              <w:rPr>
                <w:rFonts w:hint="eastAsia"/>
                <w:color w:val="000000"/>
                <w:sz w:val="16"/>
                <w:highlight w:val="none"/>
              </w:rPr>
              <w:t>就職</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卒業者</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就職者数</w:t>
            </w:r>
            <w:r>
              <w:rPr>
                <w:rFonts w:hint="eastAsia"/>
                <w:color w:val="000000"/>
                <w:sz w:val="16"/>
                <w:highlight w:val="none"/>
              </w:rPr>
              <w:br w:type="textWrapping" w:clear="none"/>
            </w:r>
            <w:r>
              <w:rPr>
                <w:rFonts w:hint="eastAsia"/>
                <w:color w:val="000000"/>
                <w:sz w:val="16"/>
                <w:highlight w:val="none"/>
              </w:rPr>
              <w:t>(a)</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県内</w:t>
            </w:r>
            <w:r>
              <w:rPr>
                <w:rFonts w:hint="eastAsia"/>
                <w:color w:val="000000"/>
                <w:sz w:val="16"/>
                <w:highlight w:val="none"/>
              </w:rPr>
              <w:br w:type="textWrapping" w:clear="none"/>
            </w:r>
            <w:r>
              <w:rPr>
                <w:rFonts w:hint="eastAsia"/>
                <w:color w:val="000000"/>
                <w:sz w:val="16"/>
                <w:highlight w:val="none"/>
              </w:rPr>
              <w:t>就職者</w:t>
            </w:r>
            <w:r>
              <w:rPr>
                <w:rFonts w:hint="eastAsia"/>
                <w:color w:val="000000"/>
                <w:sz w:val="16"/>
                <w:highlight w:val="none"/>
              </w:rPr>
              <w:br w:type="textWrapping" w:clear="none"/>
            </w:r>
            <w:r>
              <w:rPr>
                <w:rFonts w:hint="eastAsia"/>
                <w:color w:val="000000"/>
                <w:sz w:val="16"/>
                <w:highlight w:val="none"/>
              </w:rPr>
              <w:t>(b)</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県内</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就職</w:t>
            </w:r>
            <w:r>
              <w:rPr>
                <w:rFonts w:hint="eastAsia"/>
                <w:color w:val="000000"/>
                <w:sz w:val="16"/>
                <w:highlight w:val="none"/>
              </w:rPr>
              <w:br w:type="textWrapping" w:clear="none"/>
            </w:r>
            <w:r>
              <w:rPr>
                <w:rFonts w:hint="eastAsia"/>
                <w:color w:val="000000"/>
                <w:sz w:val="16"/>
                <w:highlight w:val="none"/>
              </w:rPr>
              <w:t>の割合</w:t>
            </w:r>
            <w:r>
              <w:rPr>
                <w:rFonts w:hint="eastAsia"/>
                <w:color w:val="000000"/>
                <w:sz w:val="16"/>
                <w:highlight w:val="none"/>
              </w:rPr>
              <w:br w:type="textWrapping" w:clear="none"/>
            </w:r>
            <w:r>
              <w:rPr>
                <w:rFonts w:hint="eastAsia"/>
                <w:color w:val="000000"/>
                <w:sz w:val="16"/>
                <w:highlight w:val="none"/>
              </w:rPr>
              <w:t>(b/a)</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0"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県外</w:t>
            </w:r>
          </w:p>
          <w:p>
            <w:pPr>
              <w:pStyle w:val="0"/>
              <w:spacing w:line="240" w:lineRule="exact"/>
              <w:jc w:val="center"/>
              <w:rPr>
                <w:rFonts w:hint="default"/>
                <w:color w:val="000000"/>
                <w:sz w:val="16"/>
                <w:highlight w:val="none"/>
              </w:rPr>
            </w:pPr>
            <w:r>
              <w:rPr>
                <w:rFonts w:hint="eastAsia"/>
                <w:color w:val="000000"/>
                <w:sz w:val="16"/>
                <w:highlight w:val="none"/>
              </w:rPr>
              <w:t>就職</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卒業者</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就職者数</w:t>
            </w:r>
            <w:r>
              <w:rPr>
                <w:rFonts w:hint="eastAsia"/>
                <w:color w:val="000000"/>
                <w:sz w:val="16"/>
                <w:highlight w:val="none"/>
              </w:rPr>
              <w:br w:type="textWrapping" w:clear="none"/>
            </w:r>
            <w:r>
              <w:rPr>
                <w:rFonts w:hint="eastAsia"/>
                <w:color w:val="000000"/>
                <w:sz w:val="16"/>
                <w:highlight w:val="none"/>
              </w:rPr>
              <w:t>(a)</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県内</w:t>
            </w:r>
            <w:r>
              <w:rPr>
                <w:rFonts w:hint="eastAsia"/>
                <w:color w:val="000000"/>
                <w:sz w:val="16"/>
                <w:highlight w:val="none"/>
              </w:rPr>
              <w:br w:type="textWrapping" w:clear="none"/>
            </w:r>
            <w:r>
              <w:rPr>
                <w:rFonts w:hint="eastAsia"/>
                <w:color w:val="000000"/>
                <w:sz w:val="16"/>
                <w:highlight w:val="none"/>
              </w:rPr>
              <w:t>就職者</w:t>
            </w:r>
            <w:r>
              <w:rPr>
                <w:rFonts w:hint="eastAsia"/>
                <w:color w:val="000000"/>
                <w:sz w:val="16"/>
                <w:highlight w:val="none"/>
              </w:rPr>
              <w:br w:type="textWrapping" w:clear="none"/>
            </w:r>
            <w:r>
              <w:rPr>
                <w:rFonts w:hint="eastAsia"/>
                <w:color w:val="000000"/>
                <w:sz w:val="16"/>
                <w:highlight w:val="none"/>
              </w:rPr>
              <w:t>(b)</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県内</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就職</w:t>
            </w:r>
            <w:r>
              <w:rPr>
                <w:rFonts w:hint="eastAsia"/>
                <w:color w:val="000000"/>
                <w:sz w:val="16"/>
                <w:highlight w:val="none"/>
              </w:rPr>
              <w:br w:type="textWrapping" w:clear="none"/>
            </w:r>
            <w:r>
              <w:rPr>
                <w:rFonts w:hint="eastAsia"/>
                <w:color w:val="000000"/>
                <w:sz w:val="16"/>
                <w:highlight w:val="none"/>
              </w:rPr>
              <w:t>の割合</w:t>
            </w:r>
            <w:r>
              <w:rPr>
                <w:rFonts w:hint="eastAsia"/>
                <w:color w:val="000000"/>
                <w:sz w:val="16"/>
                <w:highlight w:val="none"/>
              </w:rPr>
              <w:br w:type="textWrapping" w:clear="none"/>
            </w:r>
            <w:r>
              <w:rPr>
                <w:rFonts w:hint="eastAsia"/>
                <w:color w:val="000000"/>
                <w:sz w:val="16"/>
                <w:highlight w:val="none"/>
              </w:rPr>
              <w:t>(b/a)</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県外</w:t>
            </w:r>
          </w:p>
          <w:p>
            <w:pPr>
              <w:pStyle w:val="0"/>
              <w:spacing w:line="240" w:lineRule="exact"/>
              <w:jc w:val="center"/>
              <w:rPr>
                <w:rFonts w:hint="default"/>
                <w:color w:val="000000"/>
                <w:sz w:val="16"/>
                <w:highlight w:val="none"/>
              </w:rPr>
            </w:pPr>
            <w:r>
              <w:rPr>
                <w:rFonts w:hint="eastAsia"/>
                <w:color w:val="000000"/>
                <w:sz w:val="16"/>
                <w:highlight w:val="none"/>
              </w:rPr>
              <w:t>就職</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大学</w:t>
            </w:r>
            <w:r>
              <w:rPr>
                <w:rFonts w:hint="eastAsia"/>
                <w:color w:val="000000"/>
                <w:sz w:val="14"/>
                <w:highlight w:val="none"/>
                <w:vertAlign w:val="baseline"/>
              </w:rPr>
              <w:t>（注</w:t>
            </w:r>
            <w:r>
              <w:rPr>
                <w:rFonts w:hint="eastAsia"/>
                <w:color w:val="000000"/>
                <w:sz w:val="14"/>
                <w:highlight w:val="none"/>
                <w:vertAlign w:val="baseline"/>
              </w:rPr>
              <w:t>4</w:t>
            </w:r>
            <w:r>
              <w:rPr>
                <w:rFonts w:hint="eastAsia"/>
                <w:color w:val="000000"/>
                <w:sz w:val="14"/>
                <w:highlight w:val="none"/>
                <w:vertAlign w:val="baseline"/>
              </w:rPr>
              <w:t>）</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149</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126</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47</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37.3%</w:t>
            </w:r>
          </w:p>
        </w:tc>
        <w:tc>
          <w:tcPr>
            <w:tcW w:w="283" w:type="pct"/>
            <w:tcBorders>
              <w:top w:val="none" w:color="auto" w:sz="0"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79</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146</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125</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50</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40.0%</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75</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151</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129</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36</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27.9%</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93</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spacing w:line="240" w:lineRule="exact"/>
              <w:jc w:val="center"/>
              <w:rPr>
                <w:rFonts w:hint="default"/>
                <w:color w:val="000000"/>
                <w:sz w:val="16"/>
                <w:highlight w:val="none"/>
              </w:rPr>
            </w:pPr>
            <w:r>
              <w:rPr>
                <w:rFonts w:hint="eastAsia"/>
                <w:color w:val="000000"/>
                <w:sz w:val="16"/>
                <w:highlight w:val="none"/>
              </w:rPr>
              <w:t>短期大学</w:t>
            </w:r>
          </w:p>
          <w:p>
            <w:pPr>
              <w:pStyle w:val="0"/>
              <w:shd w:val="clear" w:color="auto" w:fill="DCEFF3"/>
              <w:spacing w:line="240" w:lineRule="exact"/>
              <w:jc w:val="center"/>
              <w:rPr>
                <w:rFonts w:hint="default"/>
                <w:color w:val="000000"/>
                <w:sz w:val="16"/>
                <w:highlight w:val="none"/>
              </w:rPr>
            </w:pPr>
            <w:r>
              <w:rPr>
                <w:rFonts w:hint="eastAsia"/>
                <w:color w:val="000000"/>
                <w:sz w:val="14"/>
                <w:highlight w:val="none"/>
                <w:vertAlign w:val="baseline"/>
              </w:rPr>
              <w:t>（注</w:t>
            </w:r>
            <w:r>
              <w:rPr>
                <w:rFonts w:hint="eastAsia"/>
                <w:color w:val="000000"/>
                <w:sz w:val="14"/>
                <w:highlight w:val="none"/>
                <w:vertAlign w:val="baseline"/>
              </w:rPr>
              <w:t>5</w:t>
            </w:r>
            <w:r>
              <w:rPr>
                <w:rFonts w:hint="eastAsia"/>
                <w:color w:val="000000"/>
                <w:sz w:val="14"/>
                <w:highlight w:val="none"/>
                <w:vertAlign w:val="baseline"/>
              </w:rPr>
              <w:t>）</w:t>
            </w:r>
          </w:p>
        </w:tc>
        <w:tc>
          <w:tcPr>
            <w:tcW w:w="283" w:type="pct"/>
            <w:tcBorders>
              <w:top w:val="none" w:color="auto" w:sz="0" w:space="0"/>
              <w:left w:val="double" w:color="000000" w:sz="5" w:space="0"/>
              <w:bottom w:val="none" w:color="auto" w:sz="0" w:space="0"/>
              <w:right w:val="none" w:color="auto" w:sz="0" w:space="0"/>
              <w:tl2br w:val="nil"/>
              <w:tr2bl w:val="nil"/>
            </w:tcBorders>
            <w:shd w:val="clear" w:color="auto" w:fill="auto"/>
            <w:tcMar>
              <w:top w:w="0" w:type="dxa"/>
              <w:left w:w="20"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68</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43</w:t>
            </w:r>
          </w:p>
        </w:tc>
        <w:tc>
          <w:tcPr>
            <w:tcW w:w="283" w:type="pct"/>
            <w:tcBorders>
              <w:top w:val="none" w:color="auto" w:sz="0" w:space="0"/>
              <w:left w:val="none" w:color="auto" w:sz="0" w:space="0"/>
              <w:bottom w:val="none" w:color="auto" w:sz="0" w:space="0"/>
              <w:right w:val="none" w:color="auto" w:sz="0" w:space="0"/>
              <w:tl2br w:val="nil"/>
              <w:tr2bl w:val="nil"/>
            </w:tcBorders>
            <w:shd w:val="clear" w:color="auto" w:fill="auto"/>
            <w:tcMar>
              <w:top w:w="0" w:type="dxa"/>
              <w:left w:w="0"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31</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72.1%</w:t>
            </w:r>
          </w:p>
        </w:tc>
        <w:tc>
          <w:tcPr>
            <w:tcW w:w="283" w:type="pct"/>
            <w:tcBorders>
              <w:top w:val="none" w:color="auto" w:sz="0" w:space="0"/>
              <w:left w:val="none" w:color="auto" w:sz="0" w:space="0"/>
              <w:bottom w:val="none" w:color="auto" w:sz="0" w:space="0"/>
              <w:right w:val="double" w:color="000000" w:sz="5" w:space="0"/>
              <w:tl2br w:val="nil"/>
              <w:tr2bl w:val="nil"/>
            </w:tcBorders>
            <w:shd w:val="clear" w:color="auto" w:fill="auto"/>
            <w:tcMar>
              <w:top w:w="0" w:type="dxa"/>
              <w:left w:w="0"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89</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63</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42</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66.7%</w:t>
            </w:r>
          </w:p>
        </w:tc>
        <w:tc>
          <w:tcPr>
            <w:tcW w:w="283" w:type="pct"/>
            <w:tcBorders>
              <w:top w:val="none" w:color="auto" w:sz="0"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91</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54</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35</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64.8%</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３年課程</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223</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211</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149</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70.6%</w:t>
            </w:r>
          </w:p>
        </w:tc>
        <w:tc>
          <w:tcPr>
            <w:tcW w:w="283" w:type="pct"/>
            <w:tcBorders>
              <w:top w:val="none" w:color="auto" w:sz="0" w:space="0"/>
              <w:left w:val="single" w:color="000000" w:sz="4" w:space="0"/>
              <w:bottom w:val="single" w:color="000000" w:sz="8"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62</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230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213</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150</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70.4%</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63</w:t>
            </w:r>
          </w:p>
        </w:tc>
        <w:tc>
          <w:tcPr>
            <w:tcW w:w="283" w:type="pct"/>
            <w:tcBorders>
              <w:top w:val="none" w:color="auto" w:sz="0"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176</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135</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76.7%</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41</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２年課程</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37</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35</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32</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91.4%</w:t>
            </w:r>
          </w:p>
        </w:tc>
        <w:tc>
          <w:tcPr>
            <w:tcW w:w="283" w:type="pct"/>
            <w:tcBorders>
              <w:top w:val="single" w:color="000000" w:sz="8" w:space="0"/>
              <w:left w:val="single" w:color="000000" w:sz="4" w:space="0"/>
              <w:bottom w:val="single" w:color="000000" w:sz="8" w:space="0"/>
              <w:right w:val="double" w:color="auto" w:sz="4"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w:t>
            </w:r>
          </w:p>
        </w:tc>
        <w:tc>
          <w:tcPr>
            <w:tcW w:w="1459" w:type="pct"/>
            <w:gridSpan w:val="5"/>
            <w:tcBorders>
              <w:top w:val="single" w:color="000000" w:sz="8" w:space="0"/>
              <w:left w:val="double" w:color="auto" w:sz="4" w:space="0"/>
              <w:bottom w:val="single" w:color="000000" w:sz="8" w:space="0"/>
              <w:right w:val="none" w:color="auto" w:sz="0" w:space="0"/>
              <w:tl2br w:val="nil"/>
              <w:tr2bl w:val="single" w:color="000000" w:sz="8" w:space="0"/>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p>
        </w:tc>
        <w:tc>
          <w:tcPr>
            <w:tcW w:w="1446" w:type="pct"/>
            <w:gridSpan w:val="5"/>
            <w:tcBorders>
              <w:top w:val="single" w:color="000000" w:sz="8" w:space="0"/>
              <w:left w:val="double" w:color="000000" w:sz="5" w:space="0"/>
              <w:bottom w:val="single" w:color="000000" w:sz="8" w:space="0"/>
              <w:right w:val="single" w:color="000000" w:sz="8" w:space="0"/>
              <w:tl2br w:val="nil"/>
              <w:tr2bl w:val="single" w:color="000000" w:sz="8" w:space="0"/>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５年一貫校</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110</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107</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73</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68.2%</w:t>
            </w:r>
          </w:p>
        </w:tc>
        <w:tc>
          <w:tcPr>
            <w:tcW w:w="283" w:type="pct"/>
            <w:tcBorders>
              <w:top w:val="single" w:color="000000" w:sz="8"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34</w:t>
            </w:r>
          </w:p>
        </w:tc>
        <w:tc>
          <w:tcPr>
            <w:tcW w:w="283" w:type="pct"/>
            <w:tcBorders>
              <w:top w:val="single" w:color="000000" w:sz="8"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136</w:t>
            </w:r>
          </w:p>
        </w:tc>
        <w:tc>
          <w:tcPr>
            <w:tcW w:w="283" w:type="pct"/>
            <w:tcBorders>
              <w:top w:val="single" w:color="000000" w:sz="8"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135</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80</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59.3%</w:t>
            </w:r>
          </w:p>
        </w:tc>
        <w:tc>
          <w:tcPr>
            <w:tcW w:w="283" w:type="pct"/>
            <w:tcBorders>
              <w:top w:val="single" w:color="000000" w:sz="8"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55</w:t>
            </w:r>
          </w:p>
        </w:tc>
        <w:tc>
          <w:tcPr>
            <w:tcW w:w="283" w:type="pct"/>
            <w:tcBorders>
              <w:top w:val="single" w:color="000000" w:sz="8"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122</w:t>
            </w:r>
          </w:p>
        </w:tc>
        <w:tc>
          <w:tcPr>
            <w:tcW w:w="283" w:type="pct"/>
            <w:tcBorders>
              <w:top w:val="single" w:color="000000" w:sz="8"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121</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81</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66.9%</w:t>
            </w:r>
          </w:p>
        </w:tc>
        <w:tc>
          <w:tcPr>
            <w:tcW w:w="283" w:type="pct"/>
            <w:tcBorders>
              <w:top w:val="single" w:color="000000" w:sz="8"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40</w:t>
            </w:r>
          </w:p>
        </w:tc>
      </w:tr>
      <w:tr>
        <w:trPr>
          <w:trHeight w:val="395" w:hRule="atLeast"/>
        </w:trPr>
        <w:tc>
          <w:tcPr>
            <w:tcW w:w="605" w:type="pct"/>
            <w:tcBorders>
              <w:top w:val="none" w:color="auto" w:sz="0" w:space="0"/>
              <w:left w:val="single" w:color="000000" w:sz="8" w:space="0"/>
              <w:bottom w:val="single" w:color="000000" w:sz="8" w:space="0"/>
              <w:right w:val="double" w:color="000000" w:sz="5" w:space="0"/>
              <w:tl2br w:val="nil"/>
              <w:tr2bl w:val="nil"/>
            </w:tcBorders>
            <w:shd w:val="clear" w:color="auto" w:fill="DCEFF3"/>
            <w:tcMar>
              <w:top w:w="0" w:type="dxa"/>
              <w:left w:w="10" w:type="dxa"/>
              <w:bottom w:w="0" w:type="dxa"/>
              <w:right w:w="2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准看護師課程</w:t>
            </w:r>
          </w:p>
        </w:tc>
        <w:tc>
          <w:tcPr>
            <w:tcW w:w="283" w:type="pct"/>
            <w:tcBorders>
              <w:top w:val="none" w:color="auto" w:sz="0"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100.0%</w:t>
            </w:r>
          </w:p>
        </w:tc>
        <w:tc>
          <w:tcPr>
            <w:tcW w:w="283" w:type="pct"/>
            <w:tcBorders>
              <w:top w:val="none" w:color="auto" w:sz="0" w:space="0"/>
              <w:left w:val="single" w:color="000000" w:sz="4" w:space="0"/>
              <w:bottom w:val="single" w:color="000000" w:sz="8"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100.0%</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0</w:t>
            </w:r>
          </w:p>
        </w:tc>
        <w:tc>
          <w:tcPr>
            <w:tcW w:w="283" w:type="pct"/>
            <w:tcBorders>
              <w:top w:val="none" w:color="auto" w:sz="0"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100.0%</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0</w:t>
            </w:r>
          </w:p>
        </w:tc>
      </w:tr>
      <w:tr>
        <w:trPr>
          <w:trHeight w:val="397" w:hRule="atLeast"/>
        </w:trPr>
        <w:tc>
          <w:tcPr>
            <w:tcW w:w="605" w:type="pct"/>
            <w:tcBorders>
              <w:top w:val="single" w:color="000000" w:sz="8" w:space="0"/>
              <w:left w:val="single" w:color="000000" w:sz="8" w:space="0"/>
              <w:bottom w:val="single" w:color="000000" w:sz="8" w:space="0"/>
              <w:right w:val="none" w:color="auto" w:sz="0" w:space="0"/>
              <w:tl2br w:val="nil"/>
              <w:tr2bl w:val="nil"/>
            </w:tcBorders>
            <w:shd w:val="clear" w:color="auto" w:fill="DCEFF3"/>
            <w:tcMar>
              <w:top w:w="0" w:type="dxa"/>
              <w:left w:w="5" w:type="dxa"/>
              <w:bottom w:w="0" w:type="dxa"/>
              <w:right w:w="0" w:type="dxa"/>
            </w:tcMar>
            <w:vAlign w:val="center"/>
          </w:tcPr>
          <w:p>
            <w:pPr>
              <w:pStyle w:val="0"/>
              <w:shd w:val="clear" w:color="auto" w:fill="DCEFF3"/>
              <w:ind w:firstLine="333" w:firstLineChars="200"/>
              <w:jc w:val="left"/>
              <w:rPr>
                <w:rFonts w:hint="default"/>
                <w:color w:val="000000"/>
                <w:sz w:val="16"/>
                <w:highlight w:val="none"/>
              </w:rPr>
            </w:pPr>
            <w:r>
              <w:rPr>
                <w:rFonts w:hint="eastAsia"/>
                <w:color w:val="000000"/>
                <w:sz w:val="16"/>
                <w:highlight w:val="none"/>
              </w:rPr>
              <w:t>合　計</w:t>
            </w:r>
          </w:p>
        </w:tc>
        <w:tc>
          <w:tcPr>
            <w:tcW w:w="283" w:type="pct"/>
            <w:tcBorders>
              <w:top w:val="single" w:color="000000" w:sz="8"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597</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527</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337</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63.9%</w:t>
            </w:r>
          </w:p>
        </w:tc>
        <w:tc>
          <w:tcPr>
            <w:tcW w:w="283" w:type="pct"/>
            <w:tcBorders>
              <w:top w:val="single" w:color="000000" w:sz="8" w:space="0"/>
              <w:left w:val="single" w:color="000000" w:sz="4" w:space="0"/>
              <w:bottom w:val="single" w:color="000000" w:sz="8"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190</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614</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548</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334</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60.9%</w:t>
            </w:r>
          </w:p>
        </w:tc>
        <w:tc>
          <w:tcPr>
            <w:tcW w:w="283" w:type="pct"/>
            <w:tcBorders>
              <w:top w:val="single" w:color="000000" w:sz="8"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214</w:t>
            </w:r>
          </w:p>
        </w:tc>
        <w:tc>
          <w:tcPr>
            <w:tcW w:w="283" w:type="pct"/>
            <w:tcBorders>
              <w:top w:val="single" w:color="000000" w:sz="8"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564</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489</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296</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60.5%</w:t>
            </w:r>
          </w:p>
        </w:tc>
        <w:tc>
          <w:tcPr>
            <w:tcW w:w="283" w:type="pct"/>
            <w:tcBorders>
              <w:top w:val="single" w:color="000000" w:sz="8" w:space="0"/>
              <w:left w:val="single" w:color="000000" w:sz="4" w:space="0"/>
              <w:bottom w:val="single" w:color="000000" w:sz="8" w:space="0"/>
              <w:right w:val="single" w:color="000000" w:sz="8"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193</w:t>
            </w:r>
          </w:p>
        </w:tc>
      </w:tr>
    </w:tbl>
    <w:p>
      <w:pPr>
        <w:pStyle w:val="0"/>
        <w:widowControl w:val="1"/>
        <w:ind w:right="335" w:firstLine="217" w:firstLineChars="100"/>
        <w:jc w:val="center"/>
        <w:rPr>
          <w:rFonts w:hint="default"/>
          <w:highlight w:val="none"/>
        </w:rPr>
      </w:pPr>
      <w:r>
        <w:rPr>
          <w:rFonts w:hint="eastAsia"/>
          <w:sz w:val="16"/>
          <w:highlight w:val="none"/>
        </w:rPr>
        <w:t>（注</w:t>
      </w:r>
      <w:r>
        <w:rPr>
          <w:rFonts w:hint="eastAsia"/>
          <w:sz w:val="16"/>
          <w:highlight w:val="none"/>
        </w:rPr>
        <w:t>4</w:t>
      </w:r>
      <w:r>
        <w:rPr>
          <w:rFonts w:hint="eastAsia"/>
          <w:sz w:val="16"/>
          <w:highlight w:val="none"/>
        </w:rPr>
        <w:t>）大学には保健師・助産師として就職した者を含む　　　出典：看護系学校状況調査（高知県医療政策課）</w:t>
      </w:r>
    </w:p>
    <w:p>
      <w:pPr>
        <w:pStyle w:val="0"/>
        <w:widowControl w:val="1"/>
        <w:spacing w:line="0" w:lineRule="atLeast"/>
        <w:ind w:right="668"/>
        <w:rPr>
          <w:rFonts w:hint="default"/>
          <w:b w:val="1"/>
          <w:color w:val="3366FF"/>
          <w:highlight w:val="none"/>
        </w:rPr>
      </w:pPr>
      <w:r>
        <w:rPr>
          <w:rFonts w:hint="eastAsia"/>
          <w:b w:val="1"/>
          <w:color w:val="3366FF"/>
          <w:highlight w:val="none"/>
        </w:rPr>
        <w:t>　</w:t>
      </w:r>
      <w:r>
        <w:rPr>
          <w:rFonts w:hint="eastAsia"/>
          <w:sz w:val="16"/>
          <w:highlight w:val="none"/>
        </w:rPr>
        <w:t>（注</w:t>
      </w:r>
      <w:r>
        <w:rPr>
          <w:rFonts w:hint="eastAsia"/>
          <w:sz w:val="16"/>
          <w:highlight w:val="none"/>
        </w:rPr>
        <w:t>5</w:t>
      </w:r>
      <w:r>
        <w:rPr>
          <w:rFonts w:hint="eastAsia"/>
          <w:sz w:val="16"/>
          <w:highlight w:val="none"/>
        </w:rPr>
        <w:t>）短期大学には保健師として就職した者を含む</w:t>
      </w:r>
    </w:p>
    <w:p>
      <w:pPr>
        <w:pStyle w:val="0"/>
        <w:widowControl w:val="1"/>
        <w:spacing w:line="220" w:lineRule="exact"/>
        <w:ind w:right="668"/>
        <w:rPr>
          <w:rFonts w:hint="default"/>
          <w:b w:val="1"/>
          <w:color w:val="3366FF"/>
          <w:highlight w:val="none"/>
        </w:rPr>
      </w:pPr>
    </w:p>
    <w:p>
      <w:pPr>
        <w:pStyle w:val="0"/>
        <w:widowControl w:val="1"/>
        <w:spacing w:line="0" w:lineRule="atLeast"/>
        <w:ind w:left="227" w:leftChars="100" w:right="0" w:rightChars="0" w:firstLine="227" w:firstLineChars="100"/>
        <w:rPr>
          <w:rFonts w:hint="default"/>
          <w:b w:val="1"/>
          <w:color w:val="3366FF"/>
          <w:highlight w:val="none"/>
        </w:rPr>
      </w:pPr>
      <w:r>
        <w:rPr>
          <w:rFonts w:hint="eastAsia"/>
          <w:b w:val="0"/>
          <w:color w:val="auto"/>
          <w:highlight w:val="none"/>
          <w:u w:val="none" w:color="auto"/>
        </w:rPr>
        <w:t>質の高い看護師等の養成には、看護教員の教育力の向上が求められます。看護教員を育成するための講習会として、専任教員養成講習会が位置づけられていますが、県内養成施設の看護教員の５割が未受講となっており、受講しやすい環境の整備が必要です。</w:t>
      </w:r>
    </w:p>
    <w:p>
      <w:pPr>
        <w:pStyle w:val="0"/>
        <w:widowControl w:val="1"/>
        <w:spacing w:line="220" w:lineRule="exact"/>
        <w:ind w:right="668"/>
        <w:rPr>
          <w:rFonts w:hint="default"/>
          <w:b w:val="1"/>
          <w:color w:val="3366FF"/>
          <w:highlight w:val="none"/>
        </w:rPr>
      </w:pPr>
    </w:p>
    <w:p>
      <w:pPr>
        <w:pStyle w:val="0"/>
        <w:rPr>
          <w:rFonts w:hint="default"/>
          <w:b w:val="1"/>
          <w:color w:val="0070C0"/>
          <w:highlight w:val="none"/>
          <w:u w:val="single" w:color="auto"/>
        </w:rPr>
      </w:pPr>
      <w:r>
        <w:rPr>
          <w:rFonts w:hint="eastAsia"/>
          <w:b w:val="1"/>
          <w:color w:val="0070C0"/>
          <w:highlight w:val="none"/>
        </w:rPr>
        <w:t>３　離職防止と復職支援</w:t>
      </w:r>
    </w:p>
    <w:p>
      <w:pPr>
        <w:pStyle w:val="0"/>
        <w:ind w:left="227" w:leftChars="100" w:firstLine="227" w:firstLineChars="100"/>
        <w:rPr>
          <w:rFonts w:hint="default"/>
          <w:color w:val="auto"/>
          <w:highlight w:val="none"/>
        </w:rPr>
      </w:pPr>
      <w:r>
        <w:rPr>
          <w:rFonts w:hint="eastAsia"/>
          <w:color w:val="auto"/>
          <w:highlight w:val="none"/>
        </w:rPr>
        <w:t>日本看護協会が</w:t>
      </w:r>
      <w:r>
        <w:rPr>
          <w:rFonts w:hint="eastAsia"/>
          <w:color w:val="auto"/>
          <w:highlight w:val="none"/>
          <w:u w:val="none" w:color="auto"/>
        </w:rPr>
        <w:t>令和４年に調査した結果によると、本県の看護師等の正規雇用看護職員における離職率は</w:t>
      </w:r>
      <w:r>
        <w:rPr>
          <w:rFonts w:hint="eastAsia"/>
          <w:color w:val="auto"/>
          <w:highlight w:val="none"/>
          <w:u w:val="none" w:color="auto"/>
        </w:rPr>
        <w:t>9.7</w:t>
      </w:r>
      <w:r>
        <w:rPr>
          <w:rFonts w:hint="eastAsia"/>
          <w:color w:val="auto"/>
          <w:highlight w:val="none"/>
          <w:u w:val="none" w:color="auto"/>
        </w:rPr>
        <w:t>％で、新人看護師等に関しても、ほぼ同水準の</w:t>
      </w:r>
      <w:r>
        <w:rPr>
          <w:rFonts w:hint="eastAsia"/>
          <w:color w:val="auto"/>
          <w:highlight w:val="none"/>
          <w:u w:val="none" w:color="auto"/>
        </w:rPr>
        <w:t>9.8</w:t>
      </w:r>
      <w:r>
        <w:rPr>
          <w:rFonts w:hint="eastAsia"/>
          <w:color w:val="auto"/>
          <w:highlight w:val="none"/>
        </w:rPr>
        <w:t>％でした。今後</w:t>
      </w:r>
      <w:r>
        <w:rPr>
          <w:rFonts w:hint="eastAsia"/>
          <w:color w:val="auto"/>
          <w:highlight w:val="none"/>
        </w:rPr>
        <w:t>18</w:t>
      </w:r>
      <w:r>
        <w:rPr>
          <w:rFonts w:hint="eastAsia"/>
          <w:color w:val="auto"/>
          <w:highlight w:val="none"/>
        </w:rPr>
        <w:t>歳人口が減少していくことから、新卒者の確保が困難になることが見込まれるため、看護師確保対策としては、離職防止、復職支援と定着が課題となっており、働きやすい職場環境の整備が求められています。</w:t>
      </w:r>
    </w:p>
    <w:p>
      <w:pPr>
        <w:pStyle w:val="0"/>
        <w:spacing w:line="220" w:lineRule="exact"/>
        <w:ind w:left="227" w:hanging="227" w:hangingChars="100"/>
        <w:rPr>
          <w:rFonts w:hint="default"/>
          <w:highlight w:val="none"/>
        </w:rPr>
      </w:pPr>
    </w:p>
    <w:p>
      <w:pPr>
        <w:pStyle w:val="0"/>
        <w:rPr>
          <w:rFonts w:hint="default"/>
          <w:b w:val="1"/>
          <w:color w:val="3366FF"/>
          <w:highlight w:val="none"/>
        </w:rPr>
      </w:pPr>
      <w:r>
        <w:rPr>
          <w:rFonts w:hint="eastAsia"/>
          <w:b w:val="1"/>
          <w:color w:val="0070C0"/>
          <w:highlight w:val="none"/>
        </w:rPr>
        <w:t>４　専門性の高い看護師の状況</w:t>
      </w:r>
    </w:p>
    <w:p>
      <w:pPr>
        <w:pStyle w:val="0"/>
        <w:ind w:left="227" w:leftChars="100" w:firstLine="227" w:firstLineChars="100"/>
        <w:rPr>
          <w:rFonts w:hint="default"/>
          <w:color w:val="000000"/>
          <w:highlight w:val="none"/>
        </w:rPr>
      </w:pPr>
      <w:r>
        <w:rPr>
          <w:rFonts w:hint="eastAsia"/>
          <w:color w:val="000000"/>
          <w:highlight w:val="none"/>
        </w:rPr>
        <w:t>医療の高度化・複雑化が進む中で質の高い安全な医療を提供するために、「チーム医療」を推進し、各医療従事者が高い専門性を発揮しつつ、互いに連携・協働することがますます重要となります。</w:t>
      </w:r>
    </w:p>
    <w:p>
      <w:pPr>
        <w:pStyle w:val="0"/>
        <w:ind w:left="227" w:leftChars="100" w:firstLine="227" w:firstLineChars="100"/>
        <w:rPr>
          <w:rFonts w:hint="default"/>
          <w:color w:val="000000"/>
          <w:highlight w:val="none"/>
        </w:rPr>
      </w:pPr>
      <w:r>
        <w:rPr>
          <w:rFonts w:hint="eastAsia"/>
          <w:color w:val="000000"/>
          <w:highlight w:val="none"/>
        </w:rPr>
        <w:t>看護師の高い専門性を認証する資格として、専門看護師や認定看護師（（公社）日本看護協会が認定）、特定行為研修制度があります。</w:t>
      </w:r>
      <w:r>
        <w:rPr>
          <w:rFonts w:hint="eastAsia"/>
          <w:strike w:val="0"/>
          <w:dstrike w:val="0"/>
          <w:color w:val="000000"/>
          <w:highlight w:val="none"/>
        </w:rPr>
        <w:t>専門看護師は、「複雑で解決困難な看護問題を持つ個人、家族及び集団に対して水準の高い看護ケアを効率よく提供するための、特定の専門看護分野の知識及び技術を深めた者」をいい、</w:t>
      </w:r>
      <w:r>
        <w:rPr>
          <w:rFonts w:hint="eastAsia"/>
          <w:color w:val="000000"/>
          <w:highlight w:val="none"/>
        </w:rPr>
        <w:t>認定看護師は、「ある特定の看護分野において、熟練した看護技術と知識を用いて、水準の高い看護実践のできる者」とされています。</w:t>
      </w:r>
    </w:p>
    <w:p>
      <w:pPr>
        <w:pStyle w:val="0"/>
        <w:ind w:left="227" w:leftChars="100" w:firstLine="227" w:firstLineChars="100"/>
        <w:rPr>
          <w:rFonts w:hint="default"/>
          <w:color w:val="000000"/>
          <w:highlight w:val="none"/>
        </w:rPr>
      </w:pPr>
      <w:r>
        <w:rPr>
          <w:rFonts w:hint="eastAsia"/>
          <w:color w:val="000000"/>
          <w:highlight w:val="none"/>
        </w:rPr>
        <w:t>また、「特定行為に係る看護師の研修制度」が平成</w:t>
      </w:r>
      <w:r>
        <w:rPr>
          <w:rFonts w:hint="eastAsia"/>
          <w:color w:val="000000"/>
          <w:highlight w:val="none"/>
        </w:rPr>
        <w:t>27</w:t>
      </w:r>
      <w:r>
        <w:rPr>
          <w:rFonts w:hint="eastAsia"/>
          <w:color w:val="000000"/>
          <w:highlight w:val="none"/>
        </w:rPr>
        <w:t>年度に施行され、医師または歯科医師の判断を待たずに、手順書により一定の医療行為（特定行為）を行える看護師を養成し、これにより在宅医療等を支える看護師の確保とチーム医療が促進されるとともに、質の高い安全な医療が提供されることが期待されています。</w:t>
      </w:r>
    </w:p>
    <w:p>
      <w:pPr>
        <w:pStyle w:val="0"/>
        <w:ind w:left="227" w:leftChars="100"/>
        <w:rPr>
          <w:rFonts w:hint="default"/>
          <w:color w:val="auto"/>
          <w:highlight w:val="none"/>
          <w:u w:val="none" w:color="auto"/>
        </w:rPr>
      </w:pPr>
      <w:r>
        <w:rPr>
          <w:rFonts w:hint="eastAsia"/>
          <w:color w:val="auto"/>
          <w:highlight w:val="none"/>
        </w:rPr>
        <w:t>　県内の</w:t>
      </w:r>
      <w:r>
        <w:rPr>
          <w:rFonts w:hint="eastAsia"/>
          <w:strike w:val="0"/>
          <w:dstrike w:val="0"/>
          <w:color w:val="auto"/>
          <w:highlight w:val="none"/>
        </w:rPr>
        <w:t>専門看護師教育機関は、高知県立大学大学院の修士課程で、「がん看護」「精神看護」「老人看護」「小児看護」「慢性疾患看護」「急性・重症患者看護」「家族支援」「在宅看護」の８つの専門領域が開設されています。</w:t>
      </w:r>
      <w:r>
        <w:rPr>
          <w:rFonts w:hint="eastAsia"/>
          <w:color w:val="auto"/>
          <w:highlight w:val="none"/>
          <w:u w:val="none" w:color="auto"/>
        </w:rPr>
        <w:t>認定看護師教育機関は、高知大学医学部附属病院で「感染管理」分野が令和５年度より開講されています。特定行為に係る看護師の研修は、３医療機関で</w:t>
      </w:r>
      <w:r>
        <w:rPr>
          <w:rFonts w:hint="eastAsia"/>
          <w:color w:val="auto"/>
          <w:highlight w:val="none"/>
          <w:u w:val="none" w:color="auto"/>
        </w:rPr>
        <w:t>21</w:t>
      </w:r>
      <w:r>
        <w:rPr>
          <w:rFonts w:hint="eastAsia"/>
          <w:color w:val="auto"/>
          <w:highlight w:val="none"/>
          <w:u w:val="none" w:color="auto"/>
        </w:rPr>
        <w:t>区分のうち</w:t>
      </w:r>
      <w:r>
        <w:rPr>
          <w:rFonts w:hint="eastAsia"/>
          <w:color w:val="auto"/>
          <w:highlight w:val="none"/>
          <w:u w:val="none" w:color="auto"/>
        </w:rPr>
        <w:t>18</w:t>
      </w:r>
      <w:r>
        <w:rPr>
          <w:rFonts w:hint="eastAsia"/>
          <w:color w:val="auto"/>
          <w:highlight w:val="none"/>
          <w:u w:val="none" w:color="auto"/>
        </w:rPr>
        <w:t>区分が開講されています。</w:t>
      </w:r>
    </w:p>
    <w:p>
      <w:pPr>
        <w:pStyle w:val="0"/>
        <w:ind w:left="227" w:leftChars="100" w:firstLine="227" w:firstLineChars="100"/>
        <w:rPr>
          <w:rFonts w:hint="default"/>
          <w:color w:val="auto"/>
          <w:highlight w:val="none"/>
          <w:u w:val="none" w:color="auto"/>
        </w:rPr>
      </w:pPr>
      <w:r>
        <w:rPr>
          <w:rFonts w:hint="eastAsia"/>
          <w:color w:val="auto"/>
          <w:highlight w:val="none"/>
          <w:u w:val="none" w:color="auto"/>
        </w:rPr>
        <w:t>本県では、令和４年</w:t>
      </w:r>
      <w:r>
        <w:rPr>
          <w:rFonts w:hint="eastAsia"/>
          <w:color w:val="auto"/>
          <w:highlight w:val="none"/>
          <w:u w:val="none" w:color="auto"/>
        </w:rPr>
        <w:t>12</w:t>
      </w:r>
      <w:r>
        <w:rPr>
          <w:rFonts w:hint="eastAsia"/>
          <w:color w:val="auto"/>
          <w:highlight w:val="none"/>
          <w:u w:val="none" w:color="auto"/>
        </w:rPr>
        <w:t>月現在、</w:t>
      </w:r>
      <w:r>
        <w:rPr>
          <w:rFonts w:hint="eastAsia"/>
          <w:strike w:val="0"/>
          <w:dstrike w:val="0"/>
          <w:color w:val="auto"/>
          <w:highlight w:val="none"/>
          <w:u w:val="none" w:color="auto"/>
        </w:rPr>
        <w:t>専門看護師は</w:t>
      </w:r>
      <w:r>
        <w:rPr>
          <w:rFonts w:hint="eastAsia"/>
          <w:strike w:val="0"/>
          <w:dstrike w:val="0"/>
          <w:color w:val="auto"/>
          <w:highlight w:val="none"/>
          <w:u w:val="none" w:color="auto"/>
        </w:rPr>
        <w:t>14</w:t>
      </w:r>
      <w:r>
        <w:rPr>
          <w:rFonts w:hint="eastAsia"/>
          <w:strike w:val="0"/>
          <w:dstrike w:val="0"/>
          <w:color w:val="auto"/>
          <w:highlight w:val="none"/>
          <w:u w:val="none" w:color="auto"/>
        </w:rPr>
        <w:t>分野で</w:t>
      </w:r>
      <w:r>
        <w:rPr>
          <w:rFonts w:hint="eastAsia"/>
          <w:strike w:val="0"/>
          <w:dstrike w:val="0"/>
          <w:color w:val="auto"/>
          <w:highlight w:val="none"/>
          <w:u w:val="none" w:color="auto"/>
        </w:rPr>
        <w:t>58</w:t>
      </w:r>
      <w:r>
        <w:rPr>
          <w:rFonts w:hint="eastAsia"/>
          <w:strike w:val="0"/>
          <w:dstrike w:val="0"/>
          <w:color w:val="auto"/>
          <w:highlight w:val="none"/>
          <w:u w:val="none" w:color="auto"/>
        </w:rPr>
        <w:t>人、</w:t>
      </w:r>
      <w:r>
        <w:rPr>
          <w:rFonts w:hint="eastAsia"/>
          <w:color w:val="auto"/>
          <w:highlight w:val="none"/>
          <w:u w:val="none" w:color="auto"/>
        </w:rPr>
        <w:t>認定看護師は、Ａ課程</w:t>
      </w:r>
      <w:r>
        <w:rPr>
          <w:rFonts w:hint="eastAsia"/>
          <w:color w:val="auto"/>
          <w:highlight w:val="none"/>
          <w:u w:val="none" w:color="auto"/>
        </w:rPr>
        <w:t>21</w:t>
      </w:r>
      <w:r>
        <w:rPr>
          <w:rFonts w:hint="eastAsia"/>
          <w:color w:val="auto"/>
          <w:highlight w:val="none"/>
          <w:u w:val="none" w:color="auto"/>
        </w:rPr>
        <w:t>分野</w:t>
      </w:r>
      <w:r>
        <w:rPr>
          <w:rFonts w:hint="eastAsia"/>
          <w:color w:val="auto"/>
          <w:highlight w:val="none"/>
          <w:u w:val="none" w:color="auto"/>
        </w:rPr>
        <w:t>102</w:t>
      </w:r>
      <w:r>
        <w:rPr>
          <w:rFonts w:hint="eastAsia"/>
          <w:color w:val="auto"/>
          <w:highlight w:val="none"/>
          <w:u w:val="none" w:color="auto"/>
        </w:rPr>
        <w:t>人、Ｂ課程</w:t>
      </w:r>
      <w:r>
        <w:rPr>
          <w:rFonts w:hint="eastAsia"/>
          <w:color w:val="auto"/>
          <w:highlight w:val="none"/>
          <w:u w:val="none" w:color="auto"/>
        </w:rPr>
        <w:t>19</w:t>
      </w:r>
      <w:r>
        <w:rPr>
          <w:rFonts w:hint="eastAsia"/>
          <w:color w:val="auto"/>
          <w:highlight w:val="none"/>
          <w:u w:val="none" w:color="auto"/>
        </w:rPr>
        <w:t>分野</w:t>
      </w:r>
      <w:r>
        <w:rPr>
          <w:rFonts w:hint="eastAsia"/>
          <w:color w:val="auto"/>
          <w:highlight w:val="none"/>
          <w:u w:val="none" w:color="auto"/>
        </w:rPr>
        <w:t>20</w:t>
      </w:r>
      <w:r>
        <w:rPr>
          <w:rFonts w:hint="eastAsia"/>
          <w:color w:val="auto"/>
          <w:highlight w:val="none"/>
          <w:u w:val="none" w:color="auto"/>
        </w:rPr>
        <w:t>人の</w:t>
      </w:r>
      <w:r>
        <w:rPr>
          <w:rFonts w:hint="eastAsia"/>
          <w:color w:val="auto"/>
          <w:highlight w:val="none"/>
          <w:u w:val="none" w:color="auto"/>
        </w:rPr>
        <w:t>122</w:t>
      </w:r>
      <w:r>
        <w:rPr>
          <w:rFonts w:hint="eastAsia"/>
          <w:color w:val="auto"/>
          <w:highlight w:val="none"/>
          <w:u w:val="none" w:color="auto"/>
        </w:rPr>
        <w:t>人、特定行為に係る看護師の研修制度については、</w:t>
      </w:r>
      <w:r>
        <w:rPr>
          <w:rFonts w:hint="eastAsia"/>
          <w:color w:val="auto"/>
          <w:highlight w:val="none"/>
          <w:u w:val="none" w:color="auto"/>
        </w:rPr>
        <w:t>24</w:t>
      </w:r>
      <w:r>
        <w:rPr>
          <w:rFonts w:hint="eastAsia"/>
          <w:color w:val="auto"/>
          <w:highlight w:val="none"/>
          <w:u w:val="none" w:color="auto"/>
        </w:rPr>
        <w:t>施設</w:t>
      </w:r>
      <w:r>
        <w:rPr>
          <w:rFonts w:hint="eastAsia"/>
          <w:color w:val="auto"/>
          <w:highlight w:val="none"/>
          <w:u w:val="none" w:color="auto"/>
        </w:rPr>
        <w:t>72</w:t>
      </w:r>
      <w:r>
        <w:rPr>
          <w:rFonts w:hint="eastAsia"/>
          <w:color w:val="auto"/>
          <w:highlight w:val="none"/>
          <w:u w:val="none" w:color="auto"/>
        </w:rPr>
        <w:t>名が修了し、医療機関等で勤務しています。</w:t>
      </w:r>
    </w:p>
    <w:p>
      <w:pPr>
        <w:pStyle w:val="0"/>
        <w:ind w:left="227" w:leftChars="100" w:firstLine="227" w:firstLineChars="100"/>
        <w:rPr>
          <w:rFonts w:hint="default"/>
          <w:color w:val="FF0000"/>
          <w:highlight w:val="none"/>
        </w:rPr>
      </w:pPr>
      <w:r>
        <w:rPr>
          <w:rFonts w:hint="eastAsia"/>
          <w:color w:val="auto"/>
          <w:highlight w:val="none"/>
          <w:u w:val="none" w:color="auto"/>
        </w:rPr>
        <w:t>これらの資格等を得るためには、長期間の研修を受ける必要があり、さらに県内で開講している研修課程は限られていることから本人及び勤務先の負担が大きく、受講しやすい体制の整備が課題となっています</w:t>
      </w:r>
      <w:r>
        <w:rPr>
          <w:rFonts w:hint="eastAsia"/>
          <w:color w:val="auto"/>
          <w:highlight w:val="none"/>
        </w:rPr>
        <w:t>。</w:t>
      </w:r>
    </w:p>
    <w:p>
      <w:pPr>
        <w:pStyle w:val="0"/>
        <w:rPr>
          <w:rFonts w:hint="default"/>
          <w:color w:val="0070C0"/>
          <w:highlight w:val="none"/>
          <w:u w:val="single" w:color="auto"/>
        </w:rPr>
      </w:pPr>
    </w:p>
    <w:p>
      <w:pPr>
        <w:pStyle w:val="0"/>
        <w:rPr>
          <w:rFonts w:hint="default"/>
          <w:b w:val="1"/>
          <w:highlight w:val="none"/>
          <w:shd w:val="clear" w:color="auto" w:fill="E5DFEC"/>
        </w:rPr>
      </w:pPr>
      <w:r>
        <w:rPr>
          <w:rFonts w:hint="eastAsia"/>
          <w:b w:val="1"/>
          <w:highlight w:val="none"/>
          <w:bdr w:val="single" w:color="auto" w:sz="4" w:space="0"/>
          <w:shd w:val="clear" w:color="auto" w:fill="E5DFEC"/>
        </w:rPr>
        <w:t>対策</w:t>
      </w:r>
    </w:p>
    <w:p>
      <w:pPr>
        <w:pStyle w:val="0"/>
        <w:rPr>
          <w:rFonts w:hint="default"/>
          <w:b w:val="1"/>
          <w:color w:val="0070C0"/>
          <w:highlight w:val="none"/>
        </w:rPr>
      </w:pPr>
      <w:r>
        <w:rPr>
          <w:rFonts w:hint="eastAsia"/>
          <w:b w:val="1"/>
          <w:color w:val="0070C0"/>
          <w:highlight w:val="none"/>
        </w:rPr>
        <w:t>１　次世代の育成と県内定着</w:t>
      </w:r>
    </w:p>
    <w:p>
      <w:pPr>
        <w:pStyle w:val="0"/>
        <w:ind w:left="227" w:leftChars="100" w:firstLine="227" w:firstLineChars="100"/>
        <w:rPr>
          <w:rFonts w:hint="default"/>
          <w:color w:val="auto"/>
          <w:highlight w:val="none"/>
          <w:u w:val="none" w:color="auto"/>
        </w:rPr>
      </w:pPr>
      <w:r>
        <w:rPr>
          <w:rFonts w:hint="eastAsia"/>
          <w:color w:val="auto"/>
          <w:highlight w:val="none"/>
        </w:rPr>
        <w:t>県は、看護への関心と理解を深めてもらうために、</w:t>
      </w:r>
      <w:r>
        <w:rPr>
          <w:rFonts w:hint="eastAsia"/>
          <w:color w:val="auto"/>
          <w:highlight w:val="none"/>
          <w:u w:val="none" w:color="auto"/>
        </w:rPr>
        <w:t>高等学校への進学説明会や関係団体と連携した「看護フェア」や「ふれあい看護体験」などの取組を行い、次代を担う看護師等の育成を図ります。</w:t>
      </w:r>
    </w:p>
    <w:p>
      <w:pPr>
        <w:pStyle w:val="0"/>
        <w:ind w:left="227" w:leftChars="100" w:firstLine="227" w:firstLineChars="100"/>
        <w:rPr>
          <w:rFonts w:hint="default"/>
          <w:color w:val="auto"/>
          <w:highlight w:val="none"/>
          <w:u w:val="none" w:color="auto"/>
        </w:rPr>
      </w:pPr>
      <w:r>
        <w:rPr>
          <w:rFonts w:hint="eastAsia"/>
          <w:color w:val="auto"/>
          <w:highlight w:val="none"/>
          <w:u w:val="none" w:color="auto"/>
        </w:rPr>
        <w:t>看護学生に対しては、「看護学生インターンシップ事業」や「就職フェア」などの職場探しの機会を提供することで県内医療機関等への就職を促し、県内定着を促進します。</w:t>
      </w:r>
    </w:p>
    <w:p>
      <w:pPr>
        <w:pStyle w:val="0"/>
        <w:ind w:left="227" w:leftChars="100" w:firstLine="227" w:firstLineChars="100"/>
        <w:rPr>
          <w:rFonts w:hint="default"/>
          <w:color w:val="auto"/>
          <w:highlight w:val="none"/>
          <w:u w:val="none" w:color="auto"/>
        </w:rPr>
      </w:pPr>
      <w:r>
        <w:rPr>
          <w:rFonts w:hint="eastAsia"/>
          <w:color w:val="auto"/>
          <w:highlight w:val="none"/>
          <w:u w:val="none" w:color="auto"/>
        </w:rPr>
        <w:t>また、「看護師等養成奨学金」の貸付などを通じて、高知市など県中心部以外の地域で働く看護師等の確保を図ります。</w:t>
      </w:r>
    </w:p>
    <w:p>
      <w:pPr>
        <w:pStyle w:val="0"/>
        <w:ind w:left="227" w:leftChars="100" w:firstLine="227" w:firstLineChars="100"/>
        <w:rPr>
          <w:rFonts w:hint="default"/>
          <w:color w:val="000000"/>
          <w:highlight w:val="none"/>
        </w:rPr>
      </w:pPr>
      <w:r>
        <w:rPr>
          <w:rFonts w:hint="eastAsia"/>
          <w:color w:val="auto"/>
          <w:highlight w:val="none"/>
          <w:u w:val="none" w:color="auto"/>
        </w:rPr>
        <w:t>県内養成施設に対しては、安定した学校運営及び教育体制の充実を図るため、運営費の補助を継続するとともに、看護教員の教育力向上のため、看護教員を対象とした講習会</w:t>
      </w:r>
      <w:r>
        <w:rPr>
          <w:rFonts w:hint="eastAsia"/>
          <w:color w:val="000000"/>
          <w:highlight w:val="none"/>
        </w:rPr>
        <w:t>を開講するなど、看護基礎教育の質の確保を図ります。</w:t>
      </w:r>
    </w:p>
    <w:p>
      <w:pPr>
        <w:pStyle w:val="0"/>
        <w:ind w:left="227" w:hanging="227" w:hangingChars="100"/>
        <w:rPr>
          <w:rFonts w:hint="default"/>
          <w:highlight w:val="none"/>
        </w:rPr>
      </w:pPr>
    </w:p>
    <w:p>
      <w:pPr>
        <w:pStyle w:val="0"/>
        <w:rPr>
          <w:rFonts w:hint="default"/>
          <w:b w:val="1"/>
          <w:color w:val="0070C0"/>
          <w:highlight w:val="none"/>
        </w:rPr>
      </w:pPr>
      <w:r>
        <w:rPr>
          <w:rFonts w:hint="eastAsia"/>
          <w:b w:val="1"/>
          <w:color w:val="0070C0"/>
          <w:highlight w:val="none"/>
        </w:rPr>
        <w:t>２　職場環境の整備と復職支援の取組</w:t>
      </w:r>
    </w:p>
    <w:p>
      <w:pPr>
        <w:pStyle w:val="0"/>
        <w:ind w:left="227" w:leftChars="100" w:firstLine="227" w:firstLineChars="100"/>
        <w:rPr>
          <w:rFonts w:hint="default"/>
          <w:color w:val="000000"/>
          <w:highlight w:val="none"/>
        </w:rPr>
      </w:pPr>
      <w:r>
        <w:rPr>
          <w:rFonts w:hint="eastAsia"/>
          <w:color w:val="000000"/>
          <w:highlight w:val="none"/>
        </w:rPr>
        <w:t>県は、厚生労働省の「新たな医療の在り方を踏まえた医師・看護師等の働き方ビジョン検討会」の報告書を踏まえ、医療機関や高知県看護協会、公共職業安定所などの関係団体と連携し、看護管理者（管理者や事務長含む）を対象とした勤務環境改善に関する研修</w:t>
      </w:r>
      <w:r>
        <w:rPr>
          <w:rFonts w:hint="eastAsia"/>
          <w:color w:val="auto"/>
          <w:highlight w:val="none"/>
          <w:u w:val="none" w:color="auto"/>
        </w:rPr>
        <w:t>や就労環境改善のための体制整備事業、院内保育所運営費の補助等を通して、勤務環境改善に取り組む医療機関等を支援します。</w:t>
      </w:r>
    </w:p>
    <w:p>
      <w:pPr>
        <w:pStyle w:val="0"/>
        <w:ind w:left="227" w:leftChars="100" w:firstLine="227" w:firstLineChars="100"/>
        <w:rPr>
          <w:rFonts w:hint="default"/>
          <w:color w:val="000000"/>
          <w:highlight w:val="none"/>
        </w:rPr>
      </w:pPr>
      <w:r>
        <w:rPr>
          <w:rFonts w:hint="eastAsia"/>
          <w:color w:val="auto"/>
          <w:highlight w:val="none"/>
        </w:rPr>
        <w:t>また、「看護師等の人材確保の促進に関する法律」に基づく、離職者の届出義務の周知徹底を図ります。加えて、看護師等の資格を持ちながら就業していない者への就業促進、その他看護師等確保の拠点として無料職業紹介事業等を行う都道府県ナースセンターの活動を通して看護職員の復職支援を行います。</w:t>
      </w: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rPr>
          <w:rFonts w:hint="default"/>
          <w:b w:val="1"/>
          <w:color w:val="0070C0"/>
          <w:highlight w:val="none"/>
        </w:rPr>
      </w:pPr>
      <w:r>
        <w:rPr>
          <w:rFonts w:hint="eastAsia"/>
          <w:b w:val="1"/>
          <w:color w:val="0070C0"/>
          <w:highlight w:val="none"/>
        </w:rPr>
        <w:t>３　研修体制の充実</w:t>
      </w:r>
    </w:p>
    <w:p>
      <w:pPr>
        <w:pStyle w:val="0"/>
        <w:ind w:left="227" w:leftChars="100" w:firstLine="227" w:firstLineChars="100"/>
        <w:rPr>
          <w:rFonts w:hint="default"/>
          <w:color w:val="auto"/>
          <w:highlight w:val="none"/>
        </w:rPr>
      </w:pPr>
      <w:r>
        <w:rPr>
          <w:rFonts w:hint="eastAsia"/>
          <w:color w:val="auto"/>
          <w:highlight w:val="none"/>
        </w:rPr>
        <w:t>県は、看護学生の臨地実習での教育効果を高めるため、高知県看護協会や県内の大学などの協力も得ながら</w:t>
      </w:r>
      <w:r>
        <w:rPr>
          <w:rFonts w:hint="eastAsia"/>
          <w:color w:val="auto"/>
          <w:highlight w:val="none"/>
          <w:u w:val="none" w:color="auto"/>
        </w:rPr>
        <w:t>実習施設の看護師等を対象に</w:t>
      </w:r>
      <w:r>
        <w:rPr>
          <w:rFonts w:hint="eastAsia"/>
          <w:color w:val="auto"/>
          <w:highlight w:val="none"/>
        </w:rPr>
        <w:t>実習指導者講習会を開講します。</w:t>
      </w:r>
    </w:p>
    <w:p>
      <w:pPr>
        <w:pStyle w:val="0"/>
        <w:ind w:left="227" w:leftChars="100" w:firstLine="227" w:firstLineChars="100"/>
        <w:rPr>
          <w:rFonts w:hint="default"/>
          <w:color w:val="auto"/>
          <w:highlight w:val="none"/>
        </w:rPr>
      </w:pPr>
      <w:r>
        <w:rPr>
          <w:rFonts w:hint="eastAsia"/>
          <w:color w:val="auto"/>
          <w:highlight w:val="none"/>
        </w:rPr>
        <w:t>また、新人看護師等が県内のどこの医療機関に就職しても、厚生労働省の示すガイドラインに沿った研修が受けられるよう、新人看護職員研修を実施する施設に対し新人看護師等の育成に係る費用の補助を行うとともに、臨床現場で新人看護師等の教育を担う実地指導者、教育担当者の育成を行います。</w:t>
      </w:r>
    </w:p>
    <w:p>
      <w:pPr>
        <w:pStyle w:val="0"/>
        <w:rPr>
          <w:rFonts w:hint="default"/>
          <w:highlight w:val="none"/>
        </w:rPr>
      </w:pPr>
    </w:p>
    <w:p>
      <w:pPr>
        <w:pStyle w:val="0"/>
        <w:rPr>
          <w:rFonts w:hint="default"/>
          <w:b w:val="1"/>
          <w:color w:val="0070C0"/>
          <w:highlight w:val="none"/>
        </w:rPr>
      </w:pPr>
      <w:r>
        <w:rPr>
          <w:rFonts w:hint="eastAsia"/>
          <w:b w:val="1"/>
          <w:color w:val="0070C0"/>
          <w:highlight w:val="none"/>
        </w:rPr>
        <w:t>４　専門性の高い看護師のキャリア形成支援</w:t>
      </w:r>
    </w:p>
    <w:p>
      <w:pPr>
        <w:pStyle w:val="0"/>
        <w:ind w:left="227" w:leftChars="100" w:firstLine="227" w:firstLineChars="100"/>
        <w:rPr>
          <w:rFonts w:hint="default"/>
          <w:color w:val="000000"/>
          <w:highlight w:val="none"/>
        </w:rPr>
      </w:pPr>
      <w:r>
        <w:rPr>
          <w:rFonts w:hint="eastAsia"/>
          <w:color w:val="000000"/>
          <w:highlight w:val="none"/>
        </w:rPr>
        <w:t>県は、高知医療再生機構等と連携し、安心で質の高い医療提供体制の充実を図るため、認定看護師及び特定行為研修修了者等を計画的に養成していく医療機関等を支援します。</w:t>
      </w:r>
    </w:p>
    <w:p>
      <w:pPr>
        <w:pStyle w:val="0"/>
        <w:rPr>
          <w:rFonts w:hint="default"/>
          <w:strike w:val="1"/>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目標</w:t>
      </w:r>
    </w:p>
    <w:p>
      <w:pPr>
        <w:pStyle w:val="0"/>
        <w:ind w:left="454" w:leftChars="100" w:hanging="227" w:hangingChars="100"/>
        <w:rPr>
          <w:rFonts w:hint="default"/>
          <w:color w:val="000000"/>
          <w:highlight w:val="none"/>
        </w:rPr>
      </w:pPr>
      <w:r>
        <w:rPr>
          <w:rFonts w:hint="eastAsia"/>
          <w:color w:val="000000"/>
          <w:highlight w:val="none"/>
        </w:rPr>
        <w:t>○　</w:t>
      </w:r>
      <w:r>
        <w:rPr>
          <w:rFonts w:hint="eastAsia"/>
          <w:color w:val="auto"/>
          <w:highlight w:val="none"/>
          <w:u w:val="none" w:color="auto"/>
        </w:rPr>
        <w:t>令和</w:t>
      </w:r>
      <w:r>
        <w:rPr>
          <w:rFonts w:hint="eastAsia"/>
          <w:color w:val="auto"/>
          <w:highlight w:val="none"/>
          <w:u w:val="none" w:color="auto"/>
        </w:rPr>
        <w:t>11</w:t>
      </w:r>
      <w:r>
        <w:rPr>
          <w:rFonts w:hint="eastAsia"/>
          <w:color w:val="auto"/>
          <w:highlight w:val="none"/>
          <w:u w:val="none" w:color="auto"/>
        </w:rPr>
        <w:t>年度末には県内の医療機関等で</w:t>
      </w:r>
      <w:r>
        <w:rPr>
          <w:rFonts w:hint="eastAsia"/>
          <w:color w:val="000000"/>
          <w:highlight w:val="none"/>
        </w:rPr>
        <w:t>働く看護師等を一定数確保していることを目指します。</w:t>
      </w:r>
    </w:p>
    <w:tbl>
      <w:tblPr>
        <w:tblStyle w:val="11"/>
        <w:tblW w:w="889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06"/>
        <w:gridCol w:w="4142"/>
        <w:gridCol w:w="2223"/>
        <w:gridCol w:w="2223"/>
      </w:tblGrid>
      <w:tr>
        <w:trPr>
          <w:trHeight w:val="317" w:hRule="atLeast"/>
        </w:trPr>
        <w:tc>
          <w:tcPr>
            <w:tcW w:w="319" w:type="dxa"/>
            <w:shd w:val="clear" w:color="auto" w:fill="DAEEF3"/>
            <w:vAlign w:val="center"/>
          </w:tcPr>
          <w:p>
            <w:pPr>
              <w:pStyle w:val="0"/>
              <w:snapToGrid w:val="0"/>
              <w:rPr>
                <w:rFonts w:hint="default"/>
                <w:color w:val="auto"/>
                <w:highlight w:val="none"/>
              </w:rPr>
            </w:pPr>
            <w:r>
              <w:rPr>
                <w:rFonts w:hint="eastAsia"/>
                <w:color w:val="auto"/>
                <w:sz w:val="16"/>
                <w:highlight w:val="none"/>
              </w:rPr>
              <w:t>区分</w:t>
            </w:r>
          </w:p>
        </w:tc>
        <w:tc>
          <w:tcPr>
            <w:tcW w:w="4874" w:type="dxa"/>
            <w:shd w:val="clear" w:color="auto" w:fill="DAEEF3"/>
            <w:vAlign w:val="center"/>
          </w:tcPr>
          <w:p>
            <w:pPr>
              <w:pStyle w:val="0"/>
              <w:jc w:val="center"/>
              <w:rPr>
                <w:rFonts w:hint="default"/>
                <w:color w:val="auto"/>
                <w:sz w:val="20"/>
                <w:highlight w:val="none"/>
              </w:rPr>
            </w:pPr>
            <w:r>
              <w:rPr>
                <w:rFonts w:hint="eastAsia"/>
                <w:color w:val="auto"/>
                <w:sz w:val="20"/>
                <w:highlight w:val="none"/>
              </w:rPr>
              <w:t>項目</w:t>
            </w:r>
          </w:p>
        </w:tc>
        <w:tc>
          <w:tcPr>
            <w:tcW w:w="2595" w:type="dxa"/>
            <w:shd w:val="clear" w:color="auto" w:fill="DAEEF3"/>
            <w:vAlign w:val="center"/>
          </w:tcPr>
          <w:p>
            <w:pPr>
              <w:pStyle w:val="0"/>
              <w:jc w:val="center"/>
              <w:rPr>
                <w:rFonts w:hint="default"/>
                <w:color w:val="auto"/>
                <w:sz w:val="20"/>
                <w:highlight w:val="none"/>
              </w:rPr>
            </w:pPr>
            <w:r>
              <w:rPr>
                <w:rFonts w:hint="eastAsia"/>
                <w:color w:val="auto"/>
                <w:sz w:val="20"/>
                <w:highlight w:val="none"/>
              </w:rPr>
              <w:t>直近値</w:t>
            </w:r>
          </w:p>
        </w:tc>
        <w:tc>
          <w:tcPr>
            <w:tcW w:w="2596" w:type="dxa"/>
            <w:shd w:val="clear" w:color="auto" w:fill="DAEEF3"/>
            <w:vAlign w:val="center"/>
          </w:tcPr>
          <w:p>
            <w:pPr>
              <w:pStyle w:val="0"/>
              <w:jc w:val="center"/>
              <w:rPr>
                <w:rFonts w:hint="default"/>
                <w:color w:val="auto"/>
                <w:sz w:val="20"/>
                <w:highlight w:val="none"/>
              </w:rPr>
            </w:pPr>
            <w:r>
              <w:rPr>
                <w:rFonts w:hint="eastAsia"/>
                <w:color w:val="auto"/>
                <w:sz w:val="18"/>
                <w:highlight w:val="none"/>
              </w:rPr>
              <w:t>目標値（令和</w:t>
            </w:r>
            <w:r>
              <w:rPr>
                <w:rFonts w:hint="eastAsia"/>
                <w:color w:val="auto"/>
                <w:sz w:val="18"/>
                <w:highlight w:val="none"/>
              </w:rPr>
              <w:t>11</w:t>
            </w:r>
            <w:r>
              <w:rPr>
                <w:rFonts w:hint="eastAsia"/>
                <w:color w:val="auto"/>
                <w:sz w:val="18"/>
                <w:highlight w:val="none"/>
              </w:rPr>
              <w:t>年度）</w:t>
            </w:r>
          </w:p>
        </w:tc>
      </w:tr>
      <w:tr>
        <w:trPr>
          <w:trHeight w:val="770" w:hRule="atLeast"/>
        </w:trPr>
        <w:tc>
          <w:tcPr>
            <w:tcW w:w="319" w:type="dxa"/>
            <w:shd w:val="clear" w:color="auto" w:fill="DAEEF3"/>
            <w:vAlign w:val="center"/>
          </w:tcPr>
          <w:p>
            <w:pPr>
              <w:pStyle w:val="0"/>
              <w:rPr>
                <w:rFonts w:hint="eastAsia"/>
                <w:color w:val="auto"/>
                <w:sz w:val="20"/>
                <w:highlight w:val="none"/>
              </w:rPr>
            </w:pPr>
            <w:r>
              <w:rPr>
                <w:rFonts w:hint="eastAsia"/>
                <w:color w:val="auto"/>
                <w:sz w:val="20"/>
                <w:highlight w:val="none"/>
              </w:rPr>
              <w:t>S</w:t>
            </w:r>
          </w:p>
        </w:tc>
        <w:tc>
          <w:tcPr>
            <w:tcW w:w="4874" w:type="dxa"/>
            <w:shd w:val="clear" w:color="auto" w:fill="DAEEF3"/>
            <w:vAlign w:val="center"/>
          </w:tcPr>
          <w:p>
            <w:pPr>
              <w:pStyle w:val="0"/>
              <w:rPr>
                <w:rFonts w:hint="eastAsia"/>
                <w:color w:val="auto"/>
                <w:sz w:val="20"/>
                <w:highlight w:val="none"/>
                <w:u w:val="none" w:color="auto"/>
              </w:rPr>
            </w:pPr>
            <w:r>
              <w:rPr>
                <w:rFonts w:hint="eastAsia"/>
                <w:color w:val="auto"/>
                <w:sz w:val="20"/>
                <w:highlight w:val="none"/>
                <w:u w:val="none" w:color="auto"/>
              </w:rPr>
              <w:t>県内看護師等学校養成所卒業者の県内就職率（※大学及び県外出身者・医療機関奨学生が多い養成校２校を除く）</w:t>
            </w:r>
          </w:p>
        </w:tc>
        <w:tc>
          <w:tcPr>
            <w:tcW w:w="2595" w:type="dxa"/>
            <w:vAlign w:val="center"/>
          </w:tcPr>
          <w:p>
            <w:pPr>
              <w:pStyle w:val="0"/>
              <w:jc w:val="center"/>
              <w:rPr>
                <w:rFonts w:hint="eastAsia"/>
                <w:color w:val="auto"/>
                <w:sz w:val="20"/>
                <w:highlight w:val="none"/>
                <w:u w:val="none" w:color="auto"/>
              </w:rPr>
            </w:pPr>
            <w:r>
              <w:rPr>
                <w:rFonts w:hint="eastAsia"/>
                <w:color w:val="auto"/>
                <w:sz w:val="20"/>
                <w:highlight w:val="none"/>
                <w:u w:val="none" w:color="auto"/>
              </w:rPr>
              <w:t>78.7</w:t>
            </w:r>
            <w:r>
              <w:rPr>
                <w:rFonts w:hint="eastAsia"/>
                <w:color w:val="auto"/>
                <w:sz w:val="20"/>
                <w:highlight w:val="none"/>
                <w:u w:val="none" w:color="auto"/>
              </w:rPr>
              <w:t>％</w:t>
            </w:r>
          </w:p>
          <w:p>
            <w:pPr>
              <w:pStyle w:val="0"/>
              <w:jc w:val="center"/>
              <w:rPr>
                <w:rFonts w:hint="eastAsia"/>
                <w:color w:val="auto"/>
                <w:sz w:val="20"/>
                <w:highlight w:val="none"/>
                <w:u w:val="none" w:color="auto"/>
              </w:rPr>
            </w:pPr>
            <w:r>
              <w:rPr>
                <w:rFonts w:hint="eastAsia"/>
                <w:color w:val="auto"/>
                <w:sz w:val="20"/>
                <w:highlight w:val="none"/>
                <w:u w:val="none" w:color="auto"/>
              </w:rPr>
              <w:t>（令和４年度）</w:t>
            </w:r>
          </w:p>
        </w:tc>
        <w:tc>
          <w:tcPr>
            <w:tcW w:w="2596" w:type="dxa"/>
            <w:vAlign w:val="center"/>
          </w:tcPr>
          <w:p>
            <w:pPr>
              <w:pStyle w:val="0"/>
              <w:jc w:val="center"/>
              <w:rPr>
                <w:rFonts w:hint="eastAsia"/>
                <w:color w:val="auto"/>
                <w:sz w:val="20"/>
                <w:highlight w:val="none"/>
                <w:u w:val="none" w:color="auto"/>
              </w:rPr>
            </w:pPr>
            <w:r>
              <w:rPr>
                <w:rFonts w:hint="eastAsia"/>
                <w:color w:val="auto"/>
                <w:sz w:val="20"/>
                <w:highlight w:val="none"/>
                <w:u w:val="none" w:color="auto"/>
              </w:rPr>
              <w:t>85</w:t>
            </w:r>
            <w:r>
              <w:rPr>
                <w:rFonts w:hint="eastAsia"/>
                <w:color w:val="auto"/>
                <w:sz w:val="20"/>
                <w:highlight w:val="none"/>
                <w:u w:val="none" w:color="auto"/>
              </w:rPr>
              <w:t>％以上</w:t>
            </w:r>
          </w:p>
        </w:tc>
      </w:tr>
      <w:tr>
        <w:trPr>
          <w:trHeight w:val="770" w:hRule="atLeast"/>
        </w:trPr>
        <w:tc>
          <w:tcPr>
            <w:tcW w:w="319" w:type="dxa"/>
            <w:shd w:val="clear" w:color="auto" w:fill="DAEEF3"/>
            <w:vAlign w:val="center"/>
          </w:tcPr>
          <w:p>
            <w:pPr>
              <w:pStyle w:val="0"/>
              <w:rPr>
                <w:rFonts w:hint="default"/>
                <w:color w:val="auto"/>
                <w:sz w:val="20"/>
                <w:highlight w:val="none"/>
              </w:rPr>
            </w:pPr>
            <w:r>
              <w:rPr>
                <w:rFonts w:hint="eastAsia"/>
                <w:color w:val="auto"/>
                <w:sz w:val="20"/>
                <w:highlight w:val="none"/>
              </w:rPr>
              <w:t>P</w:t>
            </w:r>
          </w:p>
        </w:tc>
        <w:tc>
          <w:tcPr>
            <w:tcW w:w="4874" w:type="dxa"/>
            <w:shd w:val="clear" w:color="auto" w:fill="DAEEF3"/>
            <w:vAlign w:val="center"/>
          </w:tcPr>
          <w:p>
            <w:pPr>
              <w:pStyle w:val="0"/>
              <w:spacing w:line="0" w:lineRule="atLeast"/>
              <w:jc w:val="left"/>
              <w:rPr>
                <w:rFonts w:hint="default"/>
                <w:color w:val="auto"/>
                <w:sz w:val="20"/>
                <w:highlight w:val="none"/>
              </w:rPr>
            </w:pPr>
            <w:r>
              <w:rPr>
                <w:rFonts w:hint="eastAsia"/>
                <w:color w:val="auto"/>
                <w:sz w:val="20"/>
                <w:highlight w:val="none"/>
              </w:rPr>
              <w:t>看護師等養成奨学金貸付者の</w:t>
            </w:r>
          </w:p>
          <w:p>
            <w:pPr>
              <w:pStyle w:val="0"/>
              <w:spacing w:line="0" w:lineRule="atLeast"/>
              <w:jc w:val="left"/>
              <w:rPr>
                <w:rFonts w:hint="default"/>
                <w:color w:val="auto"/>
                <w:sz w:val="20"/>
                <w:highlight w:val="none"/>
              </w:rPr>
            </w:pPr>
            <w:r>
              <w:rPr>
                <w:rFonts w:hint="eastAsia"/>
                <w:color w:val="auto"/>
                <w:sz w:val="20"/>
                <w:highlight w:val="none"/>
              </w:rPr>
              <w:t>指定医療機関等就業率</w:t>
            </w:r>
            <w:r>
              <w:rPr>
                <w:rFonts w:hint="eastAsia"/>
                <w:color w:val="auto"/>
                <w:sz w:val="16"/>
                <w:highlight w:val="none"/>
              </w:rPr>
              <w:t>（未就業者を除く）</w:t>
            </w:r>
            <w:r>
              <w:rPr>
                <w:rFonts w:hint="eastAsia"/>
                <w:color w:val="auto"/>
                <w:sz w:val="20"/>
                <w:highlight w:val="none"/>
              </w:rPr>
              <w:t>※</w:t>
            </w:r>
          </w:p>
        </w:tc>
        <w:tc>
          <w:tcPr>
            <w:tcW w:w="2595"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92.1</w:t>
            </w:r>
            <w:r>
              <w:rPr>
                <w:rFonts w:hint="eastAsia"/>
                <w:color w:val="auto"/>
                <w:sz w:val="20"/>
                <w:highlight w:val="none"/>
                <w:u w:val="none" w:color="auto"/>
              </w:rPr>
              <w:t>％</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（令和４年度）</w:t>
            </w:r>
          </w:p>
        </w:tc>
        <w:tc>
          <w:tcPr>
            <w:tcW w:w="2596"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95</w:t>
            </w:r>
            <w:r>
              <w:rPr>
                <w:rFonts w:hint="eastAsia"/>
                <w:color w:val="auto"/>
                <w:sz w:val="20"/>
                <w:highlight w:val="none"/>
                <w:u w:val="none" w:color="auto"/>
              </w:rPr>
              <w:t>％以上</w:t>
            </w:r>
          </w:p>
        </w:tc>
      </w:tr>
    </w:tbl>
    <w:p>
      <w:pPr>
        <w:pStyle w:val="0"/>
        <w:spacing w:line="0" w:lineRule="atLeast"/>
        <w:ind w:left="453" w:leftChars="200"/>
        <w:rPr>
          <w:rFonts w:hint="default"/>
          <w:color w:val="auto"/>
          <w:sz w:val="16"/>
          <w:highlight w:val="none"/>
        </w:rPr>
      </w:pPr>
      <w:r>
        <w:rPr>
          <w:rFonts w:hint="eastAsia"/>
          <w:color w:val="000000"/>
          <w:sz w:val="16"/>
          <w:highlight w:val="none"/>
        </w:rPr>
        <w:t>※指定医療機関…高知市など県中心部以外の医療機関</w:t>
      </w:r>
      <w:r>
        <w:rPr>
          <w:rFonts w:hint="eastAsia"/>
          <w:color w:val="auto"/>
          <w:sz w:val="16"/>
          <w:highlight w:val="none"/>
        </w:rPr>
        <w:t>及び県内全域の訪問看護ステーション</w:t>
      </w:r>
    </w:p>
    <w:p>
      <w:pPr>
        <w:pStyle w:val="0"/>
        <w:rPr>
          <w:rFonts w:hint="default"/>
          <w:color w:val="auto"/>
          <w:highlight w:val="none"/>
        </w:rPr>
      </w:pPr>
    </w:p>
    <w:p>
      <w:pPr>
        <w:pStyle w:val="0"/>
        <w:ind w:left="454" w:leftChars="100" w:hanging="227" w:hangingChars="100"/>
        <w:rPr>
          <w:rFonts w:hint="default"/>
          <w:color w:val="auto"/>
          <w:highlight w:val="none"/>
        </w:rPr>
      </w:pPr>
      <w:r>
        <w:rPr>
          <w:rFonts w:hint="eastAsia"/>
          <w:color w:val="auto"/>
          <w:highlight w:val="none"/>
        </w:rPr>
        <w:t>○　令和</w:t>
      </w:r>
      <w:r>
        <w:rPr>
          <w:rFonts w:hint="eastAsia"/>
          <w:color w:val="auto"/>
          <w:highlight w:val="none"/>
        </w:rPr>
        <w:t>11</w:t>
      </w:r>
      <w:r>
        <w:rPr>
          <w:rFonts w:hint="eastAsia"/>
          <w:color w:val="auto"/>
          <w:highlight w:val="none"/>
        </w:rPr>
        <w:t>年度末には、認定看護師及び特定行為研修修了者等を一定数確保していることを目指します。</w:t>
      </w:r>
    </w:p>
    <w:tbl>
      <w:tblPr>
        <w:tblStyle w:val="11"/>
        <w:tblW w:w="889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06"/>
        <w:gridCol w:w="4142"/>
        <w:gridCol w:w="2223"/>
        <w:gridCol w:w="2223"/>
      </w:tblGrid>
      <w:tr>
        <w:trPr>
          <w:trHeight w:val="317" w:hRule="atLeast"/>
        </w:trPr>
        <w:tc>
          <w:tcPr>
            <w:tcW w:w="319" w:type="dxa"/>
            <w:shd w:val="clear" w:color="auto" w:fill="DAEEF3"/>
            <w:vAlign w:val="center"/>
          </w:tcPr>
          <w:p>
            <w:pPr>
              <w:pStyle w:val="0"/>
              <w:snapToGrid w:val="0"/>
              <w:rPr>
                <w:rFonts w:hint="default"/>
                <w:color w:val="auto"/>
                <w:sz w:val="16"/>
                <w:highlight w:val="none"/>
              </w:rPr>
            </w:pPr>
            <w:r>
              <w:rPr>
                <w:rFonts w:hint="eastAsia"/>
                <w:color w:val="auto"/>
                <w:sz w:val="16"/>
                <w:highlight w:val="none"/>
              </w:rPr>
              <w:t>区分</w:t>
            </w:r>
          </w:p>
        </w:tc>
        <w:tc>
          <w:tcPr>
            <w:tcW w:w="4874" w:type="dxa"/>
            <w:shd w:val="clear" w:color="auto" w:fill="DAEEF3"/>
            <w:vAlign w:val="center"/>
          </w:tcPr>
          <w:p>
            <w:pPr>
              <w:pStyle w:val="0"/>
              <w:jc w:val="center"/>
              <w:rPr>
                <w:rFonts w:hint="default"/>
                <w:color w:val="auto"/>
                <w:sz w:val="20"/>
                <w:highlight w:val="none"/>
              </w:rPr>
            </w:pPr>
            <w:r>
              <w:rPr>
                <w:rFonts w:hint="eastAsia"/>
                <w:color w:val="auto"/>
                <w:sz w:val="20"/>
                <w:highlight w:val="none"/>
              </w:rPr>
              <w:t>項目</w:t>
            </w:r>
          </w:p>
        </w:tc>
        <w:tc>
          <w:tcPr>
            <w:tcW w:w="2595" w:type="dxa"/>
            <w:shd w:val="clear" w:color="auto" w:fill="DAEEF3"/>
            <w:vAlign w:val="center"/>
          </w:tcPr>
          <w:p>
            <w:pPr>
              <w:pStyle w:val="0"/>
              <w:jc w:val="center"/>
              <w:rPr>
                <w:rFonts w:hint="default"/>
                <w:color w:val="auto"/>
                <w:sz w:val="20"/>
                <w:highlight w:val="none"/>
              </w:rPr>
            </w:pPr>
            <w:r>
              <w:rPr>
                <w:rFonts w:hint="eastAsia"/>
                <w:color w:val="auto"/>
                <w:sz w:val="20"/>
                <w:highlight w:val="none"/>
              </w:rPr>
              <w:t>直近値</w:t>
            </w:r>
          </w:p>
        </w:tc>
        <w:tc>
          <w:tcPr>
            <w:tcW w:w="2596" w:type="dxa"/>
            <w:shd w:val="clear" w:color="auto" w:fill="DAEEF3"/>
            <w:vAlign w:val="center"/>
          </w:tcPr>
          <w:p>
            <w:pPr>
              <w:pStyle w:val="0"/>
              <w:jc w:val="center"/>
              <w:rPr>
                <w:rFonts w:hint="default"/>
                <w:color w:val="auto"/>
                <w:sz w:val="18"/>
                <w:highlight w:val="none"/>
              </w:rPr>
            </w:pPr>
            <w:r>
              <w:rPr>
                <w:rFonts w:hint="eastAsia"/>
                <w:color w:val="auto"/>
                <w:sz w:val="18"/>
                <w:highlight w:val="none"/>
              </w:rPr>
              <w:t>目標値（令和</w:t>
            </w:r>
            <w:r>
              <w:rPr>
                <w:rFonts w:hint="eastAsia"/>
                <w:color w:val="auto"/>
                <w:sz w:val="18"/>
                <w:highlight w:val="none"/>
              </w:rPr>
              <w:t>11</w:t>
            </w:r>
            <w:r>
              <w:rPr>
                <w:rFonts w:hint="eastAsia"/>
                <w:color w:val="auto"/>
                <w:sz w:val="18"/>
                <w:highlight w:val="none"/>
              </w:rPr>
              <w:t>年度）</w:t>
            </w:r>
          </w:p>
        </w:tc>
      </w:tr>
      <w:tr>
        <w:trPr>
          <w:trHeight w:val="1330" w:hRule="atLeast"/>
        </w:trPr>
        <w:tc>
          <w:tcPr>
            <w:tcW w:w="319" w:type="dxa"/>
            <w:shd w:val="clear" w:color="auto" w:fill="DAEEF3"/>
            <w:vAlign w:val="center"/>
          </w:tcPr>
          <w:p>
            <w:pPr>
              <w:pStyle w:val="0"/>
              <w:rPr>
                <w:rFonts w:hint="default"/>
                <w:color w:val="auto"/>
                <w:highlight w:val="none"/>
              </w:rPr>
            </w:pPr>
            <w:r>
              <w:rPr>
                <w:rFonts w:hint="eastAsia"/>
                <w:color w:val="auto"/>
                <w:sz w:val="20"/>
                <w:highlight w:val="none"/>
              </w:rPr>
              <w:t>S</w:t>
            </w:r>
          </w:p>
        </w:tc>
        <w:tc>
          <w:tcPr>
            <w:tcW w:w="4874" w:type="dxa"/>
            <w:shd w:val="clear" w:color="auto" w:fill="DAEEF3"/>
            <w:vAlign w:val="center"/>
          </w:tcPr>
          <w:p>
            <w:pPr>
              <w:pStyle w:val="0"/>
              <w:spacing w:line="0" w:lineRule="atLeast"/>
              <w:jc w:val="left"/>
              <w:rPr>
                <w:rFonts w:hint="default"/>
                <w:color w:val="auto"/>
                <w:sz w:val="20"/>
                <w:highlight w:val="none"/>
              </w:rPr>
            </w:pPr>
            <w:r>
              <w:rPr>
                <w:rFonts w:hint="eastAsia"/>
                <w:color w:val="auto"/>
                <w:sz w:val="20"/>
                <w:highlight w:val="none"/>
              </w:rPr>
              <w:t>認定看護師</w:t>
            </w:r>
          </w:p>
          <w:p>
            <w:pPr>
              <w:pStyle w:val="0"/>
              <w:spacing w:line="0" w:lineRule="atLeast"/>
              <w:jc w:val="left"/>
              <w:rPr>
                <w:rFonts w:hint="default"/>
                <w:color w:val="auto"/>
                <w:sz w:val="20"/>
                <w:highlight w:val="none"/>
              </w:rPr>
            </w:pPr>
            <w:r>
              <w:rPr>
                <w:rFonts w:hint="eastAsia"/>
                <w:color w:val="auto"/>
                <w:sz w:val="20"/>
                <w:highlight w:val="none"/>
              </w:rPr>
              <w:t>特定行為研修修了者等</w:t>
            </w:r>
          </w:p>
        </w:tc>
        <w:tc>
          <w:tcPr>
            <w:tcW w:w="2595"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認定看護師</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122</w:t>
            </w:r>
            <w:r>
              <w:rPr>
                <w:rFonts w:hint="eastAsia"/>
                <w:color w:val="auto"/>
                <w:sz w:val="20"/>
                <w:highlight w:val="none"/>
                <w:u w:val="none" w:color="auto"/>
              </w:rPr>
              <w:t>人</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（令和４年</w:t>
            </w:r>
            <w:r>
              <w:rPr>
                <w:rFonts w:hint="eastAsia"/>
                <w:color w:val="auto"/>
                <w:sz w:val="20"/>
                <w:highlight w:val="none"/>
                <w:u w:val="none" w:color="auto"/>
              </w:rPr>
              <w:t>12</w:t>
            </w:r>
            <w:r>
              <w:rPr>
                <w:rFonts w:hint="eastAsia"/>
                <w:color w:val="auto"/>
                <w:sz w:val="20"/>
                <w:highlight w:val="none"/>
                <w:u w:val="none" w:color="auto"/>
              </w:rPr>
              <w:t>月末）</w:t>
            </w:r>
          </w:p>
          <w:p>
            <w:pPr>
              <w:pStyle w:val="0"/>
              <w:spacing w:line="0" w:lineRule="atLeast"/>
              <w:jc w:val="center"/>
              <w:rPr>
                <w:rFonts w:hint="default"/>
                <w:color w:val="auto"/>
                <w:sz w:val="20"/>
                <w:highlight w:val="none"/>
                <w:u w:val="none" w:color="auto"/>
              </w:rPr>
            </w:pP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特定行為研修修了者</w:t>
            </w:r>
            <w:r>
              <w:rPr>
                <w:rFonts w:hint="eastAsia"/>
                <w:color w:val="auto"/>
                <w:sz w:val="20"/>
                <w:highlight w:val="none"/>
                <w:u w:val="none" w:color="auto"/>
              </w:rPr>
              <w:t>72</w:t>
            </w:r>
            <w:r>
              <w:rPr>
                <w:rFonts w:hint="eastAsia"/>
                <w:color w:val="auto"/>
                <w:sz w:val="20"/>
                <w:highlight w:val="none"/>
                <w:u w:val="none" w:color="auto"/>
              </w:rPr>
              <w:t>人</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（令和４年</w:t>
            </w:r>
            <w:r>
              <w:rPr>
                <w:rFonts w:hint="eastAsia"/>
                <w:color w:val="auto"/>
                <w:sz w:val="20"/>
                <w:highlight w:val="none"/>
                <w:u w:val="none" w:color="auto"/>
              </w:rPr>
              <w:t>12</w:t>
            </w:r>
            <w:r>
              <w:rPr>
                <w:rFonts w:hint="eastAsia"/>
                <w:color w:val="auto"/>
                <w:sz w:val="20"/>
                <w:highlight w:val="none"/>
                <w:u w:val="none" w:color="auto"/>
              </w:rPr>
              <w:t>月末）</w:t>
            </w:r>
          </w:p>
        </w:tc>
        <w:tc>
          <w:tcPr>
            <w:tcW w:w="2596"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新規養成者数　</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30</w:t>
            </w:r>
            <w:r>
              <w:rPr>
                <w:rFonts w:hint="eastAsia"/>
                <w:color w:val="auto"/>
                <w:sz w:val="20"/>
                <w:highlight w:val="none"/>
                <w:u w:val="none" w:color="auto"/>
              </w:rPr>
              <w:t>人／年</w:t>
            </w:r>
          </w:p>
        </w:tc>
      </w:tr>
    </w:tbl>
    <w:p>
      <w:pPr>
        <w:pStyle w:val="0"/>
        <w:rPr>
          <w:rFonts w:hint="default"/>
          <w:b w:val="1"/>
          <w:highlight w:val="none"/>
        </w:rPr>
      </w:pPr>
      <w:r>
        <w:rPr>
          <w:rFonts w:hint="eastAsia"/>
          <w:highlight w:val="none"/>
        </w:rPr>
        <mc:AlternateContent>
          <mc:Choice Requires="wps">
            <w:drawing>
              <wp:anchor distT="0" distB="0" distL="71755" distR="71755" simplePos="0" relativeHeight="86" behindDoc="0" locked="0" layoutInCell="1" hidden="0" allowOverlap="1">
                <wp:simplePos x="0" y="0"/>
                <wp:positionH relativeFrom="column">
                  <wp:posOffset>287655</wp:posOffset>
                </wp:positionH>
                <wp:positionV relativeFrom="paragraph">
                  <wp:posOffset>70485</wp:posOffset>
                </wp:positionV>
                <wp:extent cx="5646420" cy="323215"/>
                <wp:effectExtent l="635" t="635" r="29845" b="10795"/>
                <wp:wrapNone/>
                <wp:docPr id="1290" name="オブジェクト 0"/>
                <a:graphic xmlns:a="http://schemas.openxmlformats.org/drawingml/2006/main">
                  <a:graphicData uri="http://schemas.microsoft.com/office/word/2010/wordprocessingShape">
                    <wps:wsp>
                      <wps:cNvPr id="1290" name="オブジェクト 0"/>
                      <wps:cNvSpPr txBox="1">
                        <a:spLocks noChangeArrowheads="1"/>
                      </wps:cNvSpPr>
                      <wps:spPr>
                        <a:xfrm>
                          <a:off x="0" y="0"/>
                          <a:ext cx="5646420" cy="323215"/>
                        </a:xfrm>
                        <a:prstGeom prst="rect">
                          <a:avLst/>
                        </a:prstGeom>
                        <a:solidFill>
                          <a:srgbClr val="FFFFFF"/>
                        </a:solidFill>
                        <a:ln w="6350" cmpd="sng">
                          <a:solidFill>
                            <a:srgbClr val="000000"/>
                          </a:solidFill>
                          <a:miter/>
                        </a:ln>
                      </wps:spPr>
                      <wps:txbx>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p>
                            <w:pPr>
                              <w:pStyle w:val="0"/>
                              <w:snapToGrid w:val="0"/>
                              <w:rPr>
                                <w:rFonts w:hint="default"/>
                                <w:sz w:val="16"/>
                              </w:rPr>
                            </w:pPr>
                            <w:r>
                              <w:rPr>
                                <w:rFonts w:hint="eastAsia"/>
                                <w:sz w:val="16"/>
                              </w:rPr>
                              <w:t>　　　　　Ｐ（プロセス指標）：実際にサービスを提供する主体の活動や、他機関との連携体制を測る指標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55pt;mso-position-vertical-relative:text;mso-position-horizontal-relative:text;position:absolute;height:25.45pt;mso-wrap-distance-top:0pt;width:444.6pt;mso-wrap-distance-left:5.65pt;margin-left:22.65pt;z-index:86;" o:spid="_x0000_s1290"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p>
                      <w:pPr>
                        <w:pStyle w:val="0"/>
                        <w:snapToGrid w:val="0"/>
                        <w:rPr>
                          <w:rFonts w:hint="default"/>
                          <w:sz w:val="16"/>
                        </w:rPr>
                      </w:pPr>
                      <w:r>
                        <w:rPr>
                          <w:rFonts w:hint="eastAsia"/>
                          <w:sz w:val="16"/>
                        </w:rPr>
                        <w:t>　　　　　Ｐ（プロセス指標）：実際にサービスを提供する主体の活動や、他機関との連携体制を測る指標</w:t>
                      </w:r>
                    </w:p>
                  </w:txbxContent>
                </v:textbox>
                <v:imagedata o:title=""/>
                <w10:wrap type="none" anchorx="text" anchory="text"/>
              </v:shape>
            </w:pict>
          </mc:Fallback>
        </mc:AlternateContent>
      </w:r>
    </w:p>
    <w:p>
      <w:pPr>
        <w:pStyle w:val="0"/>
        <w:rPr>
          <w:rFonts w:hint="default"/>
          <w:b w:val="1"/>
          <w:highlight w:val="none"/>
        </w:rPr>
      </w:pPr>
    </w:p>
    <w:p>
      <w:pPr>
        <w:pStyle w:val="0"/>
        <w:rPr>
          <w:rFonts w:hint="default"/>
          <w:b w:val="1"/>
          <w:highlight w:val="none"/>
        </w:rPr>
      </w:pPr>
    </w:p>
    <w:p>
      <w:pPr>
        <w:pStyle w:val="0"/>
        <w:rPr>
          <w:rFonts w:hint="default"/>
          <w:b w:val="1"/>
          <w:highlight w:val="none"/>
        </w:rPr>
      </w:pPr>
    </w:p>
    <w:p>
      <w:pPr>
        <w:pStyle w:val="0"/>
        <w:spacing w:after="165" w:afterLines="50" w:afterAutospacing="0"/>
        <w:rPr>
          <w:rFonts w:hint="default"/>
          <w:b w:val="1"/>
          <w:color w:val="1F497D"/>
          <w:highlight w:val="none"/>
        </w:rPr>
      </w:pPr>
      <w:r>
        <w:rPr>
          <w:rFonts w:hint="eastAsia"/>
        </w:rPr>
        <w:br w:type="page"/>
      </w:r>
    </w:p>
    <w:p>
      <w:pPr>
        <w:pStyle w:val="0"/>
        <w:spacing w:after="165" w:afterLines="50" w:afterAutospacing="0"/>
        <w:rPr>
          <w:rFonts w:hint="default"/>
          <w:b w:val="1"/>
          <w:color w:val="1F497D"/>
          <w:highlight w:val="none"/>
        </w:rPr>
      </w:pPr>
      <w:r>
        <w:rPr>
          <w:rFonts w:hint="eastAsia"/>
          <w:b w:val="1"/>
          <w:color w:val="1F497D"/>
          <w:highlight w:val="none"/>
        </w:rPr>
        <w:t>第２　助産師</w:t>
      </w:r>
    </w:p>
    <w:p>
      <w:pPr>
        <w:pStyle w:val="0"/>
        <w:tabs>
          <w:tab w:val="left" w:leader="none" w:pos="1985"/>
        </w:tabs>
        <w:spacing w:line="320" w:lineRule="exact"/>
        <w:ind w:firstLine="227" w:firstLineChars="100"/>
        <w:rPr>
          <w:rFonts w:hint="default"/>
          <w:color w:val="auto"/>
          <w:highlight w:val="none"/>
          <w:u w:val="none" w:color="auto"/>
        </w:rPr>
      </w:pPr>
      <w:r>
        <w:rPr>
          <w:rFonts w:hint="eastAsia"/>
          <w:color w:val="auto"/>
          <w:highlight w:val="none"/>
          <w:u w:val="none" w:color="auto"/>
        </w:rPr>
        <w:t>助産師は、女性の妊娠、分娩、産褥の助産過程において、専門的な判断と技術に基づき、分娩介助ならびに妊婦・じょく婦及び新生児へのケアを行います。</w:t>
      </w:r>
    </w:p>
    <w:p>
      <w:pPr>
        <w:pStyle w:val="0"/>
        <w:tabs>
          <w:tab w:val="left" w:leader="none" w:pos="1985"/>
        </w:tabs>
        <w:spacing w:line="320" w:lineRule="exact"/>
        <w:ind w:firstLine="227" w:firstLineChars="100"/>
        <w:rPr>
          <w:rFonts w:hint="default"/>
          <w:highlight w:val="none"/>
        </w:rPr>
      </w:pPr>
      <w:r>
        <w:rPr>
          <w:rFonts w:hint="eastAsia"/>
          <w:color w:val="auto"/>
          <w:highlight w:val="none"/>
          <w:u w:val="none" w:color="auto"/>
        </w:rPr>
        <w:t>近年、少子化や核家族化に起因し、妊娠・出産・育児を取り巻く環境は大きく変化しており、地域で生活する妊産婦とその家族が安全で安心して出産や子育てができる環境の整備に加えて、性と生殖にかかわる健康相談や教育活動を通して、女性の生涯における健康課題に取り組み、健康の保持増進を促すなど助産師のウィメンズヘルスケア能力の発揮が求められています。</w:t>
      </w:r>
    </w:p>
    <w:p>
      <w:pPr>
        <w:pStyle w:val="0"/>
        <w:tabs>
          <w:tab w:val="left" w:leader="none" w:pos="1985"/>
        </w:tabs>
        <w:rPr>
          <w:rFonts w:hint="default"/>
          <w:highlight w:val="none"/>
        </w:rPr>
      </w:pPr>
    </w:p>
    <w:p>
      <w:pPr>
        <w:pStyle w:val="0"/>
        <w:tabs>
          <w:tab w:val="left" w:leader="none" w:pos="1985"/>
        </w:tabs>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現状と課題</w:t>
      </w:r>
    </w:p>
    <w:p>
      <w:pPr>
        <w:pStyle w:val="0"/>
        <w:tabs>
          <w:tab w:val="left" w:leader="none" w:pos="1985"/>
        </w:tabs>
        <w:spacing w:line="320" w:lineRule="exact"/>
        <w:ind w:left="228" w:hanging="228" w:hangingChars="100"/>
        <w:rPr>
          <w:rFonts w:hint="default"/>
          <w:b w:val="1"/>
          <w:color w:val="0070C0"/>
          <w:highlight w:val="none"/>
        </w:rPr>
      </w:pPr>
      <w:r>
        <w:rPr>
          <w:rFonts w:hint="eastAsia"/>
          <w:b w:val="1"/>
          <w:color w:val="0070C0"/>
          <w:highlight w:val="none"/>
        </w:rPr>
        <w:t>１　就業状況</w:t>
      </w:r>
    </w:p>
    <w:p>
      <w:pPr>
        <w:pStyle w:val="0"/>
        <w:tabs>
          <w:tab w:val="left" w:leader="none" w:pos="1985"/>
        </w:tabs>
        <w:spacing w:line="320" w:lineRule="exact"/>
        <w:ind w:left="141" w:leftChars="62" w:firstLine="283" w:firstLineChars="125"/>
        <w:rPr>
          <w:rFonts w:hint="default"/>
          <w:color w:val="auto"/>
          <w:highlight w:val="none"/>
          <w:u w:val="none" w:color="auto"/>
        </w:rPr>
      </w:pPr>
      <w:r>
        <w:rPr>
          <w:rFonts w:hint="eastAsia"/>
          <w:color w:val="auto"/>
          <w:highlight w:val="none"/>
          <w:u w:val="none" w:color="auto"/>
        </w:rPr>
        <w:t>本県の就業助産師数</w:t>
      </w:r>
      <w:r>
        <w:rPr>
          <w:rFonts w:hint="eastAsia"/>
          <w:color w:val="auto"/>
          <w:sz w:val="20"/>
          <w:highlight w:val="none"/>
          <w:u w:val="none" w:color="auto"/>
        </w:rPr>
        <w:t>（主たる業務が助産業務である者）</w:t>
      </w:r>
      <w:r>
        <w:rPr>
          <w:rFonts w:hint="eastAsia"/>
          <w:color w:val="auto"/>
          <w:highlight w:val="none"/>
          <w:u w:val="none" w:color="auto"/>
        </w:rPr>
        <w:t>は、平成</w:t>
      </w:r>
      <w:r>
        <w:rPr>
          <w:rFonts w:hint="eastAsia"/>
          <w:color w:val="auto"/>
          <w:highlight w:val="none"/>
          <w:u w:val="none" w:color="auto"/>
        </w:rPr>
        <w:t>28</w:t>
      </w:r>
      <w:r>
        <w:rPr>
          <w:rFonts w:hint="eastAsia"/>
          <w:color w:val="auto"/>
          <w:highlight w:val="none"/>
          <w:u w:val="none" w:color="auto"/>
        </w:rPr>
        <w:t>年末の</w:t>
      </w:r>
      <w:r>
        <w:rPr>
          <w:rFonts w:hint="eastAsia"/>
          <w:color w:val="auto"/>
          <w:highlight w:val="none"/>
          <w:u w:val="none" w:color="auto"/>
        </w:rPr>
        <w:t>184</w:t>
      </w:r>
      <w:r>
        <w:rPr>
          <w:rFonts w:hint="eastAsia"/>
          <w:color w:val="auto"/>
          <w:highlight w:val="none"/>
          <w:u w:val="none" w:color="auto"/>
        </w:rPr>
        <w:t>人から令和４年末には</w:t>
      </w:r>
      <w:r>
        <w:rPr>
          <w:rFonts w:hint="eastAsia"/>
          <w:color w:val="auto"/>
          <w:highlight w:val="none"/>
          <w:u w:val="none" w:color="auto"/>
        </w:rPr>
        <w:t>206</w:t>
      </w:r>
      <w:r>
        <w:rPr>
          <w:rFonts w:hint="eastAsia"/>
          <w:color w:val="auto"/>
          <w:highlight w:val="none"/>
          <w:u w:val="none" w:color="auto"/>
        </w:rPr>
        <w:t>人に増加しています。また、人口</w:t>
      </w:r>
      <w:r>
        <w:rPr>
          <w:rFonts w:hint="eastAsia"/>
          <w:color w:val="auto"/>
          <w:highlight w:val="none"/>
          <w:u w:val="none" w:color="auto"/>
        </w:rPr>
        <w:t>10</w:t>
      </w:r>
      <w:r>
        <w:rPr>
          <w:rFonts w:hint="eastAsia"/>
          <w:color w:val="auto"/>
          <w:highlight w:val="none"/>
          <w:u w:val="none" w:color="auto"/>
        </w:rPr>
        <w:t>万人当たりの就業助産師数は平成</w:t>
      </w:r>
      <w:r>
        <w:rPr>
          <w:rFonts w:hint="eastAsia"/>
          <w:color w:val="auto"/>
          <w:highlight w:val="none"/>
          <w:u w:val="none" w:color="auto"/>
        </w:rPr>
        <w:t>28</w:t>
      </w:r>
      <w:r>
        <w:rPr>
          <w:rFonts w:hint="eastAsia"/>
          <w:color w:val="auto"/>
          <w:highlight w:val="none"/>
          <w:u w:val="none" w:color="auto"/>
        </w:rPr>
        <w:t>年末の</w:t>
      </w:r>
      <w:r>
        <w:rPr>
          <w:rFonts w:hint="eastAsia"/>
          <w:color w:val="auto"/>
          <w:highlight w:val="none"/>
          <w:u w:val="none" w:color="auto"/>
        </w:rPr>
        <w:t>25.6</w:t>
      </w:r>
      <w:r>
        <w:rPr>
          <w:rFonts w:hint="eastAsia"/>
          <w:color w:val="auto"/>
          <w:highlight w:val="none"/>
          <w:u w:val="none" w:color="auto"/>
        </w:rPr>
        <w:t>人</w:t>
      </w:r>
      <w:r>
        <w:rPr>
          <w:rFonts w:hint="eastAsia"/>
          <w:color w:val="auto"/>
          <w:sz w:val="20"/>
          <w:highlight w:val="none"/>
          <w:u w:val="none" w:color="auto"/>
        </w:rPr>
        <w:t>（全国</w:t>
      </w:r>
      <w:r>
        <w:rPr>
          <w:rFonts w:hint="eastAsia"/>
          <w:color w:val="auto"/>
          <w:sz w:val="20"/>
          <w:highlight w:val="none"/>
          <w:u w:val="none" w:color="auto"/>
        </w:rPr>
        <w:t>28.6</w:t>
      </w:r>
      <w:r>
        <w:rPr>
          <w:rFonts w:hint="eastAsia"/>
          <w:color w:val="auto"/>
          <w:sz w:val="20"/>
          <w:highlight w:val="none"/>
          <w:u w:val="none" w:color="auto"/>
        </w:rPr>
        <w:t>人）</w:t>
      </w:r>
      <w:r>
        <w:rPr>
          <w:rFonts w:hint="eastAsia"/>
          <w:color w:val="auto"/>
          <w:highlight w:val="none"/>
          <w:u w:val="none" w:color="auto"/>
        </w:rPr>
        <w:t>から令和４年末には</w:t>
      </w:r>
      <w:r>
        <w:rPr>
          <w:rFonts w:hint="eastAsia"/>
          <w:color w:val="auto"/>
          <w:highlight w:val="none"/>
          <w:u w:val="none" w:color="auto"/>
        </w:rPr>
        <w:t>30.5</w:t>
      </w:r>
      <w:r>
        <w:rPr>
          <w:rFonts w:hint="eastAsia"/>
          <w:color w:val="auto"/>
          <w:highlight w:val="none"/>
          <w:u w:val="none" w:color="auto"/>
        </w:rPr>
        <w:t>人</w:t>
      </w:r>
      <w:r>
        <w:rPr>
          <w:rFonts w:hint="eastAsia"/>
          <w:color w:val="auto"/>
          <w:sz w:val="20"/>
          <w:highlight w:val="none"/>
          <w:u w:val="none" w:color="auto"/>
        </w:rPr>
        <w:t>（全国</w:t>
      </w:r>
      <w:r>
        <w:rPr>
          <w:rFonts w:hint="eastAsia"/>
          <w:color w:val="auto"/>
          <w:sz w:val="20"/>
          <w:highlight w:val="none"/>
          <w:u w:val="none" w:color="auto"/>
        </w:rPr>
        <w:t>30.5</w:t>
      </w:r>
      <w:r>
        <w:rPr>
          <w:rFonts w:hint="eastAsia"/>
          <w:color w:val="auto"/>
          <w:sz w:val="20"/>
          <w:highlight w:val="none"/>
          <w:u w:val="none" w:color="auto"/>
        </w:rPr>
        <w:t>人）（</w:t>
      </w:r>
      <w:r>
        <w:rPr>
          <w:rFonts w:hint="eastAsia"/>
          <w:color w:val="auto"/>
          <w:highlight w:val="none"/>
          <w:u w:val="none" w:color="auto"/>
        </w:rPr>
        <w:t>全国第</w:t>
      </w:r>
      <w:r>
        <w:rPr>
          <w:rFonts w:hint="eastAsia"/>
          <w:color w:val="auto"/>
          <w:highlight w:val="none"/>
          <w:u w:val="none" w:color="auto"/>
        </w:rPr>
        <w:t>30</w:t>
      </w:r>
      <w:r>
        <w:rPr>
          <w:rFonts w:hint="eastAsia"/>
          <w:color w:val="auto"/>
          <w:highlight w:val="none"/>
          <w:u w:val="none" w:color="auto"/>
        </w:rPr>
        <w:t>位</w:t>
      </w:r>
      <w:r>
        <w:rPr>
          <w:rFonts w:hint="eastAsia"/>
          <w:color w:val="auto"/>
          <w:sz w:val="20"/>
          <w:highlight w:val="none"/>
          <w:u w:val="none" w:color="auto"/>
        </w:rPr>
        <w:t>）</w:t>
      </w:r>
      <w:r>
        <w:rPr>
          <w:rFonts w:hint="eastAsia"/>
          <w:color w:val="auto"/>
          <w:highlight w:val="none"/>
          <w:u w:val="none" w:color="auto"/>
        </w:rPr>
        <w:t>と増加しております。</w:t>
      </w:r>
    </w:p>
    <w:p>
      <w:pPr>
        <w:pStyle w:val="0"/>
        <w:tabs>
          <w:tab w:val="left" w:leader="none" w:pos="1985"/>
        </w:tabs>
        <w:spacing w:line="320" w:lineRule="exact"/>
        <w:ind w:left="141" w:leftChars="62" w:firstLine="283" w:firstLineChars="125"/>
        <w:rPr>
          <w:rFonts w:hint="default"/>
          <w:color w:val="auto"/>
          <w:highlight w:val="none"/>
        </w:rPr>
      </w:pPr>
      <w:r>
        <w:rPr>
          <w:rFonts w:hint="eastAsia"/>
          <w:color w:val="auto"/>
          <w:highlight w:val="none"/>
          <w:u w:val="none" w:color="auto"/>
        </w:rPr>
        <w:t>助産師</w:t>
      </w:r>
      <w:r>
        <w:rPr>
          <w:rFonts w:hint="eastAsia"/>
          <w:color w:val="auto"/>
          <w:highlight w:val="none"/>
          <w:u w:val="none" w:color="auto"/>
        </w:rPr>
        <w:t>206</w:t>
      </w:r>
      <w:r>
        <w:rPr>
          <w:rFonts w:hint="eastAsia"/>
          <w:color w:val="auto"/>
          <w:highlight w:val="none"/>
          <w:u w:val="none" w:color="auto"/>
        </w:rPr>
        <w:t>人のうち一次周産期医療を担う診療所で勤務する助産師は</w:t>
      </w:r>
      <w:r>
        <w:rPr>
          <w:rFonts w:hint="eastAsia"/>
          <w:color w:val="auto"/>
          <w:highlight w:val="none"/>
          <w:u w:val="none" w:color="auto"/>
        </w:rPr>
        <w:t>31</w:t>
      </w:r>
      <w:r>
        <w:rPr>
          <w:rFonts w:hint="eastAsia"/>
          <w:color w:val="auto"/>
          <w:highlight w:val="none"/>
          <w:u w:val="none" w:color="auto"/>
        </w:rPr>
        <w:t>人</w:t>
      </w:r>
      <w:r>
        <w:rPr>
          <w:rFonts w:hint="eastAsia"/>
          <w:color w:val="auto"/>
          <w:sz w:val="20"/>
          <w:highlight w:val="none"/>
          <w:u w:val="none" w:color="auto"/>
        </w:rPr>
        <w:t>（平均年齢</w:t>
      </w:r>
      <w:r>
        <w:rPr>
          <w:rFonts w:hint="eastAsia"/>
          <w:color w:val="auto"/>
          <w:sz w:val="20"/>
          <w:highlight w:val="none"/>
          <w:u w:val="none" w:color="auto"/>
        </w:rPr>
        <w:t>45.6</w:t>
      </w:r>
      <w:r>
        <w:rPr>
          <w:rFonts w:hint="eastAsia"/>
          <w:color w:val="auto"/>
          <w:sz w:val="20"/>
          <w:highlight w:val="none"/>
          <w:u w:val="none" w:color="auto"/>
        </w:rPr>
        <w:t>歳、１施設当たりの平均助産師数</w:t>
      </w:r>
      <w:r>
        <w:rPr>
          <w:rFonts w:hint="eastAsia"/>
          <w:color w:val="auto"/>
          <w:sz w:val="20"/>
          <w:highlight w:val="none"/>
          <w:u w:val="none" w:color="auto"/>
        </w:rPr>
        <w:t>5.2</w:t>
      </w:r>
      <w:r>
        <w:rPr>
          <w:rFonts w:hint="eastAsia"/>
          <w:color w:val="auto"/>
          <w:sz w:val="20"/>
          <w:highlight w:val="none"/>
          <w:u w:val="none" w:color="auto"/>
        </w:rPr>
        <w:t>人）</w:t>
      </w:r>
      <w:r>
        <w:rPr>
          <w:rFonts w:hint="eastAsia"/>
          <w:color w:val="auto"/>
          <w:highlight w:val="none"/>
          <w:u w:val="none" w:color="auto"/>
        </w:rPr>
        <w:t>、二次・三次周産期医療を担う病院で勤務する助産師は</w:t>
      </w:r>
      <w:r>
        <w:rPr>
          <w:rFonts w:hint="eastAsia"/>
          <w:color w:val="auto"/>
          <w:highlight w:val="none"/>
          <w:u w:val="none" w:color="auto"/>
        </w:rPr>
        <w:t>140</w:t>
      </w:r>
      <w:r>
        <w:rPr>
          <w:rFonts w:hint="eastAsia"/>
          <w:color w:val="auto"/>
          <w:highlight w:val="none"/>
          <w:u w:val="none" w:color="auto"/>
        </w:rPr>
        <w:t>人</w:t>
      </w:r>
      <w:r>
        <w:rPr>
          <w:rFonts w:hint="eastAsia"/>
          <w:color w:val="auto"/>
          <w:sz w:val="20"/>
          <w:highlight w:val="none"/>
          <w:u w:val="none" w:color="auto"/>
        </w:rPr>
        <w:t>（平均年齢</w:t>
      </w:r>
      <w:r>
        <w:rPr>
          <w:rFonts w:hint="eastAsia"/>
          <w:color w:val="auto"/>
          <w:sz w:val="20"/>
          <w:highlight w:val="none"/>
          <w:u w:val="none" w:color="auto"/>
        </w:rPr>
        <w:t>37.1</w:t>
      </w:r>
      <w:r>
        <w:rPr>
          <w:rFonts w:hint="eastAsia"/>
          <w:color w:val="auto"/>
          <w:sz w:val="20"/>
          <w:highlight w:val="none"/>
          <w:u w:val="none" w:color="auto"/>
        </w:rPr>
        <w:t>歳、１施設当たりの平均助産師数</w:t>
      </w:r>
      <w:r>
        <w:rPr>
          <w:rFonts w:hint="eastAsia"/>
          <w:color w:val="auto"/>
          <w:sz w:val="20"/>
          <w:highlight w:val="none"/>
          <w:u w:val="none" w:color="auto"/>
        </w:rPr>
        <w:t>20</w:t>
      </w:r>
      <w:r>
        <w:rPr>
          <w:rFonts w:hint="eastAsia"/>
          <w:color w:val="auto"/>
          <w:sz w:val="20"/>
          <w:highlight w:val="none"/>
          <w:u w:val="none" w:color="auto"/>
        </w:rPr>
        <w:t>人）</w:t>
      </w:r>
      <w:r>
        <w:rPr>
          <w:rFonts w:hint="eastAsia"/>
          <w:color w:val="auto"/>
          <w:highlight w:val="none"/>
          <w:u w:val="none" w:color="auto"/>
        </w:rPr>
        <w:t>で、全体の</w:t>
      </w:r>
      <w:r>
        <w:rPr>
          <w:rFonts w:hint="eastAsia"/>
          <w:color w:val="auto"/>
          <w:highlight w:val="none"/>
          <w:u w:val="none" w:color="auto"/>
        </w:rPr>
        <w:t>83.0</w:t>
      </w:r>
      <w:r>
        <w:rPr>
          <w:rFonts w:hint="eastAsia"/>
          <w:color w:val="auto"/>
          <w:highlight w:val="none"/>
          <w:u w:val="none" w:color="auto"/>
        </w:rPr>
        <w:t>％が病院又は診療所で助産業務に従事しています。また、保健医療圏別にみると中央</w:t>
      </w:r>
      <w:r>
        <w:rPr>
          <w:rFonts w:hint="eastAsia"/>
          <w:color w:val="auto"/>
          <w:highlight w:val="none"/>
          <w:u w:val="none" w:color="auto"/>
        </w:rPr>
        <w:t>177</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85.9</w:t>
      </w:r>
      <w:r>
        <w:rPr>
          <w:rFonts w:hint="eastAsia"/>
          <w:color w:val="auto"/>
          <w:sz w:val="20"/>
          <w:highlight w:val="none"/>
          <w:u w:val="none" w:color="auto"/>
        </w:rPr>
        <w:t>％）</w:t>
      </w:r>
      <w:r>
        <w:rPr>
          <w:rFonts w:hint="eastAsia"/>
          <w:color w:val="auto"/>
          <w:highlight w:val="none"/>
          <w:u w:val="none" w:color="auto"/>
        </w:rPr>
        <w:t>、幡多</w:t>
      </w:r>
      <w:r>
        <w:rPr>
          <w:rFonts w:hint="eastAsia"/>
          <w:color w:val="auto"/>
          <w:highlight w:val="none"/>
          <w:u w:val="none" w:color="auto"/>
        </w:rPr>
        <w:t>13</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6.3</w:t>
      </w:r>
      <w:r>
        <w:rPr>
          <w:rFonts w:hint="eastAsia"/>
          <w:color w:val="auto"/>
          <w:sz w:val="20"/>
          <w:highlight w:val="none"/>
          <w:u w:val="none" w:color="auto"/>
        </w:rPr>
        <w:t>％）</w:t>
      </w:r>
      <w:r>
        <w:rPr>
          <w:rFonts w:hint="eastAsia"/>
          <w:color w:val="auto"/>
          <w:highlight w:val="none"/>
          <w:u w:val="none" w:color="auto"/>
        </w:rPr>
        <w:t>、安芸</w:t>
      </w:r>
      <w:r>
        <w:rPr>
          <w:rFonts w:hint="eastAsia"/>
          <w:color w:val="auto"/>
          <w:highlight w:val="none"/>
          <w:u w:val="none" w:color="auto"/>
        </w:rPr>
        <w:t>13</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6.3</w:t>
      </w:r>
      <w:r>
        <w:rPr>
          <w:rFonts w:hint="eastAsia"/>
          <w:color w:val="auto"/>
          <w:sz w:val="20"/>
          <w:highlight w:val="none"/>
          <w:u w:val="none" w:color="auto"/>
        </w:rPr>
        <w:t>％）</w:t>
      </w:r>
      <w:r>
        <w:rPr>
          <w:rFonts w:hint="eastAsia"/>
          <w:color w:val="auto"/>
          <w:highlight w:val="none"/>
          <w:u w:val="none" w:color="auto"/>
        </w:rPr>
        <w:t>、高幡</w:t>
      </w:r>
      <w:r>
        <w:rPr>
          <w:rFonts w:hint="eastAsia"/>
          <w:color w:val="auto"/>
          <w:highlight w:val="none"/>
          <w:u w:val="none" w:color="auto"/>
        </w:rPr>
        <w:t>3</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1.5</w:t>
      </w:r>
      <w:r>
        <w:rPr>
          <w:rFonts w:hint="eastAsia"/>
          <w:color w:val="auto"/>
          <w:sz w:val="20"/>
          <w:highlight w:val="none"/>
        </w:rPr>
        <w:t>％）</w:t>
      </w:r>
      <w:r>
        <w:rPr>
          <w:rFonts w:hint="eastAsia"/>
          <w:color w:val="auto"/>
          <w:highlight w:val="none"/>
        </w:rPr>
        <w:t>と周産期医療提供施設の中央保健医療圏への集中を反映した分布となっています。</w:t>
      </w:r>
    </w:p>
    <w:p>
      <w:pPr>
        <w:pStyle w:val="0"/>
        <w:tabs>
          <w:tab w:val="left" w:leader="none" w:pos="1985"/>
        </w:tabs>
        <w:rPr>
          <w:rFonts w:hint="default"/>
          <w:highlight w:val="none"/>
        </w:rPr>
      </w:pPr>
    </w:p>
    <w:p>
      <w:pPr>
        <w:pStyle w:val="0"/>
        <w:tabs>
          <w:tab w:val="left" w:leader="none" w:pos="1985"/>
        </w:tabs>
        <w:rPr>
          <w:rFonts w:hint="default"/>
          <w:b w:val="1"/>
          <w:color w:val="0070C0"/>
          <w:highlight w:val="none"/>
        </w:rPr>
      </w:pPr>
      <w:r>
        <w:rPr>
          <w:rFonts w:hint="eastAsia"/>
          <w:b w:val="1"/>
          <w:color w:val="0070C0"/>
          <w:highlight w:val="none"/>
        </w:rPr>
        <w:t>２　養成・現任教育</w:t>
      </w:r>
    </w:p>
    <w:p>
      <w:pPr>
        <w:pStyle w:val="0"/>
        <w:tabs>
          <w:tab w:val="left" w:leader="none" w:pos="1985"/>
        </w:tabs>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4-4-7</w:t>
      </w:r>
      <w:r>
        <w:rPr>
          <w:rFonts w:hint="eastAsia" w:ascii="ＭＳ ゴシック" w:hAnsi="ＭＳ ゴシック" w:eastAsia="ＭＳ ゴシック"/>
          <w:sz w:val="22"/>
          <w:highlight w:val="none"/>
        </w:rPr>
        <w:t>）助産師養成施設の養成定員数</w:t>
      </w:r>
    </w:p>
    <w:tbl>
      <w:tblPr>
        <w:tblStyle w:val="11"/>
        <w:tblW w:w="793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5562"/>
        <w:gridCol w:w="2376"/>
      </w:tblGrid>
      <w:tr>
        <w:trPr/>
        <w:tc>
          <w:tcPr>
            <w:tcW w:w="5562" w:type="dxa"/>
            <w:shd w:val="clear" w:color="auto" w:fill="DAEEF3"/>
            <w:vAlign w:val="center"/>
          </w:tcPr>
          <w:p>
            <w:pPr>
              <w:pStyle w:val="0"/>
              <w:tabs>
                <w:tab w:val="left" w:leader="none" w:pos="1985"/>
              </w:tabs>
              <w:jc w:val="center"/>
              <w:rPr>
                <w:rFonts w:hint="default"/>
                <w:sz w:val="20"/>
                <w:highlight w:val="none"/>
              </w:rPr>
            </w:pPr>
            <w:r>
              <w:rPr>
                <w:rFonts w:hint="eastAsia"/>
                <w:sz w:val="20"/>
                <w:highlight w:val="none"/>
              </w:rPr>
              <w:t>養成施設名</w:t>
            </w:r>
          </w:p>
        </w:tc>
        <w:tc>
          <w:tcPr>
            <w:tcW w:w="2376" w:type="dxa"/>
            <w:shd w:val="clear" w:color="auto" w:fill="DAEEF3"/>
            <w:vAlign w:val="center"/>
          </w:tcPr>
          <w:p>
            <w:pPr>
              <w:pStyle w:val="0"/>
              <w:tabs>
                <w:tab w:val="left" w:leader="none" w:pos="1985"/>
              </w:tabs>
              <w:jc w:val="center"/>
              <w:rPr>
                <w:rFonts w:hint="default"/>
                <w:sz w:val="20"/>
                <w:highlight w:val="none"/>
              </w:rPr>
            </w:pPr>
            <w:r>
              <w:rPr>
                <w:rFonts w:hint="eastAsia"/>
                <w:sz w:val="20"/>
                <w:highlight w:val="none"/>
              </w:rPr>
              <w:t>養成定員</w:t>
            </w:r>
          </w:p>
        </w:tc>
      </w:tr>
      <w:tr>
        <w:trPr/>
        <w:tc>
          <w:tcPr>
            <w:tcW w:w="5562" w:type="dxa"/>
            <w:shd w:val="clear" w:color="auto" w:fill="DAEEF3"/>
            <w:vAlign w:val="center"/>
          </w:tcPr>
          <w:p>
            <w:pPr>
              <w:pStyle w:val="0"/>
              <w:tabs>
                <w:tab w:val="left" w:leader="none" w:pos="1985"/>
              </w:tabs>
              <w:ind w:firstLine="207" w:firstLineChars="100"/>
              <w:jc w:val="center"/>
              <w:rPr>
                <w:rFonts w:hint="default"/>
                <w:sz w:val="20"/>
                <w:highlight w:val="none"/>
              </w:rPr>
            </w:pPr>
            <w:r>
              <w:rPr>
                <w:rFonts w:hint="eastAsia"/>
                <w:sz w:val="20"/>
                <w:highlight w:val="none"/>
              </w:rPr>
              <w:t>高知県立大学看護学部看護学科（助産師課程）</w:t>
            </w:r>
          </w:p>
        </w:tc>
        <w:tc>
          <w:tcPr>
            <w:tcW w:w="2376" w:type="dxa"/>
            <w:vAlign w:val="center"/>
          </w:tcPr>
          <w:p>
            <w:pPr>
              <w:pStyle w:val="0"/>
              <w:tabs>
                <w:tab w:val="left" w:leader="none" w:pos="1985"/>
              </w:tabs>
              <w:jc w:val="center"/>
              <w:rPr>
                <w:rFonts w:hint="default"/>
                <w:sz w:val="20"/>
                <w:highlight w:val="none"/>
              </w:rPr>
            </w:pPr>
            <w:r>
              <w:rPr>
                <w:rFonts w:hint="eastAsia"/>
                <w:sz w:val="20"/>
                <w:highlight w:val="none"/>
              </w:rPr>
              <w:t>１学年　８人</w:t>
            </w:r>
          </w:p>
        </w:tc>
      </w:tr>
      <w:tr>
        <w:trPr/>
        <w:tc>
          <w:tcPr>
            <w:tcW w:w="5562" w:type="dxa"/>
            <w:shd w:val="clear" w:color="auto" w:fill="DAEEF3"/>
            <w:vAlign w:val="center"/>
          </w:tcPr>
          <w:p>
            <w:pPr>
              <w:pStyle w:val="0"/>
              <w:tabs>
                <w:tab w:val="left" w:leader="none" w:pos="1985"/>
              </w:tabs>
              <w:ind w:firstLine="207" w:firstLineChars="100"/>
              <w:jc w:val="center"/>
              <w:rPr>
                <w:rFonts w:hint="default"/>
                <w:sz w:val="20"/>
                <w:highlight w:val="none"/>
              </w:rPr>
            </w:pPr>
            <w:r>
              <w:rPr>
                <w:rFonts w:hint="eastAsia"/>
                <w:sz w:val="20"/>
                <w:highlight w:val="none"/>
              </w:rPr>
              <w:t>高知大学大学院総合人間自然科学研究科看護学専攻</w:t>
            </w:r>
          </w:p>
          <w:p>
            <w:pPr>
              <w:pStyle w:val="0"/>
              <w:tabs>
                <w:tab w:val="left" w:leader="none" w:pos="1985"/>
              </w:tabs>
              <w:ind w:firstLine="207" w:firstLineChars="100"/>
              <w:jc w:val="center"/>
              <w:rPr>
                <w:rFonts w:hint="default"/>
                <w:sz w:val="20"/>
                <w:highlight w:val="none"/>
              </w:rPr>
            </w:pPr>
            <w:r>
              <w:rPr>
                <w:rFonts w:hint="eastAsia"/>
                <w:sz w:val="20"/>
                <w:highlight w:val="none"/>
              </w:rPr>
              <w:t>（実践助産学課程）</w:t>
            </w:r>
          </w:p>
        </w:tc>
        <w:tc>
          <w:tcPr>
            <w:tcW w:w="2376" w:type="dxa"/>
            <w:vAlign w:val="center"/>
          </w:tcPr>
          <w:p>
            <w:pPr>
              <w:pStyle w:val="0"/>
              <w:tabs>
                <w:tab w:val="left" w:leader="none" w:pos="1985"/>
              </w:tabs>
              <w:jc w:val="center"/>
              <w:rPr>
                <w:rFonts w:hint="default"/>
                <w:sz w:val="20"/>
                <w:highlight w:val="none"/>
              </w:rPr>
            </w:pPr>
            <w:r>
              <w:rPr>
                <w:rFonts w:hint="eastAsia"/>
                <w:sz w:val="20"/>
                <w:highlight w:val="none"/>
              </w:rPr>
              <w:t>１学年　５人</w:t>
            </w:r>
          </w:p>
        </w:tc>
      </w:tr>
    </w:tbl>
    <w:p>
      <w:pPr>
        <w:pStyle w:val="0"/>
        <w:tabs>
          <w:tab w:val="left" w:leader="none" w:pos="1985"/>
        </w:tabs>
        <w:ind w:left="413" w:hanging="413" w:hangingChars="200"/>
        <w:rPr>
          <w:rFonts w:hint="default"/>
          <w:highlight w:val="none"/>
        </w:rPr>
      </w:pPr>
    </w:p>
    <w:p>
      <w:pPr>
        <w:pStyle w:val="0"/>
        <w:tabs>
          <w:tab w:val="left" w:leader="none" w:pos="1985"/>
        </w:tabs>
        <w:ind w:leftChars="0" w:firstLine="225" w:firstLineChars="99"/>
        <w:rPr>
          <w:rFonts w:hint="eastAsia"/>
          <w:color w:val="000000"/>
          <w:highlight w:val="none"/>
        </w:rPr>
      </w:pPr>
      <w:r>
        <w:rPr>
          <w:rFonts w:hint="eastAsia"/>
          <w:color w:val="000000"/>
          <w:highlight w:val="none"/>
        </w:rPr>
        <w:t>近年は、出生数の減少や分娩取扱施設の減少等により、助産学生が介助する正常分娩事例の確保には困難を極めています。また、出生数の減少とハイリスク妊産婦の増加、産科と他科との混合病棟で看護業務に従事するなどの施設の特性等によって、助産師が経験年数に応じた正常分娩の介助経験等の助産実践を積み重ねることが難しい状況になっています。</w:t>
      </w:r>
    </w:p>
    <w:p>
      <w:pPr>
        <w:pStyle w:val="0"/>
        <w:tabs>
          <w:tab w:val="left" w:leader="none" w:pos="1985"/>
        </w:tabs>
        <w:ind w:leftChars="0" w:firstLine="225" w:firstLineChars="99"/>
        <w:rPr>
          <w:rFonts w:hint="default"/>
          <w:color w:val="000000"/>
          <w:sz w:val="16"/>
          <w:highlight w:val="none"/>
        </w:rPr>
      </w:pPr>
      <w:r>
        <w:rPr>
          <w:rFonts w:hint="eastAsia"/>
          <w:color w:val="000000"/>
          <w:highlight w:val="none"/>
        </w:rPr>
        <w:t>このような周産期医療を取り巻く環境の変化や女性の健康課題が多様化する中で、助産師が就業した施設で力を発揮していくためには継続的な現任教育が必要であり、新人助産師の研修のほか助産実践能力習熟段階（クリニカルラダー）を活用してステップアップすることで助産師一人ひとりの助産実践能力の獲得を支援する必要があります。</w:t>
      </w:r>
    </w:p>
    <w:p>
      <w:pPr>
        <w:pStyle w:val="0"/>
        <w:tabs>
          <w:tab w:val="left" w:leader="none" w:pos="1985"/>
        </w:tabs>
        <w:snapToGrid w:val="0"/>
        <w:ind w:left="226" w:leftChars="74" w:hanging="58" w:hangingChars="35"/>
        <w:rPr>
          <w:rFonts w:hint="default"/>
          <w:color w:val="000000"/>
          <w:sz w:val="16"/>
          <w:highlight w:val="none"/>
        </w:rPr>
      </w:pPr>
      <w:r>
        <w:rPr>
          <w:rFonts w:hint="eastAsia"/>
          <w:color w:val="000000"/>
          <w:sz w:val="16"/>
          <w:highlight w:val="none"/>
        </w:rPr>
        <w:t>※令和５年度の助産実践能力習熟段階（クリカルラダー）レベルⅢ認証制度において認証されているアドバンス助産師数は、本県では</w:t>
      </w:r>
      <w:r>
        <w:rPr>
          <w:rFonts w:hint="eastAsia"/>
          <w:color w:val="000000"/>
          <w:sz w:val="16"/>
          <w:highlight w:val="none"/>
        </w:rPr>
        <w:t>61</w:t>
      </w:r>
      <w:r>
        <w:rPr>
          <w:rFonts w:hint="eastAsia"/>
          <w:color w:val="000000"/>
          <w:sz w:val="16"/>
          <w:highlight w:val="none"/>
        </w:rPr>
        <w:t>人。</w:t>
      </w:r>
    </w:p>
    <w:p>
      <w:pPr>
        <w:pStyle w:val="0"/>
        <w:tabs>
          <w:tab w:val="left" w:leader="none" w:pos="1985"/>
        </w:tabs>
        <w:snapToGrid w:val="0"/>
        <w:ind w:left="226" w:leftChars="74" w:hanging="58" w:hangingChars="35"/>
        <w:rPr>
          <w:rFonts w:hint="default"/>
          <w:color w:val="000000"/>
          <w:sz w:val="16"/>
          <w:highlight w:val="none"/>
        </w:rPr>
      </w:pPr>
    </w:p>
    <w:p>
      <w:pPr>
        <w:pStyle w:val="0"/>
        <w:tabs>
          <w:tab w:val="left" w:leader="none" w:pos="1985"/>
        </w:tabs>
        <w:snapToGrid w:val="0"/>
        <w:ind w:left="226" w:leftChars="74" w:hanging="58" w:hangingChars="35"/>
        <w:rPr>
          <w:rFonts w:hint="default"/>
          <w:color w:val="000000"/>
          <w:sz w:val="16"/>
          <w:highlight w:val="none"/>
        </w:rPr>
      </w:pPr>
    </w:p>
    <w:p>
      <w:pPr>
        <w:pStyle w:val="0"/>
        <w:tabs>
          <w:tab w:val="left" w:leader="none" w:pos="1985"/>
        </w:tabs>
        <w:rPr>
          <w:rFonts w:hint="default"/>
          <w:b w:val="1"/>
          <w:color w:val="0070C0"/>
          <w:highlight w:val="none"/>
        </w:rPr>
      </w:pPr>
      <w:r>
        <w:rPr>
          <w:rFonts w:hint="eastAsia"/>
          <w:b w:val="1"/>
          <w:color w:val="0070C0"/>
          <w:highlight w:val="none"/>
        </w:rPr>
        <w:t>３　期待される役割の拡大</w:t>
      </w:r>
    </w:p>
    <w:p>
      <w:pPr>
        <w:pStyle w:val="0"/>
        <w:tabs>
          <w:tab w:val="left" w:leader="none" w:pos="1985"/>
        </w:tabs>
        <w:ind w:left="143" w:leftChars="63" w:firstLine="281" w:firstLineChars="124"/>
        <w:rPr>
          <w:rFonts w:hint="default"/>
          <w:color w:val="FF0000"/>
          <w:highlight w:val="none"/>
        </w:rPr>
      </w:pPr>
      <w:r>
        <w:rPr>
          <w:rFonts w:hint="eastAsia"/>
          <w:color w:val="auto"/>
          <w:highlight w:val="none"/>
        </w:rPr>
        <w:t>本県では、人口</w:t>
      </w:r>
      <w:r>
        <w:rPr>
          <w:rFonts w:hint="eastAsia"/>
          <w:color w:val="auto"/>
          <w:highlight w:val="none"/>
        </w:rPr>
        <w:t>10</w:t>
      </w:r>
      <w:r>
        <w:rPr>
          <w:rFonts w:hint="eastAsia"/>
          <w:color w:val="auto"/>
          <w:highlight w:val="none"/>
        </w:rPr>
        <w:t>万人当たりの就業助産師数は、</w:t>
      </w:r>
      <w:r>
        <w:rPr>
          <w:rFonts w:hint="eastAsia"/>
          <w:color w:val="auto"/>
          <w:highlight w:val="none"/>
          <w:u w:val="none" w:color="auto"/>
        </w:rPr>
        <w:t>全国平均となっておりますが、分娩取扱施設の減少と中央保健医療圏への偏在があり、病院・診療所で勤務する助産師が８割を占めています。今後、分娩取扱施設の減少やハイリスク妊産婦の増加により地域母子保健活動と連携の取れた支援の提供など、地域で生活する妊産婦とその家族が安全で安心して出産や子育てができる環境の整備に向けた助産師の役割の拡大に伴い、人材の確保と資質の向上が必要となります。</w:t>
      </w:r>
    </w:p>
    <w:p>
      <w:pPr>
        <w:pStyle w:val="0"/>
        <w:tabs>
          <w:tab w:val="left" w:leader="none" w:pos="1985"/>
        </w:tabs>
        <w:rPr>
          <w:rFonts w:hint="default"/>
          <w:highlight w:val="none"/>
        </w:rPr>
      </w:pPr>
    </w:p>
    <w:p>
      <w:pPr>
        <w:pStyle w:val="0"/>
        <w:tabs>
          <w:tab w:val="left" w:leader="none" w:pos="1985"/>
        </w:tabs>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tabs>
          <w:tab w:val="left" w:leader="none" w:pos="1985"/>
        </w:tabs>
        <w:rPr>
          <w:rFonts w:hint="default"/>
          <w:b w:val="1"/>
          <w:color w:val="0070C0"/>
          <w:highlight w:val="none"/>
        </w:rPr>
      </w:pPr>
      <w:r>
        <w:rPr>
          <w:rFonts w:hint="eastAsia"/>
          <w:b w:val="1"/>
          <w:color w:val="0070C0"/>
          <w:highlight w:val="none"/>
        </w:rPr>
        <w:t>１　助産師の確保</w:t>
      </w:r>
    </w:p>
    <w:p>
      <w:pPr>
        <w:pStyle w:val="0"/>
        <w:tabs>
          <w:tab w:val="left" w:leader="none" w:pos="1985"/>
        </w:tabs>
        <w:ind w:left="227" w:leftChars="100" w:firstLine="227" w:firstLineChars="100"/>
        <w:rPr>
          <w:rFonts w:hint="default"/>
          <w:color w:val="auto"/>
          <w:highlight w:val="none"/>
          <w:u w:val="none" w:color="auto"/>
        </w:rPr>
      </w:pPr>
      <w:r>
        <w:rPr>
          <w:rFonts w:hint="eastAsia"/>
          <w:highlight w:val="none"/>
        </w:rPr>
        <w:t>平成</w:t>
      </w:r>
      <w:r>
        <w:rPr>
          <w:rFonts w:hint="eastAsia"/>
          <w:highlight w:val="none"/>
        </w:rPr>
        <w:t>20</w:t>
      </w:r>
      <w:r>
        <w:rPr>
          <w:rFonts w:hint="eastAsia"/>
          <w:highlight w:val="none"/>
        </w:rPr>
        <w:t>年度に「高知県助産師緊急確保対策奨学金」を創設し、県内外の助産師養成施設に通う学生に対して奨学金の貸付を行ってきました。</w:t>
      </w:r>
      <w:r>
        <w:rPr>
          <w:rFonts w:hint="eastAsia"/>
          <w:color w:val="auto"/>
          <w:highlight w:val="none"/>
          <w:u w:val="none" w:color="auto"/>
        </w:rPr>
        <w:t>令和３年度からは「高知県助産師確保対策奨学金」と名称を変更し、引き続き貸付けを行うことで県内の就業助産師数の安定確保につとめます。</w:t>
      </w:r>
    </w:p>
    <w:p>
      <w:pPr>
        <w:pStyle w:val="0"/>
        <w:tabs>
          <w:tab w:val="left" w:leader="none" w:pos="1985"/>
        </w:tabs>
        <w:ind w:left="227" w:leftChars="100" w:firstLine="227" w:firstLineChars="100"/>
        <w:rPr>
          <w:rFonts w:hint="default"/>
          <w:color w:val="auto"/>
          <w:highlight w:val="none"/>
        </w:rPr>
      </w:pPr>
      <w:r>
        <w:rPr>
          <w:rFonts w:hint="eastAsia"/>
          <w:color w:val="auto"/>
          <w:highlight w:val="none"/>
          <w:u w:val="none" w:color="auto"/>
        </w:rPr>
        <w:t>さらに、助産師の就業先の偏在の是正や助産実践能力の獲得のために、施設間での助産師の出向支援に継続して取り組みます。</w:t>
      </w:r>
    </w:p>
    <w:p>
      <w:pPr>
        <w:pStyle w:val="0"/>
        <w:tabs>
          <w:tab w:val="left" w:leader="none" w:pos="1985"/>
        </w:tabs>
        <w:ind w:left="227" w:leftChars="100" w:firstLine="227" w:firstLineChars="100"/>
        <w:rPr>
          <w:rFonts w:hint="default"/>
          <w:highlight w:val="none"/>
        </w:rPr>
      </w:pPr>
    </w:p>
    <w:p>
      <w:pPr>
        <w:pStyle w:val="0"/>
        <w:tabs>
          <w:tab w:val="left" w:leader="none" w:pos="1985"/>
        </w:tabs>
        <w:rPr>
          <w:rFonts w:hint="default"/>
          <w:b w:val="1"/>
          <w:color w:val="0070C0"/>
          <w:highlight w:val="none"/>
        </w:rPr>
      </w:pPr>
      <w:r>
        <w:rPr>
          <w:rFonts w:hint="eastAsia"/>
          <w:b w:val="1"/>
          <w:color w:val="0070C0"/>
          <w:highlight w:val="none"/>
        </w:rPr>
        <w:t>２　研修体制の確保</w:t>
      </w:r>
    </w:p>
    <w:p>
      <w:pPr>
        <w:pStyle w:val="0"/>
        <w:tabs>
          <w:tab w:val="left" w:leader="none" w:pos="1985"/>
        </w:tabs>
        <w:ind w:left="227" w:leftChars="100" w:firstLine="227" w:firstLineChars="100"/>
        <w:rPr>
          <w:rFonts w:hint="default"/>
          <w:color w:val="000000"/>
          <w:highlight w:val="none"/>
        </w:rPr>
      </w:pPr>
      <w:r>
        <w:rPr>
          <w:rFonts w:hint="eastAsia"/>
          <w:color w:val="000000"/>
          <w:highlight w:val="none"/>
        </w:rPr>
        <w:t>関係機関と連携しクリニカルラダーを踏まえた研修を実施します。また、新人助産師がクリニカルラダーを踏まえた研修が受けられるよう、新人助産師研修を実施する施設に対し、新人助産師の育成に係る費用の補助を行います。</w:t>
      </w:r>
    </w:p>
    <w:p>
      <w:pPr>
        <w:pStyle w:val="0"/>
        <w:rPr>
          <w:rFonts w:hint="default"/>
          <w:b w:val="1"/>
          <w:highlight w:val="none"/>
        </w:rPr>
      </w:pPr>
    </w:p>
    <w:p>
      <w:pPr>
        <w:pStyle w:val="0"/>
        <w:spacing w:after="165" w:afterLines="50" w:afterAutospacing="0"/>
        <w:rPr>
          <w:rFonts w:hint="default"/>
          <w:highlight w:val="none"/>
        </w:rPr>
      </w:pPr>
      <w:r>
        <w:rPr>
          <w:rFonts w:hint="eastAsia"/>
          <w:b w:val="1"/>
          <w:highlight w:val="none"/>
          <w:bdr w:val="single" w:color="auto" w:sz="4" w:space="0"/>
          <w:shd w:val="clear" w:color="auto" w:fill="E5DFEC"/>
        </w:rPr>
        <w:t>目標</w:t>
      </w:r>
    </w:p>
    <w:tbl>
      <w:tblPr>
        <w:tblStyle w:val="11"/>
        <w:tblW w:w="879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06"/>
        <w:gridCol w:w="4160"/>
        <w:gridCol w:w="2060"/>
        <w:gridCol w:w="2270"/>
      </w:tblGrid>
      <w:tr>
        <w:trPr>
          <w:trHeight w:val="317" w:hRule="atLeast"/>
        </w:trPr>
        <w:tc>
          <w:tcPr>
            <w:tcW w:w="306" w:type="dxa"/>
            <w:shd w:val="clear" w:color="auto" w:fill="DAEEF3"/>
            <w:vAlign w:val="center"/>
          </w:tcPr>
          <w:p>
            <w:pPr>
              <w:pStyle w:val="0"/>
              <w:snapToGrid w:val="0"/>
              <w:rPr>
                <w:rFonts w:hint="default"/>
                <w:color w:val="auto"/>
                <w:highlight w:val="none"/>
              </w:rPr>
            </w:pPr>
            <w:r>
              <w:rPr>
                <w:rFonts w:hint="eastAsia"/>
                <w:color w:val="auto"/>
                <w:sz w:val="16"/>
                <w:highlight w:val="none"/>
              </w:rPr>
              <w:t>区分</w:t>
            </w:r>
          </w:p>
        </w:tc>
        <w:tc>
          <w:tcPr>
            <w:tcW w:w="4160" w:type="dxa"/>
            <w:shd w:val="clear" w:color="auto" w:fill="DAEEF3"/>
            <w:vAlign w:val="center"/>
          </w:tcPr>
          <w:p>
            <w:pPr>
              <w:pStyle w:val="0"/>
              <w:jc w:val="center"/>
              <w:rPr>
                <w:rFonts w:hint="default"/>
                <w:color w:val="auto"/>
                <w:sz w:val="20"/>
                <w:highlight w:val="none"/>
              </w:rPr>
            </w:pPr>
            <w:r>
              <w:rPr>
                <w:rFonts w:hint="eastAsia"/>
                <w:color w:val="auto"/>
                <w:sz w:val="20"/>
                <w:highlight w:val="none"/>
              </w:rPr>
              <w:t>項目</w:t>
            </w:r>
          </w:p>
        </w:tc>
        <w:tc>
          <w:tcPr>
            <w:tcW w:w="2060" w:type="dxa"/>
            <w:shd w:val="clear" w:color="auto" w:fill="DAEEF3"/>
            <w:vAlign w:val="center"/>
          </w:tcPr>
          <w:p>
            <w:pPr>
              <w:pStyle w:val="0"/>
              <w:jc w:val="center"/>
              <w:rPr>
                <w:rFonts w:hint="default"/>
                <w:color w:val="auto"/>
                <w:sz w:val="20"/>
                <w:highlight w:val="none"/>
              </w:rPr>
            </w:pPr>
            <w:r>
              <w:rPr>
                <w:rFonts w:hint="eastAsia"/>
                <w:color w:val="auto"/>
                <w:sz w:val="20"/>
                <w:highlight w:val="none"/>
              </w:rPr>
              <w:t>直近値</w:t>
            </w:r>
          </w:p>
        </w:tc>
        <w:tc>
          <w:tcPr>
            <w:tcW w:w="2270" w:type="dxa"/>
            <w:shd w:val="clear" w:color="auto" w:fill="DAEEF3"/>
            <w:vAlign w:val="center"/>
          </w:tcPr>
          <w:p>
            <w:pPr>
              <w:pStyle w:val="0"/>
              <w:jc w:val="center"/>
              <w:rPr>
                <w:rFonts w:hint="default"/>
                <w:color w:val="auto"/>
                <w:sz w:val="18"/>
                <w:highlight w:val="none"/>
              </w:rPr>
            </w:pPr>
            <w:r>
              <w:rPr>
                <w:rFonts w:hint="eastAsia"/>
                <w:color w:val="auto"/>
                <w:sz w:val="18"/>
                <w:highlight w:val="none"/>
              </w:rPr>
              <w:t>目標値（令和</w:t>
            </w:r>
            <w:r>
              <w:rPr>
                <w:rFonts w:hint="eastAsia"/>
                <w:color w:val="auto"/>
                <w:sz w:val="18"/>
                <w:highlight w:val="none"/>
              </w:rPr>
              <w:t>11</w:t>
            </w:r>
            <w:r>
              <w:rPr>
                <w:rFonts w:hint="eastAsia"/>
                <w:color w:val="auto"/>
                <w:sz w:val="18"/>
                <w:highlight w:val="none"/>
              </w:rPr>
              <w:t>年度）</w:t>
            </w:r>
          </w:p>
        </w:tc>
      </w:tr>
      <w:tr>
        <w:trPr>
          <w:trHeight w:val="660" w:hRule="atLeast"/>
        </w:trPr>
        <w:tc>
          <w:tcPr>
            <w:tcW w:w="306" w:type="dxa"/>
            <w:shd w:val="clear" w:color="auto" w:fill="DAEEF3"/>
            <w:vAlign w:val="center"/>
          </w:tcPr>
          <w:p>
            <w:pPr>
              <w:pStyle w:val="0"/>
              <w:rPr>
                <w:rFonts w:hint="default"/>
                <w:color w:val="auto"/>
                <w:sz w:val="20"/>
                <w:highlight w:val="none"/>
              </w:rPr>
            </w:pPr>
            <w:r>
              <w:rPr>
                <w:rFonts w:hint="eastAsia"/>
                <w:color w:val="auto"/>
                <w:sz w:val="20"/>
                <w:highlight w:val="none"/>
              </w:rPr>
              <w:t>S</w:t>
            </w:r>
          </w:p>
        </w:tc>
        <w:tc>
          <w:tcPr>
            <w:tcW w:w="4160" w:type="dxa"/>
            <w:shd w:val="clear" w:color="auto" w:fill="DAEEF3"/>
            <w:vAlign w:val="center"/>
          </w:tcPr>
          <w:p>
            <w:pPr>
              <w:pStyle w:val="0"/>
              <w:spacing w:line="0" w:lineRule="atLeast"/>
              <w:jc w:val="center"/>
              <w:rPr>
                <w:rFonts w:hint="default"/>
                <w:color w:val="auto"/>
                <w:sz w:val="20"/>
                <w:highlight w:val="none"/>
              </w:rPr>
            </w:pPr>
            <w:r>
              <w:rPr>
                <w:rFonts w:hint="eastAsia"/>
                <w:color w:val="auto"/>
                <w:sz w:val="20"/>
                <w:highlight w:val="none"/>
              </w:rPr>
              <w:t>助産師確保対策奨学金貸付者の</w:t>
            </w:r>
          </w:p>
          <w:p>
            <w:pPr>
              <w:pStyle w:val="0"/>
              <w:spacing w:line="0" w:lineRule="atLeast"/>
              <w:jc w:val="center"/>
              <w:rPr>
                <w:rFonts w:hint="default"/>
                <w:color w:val="auto"/>
                <w:sz w:val="20"/>
                <w:highlight w:val="none"/>
              </w:rPr>
            </w:pPr>
            <w:r>
              <w:rPr>
                <w:rFonts w:hint="eastAsia"/>
                <w:color w:val="auto"/>
                <w:sz w:val="20"/>
                <w:highlight w:val="none"/>
              </w:rPr>
              <w:t>県内就業率</w:t>
            </w:r>
            <w:r>
              <w:rPr>
                <w:rFonts w:hint="eastAsia"/>
                <w:color w:val="auto"/>
                <w:sz w:val="16"/>
                <w:highlight w:val="none"/>
              </w:rPr>
              <w:t>（未就業者を除く）</w:t>
            </w:r>
          </w:p>
        </w:tc>
        <w:tc>
          <w:tcPr>
            <w:tcW w:w="2060"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100</w:t>
            </w:r>
            <w:r>
              <w:rPr>
                <w:rFonts w:hint="eastAsia"/>
                <w:color w:val="auto"/>
                <w:sz w:val="20"/>
                <w:highlight w:val="none"/>
                <w:u w:val="none" w:color="auto"/>
              </w:rPr>
              <w:t>％</w:t>
            </w:r>
          </w:p>
          <w:p>
            <w:pPr>
              <w:pStyle w:val="0"/>
              <w:spacing w:line="0" w:lineRule="atLeast"/>
              <w:jc w:val="center"/>
              <w:rPr>
                <w:rFonts w:hint="default"/>
                <w:color w:val="auto"/>
                <w:sz w:val="20"/>
                <w:highlight w:val="none"/>
                <w:u w:val="none" w:color="auto"/>
              </w:rPr>
            </w:pPr>
            <w:r>
              <w:rPr>
                <w:rFonts w:hint="eastAsia"/>
                <w:color w:val="auto"/>
                <w:sz w:val="18"/>
                <w:highlight w:val="none"/>
                <w:u w:val="none" w:color="auto"/>
              </w:rPr>
              <w:t>（就業者９名全員が</w:t>
            </w:r>
          </w:p>
          <w:p>
            <w:pPr>
              <w:pStyle w:val="0"/>
              <w:spacing w:line="0" w:lineRule="atLeast"/>
              <w:jc w:val="center"/>
              <w:rPr>
                <w:rFonts w:hint="default"/>
                <w:color w:val="auto"/>
                <w:sz w:val="20"/>
                <w:highlight w:val="none"/>
                <w:u w:val="none" w:color="auto"/>
              </w:rPr>
            </w:pPr>
            <w:r>
              <w:rPr>
                <w:rFonts w:hint="eastAsia"/>
                <w:color w:val="auto"/>
                <w:sz w:val="18"/>
                <w:highlight w:val="none"/>
                <w:u w:val="none" w:color="auto"/>
              </w:rPr>
              <w:t>県内就業）</w:t>
            </w:r>
          </w:p>
          <w:p>
            <w:pPr>
              <w:pStyle w:val="0"/>
              <w:spacing w:line="0" w:lineRule="atLeast"/>
              <w:jc w:val="center"/>
              <w:rPr>
                <w:rFonts w:hint="default"/>
                <w:color w:val="auto"/>
                <w:sz w:val="20"/>
                <w:highlight w:val="none"/>
                <w:u w:val="none" w:color="auto"/>
              </w:rPr>
            </w:pPr>
            <w:r>
              <w:rPr>
                <w:rFonts w:hint="eastAsia"/>
                <w:color w:val="auto"/>
                <w:sz w:val="18"/>
                <w:highlight w:val="none"/>
                <w:u w:val="none" w:color="auto"/>
              </w:rPr>
              <w:t>（令和４年度）</w:t>
            </w:r>
          </w:p>
        </w:tc>
        <w:tc>
          <w:tcPr>
            <w:tcW w:w="2270"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100</w:t>
            </w:r>
            <w:r>
              <w:rPr>
                <w:rFonts w:hint="eastAsia"/>
                <w:color w:val="auto"/>
                <w:sz w:val="20"/>
                <w:highlight w:val="none"/>
                <w:u w:val="none" w:color="auto"/>
              </w:rPr>
              <w:t>％</w:t>
            </w:r>
          </w:p>
        </w:tc>
      </w:tr>
    </w:tbl>
    <w:p>
      <w:pPr>
        <w:pStyle w:val="0"/>
        <w:rPr>
          <w:rFonts w:hint="default"/>
          <w:b w:val="1"/>
          <w:color w:val="000080"/>
          <w:spacing w:val="2"/>
          <w:highlight w:val="none"/>
        </w:rPr>
      </w:pPr>
      <w:r>
        <w:rPr>
          <w:rFonts w:hint="eastAsia"/>
          <w:highlight w:val="none"/>
        </w:rPr>
        <mc:AlternateContent>
          <mc:Choice Requires="wps">
            <w:drawing>
              <wp:anchor distT="0" distB="0" distL="71755" distR="71755" simplePos="0" relativeHeight="87" behindDoc="0" locked="0" layoutInCell="1" hidden="0" allowOverlap="1">
                <wp:simplePos x="0" y="0"/>
                <wp:positionH relativeFrom="column">
                  <wp:posOffset>192405</wp:posOffset>
                </wp:positionH>
                <wp:positionV relativeFrom="paragraph">
                  <wp:posOffset>92075</wp:posOffset>
                </wp:positionV>
                <wp:extent cx="5551170" cy="151765"/>
                <wp:effectExtent l="635" t="635" r="29845" b="10795"/>
                <wp:wrapNone/>
                <wp:docPr id="1291" name="オブジェクト 0"/>
                <a:graphic xmlns:a="http://schemas.openxmlformats.org/drawingml/2006/main">
                  <a:graphicData uri="http://schemas.microsoft.com/office/word/2010/wordprocessingShape">
                    <wps:wsp>
                      <wps:cNvPr id="1291" name="オブジェクト 0"/>
                      <wps:cNvSpPr txBox="1">
                        <a:spLocks noChangeArrowheads="1"/>
                      </wps:cNvSpPr>
                      <wps:spPr>
                        <a:xfrm>
                          <a:off x="0" y="0"/>
                          <a:ext cx="5551170" cy="151765"/>
                        </a:xfrm>
                        <a:prstGeom prst="rect">
                          <a:avLst/>
                        </a:prstGeom>
                        <a:solidFill>
                          <a:srgbClr val="FFFFFF"/>
                        </a:solidFill>
                        <a:ln w="6350" cmpd="sng">
                          <a:solidFill>
                            <a:srgbClr val="000000"/>
                          </a:solidFill>
                          <a:miter/>
                        </a:ln>
                      </wps:spPr>
                      <wps:txbx>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25pt;mso-position-vertical-relative:text;mso-position-horizontal-relative:text;position:absolute;height:11.95pt;mso-wrap-distance-top:0pt;width:437.1pt;mso-wrap-distance-left:5.65pt;margin-left:15.15pt;z-index:87;" o:spid="_x0000_s129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txbxContent>
                </v:textbox>
                <v:imagedata o:title=""/>
                <w10:wrap type="none" anchorx="text" anchory="text"/>
              </v:shape>
            </w:pict>
          </mc:Fallback>
        </mc:AlternateContent>
      </w:r>
      <w:r>
        <w:rPr>
          <w:rFonts w:hint="eastAsia" w:ascii="HGP創英角ﾎﾟｯﾌﾟ体" w:hAnsi="HGP創英角ﾎﾟｯﾌﾟ体" w:eastAsia="HGP創英角ﾎﾟｯﾌﾟ体"/>
          <w:color w:val="000080"/>
          <w:spacing w:val="2"/>
          <w:sz w:val="32"/>
          <w:highlight w:val="none"/>
        </w:rPr>
        <w:t xml:space="preserve"> </w:t>
      </w:r>
    </w:p>
    <w:p>
      <w:pPr>
        <w:pStyle w:val="0"/>
        <w:rPr>
          <w:rFonts w:hint="default"/>
          <w:b w:val="1"/>
          <w:sz w:val="28"/>
          <w:highlight w:val="none"/>
        </w:rPr>
      </w:pPr>
    </w:p>
    <w:p>
      <w:pPr>
        <w:pStyle w:val="0"/>
        <w:rPr>
          <w:rFonts w:hint="eastAsia"/>
          <w:highlight w:val="none"/>
        </w:rPr>
      </w:pPr>
    </w:p>
    <w:p>
      <w:pPr>
        <w:pStyle w:val="0"/>
        <w:rPr>
          <w:rFonts w:hint="eastAsia"/>
          <w:highlight w:val="none"/>
        </w:rPr>
      </w:pPr>
    </w:p>
    <w:p>
      <w:pPr>
        <w:pStyle w:val="0"/>
        <w:rPr>
          <w:rFonts w:hint="eastAsia"/>
          <w:b w:val="1"/>
          <w:color w:val="1F497D"/>
          <w:highlight w:val="none"/>
        </w:rPr>
      </w:pPr>
    </w:p>
    <w:p>
      <w:pPr>
        <w:pStyle w:val="0"/>
        <w:rPr>
          <w:rFonts w:hint="eastAsia"/>
          <w:b w:val="1"/>
          <w:color w:val="1F497D"/>
          <w:spacing w:val="2"/>
          <w:highlight w:val="none"/>
        </w:rPr>
      </w:pPr>
      <w:r>
        <w:rPr>
          <w:rFonts w:hint="eastAsia"/>
        </w:rPr>
        <w:br w:type="page"/>
      </w:r>
    </w:p>
    <w:p>
      <w:pPr>
        <w:pStyle w:val="0"/>
        <w:rPr>
          <w:rFonts w:hint="eastAsia"/>
          <w:b w:val="1"/>
          <w:color w:val="1F497D"/>
          <w:spacing w:val="2"/>
          <w:highlight w:val="none"/>
        </w:rPr>
      </w:pPr>
      <w:r>
        <w:rPr>
          <w:rFonts w:hint="eastAsia"/>
          <w:b w:val="1"/>
          <w:color w:val="1F497D"/>
          <w:spacing w:val="2"/>
          <w:highlight w:val="none"/>
        </w:rPr>
        <w:t>第３　保健師</w:t>
      </w:r>
    </w:p>
    <w:p>
      <w:pPr>
        <w:pStyle w:val="0"/>
        <w:spacing w:line="240" w:lineRule="exact"/>
        <w:ind w:leftChars="0" w:firstLine="0" w:firstLineChars="0"/>
        <w:rPr>
          <w:rFonts w:hint="eastAsia"/>
          <w:highlight w:val="none"/>
        </w:rPr>
      </w:pPr>
    </w:p>
    <w:p>
      <w:pPr>
        <w:pStyle w:val="0"/>
        <w:ind w:firstLine="220" w:firstLineChars="100"/>
        <w:rPr>
          <w:rFonts w:hint="default"/>
          <w:highlight w:val="none"/>
        </w:rPr>
      </w:pPr>
      <w:r>
        <w:rPr>
          <w:rFonts w:hint="eastAsia"/>
          <w:highlight w:val="none"/>
        </w:rPr>
        <w:t>保健師が関わる健康課題は、生活習慣病の予防や感染症対策はもとより、健康危機管理、うつ病・自殺対策、発達障害・障害者の自立支援、介護予防、虐待対策など、様々な分野に広がっています。</w:t>
      </w:r>
    </w:p>
    <w:p>
      <w:pPr>
        <w:pStyle w:val="0"/>
        <w:ind w:firstLine="220" w:firstLineChars="100"/>
        <w:rPr>
          <w:rFonts w:hint="default"/>
          <w:highlight w:val="none"/>
        </w:rPr>
      </w:pPr>
      <w:r>
        <w:rPr>
          <w:rFonts w:hint="eastAsia"/>
          <w:highlight w:val="none"/>
        </w:rPr>
        <w:t>県民の乳幼児期から高齢期までのライフステージを通した健康づくりを推進し、保健・医療・福祉の連携がとれたサービスを提供するためには、保健師の専門性の向上を図るとともに、各分野の保健師同士をはじめ、地域の関係機関や団体などとの連携を高めていくことが求められています。</w:t>
      </w:r>
    </w:p>
    <w:p>
      <w:pPr>
        <w:pStyle w:val="0"/>
        <w:spacing w:line="200" w:lineRule="exact"/>
        <w:rPr>
          <w:rFonts w:hint="default"/>
          <w:highlight w:val="none"/>
        </w:rPr>
      </w:pPr>
    </w:p>
    <w:p>
      <w:pPr>
        <w:pStyle w:val="0"/>
        <w:rPr>
          <w:rFonts w:hint="default"/>
          <w:highlight w:val="none"/>
          <w:bdr w:val="single" w:color="auto" w:sz="4" w:space="0"/>
        </w:rPr>
      </w:pPr>
      <w:r>
        <w:rPr>
          <w:rFonts w:hint="eastAsia"/>
          <w:b w:val="1"/>
          <w:highlight w:val="none"/>
          <w:bdr w:val="single" w:color="auto" w:sz="4" w:space="0"/>
          <w:shd w:val="clear" w:color="auto" w:fill="E5DFEC"/>
        </w:rPr>
        <w:t>現状と課題</w:t>
      </w:r>
    </w:p>
    <w:p>
      <w:pPr>
        <w:pStyle w:val="0"/>
        <w:ind w:left="227" w:leftChars="100"/>
        <w:rPr>
          <w:rFonts w:hint="default"/>
          <w:b w:val="1"/>
          <w:color w:val="0070C0"/>
          <w:sz w:val="18"/>
          <w:highlight w:val="none"/>
        </w:rPr>
      </w:pPr>
      <w:r>
        <w:rPr>
          <w:rFonts w:hint="eastAsia"/>
          <w:b w:val="1"/>
          <w:color w:val="0070C0"/>
          <w:highlight w:val="none"/>
        </w:rPr>
        <w:t>１　保健師の状況</w:t>
      </w:r>
      <w:r>
        <w:rPr>
          <w:rFonts w:hint="eastAsia"/>
          <w:b w:val="0"/>
          <w:color w:val="0070C0"/>
          <w:sz w:val="18"/>
          <w:highlight w:val="none"/>
          <w:u w:val="none" w:color="auto"/>
        </w:rPr>
        <w:t>（令和２年</w:t>
      </w:r>
      <w:r>
        <w:rPr>
          <w:rFonts w:hint="eastAsia"/>
          <w:b w:val="0"/>
          <w:color w:val="0070C0"/>
          <w:sz w:val="18"/>
          <w:highlight w:val="none"/>
          <w:u w:val="none" w:color="auto"/>
        </w:rPr>
        <w:t>12</w:t>
      </w:r>
      <w:r>
        <w:rPr>
          <w:rFonts w:hint="eastAsia"/>
          <w:b w:val="0"/>
          <w:color w:val="0070C0"/>
          <w:sz w:val="18"/>
          <w:highlight w:val="none"/>
          <w:u w:val="none" w:color="auto"/>
        </w:rPr>
        <w:t>月</w:t>
      </w:r>
      <w:r>
        <w:rPr>
          <w:rFonts w:hint="eastAsia"/>
          <w:b w:val="0"/>
          <w:color w:val="0070C0"/>
          <w:sz w:val="18"/>
          <w:highlight w:val="none"/>
          <w:u w:val="none" w:color="auto"/>
        </w:rPr>
        <w:t>31</w:t>
      </w:r>
      <w:r>
        <w:rPr>
          <w:rFonts w:hint="eastAsia"/>
          <w:b w:val="0"/>
          <w:color w:val="0070C0"/>
          <w:sz w:val="18"/>
          <w:highlight w:val="none"/>
          <w:u w:val="none" w:color="auto"/>
        </w:rPr>
        <w:t>日現在）</w:t>
      </w:r>
    </w:p>
    <w:p>
      <w:pPr>
        <w:pStyle w:val="0"/>
        <w:ind w:left="426" w:firstLine="220" w:firstLineChars="100"/>
        <w:rPr>
          <w:rFonts w:hint="default"/>
          <w:color w:val="auto"/>
          <w:highlight w:val="none"/>
          <w:u w:val="none" w:color="auto"/>
        </w:rPr>
      </w:pPr>
      <w:r>
        <w:rPr>
          <w:rFonts w:hint="eastAsia"/>
          <w:color w:val="000000"/>
          <w:highlight w:val="none"/>
          <w:u w:val="none" w:color="auto"/>
        </w:rPr>
        <w:t>本県の就業保健師数</w:t>
      </w:r>
      <w:r>
        <w:rPr>
          <w:rFonts w:hint="eastAsia"/>
          <w:color w:val="auto"/>
          <w:highlight w:val="none"/>
          <w:u w:val="none" w:color="auto"/>
        </w:rPr>
        <w:t>は</w:t>
      </w:r>
      <w:r>
        <w:rPr>
          <w:rFonts w:hint="eastAsia"/>
          <w:color w:val="auto"/>
          <w:highlight w:val="none"/>
          <w:u w:val="none" w:color="auto"/>
        </w:rPr>
        <w:t>558</w:t>
      </w:r>
      <w:r>
        <w:rPr>
          <w:rFonts w:hint="eastAsia"/>
          <w:color w:val="auto"/>
          <w:highlight w:val="none"/>
          <w:u w:val="none" w:color="auto"/>
        </w:rPr>
        <w:t>人で、人口</w:t>
      </w:r>
      <w:r>
        <w:rPr>
          <w:rFonts w:hint="eastAsia"/>
          <w:color w:val="auto"/>
          <w:highlight w:val="none"/>
          <w:u w:val="none" w:color="auto"/>
        </w:rPr>
        <w:t>10</w:t>
      </w:r>
      <w:r>
        <w:rPr>
          <w:rFonts w:hint="eastAsia"/>
          <w:color w:val="auto"/>
          <w:highlight w:val="none"/>
          <w:u w:val="none" w:color="auto"/>
        </w:rPr>
        <w:t>万人あたりの就業保健師数は、</w:t>
      </w:r>
      <w:r>
        <w:rPr>
          <w:rFonts w:hint="eastAsia"/>
          <w:color w:val="auto"/>
          <w:highlight w:val="none"/>
          <w:u w:val="none" w:color="auto"/>
        </w:rPr>
        <w:t>80.7</w:t>
      </w:r>
      <w:r>
        <w:rPr>
          <w:rFonts w:hint="eastAsia"/>
          <w:color w:val="auto"/>
          <w:highlight w:val="none"/>
          <w:u w:val="none" w:color="auto"/>
        </w:rPr>
        <w:t>人と全国平均の</w:t>
      </w:r>
      <w:r>
        <w:rPr>
          <w:rFonts w:hint="eastAsia"/>
          <w:color w:val="auto"/>
          <w:highlight w:val="none"/>
          <w:u w:val="none" w:color="auto"/>
        </w:rPr>
        <w:t>44.1</w:t>
      </w:r>
      <w:r>
        <w:rPr>
          <w:rFonts w:hint="eastAsia"/>
          <w:color w:val="auto"/>
          <w:highlight w:val="none"/>
          <w:u w:val="none" w:color="auto"/>
        </w:rPr>
        <w:t>人を大きく上回り、全国第２位となっており、就業場所でみると、県・保健所・市町村</w:t>
      </w:r>
      <w:r>
        <w:rPr>
          <w:rFonts w:hint="eastAsia"/>
          <w:color w:val="auto"/>
          <w:highlight w:val="none"/>
          <w:u w:val="none" w:color="auto"/>
        </w:rPr>
        <w:t>462</w:t>
      </w:r>
      <w:r>
        <w:rPr>
          <w:rFonts w:hint="eastAsia"/>
          <w:color w:val="auto"/>
          <w:highlight w:val="none"/>
          <w:u w:val="none" w:color="auto"/>
        </w:rPr>
        <w:t>人（</w:t>
      </w:r>
      <w:r>
        <w:rPr>
          <w:rFonts w:hint="eastAsia"/>
          <w:color w:val="auto"/>
          <w:highlight w:val="none"/>
          <w:u w:val="none" w:color="auto"/>
        </w:rPr>
        <w:t>82.8</w:t>
      </w:r>
      <w:r>
        <w:rPr>
          <w:rFonts w:hint="eastAsia"/>
          <w:color w:val="auto"/>
          <w:highlight w:val="none"/>
          <w:u w:val="none" w:color="auto"/>
        </w:rPr>
        <w:t>％）、その他事業所等</w:t>
      </w:r>
      <w:r>
        <w:rPr>
          <w:rFonts w:hint="eastAsia"/>
          <w:color w:val="auto"/>
          <w:highlight w:val="none"/>
          <w:u w:val="none" w:color="auto"/>
        </w:rPr>
        <w:t>96</w:t>
      </w:r>
      <w:r>
        <w:rPr>
          <w:rFonts w:hint="eastAsia"/>
          <w:color w:val="auto"/>
          <w:highlight w:val="none"/>
          <w:u w:val="none" w:color="auto"/>
        </w:rPr>
        <w:t>人（</w:t>
      </w:r>
      <w:r>
        <w:rPr>
          <w:rFonts w:hint="eastAsia"/>
          <w:color w:val="auto"/>
          <w:highlight w:val="none"/>
          <w:u w:val="none" w:color="auto"/>
        </w:rPr>
        <w:t>17.2%</w:t>
      </w:r>
      <w:r>
        <w:rPr>
          <w:rFonts w:hint="eastAsia"/>
          <w:color w:val="auto"/>
          <w:highlight w:val="none"/>
          <w:u w:val="none" w:color="auto"/>
        </w:rPr>
        <w:t>）と、行政で従事する保健師が大多数を占めています。</w:t>
      </w:r>
    </w:p>
    <w:p>
      <w:pPr>
        <w:pStyle w:val="0"/>
        <w:ind w:left="454" w:leftChars="200" w:firstLine="227" w:firstLineChars="100"/>
        <w:rPr>
          <w:rFonts w:hint="default"/>
          <w:color w:val="000000"/>
          <w:highlight w:val="none"/>
          <w:u w:val="none" w:color="auto"/>
        </w:rPr>
      </w:pPr>
      <w:r>
        <w:rPr>
          <w:rFonts w:hint="eastAsia"/>
          <w:color w:val="auto"/>
          <w:highlight w:val="none"/>
          <w:u w:val="none" w:color="auto"/>
        </w:rPr>
        <w:t>また、年齢別でみると、</w:t>
      </w:r>
      <w:r>
        <w:rPr>
          <w:rFonts w:hint="eastAsia"/>
          <w:color w:val="auto"/>
          <w:highlight w:val="none"/>
          <w:u w:val="none" w:color="auto"/>
        </w:rPr>
        <w:t>40</w:t>
      </w:r>
      <w:r>
        <w:rPr>
          <w:rFonts w:hint="eastAsia"/>
          <w:color w:val="auto"/>
          <w:highlight w:val="none"/>
          <w:u w:val="none" w:color="auto"/>
        </w:rPr>
        <w:t>歳代</w:t>
      </w:r>
      <w:r>
        <w:rPr>
          <w:rFonts w:hint="eastAsia"/>
          <w:color w:val="auto"/>
          <w:highlight w:val="none"/>
          <w:u w:val="none" w:color="auto"/>
        </w:rPr>
        <w:t>174</w:t>
      </w:r>
      <w:r>
        <w:rPr>
          <w:rFonts w:hint="eastAsia"/>
          <w:color w:val="auto"/>
          <w:highlight w:val="none"/>
          <w:u w:val="none" w:color="auto"/>
        </w:rPr>
        <w:t>人（</w:t>
      </w:r>
      <w:r>
        <w:rPr>
          <w:rFonts w:hint="eastAsia"/>
          <w:color w:val="auto"/>
          <w:highlight w:val="none"/>
          <w:u w:val="none" w:color="auto"/>
        </w:rPr>
        <w:t>31.2%</w:t>
      </w:r>
      <w:r>
        <w:rPr>
          <w:rFonts w:hint="eastAsia"/>
          <w:color w:val="auto"/>
          <w:highlight w:val="none"/>
          <w:u w:val="none" w:color="auto"/>
        </w:rPr>
        <w:t>）、</w:t>
      </w:r>
      <w:r>
        <w:rPr>
          <w:rFonts w:hint="eastAsia"/>
          <w:color w:val="auto"/>
          <w:highlight w:val="none"/>
          <w:u w:val="none" w:color="auto"/>
        </w:rPr>
        <w:t>30</w:t>
      </w:r>
      <w:r>
        <w:rPr>
          <w:rFonts w:hint="eastAsia"/>
          <w:color w:val="auto"/>
          <w:highlight w:val="none"/>
          <w:u w:val="none" w:color="auto"/>
        </w:rPr>
        <w:t>歳代</w:t>
      </w:r>
      <w:r>
        <w:rPr>
          <w:rFonts w:hint="eastAsia"/>
          <w:color w:val="auto"/>
          <w:highlight w:val="none"/>
          <w:u w:val="none" w:color="auto"/>
        </w:rPr>
        <w:t>137</w:t>
      </w:r>
      <w:r>
        <w:rPr>
          <w:rFonts w:hint="eastAsia"/>
          <w:color w:val="auto"/>
          <w:highlight w:val="none"/>
          <w:u w:val="none" w:color="auto"/>
        </w:rPr>
        <w:t>人（</w:t>
      </w:r>
      <w:r>
        <w:rPr>
          <w:rFonts w:hint="eastAsia"/>
          <w:color w:val="auto"/>
          <w:highlight w:val="none"/>
          <w:u w:val="none" w:color="auto"/>
        </w:rPr>
        <w:t>24.5</w:t>
      </w:r>
      <w:r>
        <w:rPr>
          <w:rFonts w:hint="eastAsia"/>
          <w:color w:val="000000"/>
          <w:highlight w:val="none"/>
          <w:u w:val="none" w:color="auto"/>
        </w:rPr>
        <w:t>％）と</w:t>
      </w:r>
      <w:r>
        <w:rPr>
          <w:rFonts w:hint="eastAsia"/>
          <w:color w:val="000000"/>
          <w:highlight w:val="none"/>
          <w:u w:val="none" w:color="auto"/>
        </w:rPr>
        <w:t>30</w:t>
      </w:r>
      <w:r>
        <w:rPr>
          <w:rFonts w:hint="eastAsia"/>
          <w:color w:val="000000"/>
          <w:highlight w:val="none"/>
          <w:u w:val="none" w:color="auto"/>
        </w:rPr>
        <w:t>～</w:t>
      </w:r>
      <w:r>
        <w:rPr>
          <w:rFonts w:hint="eastAsia"/>
          <w:color w:val="000000"/>
          <w:highlight w:val="none"/>
          <w:u w:val="none" w:color="auto"/>
        </w:rPr>
        <w:t>40</w:t>
      </w:r>
      <w:r>
        <w:rPr>
          <w:rFonts w:hint="eastAsia"/>
          <w:color w:val="000000"/>
          <w:highlight w:val="none"/>
          <w:u w:val="none" w:color="auto"/>
        </w:rPr>
        <w:t>歳代の保健師の割合が高くなっています。</w:t>
      </w:r>
    </w:p>
    <w:p>
      <w:pPr>
        <w:pStyle w:val="0"/>
        <w:ind w:leftChars="0" w:hanging="451" w:hangingChars="199"/>
        <w:rPr>
          <w:rFonts w:hint="eastAsia"/>
          <w:highlight w:val="none"/>
        </w:rPr>
      </w:pPr>
      <w:r>
        <w:rPr>
          <w:rFonts w:hint="eastAsia"/>
          <w:highlight w:val="none"/>
        </w:rPr>
        <w:t>　　　</w:t>
      </w:r>
      <w:r>
        <w:rPr>
          <w:rFonts w:hint="eastAsia" w:ascii="ＭＳ 明朝" w:hAnsi="ＭＳ 明朝" w:eastAsia="ＭＳ 明朝"/>
          <w:color w:val="auto"/>
          <w:highlight w:val="none"/>
        </w:rPr>
        <w:t>このうち行政で従事する保健師について、採用は県中央部が多い傾向にあり、中央部から離れた特に小規模の市町村では、「保健師を募集しても応募がない」「採用しても定着が難しい」「産休や育休の代替保健師がいない」といったことが課題となっています。</w:t>
      </w:r>
    </w:p>
    <w:p>
      <w:pPr>
        <w:pStyle w:val="0"/>
        <w:spacing w:line="200" w:lineRule="exact"/>
        <w:ind w:leftChars="0" w:hanging="451" w:hangingChars="199"/>
        <w:rPr>
          <w:rFonts w:hint="eastAsia"/>
          <w:highlight w:val="none"/>
        </w:rPr>
      </w:pPr>
    </w:p>
    <w:p>
      <w:pPr>
        <w:pStyle w:val="0"/>
        <w:ind w:left="227" w:leftChars="100"/>
        <w:rPr>
          <w:rFonts w:hint="default"/>
          <w:b w:val="1"/>
          <w:highlight w:val="none"/>
        </w:rPr>
      </w:pPr>
      <w:r>
        <w:rPr>
          <w:rFonts w:hint="eastAsia"/>
          <w:b w:val="1"/>
          <w:color w:val="0070C0"/>
          <w:highlight w:val="none"/>
        </w:rPr>
        <w:t>２　養成施設</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県内には、保健師を養成する施設は２大学、１短期大学（専攻科）があります。</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各養成施設の入学定員は、次のとおりです。</w:t>
      </w:r>
    </w:p>
    <w:p>
      <w:pPr>
        <w:pStyle w:val="0"/>
        <w:spacing w:line="200" w:lineRule="exact"/>
        <w:ind w:leftChars="0" w:firstLineChars="0"/>
        <w:rPr>
          <w:rFonts w:hint="default"/>
          <w:highlight w:val="none"/>
        </w:rPr>
      </w:pPr>
    </w:p>
    <w:p>
      <w:pPr>
        <w:pStyle w:val="0"/>
        <w:ind w:left="426" w:firstLine="283"/>
        <w:jc w:val="center"/>
        <w:rPr>
          <w:rFonts w:hint="eastAsia" w:ascii="ＭＳ ゴシック" w:hAnsi="ＭＳ ゴシック" w:eastAsia="ＭＳ ゴシック"/>
          <w:b w:val="0"/>
          <w:sz w:val="21"/>
          <w:highlight w:val="none"/>
        </w:rPr>
      </w:pPr>
      <w:r>
        <w:rPr>
          <w:rFonts w:hint="eastAsia" w:ascii="ＭＳ ゴシック" w:hAnsi="ＭＳ ゴシック" w:eastAsia="ＭＳ ゴシック"/>
          <w:b w:val="0"/>
          <w:sz w:val="22"/>
          <w:highlight w:val="none"/>
        </w:rPr>
        <w:t>（図表</w:t>
      </w:r>
      <w:r>
        <w:rPr>
          <w:rFonts w:hint="eastAsia" w:ascii="ＭＳ ゴシック" w:hAnsi="ＭＳ ゴシック" w:eastAsia="ＭＳ ゴシック"/>
          <w:b w:val="0"/>
          <w:sz w:val="22"/>
          <w:highlight w:val="none"/>
        </w:rPr>
        <w:t>4-4-8</w:t>
      </w:r>
      <w:r>
        <w:rPr>
          <w:rFonts w:hint="eastAsia" w:ascii="ＭＳ ゴシック" w:hAnsi="ＭＳ ゴシック" w:eastAsia="ＭＳ ゴシック"/>
          <w:b w:val="0"/>
          <w:sz w:val="22"/>
          <w:highlight w:val="none"/>
        </w:rPr>
        <w:t>）保健師養成施設の定員数</w:t>
      </w:r>
    </w:p>
    <w:tbl>
      <w:tblPr>
        <w:tblStyle w:val="11"/>
        <w:tblW w:w="7938"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4536"/>
        <w:gridCol w:w="3402"/>
      </w:tblGrid>
      <w:tr>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養成施設名</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定員数</w:t>
            </w:r>
          </w:p>
        </w:tc>
      </w:tr>
      <w:tr>
        <w:trPr>
          <w:trHeight w:val="445" w:hRule="atLeast"/>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color w:val="000000"/>
                <w:sz w:val="20"/>
                <w:highlight w:val="none"/>
                <w:u w:val="none" w:color="auto"/>
              </w:rPr>
            </w:pPr>
            <w:r>
              <w:rPr>
                <w:rFonts w:hint="eastAsia" w:ascii="ＭＳ 明朝" w:hAnsi="ＭＳ 明朝"/>
                <w:color w:val="000000"/>
                <w:sz w:val="20"/>
                <w:highlight w:val="none"/>
                <w:u w:val="none" w:color="auto"/>
              </w:rPr>
              <w:t>高知県立大学看護学部看護学科</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auto"/>
                <w:sz w:val="20"/>
                <w:highlight w:val="none"/>
                <w:u w:val="none" w:color="auto"/>
              </w:rPr>
            </w:pPr>
            <w:r>
              <w:rPr>
                <w:rFonts w:hint="eastAsia" w:ascii="ＭＳ 明朝" w:hAnsi="ＭＳ 明朝"/>
                <w:strike w:val="0"/>
                <w:dstrike w:val="0"/>
                <w:color w:val="auto"/>
                <w:sz w:val="20"/>
                <w:highlight w:val="none"/>
                <w:u w:val="none" w:color="auto"/>
              </w:rPr>
              <w:t>72</w:t>
            </w:r>
            <w:r>
              <w:rPr>
                <w:rFonts w:hint="eastAsia" w:ascii="ＭＳ 明朝" w:hAnsi="ＭＳ 明朝"/>
                <w:color w:val="auto"/>
                <w:sz w:val="20"/>
                <w:highlight w:val="none"/>
                <w:u w:val="none" w:color="auto"/>
              </w:rPr>
              <w:t>人</w:t>
            </w:r>
          </w:p>
        </w:tc>
      </w:tr>
      <w:tr>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color w:val="000000"/>
                <w:sz w:val="20"/>
                <w:highlight w:val="none"/>
                <w:u w:val="none" w:color="auto"/>
              </w:rPr>
            </w:pPr>
            <w:r>
              <w:rPr>
                <w:rFonts w:hint="eastAsia" w:ascii="ＭＳ 明朝" w:hAnsi="ＭＳ 明朝"/>
                <w:color w:val="000000"/>
                <w:sz w:val="20"/>
                <w:highlight w:val="none"/>
                <w:u w:val="none" w:color="auto"/>
              </w:rPr>
              <w:t>高知大学医学部看護学科</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w:t>
            </w:r>
            <w:r>
              <w:rPr>
                <w:rFonts w:hint="eastAsia" w:ascii="ＭＳ 明朝" w:hAnsi="ＭＳ 明朝"/>
                <w:color w:val="auto"/>
                <w:sz w:val="20"/>
                <w:highlight w:val="none"/>
                <w:u w:val="none" w:color="auto"/>
              </w:rPr>
              <w:t>人</w:t>
            </w:r>
          </w:p>
        </w:tc>
      </w:tr>
      <w:tr>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高知学園短期大学専攻科地域看護学専攻</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20</w:t>
            </w:r>
            <w:r>
              <w:rPr>
                <w:rFonts w:hint="eastAsia" w:ascii="ＭＳ 明朝" w:hAnsi="ＭＳ 明朝"/>
                <w:color w:val="auto"/>
                <w:sz w:val="20"/>
                <w:highlight w:val="none"/>
                <w:u w:val="none" w:color="auto"/>
              </w:rPr>
              <w:t>人</w:t>
            </w:r>
          </w:p>
        </w:tc>
      </w:tr>
    </w:tbl>
    <w:p>
      <w:pPr>
        <w:pStyle w:val="0"/>
        <w:rPr>
          <w:rFonts w:hint="eastAsia"/>
          <w:b w:val="1"/>
          <w:spacing w:val="2"/>
          <w:highlight w:val="none"/>
        </w:rPr>
      </w:pPr>
    </w:p>
    <w:p>
      <w:pPr>
        <w:pStyle w:val="0"/>
        <w:ind w:left="0" w:leftChars="100" w:right="0" w:rightChars="0" w:firstLine="0" w:firstLineChars="0"/>
        <w:rPr>
          <w:rFonts w:hint="default"/>
          <w:b w:val="1"/>
          <w:color w:val="0070C0"/>
          <w:highlight w:val="none"/>
        </w:rPr>
      </w:pPr>
      <w:r>
        <w:rPr>
          <w:rFonts w:hint="eastAsia"/>
          <w:b w:val="1"/>
          <w:color w:val="0070C0"/>
          <w:highlight w:val="none"/>
        </w:rPr>
        <w:t>３　期待される役割</w:t>
      </w:r>
    </w:p>
    <w:p>
      <w:pPr>
        <w:pStyle w:val="0"/>
        <w:ind w:left="454" w:leftChars="200" w:right="0" w:rightChars="0" w:firstLine="227" w:firstLineChars="100"/>
        <w:rPr>
          <w:rFonts w:hint="default"/>
          <w:color w:val="000000"/>
          <w:highlight w:val="none"/>
          <w:u w:val="none" w:color="auto"/>
        </w:rPr>
      </w:pPr>
      <w:r>
        <w:rPr>
          <w:rFonts w:hint="eastAsia"/>
          <w:color w:val="000000"/>
          <w:highlight w:val="none"/>
          <w:u w:val="none" w:color="auto"/>
        </w:rPr>
        <w:t>少子高齢化の進展や疾病構造の変化、住民ニーズの多様化などにより、保健師には複雑多岐にわたる健康課題への対応が求められています。</w:t>
      </w:r>
    </w:p>
    <w:p>
      <w:pPr>
        <w:pStyle w:val="0"/>
        <w:ind w:left="454" w:leftChars="200" w:right="0" w:rightChars="0" w:firstLine="227" w:firstLineChars="100"/>
        <w:rPr>
          <w:rFonts w:hint="default"/>
          <w:color w:val="000000"/>
          <w:highlight w:val="none"/>
          <w:u w:val="none" w:color="auto"/>
        </w:rPr>
      </w:pPr>
      <w:r>
        <w:rPr>
          <w:rFonts w:hint="eastAsia"/>
          <w:color w:val="000000"/>
          <w:highlight w:val="none"/>
          <w:u w:val="none" w:color="auto"/>
        </w:rPr>
        <w:t>様々な分野で働く保健師が、よりよい住民サービスを提供するためには、それぞれの専門性を高め、実践力を向上させるとともに、分野間の連携を深め、保健活動の優先度を決定し、効果的・効率的な保健活動を展開することが必要です。</w:t>
      </w:r>
    </w:p>
    <w:p>
      <w:pPr>
        <w:pStyle w:val="0"/>
        <w:ind w:left="454" w:leftChars="200" w:right="0" w:rightChars="0" w:firstLine="227" w:firstLineChars="100"/>
        <w:rPr>
          <w:rFonts w:hint="default"/>
          <w:color w:val="000000"/>
          <w:highlight w:val="none"/>
          <w:u w:val="none" w:color="auto"/>
        </w:rPr>
      </w:pPr>
      <w:r>
        <w:rPr>
          <w:rFonts w:hint="eastAsia"/>
          <w:color w:val="000000"/>
          <w:highlight w:val="none"/>
          <w:u w:val="none" w:color="auto"/>
        </w:rPr>
        <w:t>また、南海トラフ地震</w:t>
      </w:r>
      <w:r>
        <w:rPr>
          <w:rFonts w:hint="eastAsia"/>
          <w:color w:val="auto"/>
          <w:highlight w:val="none"/>
          <w:u w:val="none" w:color="auto"/>
        </w:rPr>
        <w:t>や新興・再興感染症のパンデミック等の</w:t>
      </w:r>
      <w:r>
        <w:rPr>
          <w:rFonts w:hint="eastAsia"/>
          <w:color w:val="000000"/>
          <w:highlight w:val="none"/>
          <w:u w:val="none" w:color="auto"/>
        </w:rPr>
        <w:t>健康危機の発生時には、迅速に適切な保健活動を行う必要があります。</w:t>
      </w:r>
    </w:p>
    <w:p>
      <w:pPr>
        <w:pStyle w:val="0"/>
        <w:ind w:leftChars="0" w:firstLine="0" w:firstLineChars="0"/>
        <w:rPr>
          <w:rFonts w:hint="eastAsia"/>
          <w:highlight w:val="none"/>
          <w:bdr w:val="single" w:color="auto" w:sz="4" w:space="0"/>
        </w:rPr>
      </w:pPr>
      <w:r>
        <w:rPr>
          <w:rFonts w:hint="eastAsia"/>
          <w:b w:val="1"/>
          <w:highlight w:val="none"/>
          <w:bdr w:val="single" w:color="auto" w:sz="4" w:space="0"/>
          <w:shd w:val="clear" w:color="auto" w:fill="E5DFEC"/>
        </w:rPr>
        <w:t>対策</w:t>
      </w:r>
    </w:p>
    <w:p>
      <w:pPr>
        <w:pStyle w:val="0"/>
        <w:ind w:firstLine="220" w:firstLineChars="100"/>
        <w:rPr>
          <w:rFonts w:hint="default"/>
          <w:b w:val="1"/>
          <w:color w:val="0070C0"/>
          <w:highlight w:val="none"/>
          <w:u w:val="none" w:color="auto"/>
        </w:rPr>
      </w:pPr>
      <w:r>
        <w:rPr>
          <w:rFonts w:hint="eastAsia"/>
          <w:b w:val="1"/>
          <w:color w:val="0070C0"/>
          <w:highlight w:val="none"/>
          <w:u w:val="none" w:color="auto"/>
        </w:rPr>
        <w:t>１　行政に所属する保健師の人材育成</w:t>
      </w:r>
    </w:p>
    <w:p>
      <w:pPr>
        <w:pStyle w:val="0"/>
        <w:ind w:left="440" w:leftChars="200" w:firstLine="220" w:firstLineChars="100"/>
        <w:rPr>
          <w:rFonts w:hint="default"/>
          <w:color w:val="auto"/>
          <w:highlight w:val="none"/>
          <w:u w:val="none" w:color="auto"/>
        </w:rPr>
      </w:pPr>
      <w:r>
        <w:rPr>
          <w:rFonts w:hint="eastAsia"/>
          <w:color w:val="000000"/>
          <w:highlight w:val="none"/>
          <w:u w:val="none" w:color="auto"/>
        </w:rPr>
        <w:t>県及び市町村は</w:t>
      </w:r>
      <w:r>
        <w:rPr>
          <w:rFonts w:hint="eastAsia"/>
          <w:color w:val="auto"/>
          <w:highlight w:val="none"/>
          <w:u w:val="none" w:color="auto"/>
        </w:rPr>
        <w:t>令和４</w:t>
      </w:r>
      <w:r>
        <w:rPr>
          <w:rFonts w:hint="eastAsia"/>
          <w:strike w:val="0"/>
          <w:dstrike w:val="0"/>
          <w:color w:val="auto"/>
          <w:highlight w:val="none"/>
          <w:u w:val="none" w:color="auto"/>
        </w:rPr>
        <w:t>年度</w:t>
      </w:r>
      <w:r>
        <w:rPr>
          <w:rFonts w:hint="eastAsia"/>
          <w:color w:val="auto"/>
          <w:highlight w:val="none"/>
          <w:u w:val="none" w:color="auto"/>
        </w:rPr>
        <w:t>に改定した「高知県保健師人材育成ガイドライン</w:t>
      </w:r>
      <w:r>
        <w:rPr>
          <w:rFonts w:hint="eastAsia"/>
          <w:color w:val="auto"/>
          <w:highlight w:val="none"/>
          <w:u w:val="none" w:color="auto"/>
        </w:rPr>
        <w:t>(ver3.1)</w:t>
      </w:r>
      <w:r>
        <w:rPr>
          <w:rFonts w:hint="eastAsia"/>
          <w:color w:val="auto"/>
          <w:highlight w:val="none"/>
          <w:u w:val="none" w:color="auto"/>
        </w:rPr>
        <w:t>」に基づき、人事交流や集合研修、保健師の</w:t>
      </w:r>
      <w:r>
        <w:rPr>
          <w:rFonts w:hint="eastAsia"/>
          <w:color w:val="auto"/>
          <w:highlight w:val="none"/>
          <w:u w:val="none" w:color="auto"/>
        </w:rPr>
        <w:t>OJT</w:t>
      </w:r>
      <w:r>
        <w:rPr>
          <w:rFonts w:hint="eastAsia"/>
          <w:color w:val="auto"/>
          <w:highlight w:val="none"/>
          <w:u w:val="none" w:color="auto"/>
        </w:rPr>
        <w:t>（職場内研修）を充実させ、新任期、中堅期、管理期と階層に応じた人材育成に努め</w:t>
      </w:r>
      <w:r>
        <w:rPr>
          <w:rFonts w:hint="eastAsia"/>
          <w:strike w:val="0"/>
          <w:dstrike w:val="0"/>
          <w:color w:val="auto"/>
          <w:highlight w:val="none"/>
          <w:u w:val="none" w:color="auto"/>
        </w:rPr>
        <w:t>るとともに、さらに、</w:t>
      </w:r>
      <w:r>
        <w:rPr>
          <w:rFonts w:hint="eastAsia"/>
          <w:color w:val="auto"/>
          <w:highlight w:val="none"/>
          <w:u w:val="none" w:color="auto"/>
        </w:rPr>
        <w:t>ガイドラインの内容を見直し、充実していきます。</w:t>
      </w:r>
    </w:p>
    <w:p>
      <w:pPr>
        <w:pStyle w:val="0"/>
        <w:ind w:left="454" w:leftChars="200" w:firstLine="227" w:firstLineChars="100"/>
        <w:rPr>
          <w:rFonts w:hint="default"/>
          <w:strike w:val="0"/>
          <w:dstrike w:val="0"/>
          <w:color w:val="000000"/>
          <w:highlight w:val="none"/>
          <w:u w:val="none" w:color="auto"/>
        </w:rPr>
      </w:pPr>
      <w:r>
        <w:rPr>
          <w:rFonts w:hint="eastAsia"/>
          <w:color w:val="auto"/>
          <w:highlight w:val="none"/>
          <w:u w:val="none" w:color="auto"/>
        </w:rPr>
        <w:t>住民の多様なニーズに対応できる保健師を育成するため、保健分野を基本に、福祉や介護保険分野等へのジョブローテーション</w:t>
      </w:r>
      <w:r>
        <w:rPr>
          <w:rFonts w:hint="eastAsia"/>
          <w:strike w:val="0"/>
          <w:dstrike w:val="0"/>
          <w:color w:val="auto"/>
          <w:highlight w:val="none"/>
          <w:u w:val="none" w:color="auto"/>
        </w:rPr>
        <w:t>を進めるとともに、</w:t>
      </w:r>
      <w:r>
        <w:rPr>
          <w:rFonts w:hint="eastAsia"/>
          <w:b w:val="0"/>
          <w:color w:val="auto"/>
          <w:highlight w:val="none"/>
          <w:u w:val="none" w:color="auto"/>
        </w:rPr>
        <w:t>各分野に配置された保健師を指導・統括する役割</w:t>
      </w:r>
      <w:r>
        <w:rPr>
          <w:rFonts w:hint="eastAsia"/>
          <w:color w:val="auto"/>
          <w:highlight w:val="none"/>
          <w:u w:val="none" w:color="auto"/>
        </w:rPr>
        <w:t>を持つ保健師（統括保健師</w:t>
      </w:r>
      <w:r>
        <w:rPr>
          <w:rFonts w:hint="eastAsia"/>
          <w:color w:val="000000"/>
          <w:highlight w:val="none"/>
          <w:u w:val="none" w:color="auto"/>
        </w:rPr>
        <w:t>）を明確にし、保健師の資質の向上や連携のとれた取り組みを進めます。</w:t>
      </w:r>
    </w:p>
    <w:p>
      <w:pPr>
        <w:pStyle w:val="0"/>
        <w:spacing w:line="200" w:lineRule="exact"/>
        <w:ind w:leftChars="0" w:firstLineChars="0"/>
        <w:rPr>
          <w:rFonts w:hint="default"/>
          <w:color w:val="000000"/>
          <w:highlight w:val="none"/>
          <w:u w:val="none" w:color="auto"/>
        </w:rPr>
      </w:pPr>
    </w:p>
    <w:p>
      <w:pPr>
        <w:pStyle w:val="0"/>
        <w:ind w:left="0" w:leftChars="0" w:right="0" w:rightChars="0" w:firstLine="227" w:firstLineChars="100"/>
        <w:rPr>
          <w:rFonts w:hint="default"/>
          <w:b w:val="1"/>
          <w:color w:val="0070C0"/>
          <w:highlight w:val="none"/>
          <w:u w:val="none" w:color="auto"/>
        </w:rPr>
      </w:pPr>
      <w:r>
        <w:rPr>
          <w:rFonts w:hint="eastAsia"/>
          <w:b w:val="1"/>
          <w:color w:val="0070C0"/>
          <w:highlight w:val="none"/>
          <w:u w:val="none" w:color="auto"/>
        </w:rPr>
        <w:t>２　健康危機に備えた保健師の人材育成</w:t>
      </w:r>
    </w:p>
    <w:p>
      <w:pPr>
        <w:pStyle w:val="0"/>
        <w:ind w:left="426" w:leftChars="0" w:right="0" w:rightChars="0" w:firstLine="227" w:firstLineChars="100"/>
        <w:rPr>
          <w:rFonts w:hint="default"/>
          <w:color w:val="auto"/>
          <w:highlight w:val="none"/>
          <w:u w:val="none" w:color="auto"/>
        </w:rPr>
      </w:pPr>
      <w:r>
        <w:rPr>
          <w:rFonts w:hint="eastAsia"/>
          <w:color w:val="auto"/>
          <w:highlight w:val="none"/>
          <w:u w:val="none" w:color="auto"/>
        </w:rPr>
        <w:t>地域の健康危機管理体制を確保するため、健康危機の発生時に組織横断的にマネジメントを担う保健師（統括保健師）の人材育成に努めます。</w:t>
      </w:r>
    </w:p>
    <w:p>
      <w:pPr>
        <w:pStyle w:val="0"/>
        <w:ind w:left="426" w:firstLine="220" w:firstLineChars="100"/>
        <w:rPr>
          <w:rFonts w:hint="default"/>
          <w:color w:val="000000"/>
          <w:highlight w:val="none"/>
          <w:u w:val="none" w:color="auto"/>
        </w:rPr>
      </w:pPr>
      <w:r>
        <w:rPr>
          <w:rFonts w:hint="eastAsia"/>
          <w:color w:val="auto"/>
          <w:highlight w:val="none"/>
          <w:u w:val="none" w:color="auto"/>
        </w:rPr>
        <w:t>また、新型コロナウイルス感染症の流行などを踏まえ、令和５年３月に「地域保健対策の推進に関する基本的な指針」が改正されたことや、災害保健情報システムの運用開始等を受け、令和５年</w:t>
      </w:r>
      <w:r>
        <w:rPr>
          <w:rFonts w:hint="eastAsia"/>
          <w:color w:val="auto"/>
          <w:highlight w:val="none"/>
          <w:u w:val="none" w:color="auto"/>
        </w:rPr>
        <w:t>12</w:t>
      </w:r>
      <w:r>
        <w:rPr>
          <w:rFonts w:hint="eastAsia"/>
          <w:color w:val="auto"/>
          <w:highlight w:val="none"/>
          <w:u w:val="none" w:color="auto"/>
        </w:rPr>
        <w:t>月に改定した「南海トラフ地震時保健活動ガイドライン（</w:t>
      </w:r>
      <w:r>
        <w:rPr>
          <w:rFonts w:hint="eastAsia"/>
          <w:color w:val="auto"/>
          <w:highlight w:val="none"/>
          <w:u w:val="none" w:color="auto"/>
        </w:rPr>
        <w:t>ver3.1</w:t>
      </w:r>
      <w:r>
        <w:rPr>
          <w:rFonts w:hint="eastAsia"/>
          <w:color w:val="000000"/>
          <w:highlight w:val="none"/>
          <w:u w:val="none" w:color="auto"/>
        </w:rPr>
        <w:t>）」に基づき、市町村ごとの災害時保健活動マニュアルの作成及び見直しを支援するとともに、研修や訓練によって災害時に活動できる保健師の育成を進めます。</w:t>
      </w:r>
    </w:p>
    <w:p>
      <w:pPr>
        <w:pStyle w:val="0"/>
        <w:spacing w:line="200" w:lineRule="exact"/>
        <w:rPr>
          <w:rFonts w:hint="default"/>
          <w:b w:val="1"/>
          <w:highlight w:val="none"/>
        </w:rPr>
      </w:pPr>
    </w:p>
    <w:p>
      <w:pPr>
        <w:pStyle w:val="0"/>
        <w:ind w:firstLine="220" w:firstLineChars="100"/>
        <w:rPr>
          <w:rFonts w:hint="default"/>
          <w:b w:val="1"/>
          <w:color w:val="0070C0"/>
          <w:highlight w:val="none"/>
          <w:u w:val="single" w:color="auto"/>
        </w:rPr>
      </w:pPr>
      <w:r>
        <w:rPr>
          <w:rFonts w:hint="eastAsia"/>
          <w:b w:val="1"/>
          <w:color w:val="0070C0"/>
          <w:highlight w:val="none"/>
          <w:u w:val="none" w:color="auto"/>
        </w:rPr>
        <w:t>３　関係団体と連携した保健師の人材育成</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県及び関係団体は、生活習慣病の予防や介護予防など、地域における県民の健康づくりの取り組みを進めるため、相互に連携して保健や医療に関する研修会を開催するなど、体系的に研修を実施します。</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また、高知県保健師人材育成評価検討会において、関係団体や大学などが実施する研修や人材育成の取組とも連携を図ります。</w:t>
      </w:r>
    </w:p>
    <w:p>
      <w:pPr>
        <w:pStyle w:val="0"/>
        <w:spacing w:line="200" w:lineRule="exact"/>
        <w:ind w:left="426" w:leftChars="0" w:right="0" w:rightChars="0" w:firstLine="227" w:firstLineChars="100"/>
        <w:rPr>
          <w:rFonts w:hint="default"/>
          <w:color w:val="000000"/>
          <w:highlight w:val="none"/>
          <w:u w:val="none" w:color="auto"/>
        </w:rPr>
      </w:pPr>
    </w:p>
    <w:p>
      <w:pPr>
        <w:pStyle w:val="0"/>
        <w:ind w:firstLine="220" w:firstLineChars="100"/>
        <w:rPr>
          <w:rFonts w:hint="default"/>
          <w:b w:val="1"/>
          <w:color w:val="0070C0"/>
          <w:highlight w:val="none"/>
          <w:u w:val="single" w:color="auto"/>
        </w:rPr>
      </w:pPr>
      <w:r>
        <w:rPr>
          <w:rFonts w:hint="eastAsia"/>
          <w:b w:val="1"/>
          <w:color w:val="0070C0"/>
          <w:highlight w:val="none"/>
          <w:u w:val="none" w:color="auto"/>
        </w:rPr>
        <w:t>４　人材の確保</w:t>
      </w:r>
    </w:p>
    <w:p>
      <w:pPr>
        <w:pStyle w:val="0"/>
        <w:ind w:left="340" w:leftChars="150" w:right="0" w:rightChars="0" w:firstLine="227" w:firstLineChars="100"/>
        <w:rPr>
          <w:rFonts w:hint="default"/>
          <w:highlight w:val="none"/>
        </w:rPr>
      </w:pPr>
      <w:r>
        <w:rPr>
          <w:rFonts w:hint="eastAsia" w:ascii="ＭＳ 明朝" w:hAnsi="ＭＳ 明朝" w:eastAsia="ＭＳ 明朝"/>
          <w:i w:val="0"/>
          <w:highlight w:val="none"/>
        </w:rPr>
        <w:t>県や市町村、保健師養成機関等が連携した対策を進めるための検討会を開催し、実効性のある人材確保に取り組みます。特に十分に取組が進んでいない、「インターンシップ制度の活用促進」「県・市町村合同就職ガイダンスの開催」「県内大学とのネットワークづくり」といった対策について、取組事例の横展開、県内大学との連携強化などの支援を進め、対策強化を図ります。</w:t>
      </w:r>
    </w:p>
    <w:p>
      <w:pPr>
        <w:pStyle w:val="0"/>
        <w:spacing w:line="200" w:lineRule="exact"/>
        <w:rPr>
          <w:rFonts w:hint="default"/>
          <w:highlight w:val="none"/>
          <w:bdr w:val="single" w:color="auto" w:sz="4" w:space="0"/>
        </w:rPr>
      </w:pPr>
    </w:p>
    <w:p>
      <w:pPr>
        <w:pStyle w:val="0"/>
        <w:rPr>
          <w:rFonts w:hint="default"/>
          <w:highlight w:val="none"/>
          <w:bdr w:val="single" w:color="auto" w:sz="4" w:space="0"/>
        </w:rPr>
      </w:pPr>
      <w:r>
        <w:rPr>
          <w:rFonts w:hint="eastAsia"/>
          <w:b w:val="1"/>
          <w:highlight w:val="none"/>
          <w:bdr w:val="single" w:color="auto" w:sz="4" w:space="0"/>
          <w:shd w:val="clear" w:color="auto" w:fill="E5DFEC"/>
        </w:rPr>
        <w:t>目標</w:t>
      </w:r>
    </w:p>
    <w:p>
      <w:pPr>
        <w:pStyle w:val="0"/>
        <w:numPr>
          <w:numId w:val="0"/>
        </w:numPr>
        <w:ind w:left="0" w:leftChars="0" w:firstLine="227" w:firstLineChars="100"/>
        <w:rPr>
          <w:rFonts w:hint="eastAsia"/>
          <w:color w:val="000000"/>
          <w:highlight w:val="none"/>
          <w:u w:val="none" w:color="auto"/>
        </w:rPr>
      </w:pPr>
      <w:r>
        <w:rPr>
          <w:rFonts w:hint="eastAsia"/>
          <w:color w:val="000000"/>
          <w:highlight w:val="none"/>
          <w:u w:val="none" w:color="auto"/>
        </w:rPr>
        <w:t>○　高知県保健師人材育成ガイドラインに基づき、関係団体と連携して保健師の資質向</w:t>
      </w:r>
    </w:p>
    <w:tbl>
      <w:tblPr>
        <w:tblStyle w:val="11"/>
        <w:tblpPr w:leftFromText="0" w:rightFromText="0" w:topFromText="0" w:bottomFromText="0" w:vertAnchor="text" w:horzAnchor="margin" w:tblpX="161" w:tblpY="334"/>
        <w:tblOverlap w:val="never"/>
        <w:tblW w:w="88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97"/>
        <w:gridCol w:w="2494"/>
        <w:gridCol w:w="3168"/>
        <w:gridCol w:w="2894"/>
      </w:tblGrid>
      <w:tr>
        <w:trPr/>
        <w:tc>
          <w:tcPr>
            <w:tcW w:w="297"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snapToGrid w:val="0"/>
              <w:rPr>
                <w:rFonts w:hint="eastAsia"/>
                <w:highlight w:val="none"/>
              </w:rPr>
            </w:pPr>
            <w:r>
              <w:rPr>
                <w:rFonts w:hint="eastAsia"/>
                <w:sz w:val="16"/>
                <w:highlight w:val="none"/>
              </w:rPr>
              <w:t>区分</w:t>
            </w:r>
          </w:p>
        </w:tc>
        <w:tc>
          <w:tcPr>
            <w:tcW w:w="249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項目</w:t>
            </w:r>
          </w:p>
        </w:tc>
        <w:tc>
          <w:tcPr>
            <w:tcW w:w="31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color w:val="000000"/>
                <w:sz w:val="20"/>
                <w:highlight w:val="none"/>
              </w:rPr>
            </w:pPr>
            <w:r>
              <w:rPr>
                <w:rFonts w:hint="eastAsia" w:ascii="ＭＳ 明朝" w:hAnsi="ＭＳ 明朝"/>
                <w:b w:val="0"/>
                <w:color w:val="000000"/>
                <w:sz w:val="20"/>
                <w:highlight w:val="none"/>
              </w:rPr>
              <w:t>直近値</w:t>
            </w:r>
          </w:p>
        </w:tc>
        <w:tc>
          <w:tcPr>
            <w:tcW w:w="289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目標値（令和</w:t>
            </w:r>
            <w:r>
              <w:rPr>
                <w:rFonts w:hint="eastAsia" w:ascii="ＭＳ 明朝" w:hAnsi="ＭＳ 明朝"/>
                <w:b w:val="0"/>
                <w:sz w:val="20"/>
                <w:highlight w:val="none"/>
              </w:rPr>
              <w:t>11</w:t>
            </w:r>
            <w:r>
              <w:rPr>
                <w:rFonts w:hint="eastAsia" w:ascii="ＭＳ 明朝" w:hAnsi="ＭＳ 明朝"/>
                <w:b w:val="0"/>
                <w:sz w:val="20"/>
                <w:highlight w:val="none"/>
              </w:rPr>
              <w:t>年度）</w:t>
            </w:r>
          </w:p>
        </w:tc>
      </w:tr>
      <w:tr>
        <w:trPr>
          <w:trHeight w:val="690" w:hRule="atLeast"/>
        </w:trPr>
        <w:tc>
          <w:tcPr>
            <w:tcW w:w="297"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sz w:val="20"/>
                <w:highlight w:val="none"/>
              </w:rPr>
            </w:pPr>
            <w:r>
              <w:rPr>
                <w:rFonts w:hint="eastAsia"/>
                <w:sz w:val="20"/>
                <w:highlight w:val="none"/>
              </w:rPr>
              <w:t>P</w:t>
            </w:r>
          </w:p>
        </w:tc>
        <w:tc>
          <w:tcPr>
            <w:tcW w:w="249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新任期保健師育成</w:t>
            </w:r>
          </w:p>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プログラム参加率</w:t>
            </w:r>
          </w:p>
        </w:tc>
        <w:tc>
          <w:tcPr>
            <w:tcW w:w="316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000000"/>
                <w:sz w:val="20"/>
                <w:highlight w:val="none"/>
              </w:rPr>
            </w:pPr>
            <w:r>
              <w:rPr>
                <w:rFonts w:hint="eastAsia" w:ascii="ＭＳ 明朝" w:hAnsi="ＭＳ 明朝"/>
                <w:color w:val="000000"/>
                <w:sz w:val="20"/>
                <w:highlight w:val="none"/>
              </w:rPr>
              <w:t>対象者</w:t>
            </w:r>
            <w:r>
              <w:rPr>
                <w:rFonts w:hint="eastAsia" w:ascii="ＭＳ 明朝" w:hAnsi="ＭＳ 明朝"/>
                <w:color w:val="000000"/>
                <w:sz w:val="20"/>
                <w:highlight w:val="none"/>
              </w:rPr>
              <w:t>70</w:t>
            </w:r>
            <w:r>
              <w:rPr>
                <w:rFonts w:hint="eastAsia" w:ascii="ＭＳ 明朝" w:hAnsi="ＭＳ 明朝"/>
                <w:color w:val="000000"/>
                <w:sz w:val="20"/>
                <w:highlight w:val="none"/>
              </w:rPr>
              <w:t>名中</w:t>
            </w:r>
            <w:r>
              <w:rPr>
                <w:rFonts w:hint="eastAsia" w:ascii="ＭＳ 明朝" w:hAnsi="ＭＳ 明朝"/>
                <w:color w:val="000000"/>
                <w:sz w:val="20"/>
                <w:highlight w:val="none"/>
              </w:rPr>
              <w:t>70</w:t>
            </w:r>
            <w:r>
              <w:rPr>
                <w:rFonts w:hint="eastAsia" w:ascii="ＭＳ 明朝" w:hAnsi="ＭＳ 明朝"/>
                <w:color w:val="000000"/>
                <w:sz w:val="20"/>
                <w:highlight w:val="none"/>
              </w:rPr>
              <w:t>名参加（</w:t>
            </w:r>
            <w:r>
              <w:rPr>
                <w:rFonts w:hint="eastAsia" w:ascii="ＭＳ 明朝" w:hAnsi="ＭＳ 明朝"/>
                <w:color w:val="000000"/>
                <w:sz w:val="20"/>
                <w:highlight w:val="none"/>
              </w:rPr>
              <w:t>R4</w:t>
            </w:r>
            <w:r>
              <w:rPr>
                <w:rFonts w:hint="eastAsia" w:ascii="ＭＳ 明朝" w:hAnsi="ＭＳ 明朝"/>
                <w:color w:val="000000"/>
                <w:sz w:val="20"/>
                <w:highlight w:val="none"/>
              </w:rPr>
              <w:t>）</w:t>
            </w:r>
          </w:p>
          <w:p>
            <w:pPr>
              <w:pStyle w:val="0"/>
              <w:widowControl w:val="0"/>
              <w:overflowPunct w:val="0"/>
              <w:adjustRightInd w:val="0"/>
              <w:jc w:val="center"/>
              <w:textAlignment w:val="baseline"/>
              <w:rPr>
                <w:rFonts w:hint="default" w:ascii="ＭＳ 明朝" w:hAnsi="ＭＳ 明朝"/>
                <w:color w:val="000000"/>
                <w:sz w:val="20"/>
                <w:highlight w:val="none"/>
              </w:rPr>
            </w:pPr>
            <w:r>
              <w:rPr>
                <w:rFonts w:hint="eastAsia" w:ascii="ＭＳ 明朝" w:hAnsi="ＭＳ 明朝"/>
                <w:color w:val="000000"/>
                <w:sz w:val="20"/>
                <w:highlight w:val="none"/>
              </w:rPr>
              <w:t>（実施率：</w:t>
            </w:r>
            <w:r>
              <w:rPr>
                <w:rFonts w:hint="eastAsia" w:ascii="ＭＳ 明朝" w:hAnsi="ＭＳ 明朝"/>
                <w:color w:val="000000"/>
                <w:sz w:val="20"/>
                <w:highlight w:val="none"/>
              </w:rPr>
              <w:t>100%</w:t>
            </w:r>
            <w:r>
              <w:rPr>
                <w:rFonts w:hint="eastAsia" w:ascii="ＭＳ 明朝" w:hAnsi="ＭＳ 明朝"/>
                <w:color w:val="000000"/>
                <w:sz w:val="20"/>
                <w:highlight w:val="none"/>
              </w:rPr>
              <w:t>）</w:t>
            </w:r>
          </w:p>
        </w:tc>
        <w:tc>
          <w:tcPr>
            <w:tcW w:w="289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100%</w:t>
            </w:r>
            <w:r>
              <w:rPr>
                <w:rFonts w:hint="eastAsia" w:ascii="ＭＳ 明朝" w:hAnsi="ＭＳ 明朝"/>
                <w:sz w:val="20"/>
                <w:highlight w:val="none"/>
              </w:rPr>
              <w:t>を継続</w:t>
            </w:r>
          </w:p>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（長期休業取得者を除く）</w:t>
            </w:r>
          </w:p>
        </w:tc>
      </w:tr>
    </w:tbl>
    <w:p>
      <w:pPr>
        <w:pStyle w:val="0"/>
        <w:numPr>
          <w:numId w:val="0"/>
        </w:numPr>
        <w:ind w:left="0" w:leftChars="0" w:firstLine="454" w:firstLineChars="200"/>
        <w:rPr>
          <w:rFonts w:hint="eastAsia"/>
          <w:color w:val="000000"/>
          <w:highlight w:val="none"/>
          <w:u w:val="none" w:color="auto"/>
        </w:rPr>
      </w:pPr>
      <w:r>
        <w:rPr>
          <w:rFonts w:hint="eastAsia"/>
          <w:color w:val="000000"/>
          <w:highlight w:val="none"/>
          <w:u w:val="none" w:color="auto"/>
        </w:rPr>
        <w:t>上を図ります。</w:t>
      </w:r>
    </w:p>
    <w:p>
      <w:pPr>
        <w:pStyle w:val="0"/>
        <w:spacing w:line="200" w:lineRule="exact"/>
        <w:rPr>
          <w:rFonts w:hint="default"/>
          <w:b w:val="0"/>
          <w:color w:val="FF0000"/>
          <w:highlight w:val="none"/>
          <w:u w:val="none" w:color="auto"/>
        </w:rPr>
      </w:pPr>
      <w:r>
        <w:rPr>
          <w:rFonts w:hint="eastAsia"/>
        </w:rPr>
        <mc:AlternateContent>
          <mc:Choice Requires="wps">
            <w:drawing>
              <wp:anchor distT="0" distB="0" distL="71755" distR="71755" simplePos="0" relativeHeight="88" behindDoc="0" locked="0" layoutInCell="1" hidden="0" allowOverlap="1">
                <wp:simplePos x="0" y="0"/>
                <wp:positionH relativeFrom="column">
                  <wp:posOffset>94615</wp:posOffset>
                </wp:positionH>
                <wp:positionV relativeFrom="paragraph">
                  <wp:posOffset>829945</wp:posOffset>
                </wp:positionV>
                <wp:extent cx="5646420" cy="170815"/>
                <wp:effectExtent l="635" t="635" r="29845" b="10795"/>
                <wp:wrapNone/>
                <wp:docPr id="1292" name="オブジェクト 0"/>
                <a:graphic xmlns:a="http://schemas.openxmlformats.org/drawingml/2006/main">
                  <a:graphicData uri="http://schemas.microsoft.com/office/word/2010/wordprocessingShape">
                    <wps:wsp>
                      <wps:cNvPr id="1292" name="オブジェクト 0"/>
                      <wps:cNvSpPr txBox="1">
                        <a:spLocks noChangeArrowheads="1"/>
                      </wps:cNvSpPr>
                      <wps:spPr>
                        <a:xfrm>
                          <a:off x="0" y="0"/>
                          <a:ext cx="5646420" cy="170815"/>
                        </a:xfrm>
                        <a:prstGeom prst="rect">
                          <a:avLst/>
                        </a:prstGeom>
                        <a:solidFill>
                          <a:srgbClr val="FFFFFF"/>
                        </a:solidFill>
                        <a:ln w="6350" cmpd="sng">
                          <a:solidFill>
                            <a:srgbClr val="000000"/>
                          </a:solidFill>
                          <a:miter/>
                        </a:ln>
                      </wps:spPr>
                      <wps:txbx>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Ｐ（プロセス指標）：実際にサービスを提供する主体の活動や、他機関との連携体制を測る指標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5.34pt;mso-position-vertical-relative:text;mso-position-horizontal-relative:text;position:absolute;height:13.45pt;mso-wrap-distance-top:0pt;width:444.6pt;mso-wrap-distance-left:5.65pt;margin-left:7.45pt;z-index:88;" o:spid="_x0000_s129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Ｐ（プロセス指標）：実際にサービスを提供する主体の活動や、他機関との連携体制を測る指標</w:t>
                      </w:r>
                    </w:p>
                  </w:txbxContent>
                </v:textbox>
                <v:imagedata o:title=""/>
                <w10:wrap type="none" anchorx="text" anchory="text"/>
              </v:shape>
            </w:pict>
          </mc:Fallback>
        </mc:AlternateContent>
      </w:r>
    </w:p>
    <w:p>
      <w:pPr>
        <w:pStyle w:val="0"/>
        <w:rPr>
          <w:rFonts w:hint="default"/>
          <w:b w:val="1"/>
          <w:color w:val="1F497D"/>
          <w:highlight w:val="none"/>
        </w:rPr>
      </w:pPr>
      <w:r>
        <w:rPr>
          <w:rFonts w:hint="eastAsia"/>
        </w:rPr>
        <w:br w:type="page"/>
      </w:r>
    </w:p>
    <w:p>
      <w:pPr>
        <w:pStyle w:val="0"/>
        <w:rPr>
          <w:rFonts w:hint="default"/>
          <w:b w:val="1"/>
          <w:color w:val="1F497D"/>
          <w:highlight w:val="none"/>
        </w:rPr>
      </w:pPr>
      <w:r>
        <w:rPr>
          <w:rFonts w:hint="eastAsia"/>
          <w:b w:val="1"/>
          <w:color w:val="1F497D"/>
          <w:sz w:val="28"/>
          <w:highlight w:val="none"/>
        </w:rPr>
        <w:t>第５節　その他の保健医療従事者</w:t>
      </w:r>
    </w:p>
    <w:p>
      <w:pPr>
        <w:pStyle w:val="0"/>
        <w:spacing w:before="165" w:beforeLines="50" w:beforeAutospacing="0" w:after="330" w:afterLines="100" w:afterAutospacing="0"/>
        <w:rPr>
          <w:rFonts w:hint="default"/>
          <w:b w:val="1"/>
          <w:color w:val="1F497D"/>
          <w:highlight w:val="none"/>
        </w:rPr>
      </w:pPr>
      <w:r>
        <w:rPr>
          <w:rFonts w:hint="eastAsia"/>
          <w:b w:val="1"/>
          <w:color w:val="1F497D"/>
          <w:highlight w:val="none"/>
        </w:rPr>
        <w:t>第１　理学療法士・作業療法士・言語聴覚士</w:t>
      </w:r>
    </w:p>
    <w:p>
      <w:pPr>
        <w:pStyle w:val="0"/>
        <w:ind w:firstLine="227" w:firstLineChars="100"/>
        <w:rPr>
          <w:rFonts w:hint="default"/>
          <w:highlight w:val="none"/>
        </w:rPr>
      </w:pPr>
      <w:r>
        <w:rPr>
          <w:rFonts w:hint="eastAsia"/>
          <w:highlight w:val="none"/>
        </w:rPr>
        <w:t>理学療法士</w:t>
      </w:r>
      <w:r>
        <w:rPr>
          <w:rFonts w:hint="eastAsia"/>
          <w:sz w:val="20"/>
          <w:highlight w:val="none"/>
        </w:rPr>
        <w:t>（ＰＴ）</w:t>
      </w:r>
      <w:r>
        <w:rPr>
          <w:rFonts w:hint="eastAsia"/>
          <w:highlight w:val="none"/>
        </w:rPr>
        <w:t>、作業療法士</w:t>
      </w:r>
      <w:r>
        <w:rPr>
          <w:rFonts w:hint="eastAsia"/>
          <w:sz w:val="20"/>
          <w:highlight w:val="none"/>
        </w:rPr>
        <w:t>（ＯＴ）</w:t>
      </w:r>
      <w:r>
        <w:rPr>
          <w:rFonts w:hint="eastAsia"/>
          <w:highlight w:val="none"/>
        </w:rPr>
        <w:t>、言語聴覚士</w:t>
      </w:r>
      <w:r>
        <w:rPr>
          <w:rFonts w:hint="eastAsia"/>
          <w:sz w:val="20"/>
          <w:highlight w:val="none"/>
        </w:rPr>
        <w:t>（ＳＴ）</w:t>
      </w:r>
      <w:r>
        <w:rPr>
          <w:rFonts w:hint="eastAsia"/>
          <w:highlight w:val="none"/>
        </w:rPr>
        <w:t>は、リハビリテーションを必要とする者に対し、医師や看護師と連携しながら、身体や精神あるいは言語機能の回復や発達の促進をサポートする重要な役割を担っています。</w:t>
      </w:r>
    </w:p>
    <w:p>
      <w:pPr>
        <w:pStyle w:val="0"/>
        <w:rPr>
          <w:rFonts w:hint="default"/>
          <w:highlight w:val="none"/>
        </w:rPr>
      </w:pPr>
    </w:p>
    <w:p>
      <w:pPr>
        <w:pStyle w:val="0"/>
        <w:rPr>
          <w:rFonts w:hint="default"/>
          <w:b w:val="1"/>
          <w:highlight w:val="none"/>
          <w:shd w:val="clear" w:color="auto" w:fill="E5DFEC"/>
        </w:rPr>
      </w:pPr>
      <w:r>
        <w:rPr>
          <w:rFonts w:hint="eastAsia"/>
          <w:b w:val="1"/>
          <w:highlight w:val="none"/>
          <w:bdr w:val="single" w:color="auto" w:sz="4" w:space="0"/>
          <w:shd w:val="clear" w:color="auto" w:fill="E5DFEC"/>
        </w:rPr>
        <w:t>現状</w:t>
      </w:r>
    </w:p>
    <w:p>
      <w:pPr>
        <w:pStyle w:val="0"/>
        <w:rPr>
          <w:rFonts w:hint="default"/>
          <w:b w:val="1"/>
          <w:color w:val="0070C0"/>
          <w:highlight w:val="none"/>
        </w:rPr>
      </w:pPr>
      <w:r>
        <w:rPr>
          <w:rFonts w:hint="eastAsia"/>
          <w:b w:val="1"/>
          <w:color w:val="0070C0"/>
          <w:highlight w:val="none"/>
        </w:rPr>
        <w:t>１　就業の状況</w:t>
      </w:r>
    </w:p>
    <w:p>
      <w:pPr>
        <w:pStyle w:val="0"/>
        <w:ind w:left="218" w:leftChars="99" w:firstLine="220" w:firstLineChars="100"/>
        <w:rPr>
          <w:rFonts w:hint="default" w:ascii="ＭＳ 明朝" w:hAnsi="ＭＳ 明朝"/>
          <w:highlight w:val="none"/>
        </w:rPr>
      </w:pPr>
      <w:r>
        <w:rPr>
          <w:rFonts w:hint="eastAsia"/>
          <w:color w:val="000000"/>
          <w:sz w:val="22"/>
          <w:highlight w:val="none"/>
          <w:u w:val="none" w:color="auto"/>
        </w:rPr>
        <w:t>県内の病院での就業者数</w:t>
      </w:r>
      <w:r>
        <w:rPr>
          <w:rFonts w:hint="eastAsia"/>
          <w:color w:val="000000"/>
          <w:sz w:val="20"/>
          <w:highlight w:val="none"/>
          <w:u w:val="none" w:color="auto"/>
        </w:rPr>
        <w:t>（常</w:t>
      </w:r>
      <w:r>
        <w:rPr>
          <w:rFonts w:hint="eastAsia" w:ascii="ＭＳ 明朝" w:hAnsi="ＭＳ 明朝"/>
          <w:color w:val="000000"/>
          <w:sz w:val="20"/>
          <w:highlight w:val="none"/>
          <w:u w:val="none" w:color="auto"/>
        </w:rPr>
        <w:t>勤換算）</w:t>
      </w:r>
      <w:r>
        <w:rPr>
          <w:rFonts w:hint="eastAsia" w:ascii="ＭＳ 明朝" w:hAnsi="ＭＳ 明朝"/>
          <w:color w:val="000000"/>
          <w:sz w:val="22"/>
          <w:highlight w:val="none"/>
          <w:u w:val="none" w:color="auto"/>
        </w:rPr>
        <w:t>は、</w:t>
      </w:r>
      <w:r>
        <w:rPr>
          <w:rFonts w:hint="eastAsia" w:ascii="ＭＳ 明朝" w:hAnsi="ＭＳ 明朝"/>
          <w:color w:val="auto"/>
          <w:sz w:val="22"/>
          <w:highlight w:val="none"/>
          <w:u w:val="none" w:color="auto"/>
        </w:rPr>
        <w:t>令和２年</w:t>
      </w:r>
      <w:r>
        <w:rPr>
          <w:rFonts w:hint="eastAsia" w:ascii="ＭＳ 明朝" w:hAnsi="ＭＳ 明朝"/>
          <w:color w:val="auto"/>
          <w:sz w:val="22"/>
          <w:highlight w:val="none"/>
          <w:u w:val="none" w:color="auto"/>
        </w:rPr>
        <w:t>10</w:t>
      </w:r>
      <w:r>
        <w:rPr>
          <w:rFonts w:hint="eastAsia" w:ascii="ＭＳ 明朝" w:hAnsi="ＭＳ 明朝"/>
          <w:color w:val="auto"/>
          <w:sz w:val="22"/>
          <w:highlight w:val="none"/>
          <w:u w:val="none" w:color="auto"/>
        </w:rPr>
        <w:t>月１日現在で、理学療法士</w:t>
      </w:r>
      <w:r>
        <w:rPr>
          <w:rFonts w:hint="eastAsia" w:ascii="ＭＳ 明朝" w:hAnsi="ＭＳ 明朝"/>
          <w:color w:val="auto"/>
          <w:sz w:val="22"/>
          <w:highlight w:val="none"/>
          <w:u w:val="none" w:color="auto"/>
        </w:rPr>
        <w:t>1,159.2</w:t>
      </w:r>
      <w:r>
        <w:rPr>
          <w:rFonts w:hint="eastAsia" w:ascii="ＭＳ 明朝" w:hAnsi="ＭＳ 明朝"/>
          <w:color w:val="auto"/>
          <w:sz w:val="22"/>
          <w:highlight w:val="none"/>
          <w:u w:val="none" w:color="auto"/>
        </w:rPr>
        <w:t>人、作業療法士</w:t>
      </w:r>
      <w:r>
        <w:rPr>
          <w:rFonts w:hint="eastAsia" w:ascii="ＭＳ 明朝" w:hAnsi="ＭＳ 明朝"/>
          <w:color w:val="auto"/>
          <w:sz w:val="22"/>
          <w:highlight w:val="none"/>
          <w:u w:val="none" w:color="auto"/>
        </w:rPr>
        <w:t xml:space="preserve"> 630.1</w:t>
      </w:r>
      <w:r>
        <w:rPr>
          <w:rFonts w:hint="eastAsia" w:ascii="ＭＳ 明朝" w:hAnsi="ＭＳ 明朝"/>
          <w:color w:val="auto"/>
          <w:sz w:val="22"/>
          <w:highlight w:val="none"/>
          <w:u w:val="none" w:color="auto"/>
        </w:rPr>
        <w:t>人、言語聴覚士</w:t>
      </w:r>
      <w:r>
        <w:rPr>
          <w:rFonts w:hint="eastAsia" w:ascii="ＭＳ 明朝" w:hAnsi="ＭＳ 明朝"/>
          <w:color w:val="auto"/>
          <w:sz w:val="22"/>
          <w:highlight w:val="none"/>
          <w:u w:val="none" w:color="auto"/>
        </w:rPr>
        <w:t xml:space="preserve"> 267.4</w:t>
      </w:r>
      <w:r>
        <w:rPr>
          <w:rFonts w:hint="eastAsia" w:ascii="ＭＳ 明朝" w:hAnsi="ＭＳ 明朝"/>
          <w:color w:val="auto"/>
          <w:sz w:val="22"/>
          <w:highlight w:val="none"/>
          <w:u w:val="none" w:color="auto"/>
        </w:rPr>
        <w:t>人となっており、平成</w:t>
      </w:r>
      <w:r>
        <w:rPr>
          <w:rFonts w:hint="eastAsia" w:ascii="ＭＳ 明朝" w:hAnsi="ＭＳ 明朝"/>
          <w:color w:val="auto"/>
          <w:sz w:val="22"/>
          <w:highlight w:val="none"/>
          <w:u w:val="none" w:color="auto"/>
        </w:rPr>
        <w:t>27</w:t>
      </w:r>
      <w:r>
        <w:rPr>
          <w:rFonts w:hint="eastAsia" w:ascii="ＭＳ 明朝" w:hAnsi="ＭＳ 明朝"/>
          <w:color w:val="auto"/>
          <w:sz w:val="22"/>
          <w:highlight w:val="none"/>
          <w:u w:val="none" w:color="auto"/>
        </w:rPr>
        <w:t>年と比べるといずれの職種も横ばいとなっています。また、人口</w:t>
      </w:r>
      <w:r>
        <w:rPr>
          <w:rFonts w:hint="eastAsia" w:ascii="ＭＳ 明朝" w:hAnsi="ＭＳ 明朝"/>
          <w:color w:val="auto"/>
          <w:sz w:val="22"/>
          <w:highlight w:val="none"/>
          <w:u w:val="none" w:color="auto"/>
        </w:rPr>
        <w:t>10</w:t>
      </w:r>
      <w:r>
        <w:rPr>
          <w:rFonts w:hint="eastAsia" w:ascii="ＭＳ 明朝" w:hAnsi="ＭＳ 明朝"/>
          <w:color w:val="auto"/>
          <w:sz w:val="22"/>
          <w:highlight w:val="none"/>
          <w:u w:val="none" w:color="auto"/>
        </w:rPr>
        <w:t>万人当たりで見ると理学療法士</w:t>
      </w:r>
      <w:r>
        <w:rPr>
          <w:rFonts w:hint="eastAsia" w:ascii="ＭＳ 明朝" w:hAnsi="ＭＳ 明朝"/>
          <w:color w:val="auto"/>
          <w:sz w:val="22"/>
          <w:highlight w:val="none"/>
          <w:u w:val="none" w:color="auto"/>
        </w:rPr>
        <w:t xml:space="preserve"> 168.7</w:t>
      </w:r>
      <w:r>
        <w:rPr>
          <w:rFonts w:hint="eastAsia" w:ascii="ＭＳ 明朝" w:hAnsi="ＭＳ 明朝"/>
          <w:color w:val="auto"/>
          <w:sz w:val="22"/>
          <w:highlight w:val="none"/>
          <w:u w:val="none" w:color="auto"/>
        </w:rPr>
        <w:t>人、作業療法士</w:t>
      </w:r>
      <w:r>
        <w:rPr>
          <w:rFonts w:hint="eastAsia" w:ascii="ＭＳ 明朝" w:hAnsi="ＭＳ 明朝"/>
          <w:color w:val="auto"/>
          <w:sz w:val="22"/>
          <w:highlight w:val="none"/>
          <w:u w:val="none" w:color="auto"/>
        </w:rPr>
        <w:t>91.7</w:t>
      </w:r>
      <w:r>
        <w:rPr>
          <w:rFonts w:hint="eastAsia" w:ascii="ＭＳ 明朝" w:hAnsi="ＭＳ 明朝"/>
          <w:color w:val="auto"/>
          <w:sz w:val="22"/>
          <w:highlight w:val="none"/>
          <w:u w:val="none" w:color="auto"/>
        </w:rPr>
        <w:t>人、言語聴覚士</w:t>
      </w:r>
      <w:r>
        <w:rPr>
          <w:rFonts w:hint="eastAsia" w:ascii="ＭＳ 明朝" w:hAnsi="ＭＳ 明朝"/>
          <w:color w:val="auto"/>
          <w:sz w:val="22"/>
          <w:highlight w:val="none"/>
          <w:u w:val="none" w:color="auto"/>
        </w:rPr>
        <w:t>38.9</w:t>
      </w:r>
      <w:r>
        <w:rPr>
          <w:rFonts w:hint="eastAsia" w:ascii="ＭＳ 明朝" w:hAnsi="ＭＳ 明朝"/>
          <w:color w:val="000000"/>
          <w:sz w:val="22"/>
          <w:highlight w:val="none"/>
          <w:u w:val="none" w:color="auto"/>
        </w:rPr>
        <w:t>人であり、いずれの職種も全国平均を大きく上回っています。</w:t>
      </w:r>
    </w:p>
    <w:p>
      <w:pPr>
        <w:pStyle w:val="0"/>
        <w:ind w:leftChars="0" w:firstLineChars="0"/>
        <w:rPr>
          <w:rFonts w:hint="default" w:ascii="ＭＳ 明朝" w:hAnsi="ＭＳ 明朝"/>
          <w:highlight w:val="none"/>
        </w:rPr>
      </w:pPr>
    </w:p>
    <w:p>
      <w:pPr>
        <w:pStyle w:val="29"/>
        <w:ind w:left="680" w:leftChars="300" w:firstLineChars="0"/>
        <w:jc w:val="center"/>
        <w:rPr>
          <w:rFonts w:hint="eastAsia" w:ascii="ＭＳ 明朝" w:hAnsi="ＭＳ 明朝"/>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4-5-1</w:t>
      </w:r>
      <w:r>
        <w:rPr>
          <w:rFonts w:hint="eastAsia" w:ascii="ＭＳ ゴシック" w:hAnsi="ＭＳ ゴシック" w:eastAsia="ＭＳ ゴシック"/>
          <w:sz w:val="22"/>
          <w:highlight w:val="none"/>
        </w:rPr>
        <w:t>）理学療法士、作業療法士、言語聴覚士の就業状況</w:t>
      </w:r>
      <w:r>
        <w:rPr>
          <w:rFonts w:hint="eastAsia" w:ascii="ＭＳ ゴシック" w:hAnsi="ＭＳ ゴシック" w:eastAsia="ＭＳ ゴシック"/>
          <w:sz w:val="21"/>
          <w:highlight w:val="none"/>
        </w:rPr>
        <w:t>　　　</w:t>
      </w:r>
      <w:r>
        <w:rPr>
          <w:rFonts w:hint="eastAsia" w:ascii="ＭＳ 明朝" w:hAnsi="ＭＳ 明朝"/>
          <w:sz w:val="16"/>
          <w:highlight w:val="none"/>
        </w:rPr>
        <w:t>単位：人</w:t>
      </w:r>
    </w:p>
    <w:tbl>
      <w:tblPr>
        <w:tblStyle w:val="11"/>
        <w:tblW w:w="8616" w:type="dxa"/>
        <w:jc w:val="left"/>
        <w:tblInd w:w="41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Look w:firstRow="1" w:lastRow="0" w:firstColumn="1" w:lastColumn="0" w:noHBand="0" w:noVBand="1" w:val="04A0"/>
      </w:tblPr>
      <w:tblGrid>
        <w:gridCol w:w="2270"/>
        <w:gridCol w:w="908"/>
        <w:gridCol w:w="883"/>
        <w:gridCol w:w="1387"/>
        <w:gridCol w:w="1567"/>
        <w:gridCol w:w="1601"/>
      </w:tblGrid>
      <w:tr>
        <w:trPr>
          <w:trHeight w:val="560" w:hRule="atLeast"/>
        </w:trPr>
        <w:tc>
          <w:tcPr>
            <w:tcW w:w="4061" w:type="dxa"/>
            <w:gridSpan w:val="3"/>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highlight w:val="none"/>
              </w:rPr>
            </w:pPr>
          </w:p>
        </w:tc>
        <w:tc>
          <w:tcPr>
            <w:tcW w:w="1387" w:type="dxa"/>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color w:val="000000"/>
                <w:sz w:val="22"/>
                <w:highlight w:val="none"/>
                <w:u w:val="none" w:color="auto"/>
              </w:rPr>
              <w:t>理学療法士</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highlight w:val="none"/>
              </w:rPr>
            </w:pPr>
            <w:r>
              <w:rPr>
                <w:rFonts w:hint="eastAsia" w:ascii="ＭＳ 明朝" w:hAnsi="ＭＳ 明朝"/>
                <w:color w:val="000000"/>
                <w:sz w:val="22"/>
                <w:highlight w:val="none"/>
                <w:u w:val="none" w:color="auto"/>
              </w:rPr>
              <w:t>作業療法士</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wordWrap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color w:val="000000"/>
                <w:sz w:val="22"/>
                <w:highlight w:val="none"/>
                <w:u w:val="none" w:color="auto"/>
              </w:rPr>
              <w:t>言語聴覚士</w:t>
            </w:r>
          </w:p>
        </w:tc>
      </w:tr>
      <w:tr>
        <w:trPr>
          <w:trHeight w:val="305" w:hRule="atLeast"/>
        </w:trPr>
        <w:tc>
          <w:tcPr>
            <w:tcW w:w="22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320" w:lineRule="exact"/>
              <w:jc w:val="center"/>
              <w:textAlignment w:val="baseline"/>
              <w:rPr>
                <w:rFonts w:hint="default" w:ascii="ＭＳ 明朝" w:hAnsi="ＭＳ 明朝"/>
                <w:sz w:val="16"/>
                <w:highlight w:val="none"/>
              </w:rPr>
            </w:pPr>
            <w:r>
              <w:rPr>
                <w:rFonts w:hint="eastAsia" w:ascii="ＭＳ 明朝" w:hAnsi="ＭＳ 明朝"/>
                <w:color w:val="000000"/>
                <w:sz w:val="20"/>
                <w:highlight w:val="none"/>
                <w:u w:val="none" w:color="auto"/>
              </w:rPr>
              <w:t>就業者数</w:t>
            </w:r>
          </w:p>
          <w:p>
            <w:pPr>
              <w:pStyle w:val="0"/>
              <w:widowControl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color w:val="000000"/>
                <w:sz w:val="20"/>
                <w:highlight w:val="none"/>
                <w:u w:val="none" w:color="auto"/>
              </w:rPr>
              <w:t>（常勤換算）</w:t>
            </w:r>
          </w:p>
        </w:tc>
        <w:tc>
          <w:tcPr>
            <w:tcW w:w="179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H27</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ind w:leftChars="0" w:firstLine="0" w:firstLineChars="0"/>
              <w:jc w:val="center"/>
              <w:textAlignment w:val="baseline"/>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1,207.6</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618.9</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ascii="ＭＳ 明朝" w:hAnsi="ＭＳ 明朝"/>
                <w:color w:val="auto"/>
                <w:sz w:val="22"/>
                <w:highlight w:val="none"/>
                <w:u w:val="none" w:color="auto"/>
              </w:rPr>
              <w:t>247.9</w:t>
            </w:r>
          </w:p>
        </w:tc>
      </w:tr>
      <w:tr>
        <w:trPr>
          <w:trHeight w:val="326"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79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R2</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1,159.2</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630.1</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267.4</w:t>
            </w:r>
          </w:p>
        </w:tc>
      </w:tr>
      <w:tr>
        <w:trPr>
          <w:trHeight w:val="340" w:hRule="atLeast"/>
        </w:trPr>
        <w:tc>
          <w:tcPr>
            <w:tcW w:w="22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default" w:ascii="ＭＳ 明朝" w:hAnsi="ＭＳ 明朝"/>
                <w:sz w:val="20"/>
                <w:highlight w:val="none"/>
              </w:rPr>
            </w:pPr>
            <w:r>
              <w:rPr>
                <w:rFonts w:hint="eastAsia"/>
                <w:sz w:val="21"/>
                <w:highlight w:val="none"/>
              </w:rPr>
              <w:t>人口</w:t>
            </w:r>
            <w:r>
              <w:rPr>
                <w:rFonts w:hint="eastAsia"/>
                <w:sz w:val="21"/>
                <w:highlight w:val="none"/>
              </w:rPr>
              <w:t>10</w:t>
            </w:r>
            <w:r>
              <w:rPr>
                <w:rFonts w:hint="eastAsia"/>
                <w:sz w:val="21"/>
                <w:highlight w:val="none"/>
              </w:rPr>
              <w:t>万人当たり</w:t>
            </w:r>
          </w:p>
        </w:tc>
        <w:tc>
          <w:tcPr>
            <w:tcW w:w="90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1"/>
                <w:highlight w:val="none"/>
                <w:u w:val="none" w:color="auto"/>
              </w:rPr>
            </w:pPr>
            <w:r>
              <w:rPr>
                <w:rFonts w:hint="eastAsia"/>
                <w:color w:val="auto"/>
                <w:sz w:val="21"/>
                <w:highlight w:val="none"/>
                <w:u w:val="none" w:color="auto"/>
              </w:rPr>
              <w:t>高知県</w:t>
            </w: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H27</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166.6</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85.4</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34.2</w:t>
            </w:r>
          </w:p>
        </w:tc>
      </w:tr>
      <w:tr>
        <w:trPr>
          <w:trHeight w:val="327"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90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R2</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168.7</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91.7</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38.9</w:t>
            </w:r>
          </w:p>
        </w:tc>
      </w:tr>
      <w:tr>
        <w:trPr>
          <w:trHeight w:val="350"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90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1"/>
                <w:highlight w:val="none"/>
                <w:u w:val="none" w:color="auto"/>
              </w:rPr>
            </w:pPr>
            <w:r>
              <w:rPr>
                <w:rFonts w:hint="eastAsia"/>
                <w:color w:val="auto"/>
                <w:sz w:val="21"/>
                <w:highlight w:val="none"/>
                <w:u w:val="none" w:color="auto"/>
              </w:rPr>
              <w:t>全国</w:t>
            </w: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H27</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56.3</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33.0</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11.4</w:t>
            </w:r>
          </w:p>
        </w:tc>
      </w:tr>
      <w:tr>
        <w:trPr>
          <w:trHeight w:val="327"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default" w:ascii="ＭＳ 明朝" w:hAnsi="ＭＳ 明朝"/>
                <w:sz w:val="20"/>
              </w:rPr>
            </w:pPr>
          </w:p>
        </w:tc>
        <w:tc>
          <w:tcPr>
            <w:tcW w:w="90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R2</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68.4</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38.8</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13.6</w:t>
            </w:r>
          </w:p>
        </w:tc>
      </w:tr>
    </w:tbl>
    <w:p>
      <w:pPr>
        <w:pStyle w:val="29"/>
        <w:ind w:left="567" w:leftChars="250" w:firstLineChars="0"/>
        <w:jc w:val="left"/>
        <w:rPr>
          <w:rFonts w:hint="eastAsia" w:ascii="ＭＳ ゴシック" w:hAnsi="ＭＳ ゴシック" w:eastAsia="ＭＳ ゴシック"/>
          <w:b w:val="1"/>
          <w:color w:val="0070C0"/>
          <w:sz w:val="22"/>
          <w:highlight w:val="none"/>
        </w:rPr>
      </w:pPr>
      <w:r>
        <w:rPr>
          <w:rFonts w:hint="eastAsia"/>
          <w:spacing w:val="0"/>
          <w:sz w:val="16"/>
          <w:highlight w:val="none"/>
        </w:rPr>
        <w:t>※人口</w:t>
      </w:r>
      <w:r>
        <w:rPr>
          <w:rFonts w:hint="eastAsia" w:ascii="ＭＳ 明朝" w:hAnsi="ＭＳ 明朝" w:eastAsia="ＭＳ 明朝"/>
          <w:spacing w:val="0"/>
          <w:sz w:val="16"/>
          <w:highlight w:val="none"/>
        </w:rPr>
        <w:t>10</w:t>
      </w:r>
      <w:r>
        <w:rPr>
          <w:rFonts w:hint="eastAsia"/>
          <w:spacing w:val="0"/>
          <w:sz w:val="16"/>
          <w:highlight w:val="none"/>
        </w:rPr>
        <w:t>万人当たりの就業者数を算定するにあたっての人口は人口動態調査（厚生労働省）に拠る</w:t>
      </w:r>
    </w:p>
    <w:p>
      <w:pPr>
        <w:pStyle w:val="29"/>
        <w:ind w:left="220" w:leftChars="-68" w:hanging="370" w:hangingChars="168"/>
        <w:jc w:val="right"/>
        <w:rPr>
          <w:rFonts w:hint="eastAsia" w:ascii="ＭＳ ゴシック" w:hAnsi="ＭＳ ゴシック" w:eastAsia="ＭＳ ゴシック"/>
          <w:b w:val="1"/>
          <w:color w:val="0070C0"/>
          <w:sz w:val="22"/>
          <w:highlight w:val="none"/>
        </w:rPr>
      </w:pPr>
      <w:r>
        <w:rPr>
          <w:rFonts w:hint="eastAsia"/>
          <w:spacing w:val="0"/>
          <w:sz w:val="16"/>
          <w:highlight w:val="none"/>
        </w:rPr>
        <w:t>出典：病院報告、医療施設調査</w:t>
      </w:r>
    </w:p>
    <w:p>
      <w:pPr>
        <w:pStyle w:val="29"/>
        <w:ind w:left="220" w:leftChars="-68" w:hanging="370" w:hangingChars="168"/>
        <w:jc w:val="left"/>
        <w:rPr>
          <w:rFonts w:hint="eastAsia" w:ascii="ＭＳ ゴシック" w:hAnsi="ＭＳ ゴシック" w:eastAsia="ＭＳ ゴシック"/>
          <w:b w:val="1"/>
          <w:color w:val="0070C0"/>
          <w:sz w:val="22"/>
          <w:highlight w:val="none"/>
        </w:rPr>
      </w:pPr>
    </w:p>
    <w:p>
      <w:pPr>
        <w:pStyle w:val="29"/>
        <w:ind w:left="0" w:leftChars="0"/>
        <w:rPr>
          <w:rFonts w:hint="default"/>
          <w:b w:val="1"/>
          <w:color w:val="0070C0"/>
          <w:sz w:val="22"/>
          <w:highlight w:val="none"/>
        </w:rPr>
      </w:pPr>
      <w:r>
        <w:rPr>
          <w:rFonts w:hint="eastAsia" w:ascii="ＭＳ 明朝" w:hAnsi="ＭＳ 明朝" w:eastAsia="ＭＳ 明朝"/>
          <w:b w:val="1"/>
          <w:color w:val="0070C0"/>
          <w:sz w:val="22"/>
          <w:highlight w:val="none"/>
        </w:rPr>
        <w:t>２</w:t>
      </w:r>
      <w:r>
        <w:rPr>
          <w:rFonts w:hint="eastAsia" w:ascii="ＭＳ ゴシック" w:hAnsi="ＭＳ ゴシック" w:eastAsia="ＭＳ ゴシック"/>
          <w:b w:val="1"/>
          <w:color w:val="0070C0"/>
          <w:sz w:val="22"/>
          <w:highlight w:val="none"/>
        </w:rPr>
        <w:t>　</w:t>
      </w:r>
      <w:r>
        <w:rPr>
          <w:rFonts w:hint="eastAsia"/>
          <w:b w:val="1"/>
          <w:color w:val="0070C0"/>
          <w:sz w:val="22"/>
          <w:highlight w:val="none"/>
        </w:rPr>
        <w:t>養成施設</w:t>
      </w:r>
    </w:p>
    <w:p>
      <w:pPr>
        <w:pStyle w:val="0"/>
        <w:ind w:left="220" w:leftChars="100" w:firstLine="220" w:firstLineChars="100"/>
        <w:rPr>
          <w:rFonts w:hint="default" w:ascii="ＭＳ ゴシック" w:hAnsi="ＭＳ ゴシック" w:eastAsia="ＭＳ ゴシック"/>
          <w:highlight w:val="none"/>
        </w:rPr>
      </w:pPr>
      <w:r>
        <w:rPr>
          <w:rFonts w:hint="eastAsia"/>
          <w:highlight w:val="none"/>
        </w:rPr>
        <w:t>県内には、理学療法士を養成する施設は３か所、作業療法士を養成する施設は２か所、言語聴覚士を養成する施設は１か所あります。</w:t>
      </w:r>
    </w:p>
    <w:p>
      <w:pPr>
        <w:pStyle w:val="0"/>
        <w:ind w:left="220" w:leftChars="100" w:firstLine="220" w:firstLineChars="100"/>
        <w:rPr>
          <w:rFonts w:hint="default" w:ascii="ＭＳ ゴシック" w:hAnsi="ＭＳ ゴシック" w:eastAsia="ＭＳ ゴシック"/>
          <w:highlight w:val="none"/>
        </w:rPr>
      </w:pPr>
      <w:r>
        <w:rPr>
          <w:rFonts w:hint="eastAsia"/>
          <w:highlight w:val="none"/>
        </w:rPr>
        <w:t>各養成施設の学年定員は下記のとおりです。</w:t>
      </w: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tabs>
          <w:tab w:val="center" w:leader="none" w:pos="4764"/>
        </w:tabs>
        <w:ind w:firstLine="660" w:firstLineChars="300"/>
        <w:rPr>
          <w:rFonts w:hint="default"/>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4-5-2</w:t>
      </w:r>
      <w:r>
        <w:rPr>
          <w:rFonts w:hint="eastAsia" w:ascii="ＭＳ ゴシック" w:hAnsi="ＭＳ ゴシック" w:eastAsia="ＭＳ ゴシック"/>
          <w:sz w:val="22"/>
          <w:highlight w:val="none"/>
        </w:rPr>
        <w:t>）理学療法士、作業療法士、言語聴覚士養成施設の学年定員数</w:t>
      </w:r>
    </w:p>
    <w:tbl>
      <w:tblPr>
        <w:tblStyle w:val="11"/>
        <w:tblW w:w="8626" w:type="dxa"/>
        <w:tblInd w:w="4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Look w:firstRow="0" w:lastRow="0" w:firstColumn="0" w:lastColumn="0" w:noHBand="1" w:noVBand="1" w:val="0600"/>
      </w:tblPr>
      <w:tblGrid>
        <w:gridCol w:w="2295"/>
        <w:gridCol w:w="2926"/>
        <w:gridCol w:w="1589"/>
        <w:gridCol w:w="1816"/>
      </w:tblGrid>
      <w:tr>
        <w:trPr>
          <w:trHeight w:val="211" w:hRule="atLeast"/>
        </w:trPr>
        <w:tc>
          <w:tcPr>
            <w:tcW w:w="5221" w:type="dxa"/>
            <w:gridSpan w:val="2"/>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0"/>
                <w:highlight w:val="none"/>
              </w:rPr>
              <w:t>養成施設名</w:t>
            </w:r>
          </w:p>
        </w:tc>
        <w:tc>
          <w:tcPr>
            <w:tcW w:w="3405" w:type="dxa"/>
            <w:gridSpan w:val="2"/>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0"/>
                <w:highlight w:val="none"/>
              </w:rPr>
              <w:t>学年定員</w:t>
            </w:r>
            <w:r>
              <w:rPr>
                <w:rFonts w:hint="eastAsia" w:ascii="ＭＳ 明朝" w:hAnsi="ＭＳ 明朝"/>
                <w:sz w:val="20"/>
                <w:highlight w:val="none"/>
              </w:rPr>
              <w:t>(</w:t>
            </w:r>
            <w:r>
              <w:rPr>
                <w:rFonts w:hint="eastAsia" w:ascii="ＭＳ 明朝" w:hAnsi="ＭＳ 明朝"/>
                <w:sz w:val="20"/>
                <w:highlight w:val="none"/>
              </w:rPr>
              <w:t>人）</w:t>
            </w:r>
          </w:p>
        </w:tc>
      </w:tr>
      <w:tr>
        <w:trPr>
          <w:trHeight w:val="360" w:hRule="atLeast"/>
        </w:trPr>
        <w:tc>
          <w:tcPr>
            <w:tcW w:w="5221" w:type="dxa"/>
            <w:gridSpan w:val="2"/>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color w:val="auto"/>
                <w:sz w:val="22"/>
                <w:highlight w:val="none"/>
                <w:u w:val="none" w:color="auto"/>
              </w:rPr>
            </w:pPr>
            <w:r>
              <w:rPr>
                <w:rFonts w:hint="eastAsia" w:ascii="ＭＳ 明朝" w:hAnsi="ＭＳ 明朝"/>
                <w:color w:val="auto"/>
                <w:sz w:val="20"/>
                <w:highlight w:val="none"/>
                <w:u w:val="none" w:color="auto"/>
              </w:rPr>
              <w:t>高知リハビリテーション専門職大学</w:t>
            </w:r>
          </w:p>
        </w:tc>
        <w:tc>
          <w:tcPr>
            <w:tcW w:w="1589"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理学療法士</w:t>
            </w:r>
          </w:p>
        </w:tc>
        <w:tc>
          <w:tcPr>
            <w:tcW w:w="1816" w:type="dxa"/>
            <w:tcBorders>
              <w:top w:val="single"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70</w:t>
            </w:r>
          </w:p>
        </w:tc>
      </w:tr>
      <w:tr>
        <w:trPr>
          <w:trHeight w:val="375" w:hRule="atLeast"/>
        </w:trPr>
        <w:tc>
          <w:tcPr>
            <w:tcW w:w="5221" w:type="dxa"/>
            <w:gridSpan w:val="2"/>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作業療法士</w:t>
            </w:r>
          </w:p>
        </w:tc>
        <w:tc>
          <w:tcPr>
            <w:tcW w:w="1816"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40</w:t>
            </w:r>
          </w:p>
        </w:tc>
      </w:tr>
      <w:tr>
        <w:trPr>
          <w:trHeight w:val="300" w:hRule="atLeast"/>
        </w:trPr>
        <w:tc>
          <w:tcPr>
            <w:tcW w:w="5221" w:type="dxa"/>
            <w:gridSpan w:val="2"/>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言語聴覚士</w:t>
            </w:r>
          </w:p>
        </w:tc>
        <w:tc>
          <w:tcPr>
            <w:tcW w:w="1816" w:type="dxa"/>
            <w:tcBorders>
              <w:top w:val="dotted"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40</w:t>
            </w:r>
          </w:p>
        </w:tc>
      </w:tr>
      <w:tr>
        <w:trPr>
          <w:trHeight w:val="350" w:hRule="atLeast"/>
        </w:trPr>
        <w:tc>
          <w:tcPr>
            <w:tcW w:w="5221" w:type="dxa"/>
            <w:gridSpan w:val="2"/>
            <w:vMerge w:val="restart"/>
            <w:tcBorders>
              <w:top w:val="none" w:color="auto" w:sz="0" w:space="0"/>
              <w:left w:val="single" w:color="000000" w:themeColor="text1" w:sz="4" w:space="0"/>
              <w:bottom w:val="nil"/>
              <w:right w:val="none" w:color="auto" w:sz="0" w:space="0"/>
              <w:tl2br w:val="none" w:color="auto" w:sz="0" w:space="0"/>
              <w:tr2bl w:val="none" w:color="auto" w:sz="0" w:space="0"/>
            </w:tcBorders>
            <w:shd w:val="clear" w:color="auto" w:fill="DAEEF3"/>
            <w:vAlign w:val="center"/>
          </w:tcPr>
          <w:p>
            <w:pPr>
              <w:pStyle w:val="0"/>
              <w:tabs>
                <w:tab w:val="left" w:leader="none" w:pos="962"/>
                <w:tab w:val="center" w:leader="none" w:pos="2511"/>
              </w:tabs>
              <w:ind w:firstLine="414" w:firstLineChars="200"/>
              <w:jc w:val="both"/>
              <w:rPr>
                <w:rFonts w:hint="eastAsia"/>
                <w:color w:val="auto"/>
                <w:highlight w:val="none"/>
                <w:u w:val="none" w:color="auto"/>
              </w:rPr>
            </w:pPr>
            <w:r>
              <w:rPr>
                <w:rFonts w:hint="eastAsia" w:ascii="ＭＳ 明朝" w:hAnsi="ＭＳ 明朝"/>
                <w:color w:val="auto"/>
                <w:sz w:val="20"/>
                <w:highlight w:val="none"/>
                <w:u w:val="none" w:color="auto"/>
              </w:rPr>
              <w:tab/>
            </w:r>
            <w:r>
              <w:rPr>
                <w:rFonts w:hint="eastAsia" w:ascii="ＭＳ 明朝" w:hAnsi="ＭＳ 明朝"/>
                <w:color w:val="auto"/>
                <w:sz w:val="20"/>
                <w:highlight w:val="none"/>
                <w:u w:val="none" w:color="auto"/>
              </w:rPr>
              <w:tab/>
            </w:r>
            <w:r>
              <w:rPr>
                <w:rFonts w:hint="eastAsia" w:ascii="ＭＳ 明朝" w:hAnsi="ＭＳ 明朝"/>
                <w:color w:val="auto"/>
                <w:sz w:val="20"/>
                <w:highlight w:val="none"/>
                <w:u w:val="none" w:color="auto"/>
              </w:rPr>
              <w:t>土佐リハビリテーションカレッジ</w:t>
            </w:r>
          </w:p>
        </w:tc>
        <w:tc>
          <w:tcPr>
            <w:tcW w:w="158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理学療法士</w:t>
            </w:r>
          </w:p>
        </w:tc>
        <w:tc>
          <w:tcPr>
            <w:tcW w:w="1816" w:type="dxa"/>
            <w:tcBorders>
              <w:top w:val="none" w:color="auto" w:sz="0" w:space="0"/>
              <w:left w:val="none" w:color="auto" w:sz="0" w:space="0"/>
              <w:bottom w:val="dotted" w:color="auto" w:sz="4"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ascii="ＭＳ 明朝" w:hAnsi="ＭＳ 明朝"/>
                <w:sz w:val="22"/>
                <w:highlight w:val="none"/>
              </w:rPr>
              <w:t>40</w:t>
            </w:r>
          </w:p>
        </w:tc>
      </w:tr>
      <w:tr>
        <w:trPr>
          <w:trHeight w:val="350" w:hRule="atLeast"/>
        </w:trPr>
        <w:tc>
          <w:tcPr>
            <w:tcW w:w="5221" w:type="dxa"/>
            <w:gridSpan w:val="2"/>
            <w:vMerge w:val="continue"/>
            <w:tcBorders>
              <w:top w:val="none" w:color="auto" w:sz="0" w:space="0"/>
              <w:left w:val="single" w:color="000000" w:themeColor="text1" w:sz="4" w:space="0"/>
              <w:bottom w:val="nil"/>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作業療法士</w:t>
            </w:r>
          </w:p>
        </w:tc>
        <w:tc>
          <w:tcPr>
            <w:tcW w:w="1816"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ascii="ＭＳ 明朝" w:hAnsi="ＭＳ 明朝"/>
                <w:sz w:val="22"/>
                <w:highlight w:val="none"/>
              </w:rPr>
              <w:t>40</w:t>
            </w:r>
          </w:p>
        </w:tc>
      </w:tr>
      <w:tr>
        <w:trPr>
          <w:trHeight w:val="350" w:hRule="atLeast"/>
        </w:trPr>
        <w:tc>
          <w:tcPr>
            <w:tcW w:w="2295" w:type="dxa"/>
            <w:vMerge w:val="restart"/>
            <w:tcBorders>
              <w:top w:val="single" w:color="DAEEF3" w:sz="4" w:space="0"/>
              <w:left w:val="single" w:color="000000" w:themeColor="text1" w:sz="4" w:space="0"/>
              <w:bottom w:val="none" w:color="auto" w:sz="0" w:space="0"/>
              <w:right w:val="dotted" w:color="auto" w:sz="4" w:space="0"/>
              <w:tl2br w:val="none" w:color="auto" w:sz="0" w:space="0"/>
              <w:tr2bl w:val="none" w:color="auto" w:sz="0" w:space="0"/>
            </w:tcBorders>
            <w:shd w:val="clear" w:color="auto" w:fill="DAEEF3"/>
            <w:vAlign w:val="center"/>
          </w:tcPr>
          <w:p>
            <w:pPr>
              <w:pStyle w:val="0"/>
              <w:tabs>
                <w:tab w:val="left" w:leader="none" w:pos="2862"/>
              </w:tabs>
              <w:ind w:leftChars="0" w:firstLine="0" w:firstLineChars="0"/>
              <w:rPr>
                <w:rFonts w:hint="eastAsia"/>
                <w:color w:val="auto"/>
                <w:highlight w:val="none"/>
                <w:u w:val="none" w:color="auto"/>
              </w:rPr>
            </w:pPr>
            <w:r>
              <w:rPr>
                <w:rFonts w:hint="eastAsia"/>
                <w:color w:val="auto"/>
                <w:highlight w:val="none"/>
                <w:u w:val="none" w:color="auto"/>
              </w:rPr>
              <w:tab/>
            </w:r>
          </w:p>
        </w:tc>
        <w:tc>
          <w:tcPr>
            <w:tcW w:w="2926" w:type="dxa"/>
            <w:vMerge w:val="restart"/>
            <w:tcBorders>
              <w:top w:val="dotted" w:color="000000" w:themeColor="text1" w:sz="4" w:space="0"/>
              <w:left w:val="dotted"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color w:val="auto"/>
                <w:highlight w:val="none"/>
                <w:u w:val="none" w:color="auto"/>
              </w:rPr>
            </w:pPr>
            <w:r>
              <w:rPr>
                <w:rFonts w:hint="eastAsia" w:ascii="ＭＳ 明朝" w:hAnsi="ＭＳ 明朝"/>
                <w:color w:val="auto"/>
                <w:sz w:val="20"/>
                <w:highlight w:val="none"/>
                <w:u w:val="none" w:color="auto"/>
              </w:rPr>
              <w:t>高知健康科学大学</w:t>
            </w:r>
          </w:p>
          <w:p>
            <w:pPr>
              <w:pStyle w:val="0"/>
              <w:rPr>
                <w:rFonts w:hint="eastAsia"/>
                <w:color w:val="auto"/>
                <w:highlight w:val="none"/>
                <w:u w:val="none" w:color="auto"/>
              </w:rPr>
            </w:pPr>
            <w:r>
              <w:rPr>
                <w:rFonts w:hint="eastAsia" w:ascii="ＭＳ 明朝" w:hAnsi="ＭＳ 明朝"/>
                <w:color w:val="auto"/>
                <w:sz w:val="20"/>
                <w:highlight w:val="none"/>
                <w:u w:val="none" w:color="auto"/>
              </w:rPr>
              <w:t>（令和６年４月開設予定）</w:t>
            </w:r>
          </w:p>
        </w:tc>
        <w:tc>
          <w:tcPr>
            <w:tcW w:w="158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理学療法士</w:t>
            </w:r>
          </w:p>
        </w:tc>
        <w:tc>
          <w:tcPr>
            <w:tcW w:w="1816"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highlight w:val="none"/>
              </w:rPr>
              <w:t>35</w:t>
            </w:r>
          </w:p>
        </w:tc>
      </w:tr>
      <w:tr>
        <w:trPr>
          <w:trHeight w:val="345" w:hRule="atLeast"/>
        </w:trPr>
        <w:tc>
          <w:tcPr>
            <w:tcW w:w="2295" w:type="dxa"/>
            <w:vMerge w:val="continue"/>
            <w:tcBorders>
              <w:top w:val="none" w:color="auto" w:sz="0" w:space="0"/>
              <w:left w:val="single" w:color="000000" w:themeColor="text1" w:sz="4" w:space="0"/>
              <w:bottom w:val="none" w:color="auto" w:sz="0" w:space="0"/>
              <w:right w:val="dotted" w:color="auto" w:sz="4" w:space="0"/>
              <w:tl2br w:val="none" w:color="auto" w:sz="0" w:space="0"/>
              <w:tr2bl w:val="none" w:color="auto" w:sz="0" w:space="0"/>
            </w:tcBorders>
            <w:shd w:val="clear" w:color="auto" w:fill="DAEEF3"/>
            <w:vAlign w:val="center"/>
          </w:tcPr>
          <w:p>
            <w:pPr>
              <w:pStyle w:val="0"/>
              <w:rPr>
                <w:rFonts w:hint="eastAsia"/>
              </w:rPr>
            </w:pPr>
          </w:p>
        </w:tc>
        <w:tc>
          <w:tcPr>
            <w:tcW w:w="2926" w:type="dxa"/>
            <w:vMerge w:val="continue"/>
            <w:tcBorders>
              <w:top w:val="none" w:color="auto" w:sz="0" w:space="0"/>
              <w:left w:val="dotted" w:color="auto" w:sz="4" w:space="0"/>
              <w:bottom w:val="none" w:color="auto" w:sz="0" w:space="0"/>
              <w:right w:val="nil"/>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作業療法士</w:t>
            </w:r>
          </w:p>
        </w:tc>
        <w:tc>
          <w:tcPr>
            <w:tcW w:w="1816" w:type="dxa"/>
            <w:tcBorders>
              <w:top w:val="dotted"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ascii="ＭＳ 明朝" w:hAnsi="ＭＳ 明朝"/>
                <w:sz w:val="22"/>
                <w:highlight w:val="none"/>
              </w:rPr>
              <w:t>35</w:t>
            </w:r>
          </w:p>
        </w:tc>
      </w:tr>
      <w:tr>
        <w:trPr>
          <w:trHeight w:val="345" w:hRule="atLeast"/>
        </w:trPr>
        <w:tc>
          <w:tcPr>
            <w:tcW w:w="5221" w:type="dxa"/>
            <w:gridSpan w:val="2"/>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0"/>
                <w:highlight w:val="none"/>
              </w:rPr>
              <w:t>高知医療学院</w:t>
            </w:r>
          </w:p>
        </w:tc>
        <w:tc>
          <w:tcPr>
            <w:tcW w:w="15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理学療法士</w:t>
            </w:r>
          </w:p>
        </w:tc>
        <w:tc>
          <w:tcPr>
            <w:tcW w:w="1816"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40</w:t>
            </w:r>
          </w:p>
        </w:tc>
      </w:tr>
    </w:tbl>
    <w:p>
      <w:pPr>
        <w:pStyle w:val="0"/>
        <w:spacing w:line="0" w:lineRule="atLeast"/>
        <w:ind w:leftChars="0" w:right="143" w:rightChars="63" w:firstLineChars="0"/>
        <w:jc w:val="right"/>
        <w:rPr>
          <w:rFonts w:hint="default"/>
          <w:sz w:val="18"/>
          <w:highlight w:val="none"/>
        </w:rPr>
      </w:pPr>
      <w:r>
        <w:rPr>
          <w:rFonts w:hint="eastAsia"/>
          <w:color w:val="000000"/>
          <w:sz w:val="16"/>
          <w:highlight w:val="none"/>
        </w:rPr>
        <w:t>出典：高知県医療政策課調べ</w:t>
      </w:r>
    </w:p>
    <w:p>
      <w:pPr>
        <w:pStyle w:val="0"/>
        <w:spacing w:line="180" w:lineRule="exact"/>
        <w:ind w:leftChars="0" w:firstLineChars="0"/>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課題</w:t>
      </w:r>
    </w:p>
    <w:p>
      <w:pPr>
        <w:pStyle w:val="0"/>
        <w:ind w:firstLine="220" w:firstLineChars="100"/>
        <w:rPr>
          <w:rFonts w:hint="default"/>
          <w:color w:val="auto"/>
          <w:highlight w:val="none"/>
          <w:u w:val="none" w:color="auto"/>
        </w:rPr>
      </w:pPr>
      <w:r>
        <w:rPr>
          <w:rFonts w:hint="eastAsia"/>
          <w:highlight w:val="none"/>
        </w:rPr>
        <w:t>県内の理学療法士・作業療法士・言語聴覚士の従事者数は、人口</w:t>
      </w:r>
      <w:r>
        <w:rPr>
          <w:rFonts w:hint="eastAsia"/>
          <w:highlight w:val="none"/>
        </w:rPr>
        <w:t>10</w:t>
      </w:r>
      <w:r>
        <w:rPr>
          <w:rFonts w:hint="eastAsia"/>
          <w:highlight w:val="none"/>
        </w:rPr>
        <w:t>万人当たりでは全国平均と比較して大きく上回っていますが、高齢化の進展と慢性疾患の増加などの疾病構造の変化や、医学・医療技術の急速な進歩・発展に対応するために、一層の</w:t>
      </w:r>
      <w:r>
        <w:rPr>
          <w:rFonts w:hint="eastAsia"/>
          <w:color w:val="auto"/>
          <w:highlight w:val="none"/>
          <w:u w:val="none" w:color="auto"/>
        </w:rPr>
        <w:t>資質の向上に努める必要があります。</w:t>
      </w:r>
    </w:p>
    <w:p>
      <w:pPr>
        <w:pStyle w:val="0"/>
        <w:ind w:firstLine="220" w:firstLineChars="100"/>
        <w:rPr>
          <w:rFonts w:hint="default"/>
          <w:highlight w:val="none"/>
        </w:rPr>
      </w:pPr>
      <w:r>
        <w:rPr>
          <w:rFonts w:hint="eastAsia"/>
          <w:color w:val="auto"/>
          <w:highlight w:val="none"/>
          <w:u w:val="none" w:color="auto"/>
        </w:rPr>
        <w:t>また、高知市内に医療機関が集中していることから、地域偏在が生じており、東部や西部、中山間地域での人材確保に向けての取り組み、地域の課題に対応できる人材の育成が必要です。</w:t>
      </w:r>
    </w:p>
    <w:p>
      <w:pPr>
        <w:pStyle w:val="0"/>
        <w:spacing w:line="240" w:lineRule="exact"/>
        <w:ind w:leftChars="0" w:firstLineChars="0"/>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ind w:firstLine="220" w:firstLineChars="100"/>
        <w:rPr>
          <w:rFonts w:hint="eastAsia"/>
          <w:b w:val="1"/>
          <w:sz w:val="28"/>
          <w:highlight w:val="none"/>
        </w:rPr>
      </w:pPr>
      <w:r>
        <w:rPr>
          <w:rFonts w:hint="eastAsia"/>
          <w:highlight w:val="none"/>
        </w:rPr>
        <w:t>各職種の関係団体などが行う、各業務に関する知識・技能の向上を目指した研修</w:t>
      </w:r>
      <w:r>
        <w:rPr>
          <w:rFonts w:hint="eastAsia"/>
          <w:color w:val="auto"/>
          <w:highlight w:val="none"/>
          <w:u w:val="none" w:color="auto"/>
        </w:rPr>
        <w:t>及び人材確保に向けた取り組み</w:t>
      </w:r>
      <w:r>
        <w:rPr>
          <w:rFonts w:hint="eastAsia"/>
          <w:highlight w:val="none"/>
        </w:rPr>
        <w:t>に対して支援を行います。</w:t>
      </w:r>
    </w:p>
    <w:p>
      <w:pPr>
        <w:pStyle w:val="0"/>
        <w:spacing w:line="280" w:lineRule="exact"/>
        <w:ind w:firstLine="220" w:firstLineChars="100"/>
        <w:rPr>
          <w:rFonts w:hint="eastAsia"/>
          <w:b w:val="1"/>
          <w:sz w:val="28"/>
          <w:highlight w:val="none"/>
        </w:rPr>
      </w:pPr>
    </w:p>
    <w:p>
      <w:pPr>
        <w:pStyle w:val="0"/>
        <w:spacing w:after="200" w:afterLines="0" w:afterAutospacing="0"/>
        <w:rPr>
          <w:rFonts w:hint="default"/>
          <w:highlight w:val="none"/>
        </w:rPr>
      </w:pPr>
      <w:r>
        <w:rPr>
          <w:rFonts w:hint="eastAsia"/>
          <w:b w:val="1"/>
          <w:color w:val="1F497D"/>
          <w:highlight w:val="none"/>
        </w:rPr>
        <w:t>第２　管理栄養士・栄養士</w:t>
      </w:r>
    </w:p>
    <w:p>
      <w:pPr>
        <w:pStyle w:val="0"/>
        <w:spacing w:after="80" w:afterLines="0" w:afterAutospacing="0"/>
        <w:ind w:firstLine="220" w:firstLineChars="100"/>
        <w:rPr>
          <w:rFonts w:hint="default"/>
          <w:highlight w:val="none"/>
        </w:rPr>
      </w:pPr>
      <w:r>
        <w:rPr>
          <w:rFonts w:hint="eastAsia"/>
          <w:highlight w:val="none"/>
        </w:rPr>
        <w:t>管理栄養士・栄養士は、生活習慣病予防や疾病の重症化予防、低栄養の改善などを目的にした栄養指導や、病態に対応した食事の提供を通じた栄養管理、また、県民に対して食育をすすめることで健全な食生活の実現や食文化の継承を図るなど、県民の健康づくりに重要な役割を担っています。近年は、</w:t>
      </w:r>
      <w:r>
        <w:rPr>
          <w:rFonts w:hint="eastAsia"/>
          <w:highlight w:val="none"/>
          <w:shd w:val="clear" w:color="auto" w:fill="auto"/>
        </w:rPr>
        <w:t>医療機関における栄養サポートチーム</w:t>
      </w:r>
      <w:r>
        <w:rPr>
          <w:rFonts w:hint="eastAsia"/>
          <w:highlight w:val="none"/>
        </w:rPr>
        <w:t>や介護施設などでの栄養ケア・マネジメントなどの分野で栄養の専門家としての高度な知識や技術が求められています。</w:t>
      </w:r>
    </w:p>
    <w:p>
      <w:pPr>
        <w:pStyle w:val="0"/>
        <w:spacing w:before="80" w:beforeLines="0" w:beforeAutospacing="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現状と課題</w:t>
      </w:r>
    </w:p>
    <w:p>
      <w:pPr>
        <w:pStyle w:val="0"/>
        <w:rPr>
          <w:rFonts w:hint="default"/>
          <w:color w:val="0070C0"/>
          <w:highlight w:val="none"/>
        </w:rPr>
      </w:pPr>
      <w:r>
        <w:rPr>
          <w:rFonts w:hint="eastAsia"/>
          <w:b w:val="1"/>
          <w:color w:val="0070C0"/>
          <w:highlight w:val="none"/>
        </w:rPr>
        <w:t>１　管理栄養士・栄養士の状況</w:t>
      </w:r>
    </w:p>
    <w:p>
      <w:pPr>
        <w:pStyle w:val="0"/>
        <w:ind w:left="220" w:leftChars="100" w:firstLine="220" w:firstLineChars="100"/>
        <w:rPr>
          <w:rFonts w:hint="default"/>
          <w:color w:val="000000"/>
          <w:highlight w:val="none"/>
          <w:u w:val="none" w:color="auto"/>
        </w:rPr>
      </w:pPr>
      <w:r>
        <w:rPr>
          <w:rFonts w:hint="eastAsia"/>
          <w:color w:val="000000"/>
          <w:highlight w:val="none"/>
          <w:u w:val="none" w:color="auto"/>
        </w:rPr>
        <w:t>管理栄養士・栄養士は、福祉保健所や保健所、病院、診療所、介護施設など様々な施設で就業しています。このうち、地域保健など保健衛生行政に従事する管理栄養士・栄養士は、令和</w:t>
      </w:r>
      <w:r>
        <w:rPr>
          <w:rFonts w:hint="eastAsia"/>
          <w:color w:val="auto"/>
          <w:highlight w:val="none"/>
          <w:u w:val="none" w:color="auto"/>
        </w:rPr>
        <w:t>４年６月現在で県</w:t>
      </w:r>
      <w:r>
        <w:rPr>
          <w:rFonts w:hint="eastAsia"/>
          <w:color w:val="auto"/>
          <w:highlight w:val="none"/>
          <w:u w:val="none" w:color="auto"/>
        </w:rPr>
        <w:t>18</w:t>
      </w:r>
      <w:r>
        <w:rPr>
          <w:rFonts w:hint="eastAsia"/>
          <w:color w:val="auto"/>
          <w:highlight w:val="none"/>
          <w:u w:val="none" w:color="auto"/>
        </w:rPr>
        <w:t>人、高知市</w:t>
      </w:r>
      <w:r>
        <w:rPr>
          <w:rFonts w:hint="eastAsia"/>
          <w:b w:val="0"/>
          <w:color w:val="auto"/>
          <w:highlight w:val="none"/>
          <w:u w:val="none" w:color="auto"/>
        </w:rPr>
        <w:t>15</w:t>
      </w:r>
      <w:r>
        <w:rPr>
          <w:rFonts w:hint="eastAsia"/>
          <w:color w:val="auto"/>
          <w:highlight w:val="none"/>
          <w:u w:val="none" w:color="auto"/>
        </w:rPr>
        <w:t>人、その他市町村</w:t>
      </w:r>
      <w:r>
        <w:rPr>
          <w:rFonts w:hint="eastAsia"/>
          <w:color w:val="auto"/>
          <w:highlight w:val="none"/>
          <w:u w:val="none" w:color="auto"/>
        </w:rPr>
        <w:t>41</w:t>
      </w:r>
      <w:r>
        <w:rPr>
          <w:rFonts w:hint="eastAsia"/>
          <w:color w:val="auto"/>
          <w:highlight w:val="none"/>
          <w:u w:val="none" w:color="auto"/>
        </w:rPr>
        <w:t>人であり、中核市である高知市を除いた市町村管理栄養士・栄養士の配置率は</w:t>
      </w:r>
      <w:r>
        <w:rPr>
          <w:rFonts w:hint="eastAsia"/>
          <w:color w:val="auto"/>
          <w:highlight w:val="none"/>
          <w:u w:val="none" w:color="auto"/>
        </w:rPr>
        <w:t>75.8</w:t>
      </w:r>
      <w:r>
        <w:rPr>
          <w:rFonts w:hint="eastAsia"/>
          <w:color w:val="auto"/>
          <w:highlight w:val="none"/>
          <w:u w:val="none" w:color="auto"/>
        </w:rPr>
        <w:t>％と、全国平均の</w:t>
      </w:r>
      <w:r>
        <w:rPr>
          <w:rFonts w:hint="eastAsia"/>
          <w:color w:val="auto"/>
          <w:highlight w:val="none"/>
          <w:u w:val="none" w:color="auto"/>
        </w:rPr>
        <w:t>90.0</w:t>
      </w:r>
      <w:r>
        <w:rPr>
          <w:rFonts w:hint="eastAsia"/>
          <w:color w:val="000000"/>
          <w:highlight w:val="none"/>
          <w:u w:val="none" w:color="auto"/>
        </w:rPr>
        <w:t>％を下回っています。今後、多様化する保健衛生行政のニーズに応えるため、すべての市町村で管理栄養士・栄養士の配置が求められます。</w:t>
      </w:r>
    </w:p>
    <w:p>
      <w:pPr>
        <w:pStyle w:val="0"/>
        <w:spacing w:after="175" w:afterLines="0" w:afterAutospacing="0" w:line="240" w:lineRule="atLeast"/>
        <w:ind w:left="220" w:leftChars="100" w:firstLine="220" w:firstLineChars="100"/>
        <w:rPr>
          <w:rFonts w:hint="default"/>
          <w:color w:val="auto"/>
          <w:highlight w:val="none"/>
          <w:u w:val="none" w:color="auto"/>
        </w:rPr>
      </w:pPr>
      <w:r>
        <w:rPr>
          <w:rFonts w:hint="eastAsia"/>
          <w:color w:val="000000"/>
          <w:highlight w:val="none"/>
          <w:u w:val="none" w:color="auto"/>
        </w:rPr>
        <w:t>また、平成</w:t>
      </w:r>
      <w:r>
        <w:rPr>
          <w:rFonts w:hint="eastAsia"/>
          <w:color w:val="000000"/>
          <w:highlight w:val="none"/>
          <w:u w:val="none" w:color="auto"/>
        </w:rPr>
        <w:t>17</w:t>
      </w:r>
      <w:r>
        <w:rPr>
          <w:rFonts w:hint="eastAsia"/>
          <w:color w:val="000000"/>
          <w:highlight w:val="none"/>
          <w:u w:val="none" w:color="auto"/>
        </w:rPr>
        <w:t>年４月から、学校における食育の推進を担う栄養教諭制度が始まり、本県でも栄養教諭の配置を行った結果、</w:t>
      </w:r>
      <w:r>
        <w:rPr>
          <w:rFonts w:hint="eastAsia"/>
          <w:color w:val="auto"/>
          <w:highlight w:val="none"/>
          <w:u w:val="none" w:color="auto"/>
        </w:rPr>
        <w:t>令和５年４月現在、県内の小中学校などに</w:t>
      </w:r>
      <w:r>
        <w:rPr>
          <w:rFonts w:hint="eastAsia"/>
          <w:color w:val="auto"/>
          <w:highlight w:val="none"/>
          <w:u w:val="none" w:color="auto"/>
        </w:rPr>
        <w:t>81</w:t>
      </w:r>
      <w:r>
        <w:rPr>
          <w:rFonts w:hint="eastAsia"/>
          <w:color w:val="auto"/>
          <w:highlight w:val="none"/>
          <w:u w:val="none" w:color="auto"/>
        </w:rPr>
        <w:t>人の栄養教諭が配置されています。</w:t>
      </w:r>
    </w:p>
    <w:p>
      <w:pPr>
        <w:pStyle w:val="0"/>
        <w:spacing w:after="175" w:afterLines="0" w:afterAutospacing="0" w:line="240" w:lineRule="atLeast"/>
        <w:ind w:left="220" w:leftChars="100" w:firstLine="220" w:firstLineChars="100"/>
        <w:rPr>
          <w:rFonts w:hint="default"/>
          <w:strike w:val="1"/>
          <w:color w:val="000000"/>
          <w:highlight w:val="none"/>
          <w:u w:val="none" w:color="auto"/>
          <w:shd w:val="clear" w:color="auto" w:fill="auto"/>
        </w:rPr>
      </w:pPr>
      <w:r>
        <w:rPr>
          <w:rFonts w:hint="eastAsia"/>
          <w:color w:val="auto"/>
          <w:highlight w:val="none"/>
          <w:u w:val="none" w:color="auto"/>
        </w:rPr>
        <w:t>県内の病院に従事する管理栄養士・栄養士は、令和２年の病院報告によると、</w:t>
      </w:r>
      <w:r>
        <w:rPr>
          <w:rFonts w:hint="eastAsia"/>
          <w:color w:val="auto"/>
          <w:highlight w:val="none"/>
          <w:u w:val="none" w:color="auto"/>
        </w:rPr>
        <w:t>374.1</w:t>
      </w:r>
      <w:r>
        <w:rPr>
          <w:rFonts w:hint="eastAsia"/>
          <w:color w:val="000000"/>
          <w:highlight w:val="none"/>
          <w:u w:val="none" w:color="auto"/>
        </w:rPr>
        <w:t>人</w:t>
      </w:r>
      <w:r>
        <w:rPr>
          <w:rFonts w:hint="eastAsia"/>
          <w:color w:val="000000"/>
          <w:sz w:val="20"/>
          <w:highlight w:val="none"/>
          <w:u w:val="none" w:color="auto"/>
        </w:rPr>
        <w:t>（常勤換算）</w:t>
      </w:r>
      <w:r>
        <w:rPr>
          <w:rFonts w:hint="eastAsia"/>
          <w:color w:val="000000"/>
          <w:highlight w:val="none"/>
          <w:u w:val="none" w:color="auto"/>
        </w:rPr>
        <w:t>で、人口</w:t>
      </w:r>
      <w:r>
        <w:rPr>
          <w:rFonts w:hint="eastAsia"/>
          <w:color w:val="000000"/>
          <w:highlight w:val="none"/>
          <w:u w:val="none" w:color="auto"/>
        </w:rPr>
        <w:t>10</w:t>
      </w:r>
      <w:r>
        <w:rPr>
          <w:rFonts w:hint="eastAsia"/>
          <w:color w:val="000000"/>
          <w:highlight w:val="none"/>
          <w:u w:val="none" w:color="auto"/>
        </w:rPr>
        <w:t>万人当たりの従事者数はいずれも全国平均を大きく上回っています。</w:t>
      </w:r>
      <w:r>
        <w:rPr>
          <w:rFonts w:hint="eastAsia"/>
          <w:color w:val="000000"/>
          <w:highlight w:val="none"/>
          <w:u w:val="none" w:color="auto"/>
          <w:shd w:val="clear" w:color="auto" w:fill="auto"/>
        </w:rPr>
        <w:t>しかし、適正な栄養管理を行っていくためには複数の配置や未配置の有床診療所への配置（非常勤であっても差し支えない）が望まれます。</w:t>
      </w:r>
    </w:p>
    <w:p>
      <w:pPr>
        <w:pStyle w:val="0"/>
        <w:ind w:left="227" w:leftChars="100" w:firstLine="227" w:firstLineChars="100"/>
        <w:rPr>
          <w:rFonts w:hint="eastAsia"/>
          <w:b w:val="1"/>
          <w:sz w:val="28"/>
          <w:highlight w:val="none"/>
        </w:rPr>
      </w:pPr>
      <w:r>
        <w:rPr>
          <w:rFonts w:hint="eastAsia"/>
          <w:color w:val="000000"/>
          <w:highlight w:val="none"/>
          <w:u w:val="none" w:color="auto"/>
        </w:rPr>
        <w:t>さらに、生活習慣病の重症化予防のためには、無床診療所でも早期に栄養指導が受けられるように管理栄養士の活用が望まれます。</w:t>
      </w:r>
    </w:p>
    <w:p>
      <w:pPr>
        <w:pStyle w:val="0"/>
        <w:ind w:leftChars="0" w:firstLineChars="0"/>
        <w:rPr>
          <w:rFonts w:hint="default"/>
          <w:highlight w:val="none"/>
        </w:rPr>
      </w:pPr>
    </w:p>
    <w:p>
      <w:pPr>
        <w:pStyle w:val="0"/>
        <w:spacing w:before="175" w:beforeLines="0" w:beforeAutospacing="0"/>
        <w:ind w:leftChars="0" w:firstLineChars="0"/>
        <w:jc w:val="center"/>
        <w:rPr>
          <w:rFonts w:hint="default"/>
          <w:sz w:val="16"/>
          <w:highlight w:val="none"/>
        </w:rPr>
      </w:pPr>
      <w:r>
        <w:rPr>
          <w:rFonts w:hint="eastAsia" w:ascii="ＭＳ ゴシック" w:hAnsi="ＭＳ ゴシック" w:eastAsia="ＭＳ ゴシック"/>
          <w:sz w:val="22"/>
          <w:highlight w:val="none"/>
        </w:rPr>
        <w:t xml:space="preserve">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4-5-3</w:t>
      </w:r>
      <w:r>
        <w:rPr>
          <w:rFonts w:hint="eastAsia" w:ascii="ＭＳ ゴシック" w:hAnsi="ＭＳ ゴシック" w:eastAsia="ＭＳ ゴシック"/>
          <w:sz w:val="22"/>
          <w:highlight w:val="none"/>
        </w:rPr>
        <w:t>）高知県の病院の管理栄養士・栄養士の人数</w:t>
      </w:r>
      <w:r>
        <w:rPr>
          <w:rFonts w:hint="eastAsia" w:ascii="ＭＳ ゴシック" w:hAnsi="ＭＳ ゴシック" w:eastAsia="ＭＳ ゴシック"/>
          <w:sz w:val="16"/>
          <w:highlight w:val="none"/>
        </w:rPr>
        <w:t xml:space="preserve"> </w:t>
      </w:r>
      <w:r>
        <w:rPr>
          <w:rFonts w:hint="eastAsia"/>
          <w:sz w:val="16"/>
          <w:highlight w:val="none"/>
        </w:rPr>
        <w:t>単位：人</w:t>
      </w:r>
    </w:p>
    <w:tbl>
      <w:tblPr>
        <w:tblStyle w:val="11"/>
        <w:tblW w:w="6583" w:type="dxa"/>
        <w:tblInd w:w="147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Look w:firstRow="1" w:lastRow="0" w:firstColumn="1" w:lastColumn="0" w:noHBand="0" w:noVBand="1" w:val="04A0"/>
      </w:tblPr>
      <w:tblGrid>
        <w:gridCol w:w="1589"/>
        <w:gridCol w:w="1589"/>
        <w:gridCol w:w="1816"/>
        <w:gridCol w:w="1589"/>
      </w:tblGrid>
      <w:tr>
        <w:trPr/>
        <w:tc>
          <w:tcPr>
            <w:tcW w:w="1589"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0"/>
                <w:highlight w:val="none"/>
              </w:rPr>
            </w:pPr>
          </w:p>
        </w:tc>
        <w:tc>
          <w:tcPr>
            <w:tcW w:w="1589"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常勤換算</w:t>
            </w:r>
          </w:p>
        </w:tc>
        <w:tc>
          <w:tcPr>
            <w:tcW w:w="3405"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80" w:lineRule="exact"/>
              <w:jc w:val="center"/>
              <w:textAlignment w:val="baseline"/>
              <w:rPr>
                <w:rFonts w:hint="default" w:ascii="ＭＳ 明朝" w:hAnsi="ＭＳ 明朝"/>
                <w:sz w:val="20"/>
                <w:highlight w:val="none"/>
              </w:rPr>
            </w:pPr>
            <w:r>
              <w:rPr>
                <w:rFonts w:hint="eastAsia" w:ascii="ＭＳ 明朝" w:hAnsi="ＭＳ 明朝"/>
                <w:sz w:val="20"/>
                <w:highlight w:val="none"/>
              </w:rPr>
              <w:t>人口</w:t>
            </w:r>
            <w:r>
              <w:rPr>
                <w:rFonts w:hint="eastAsia" w:ascii="ＭＳ 明朝" w:hAnsi="ＭＳ 明朝"/>
                <w:sz w:val="20"/>
                <w:highlight w:val="none"/>
              </w:rPr>
              <w:t>10</w:t>
            </w:r>
            <w:r>
              <w:rPr>
                <w:rFonts w:hint="eastAsia" w:ascii="ＭＳ 明朝" w:hAnsi="ＭＳ 明朝"/>
                <w:sz w:val="20"/>
                <w:highlight w:val="none"/>
              </w:rPr>
              <w:t>万人当たり</w:t>
            </w:r>
          </w:p>
        </w:tc>
      </w:tr>
      <w:tr>
        <w:trPr/>
        <w:tc>
          <w:tcPr>
            <w:tcW w:w="1589"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60" w:lineRule="exact"/>
              <w:jc w:val="center"/>
              <w:textAlignment w:val="baseline"/>
              <w:rPr>
                <w:rFonts w:hint="default" w:ascii="ＭＳ 明朝" w:hAnsi="ＭＳ 明朝"/>
                <w:sz w:val="20"/>
              </w:rPr>
            </w:pPr>
          </w:p>
        </w:tc>
        <w:tc>
          <w:tcPr>
            <w:tcW w:w="1589"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ind w:firstLine="220" w:firstLineChars="100"/>
              <w:jc w:val="center"/>
              <w:textAlignment w:val="baseline"/>
              <w:rPr>
                <w:rFonts w:hint="default" w:ascii="ＭＳ 明朝" w:hAnsi="ＭＳ 明朝"/>
                <w:sz w:val="20"/>
              </w:rPr>
            </w:pPr>
          </w:p>
        </w:tc>
        <w:tc>
          <w:tcPr>
            <w:tcW w:w="18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80" w:lineRule="exact"/>
              <w:jc w:val="center"/>
              <w:textAlignment w:val="baseline"/>
              <w:rPr>
                <w:rFonts w:hint="default" w:ascii="ＭＳ 明朝" w:hAnsi="ＭＳ 明朝"/>
                <w:sz w:val="20"/>
                <w:highlight w:val="none"/>
              </w:rPr>
            </w:pPr>
            <w:r>
              <w:rPr>
                <w:rFonts w:hint="eastAsia" w:ascii="ＭＳ 明朝" w:hAnsi="ＭＳ 明朝"/>
                <w:sz w:val="20"/>
                <w:highlight w:val="none"/>
              </w:rPr>
              <w:t>高知県</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80" w:lineRule="exact"/>
              <w:jc w:val="center"/>
              <w:textAlignment w:val="baseline"/>
              <w:rPr>
                <w:rFonts w:hint="default" w:ascii="ＭＳ 明朝" w:hAnsi="ＭＳ 明朝"/>
                <w:sz w:val="20"/>
                <w:highlight w:val="none"/>
              </w:rPr>
            </w:pPr>
            <w:r>
              <w:rPr>
                <w:rFonts w:hint="eastAsia" w:ascii="ＭＳ 明朝" w:hAnsi="ＭＳ 明朝"/>
                <w:sz w:val="20"/>
                <w:highlight w:val="none"/>
              </w:rPr>
              <w:t>全国</w:t>
            </w:r>
          </w:p>
        </w:tc>
      </w:tr>
      <w:tr>
        <w:trPr>
          <w:trHeight w:val="326" w:hRule="atLeast"/>
        </w:trPr>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sz w:val="20"/>
                <w:highlight w:val="none"/>
              </w:rPr>
              <w:t>管理栄養士</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ind w:left="0" w:leftChars="0" w:firstLine="414" w:firstLineChars="200"/>
              <w:jc w:val="left"/>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278.0</w:t>
            </w:r>
          </w:p>
        </w:tc>
        <w:tc>
          <w:tcPr>
            <w:tcW w:w="18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40.7</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17.7</w:t>
            </w:r>
          </w:p>
        </w:tc>
      </w:tr>
      <w:tr>
        <w:trPr>
          <w:trHeight w:val="327" w:hRule="atLeast"/>
        </w:trPr>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sz w:val="20"/>
                <w:highlight w:val="none"/>
              </w:rPr>
              <w:t>栄　養　士</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ind w:firstLine="414" w:firstLineChars="200"/>
              <w:jc w:val="left"/>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96.1</w:t>
            </w:r>
          </w:p>
        </w:tc>
        <w:tc>
          <w:tcPr>
            <w:tcW w:w="18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14.1</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 xml:space="preserve"> 3.5</w:t>
            </w:r>
          </w:p>
        </w:tc>
      </w:tr>
    </w:tbl>
    <w:p>
      <w:pPr>
        <w:pStyle w:val="0"/>
        <w:spacing w:line="0" w:lineRule="atLeast"/>
        <w:ind w:left="4989" w:leftChars="2200" w:firstLine="0" w:firstLineChars="0"/>
        <w:rPr>
          <w:rFonts w:hint="default"/>
          <w:color w:val="auto"/>
          <w:sz w:val="16"/>
          <w:highlight w:val="none"/>
          <w:u w:val="none" w:color="auto"/>
        </w:rPr>
      </w:pPr>
      <w:r>
        <w:rPr>
          <w:rFonts w:hint="eastAsia"/>
          <w:sz w:val="16"/>
          <w:highlight w:val="none"/>
        </w:rPr>
        <w:t>出典：</w:t>
      </w:r>
      <w:r>
        <w:rPr>
          <w:rFonts w:hint="eastAsia"/>
          <w:color w:val="auto"/>
          <w:sz w:val="16"/>
          <w:highlight w:val="none"/>
          <w:u w:val="none" w:color="auto"/>
        </w:rPr>
        <w:t>令和２年病院報告（厚生労働省）</w:t>
      </w:r>
    </w:p>
    <w:p>
      <w:pPr>
        <w:pStyle w:val="0"/>
        <w:rPr>
          <w:rFonts w:hint="default"/>
          <w:b w:val="1"/>
          <w:color w:val="0070C0"/>
          <w:highlight w:val="none"/>
        </w:rPr>
      </w:pPr>
    </w:p>
    <w:p>
      <w:pPr>
        <w:pStyle w:val="0"/>
        <w:rPr>
          <w:rFonts w:hint="default"/>
          <w:b w:val="1"/>
          <w:color w:val="0070C0"/>
          <w:highlight w:val="none"/>
        </w:rPr>
      </w:pPr>
      <w:r>
        <w:rPr>
          <w:rFonts w:hint="eastAsia"/>
          <w:b w:val="1"/>
          <w:color w:val="0070C0"/>
          <w:highlight w:val="none"/>
        </w:rPr>
        <w:t>２　養成施設</w:t>
      </w:r>
    </w:p>
    <w:p>
      <w:pPr>
        <w:pStyle w:val="0"/>
        <w:spacing w:after="165" w:afterLines="50" w:afterAutospacing="0"/>
        <w:ind w:left="227" w:leftChars="100" w:firstLine="227" w:firstLineChars="100"/>
        <w:jc w:val="left"/>
        <w:rPr>
          <w:rFonts w:hint="default"/>
          <w:color w:val="000000"/>
          <w:highlight w:val="none"/>
          <w:u w:val="none" w:color="auto"/>
        </w:rPr>
      </w:pPr>
      <w:r>
        <w:rPr>
          <w:rFonts w:hint="eastAsia"/>
          <w:color w:val="000000"/>
          <w:highlight w:val="none"/>
          <w:u w:val="none" w:color="auto"/>
        </w:rPr>
        <w:t>県内には管理栄養士養成施設が</w:t>
      </w:r>
      <w:r>
        <w:rPr>
          <w:rFonts w:hint="eastAsia"/>
          <w:color w:val="auto"/>
          <w:highlight w:val="none"/>
          <w:u w:val="none" w:color="auto"/>
        </w:rPr>
        <w:t>２校（定員</w:t>
      </w:r>
      <w:r>
        <w:rPr>
          <w:rFonts w:hint="eastAsia"/>
          <w:color w:val="auto"/>
          <w:highlight w:val="none"/>
          <w:u w:val="none" w:color="auto"/>
        </w:rPr>
        <w:t>110</w:t>
      </w:r>
      <w:r>
        <w:rPr>
          <w:rFonts w:hint="eastAsia"/>
          <w:color w:val="000000"/>
          <w:highlight w:val="none"/>
          <w:u w:val="none" w:color="auto"/>
        </w:rPr>
        <w:t>人）あり、今後は人材ニーズの高まる管理栄養士を一層確保していく必要があります。</w:t>
      </w:r>
    </w:p>
    <w:p>
      <w:pPr>
        <w:pStyle w:val="0"/>
        <w:spacing w:line="0" w:lineRule="atLeast"/>
        <w:ind w:left="0" w:leftChars="200" w:firstLine="0" w:firstLineChars="0"/>
        <w:jc w:val="left"/>
        <w:rPr>
          <w:rFonts w:hint="default"/>
          <w:sz w:val="16"/>
          <w:highlight w:val="none"/>
        </w:rPr>
      </w:pPr>
      <w:r>
        <w:rPr>
          <w:rFonts w:hint="eastAsia"/>
          <w:sz w:val="16"/>
          <w:highlight w:val="none"/>
        </w:rPr>
        <w:t>＊参考：管理栄養士資格の取得方法</w:t>
      </w:r>
    </w:p>
    <w:p>
      <w:pPr>
        <w:pStyle w:val="0"/>
        <w:ind w:left="454" w:leftChars="200" w:firstLine="334" w:firstLineChars="200"/>
        <w:rPr>
          <w:rFonts w:hint="eastAsia"/>
          <w:b w:val="1"/>
          <w:sz w:val="28"/>
          <w:highlight w:val="none"/>
        </w:rPr>
      </w:pPr>
      <w:r>
        <w:rPr>
          <w:rFonts w:hint="eastAsia"/>
          <w:sz w:val="16"/>
          <w:highlight w:val="none"/>
        </w:rPr>
        <w:t>管理栄養士養成施設を卒業後に国家試験に合格すること、あるいは、栄養士養成施設を卒業後に厚生労働省令で</w:t>
      </w:r>
    </w:p>
    <w:p>
      <w:pPr>
        <w:pStyle w:val="0"/>
        <w:ind w:left="454" w:leftChars="200" w:firstLine="167" w:firstLineChars="100"/>
        <w:rPr>
          <w:rFonts w:hint="eastAsia"/>
          <w:b w:val="1"/>
          <w:sz w:val="28"/>
          <w:highlight w:val="none"/>
        </w:rPr>
      </w:pPr>
      <w:r>
        <w:rPr>
          <w:rFonts w:hint="eastAsia"/>
          <w:sz w:val="16"/>
          <w:highlight w:val="none"/>
        </w:rPr>
        <w:t>定める施設で１年ないし３年以上従事したのち、国家試験に合格することが必要です。</w:t>
      </w:r>
    </w:p>
    <w:p>
      <w:pPr>
        <w:pStyle w:val="0"/>
        <w:spacing w:before="175" w:beforeLines="0" w:beforeAutospacing="0"/>
        <w:ind w:leftChars="0" w:firstLineChars="0"/>
        <w:jc w:val="center"/>
        <w:rPr>
          <w:rFonts w:hint="default"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4-5-4</w:t>
      </w:r>
      <w:r>
        <w:rPr>
          <w:rFonts w:hint="eastAsia" w:ascii="ＭＳ ゴシック" w:hAnsi="ＭＳ ゴシック" w:eastAsia="ＭＳ ゴシック"/>
          <w:sz w:val="22"/>
          <w:highlight w:val="none"/>
        </w:rPr>
        <w:t>）管理栄養士・栄養士養成施設の入学定員数</w:t>
      </w:r>
    </w:p>
    <w:tbl>
      <w:tblPr>
        <w:tblStyle w:val="11"/>
        <w:tblpPr w:leftFromText="142" w:rightFromText="142" w:topFromText="0" w:bottomFromText="0" w:vertAnchor="text" w:horzAnchor="margin" w:tblpXSpec="center" w:tblpY="54"/>
        <w:tblW w:w="57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1" w:firstColumn="1" w:lastColumn="1" w:noHBand="0" w:noVBand="0" w:val="01E0"/>
      </w:tblPr>
      <w:tblGrid>
        <w:gridCol w:w="2701"/>
        <w:gridCol w:w="3007"/>
      </w:tblGrid>
      <w:tr>
        <w:trPr>
          <w:trHeight w:val="418" w:hRule="atLeast"/>
        </w:trPr>
        <w:tc>
          <w:tcPr>
            <w:tcW w:w="2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sz w:val="20"/>
                <w:highlight w:val="none"/>
              </w:rPr>
            </w:pPr>
            <w:r>
              <w:rPr>
                <w:rFonts w:hint="eastAsia" w:ascii="ＭＳ 明朝" w:hAnsi="ＭＳ 明朝"/>
                <w:sz w:val="20"/>
                <w:highlight w:val="none"/>
              </w:rPr>
              <w:t>養成施設名</w:t>
            </w:r>
          </w:p>
        </w:tc>
        <w:tc>
          <w:tcPr>
            <w:tcW w:w="3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sz w:val="20"/>
                <w:highlight w:val="none"/>
              </w:rPr>
            </w:pPr>
            <w:r>
              <w:rPr>
                <w:rFonts w:hint="eastAsia" w:ascii="ＭＳ 明朝" w:hAnsi="ＭＳ 明朝"/>
                <w:sz w:val="20"/>
                <w:highlight w:val="none"/>
              </w:rPr>
              <w:t>入学定員</w:t>
            </w:r>
          </w:p>
        </w:tc>
      </w:tr>
      <w:tr>
        <w:trPr>
          <w:trHeight w:val="450" w:hRule="atLeast"/>
        </w:trPr>
        <w:tc>
          <w:tcPr>
            <w:tcW w:w="2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高知県立大学</w:t>
            </w:r>
          </w:p>
        </w:tc>
        <w:tc>
          <w:tcPr>
            <w:tcW w:w="3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overflowPunct w:val="0"/>
              <w:adjustRightInd w:val="0"/>
              <w:spacing w:line="240" w:lineRule="exact"/>
              <w:ind w:firstLine="220" w:firstLineChars="10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管理栄養士　</w:t>
            </w:r>
            <w:r>
              <w:rPr>
                <w:rFonts w:hint="eastAsia" w:ascii="ＭＳ 明朝" w:hAnsi="ＭＳ 明朝"/>
                <w:color w:val="auto"/>
                <w:sz w:val="20"/>
                <w:highlight w:val="none"/>
                <w:u w:val="none" w:color="auto"/>
              </w:rPr>
              <w:t>40</w:t>
            </w:r>
            <w:r>
              <w:rPr>
                <w:rFonts w:hint="eastAsia" w:ascii="ＭＳ 明朝" w:hAnsi="ＭＳ 明朝"/>
                <w:color w:val="auto"/>
                <w:sz w:val="20"/>
                <w:highlight w:val="none"/>
                <w:u w:val="none" w:color="auto"/>
              </w:rPr>
              <w:t>人</w:t>
            </w:r>
          </w:p>
        </w:tc>
      </w:tr>
      <w:tr>
        <w:trPr>
          <w:trHeight w:val="414" w:hRule="atLeast"/>
        </w:trPr>
        <w:tc>
          <w:tcPr>
            <w:tcW w:w="2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高知学園大学</w:t>
            </w:r>
          </w:p>
        </w:tc>
        <w:tc>
          <w:tcPr>
            <w:tcW w:w="3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overflowPunct w:val="0"/>
              <w:adjustRightInd w:val="0"/>
              <w:spacing w:line="240" w:lineRule="exact"/>
              <w:ind w:firstLine="220" w:firstLineChars="10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管理栄養士　</w:t>
            </w:r>
            <w:r>
              <w:rPr>
                <w:rFonts w:hint="eastAsia" w:ascii="ＭＳ 明朝" w:hAnsi="ＭＳ 明朝"/>
                <w:color w:val="auto"/>
                <w:sz w:val="20"/>
                <w:highlight w:val="none"/>
                <w:u w:val="none" w:color="auto"/>
              </w:rPr>
              <w:t>70</w:t>
            </w:r>
            <w:r>
              <w:rPr>
                <w:rFonts w:hint="eastAsia" w:ascii="ＭＳ 明朝" w:hAnsi="ＭＳ 明朝"/>
                <w:color w:val="auto"/>
                <w:sz w:val="20"/>
                <w:highlight w:val="none"/>
                <w:u w:val="none" w:color="auto"/>
              </w:rPr>
              <w:t>人</w:t>
            </w:r>
          </w:p>
        </w:tc>
      </w:tr>
    </w:tbl>
    <w:p>
      <w:pPr>
        <w:pStyle w:val="0"/>
        <w:spacing w:line="240" w:lineRule="exact"/>
        <w:ind w:left="0" w:leftChars="0" w:firstLine="0" w:firstLineChars="0"/>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0" w:lineRule="atLeast"/>
        <w:ind w:left="2721" w:leftChars="1200"/>
        <w:rPr>
          <w:rFonts w:hint="default"/>
          <w:sz w:val="16"/>
          <w:highlight w:val="none"/>
        </w:rPr>
      </w:pPr>
      <w:r>
        <w:rPr>
          <w:rFonts w:hint="eastAsia"/>
          <w:sz w:val="16"/>
          <w:highlight w:val="none"/>
        </w:rPr>
        <w:t>＊</w:t>
      </w:r>
      <w:r>
        <w:rPr>
          <w:rFonts w:hint="eastAsia"/>
          <w:color w:val="auto"/>
          <w:sz w:val="16"/>
          <w:highlight w:val="none"/>
          <w:u w:val="none" w:color="auto"/>
        </w:rPr>
        <w:t>令和２年</w:t>
      </w:r>
      <w:r>
        <w:rPr>
          <w:rFonts w:hint="eastAsia"/>
          <w:color w:val="auto"/>
          <w:sz w:val="16"/>
          <w:highlight w:val="none"/>
          <w:u w:val="none" w:color="auto"/>
        </w:rPr>
        <w:t>4</w:t>
      </w:r>
      <w:r>
        <w:rPr>
          <w:rFonts w:hint="eastAsia"/>
          <w:color w:val="auto"/>
          <w:sz w:val="16"/>
          <w:highlight w:val="none"/>
          <w:u w:val="none" w:color="auto"/>
        </w:rPr>
        <w:t>月からの定員数　　出典：高知県保健政策課</w:t>
      </w:r>
      <w:r>
        <w:rPr>
          <w:rFonts w:hint="eastAsia"/>
          <w:sz w:val="16"/>
          <w:highlight w:val="none"/>
        </w:rPr>
        <w:t>調べ</w:t>
      </w:r>
    </w:p>
    <w:p>
      <w:pPr>
        <w:pStyle w:val="29"/>
        <w:ind w:left="0" w:leftChars="0"/>
        <w:rPr>
          <w:rFonts w:hint="eastAsia" w:ascii="ＭＳ ゴシック" w:hAnsi="ＭＳ ゴシック" w:eastAsia="ＭＳ ゴシック"/>
          <w:b w:val="1"/>
          <w:color w:val="0070C0"/>
          <w:sz w:val="22"/>
          <w:highlight w:val="none"/>
        </w:rPr>
      </w:pPr>
    </w:p>
    <w:p>
      <w:pPr>
        <w:pStyle w:val="0"/>
        <w:spacing w:before="175" w:beforeLines="0" w:beforeAutospacing="0" w:line="0" w:lineRule="atLeast"/>
        <w:rPr>
          <w:rFonts w:hint="default"/>
          <w:b w:val="1"/>
          <w:color w:val="0070C0"/>
          <w:highlight w:val="none"/>
        </w:rPr>
      </w:pPr>
      <w:r>
        <w:rPr>
          <w:rFonts w:hint="eastAsia"/>
          <w:b w:val="1"/>
          <w:color w:val="0070C0"/>
          <w:highlight w:val="none"/>
        </w:rPr>
        <w:t>３　期待される役割</w:t>
      </w:r>
    </w:p>
    <w:p>
      <w:pPr>
        <w:pStyle w:val="0"/>
        <w:ind w:left="220" w:leftChars="100" w:firstLine="220" w:firstLineChars="100"/>
        <w:rPr>
          <w:rFonts w:hint="default"/>
          <w:highlight w:val="none"/>
        </w:rPr>
      </w:pPr>
      <w:r>
        <w:rPr>
          <w:rFonts w:hint="eastAsia"/>
          <w:highlight w:val="none"/>
        </w:rPr>
        <w:t>メタボリックシンドロームに着目した生活習慣病予防のための特定健診・特定保健指導では、管理栄養士が医師、保健師とともに特定保健指導の中核を担う者として位置付けられており、栄養面の専門知識と栄養指導の実践が求められています。</w:t>
      </w:r>
    </w:p>
    <w:p>
      <w:pPr>
        <w:pStyle w:val="0"/>
        <w:ind w:left="220" w:leftChars="100" w:firstLine="220" w:firstLineChars="100"/>
        <w:rPr>
          <w:rFonts w:hint="default"/>
          <w:highlight w:val="none"/>
        </w:rPr>
      </w:pPr>
      <w:r>
        <w:rPr>
          <w:rFonts w:hint="eastAsia"/>
          <w:highlight w:val="none"/>
        </w:rPr>
        <w:t>また、患者中心の医療を実現するために医師、看護師、薬剤師などの多職種と連携した「栄養サポートチーム」の展開、介護施設などの入所者一人ひとりのための「栄養ケア・マネジメント」の実施、</w:t>
      </w:r>
      <w:r>
        <w:rPr>
          <w:rFonts w:hint="eastAsia"/>
          <w:color w:val="auto"/>
          <w:highlight w:val="none"/>
          <w:u w:val="none" w:color="auto"/>
        </w:rPr>
        <w:t>市町村が一体的に実施する高齢者の保健事業と介護予防における低栄養予防の取組など</w:t>
      </w:r>
      <w:r>
        <w:rPr>
          <w:rFonts w:hint="eastAsia"/>
          <w:highlight w:val="none"/>
        </w:rPr>
        <w:t>、多岐にわたる活動が求められています。</w:t>
      </w:r>
    </w:p>
    <w:p>
      <w:pPr>
        <w:pStyle w:val="0"/>
        <w:ind w:left="220" w:leftChars="100" w:firstLine="220" w:firstLineChars="100"/>
        <w:rPr>
          <w:rFonts w:hint="default"/>
          <w:highlight w:val="none"/>
        </w:rPr>
      </w:pPr>
      <w:r>
        <w:rPr>
          <w:rFonts w:hint="eastAsia"/>
          <w:highlight w:val="none"/>
        </w:rPr>
        <w:t>さらに、南海トラフ地震などの災害時には、栄養・食生活支援に関する重要な役割を担います。そのため、マンパワーの確保や関係機関と連携した支援活動が求められています。</w:t>
      </w:r>
    </w:p>
    <w:p>
      <w:pPr>
        <w:pStyle w:val="0"/>
        <w:ind w:left="220" w:leftChars="100" w:firstLine="220" w:firstLineChars="100"/>
        <w:rPr>
          <w:rFonts w:hint="default"/>
          <w:highlight w:val="none"/>
        </w:rPr>
      </w:pPr>
      <w:r>
        <w:rPr>
          <w:rFonts w:hint="eastAsia"/>
          <w:highlight w:val="none"/>
        </w:rPr>
        <w:t>これらの活動ではより専門的な栄養指導や栄養管理が必要であることから、管理栄養士・栄養士の確保と併せて専門性の向上が重要となります。</w:t>
      </w:r>
    </w:p>
    <w:p>
      <w:pPr>
        <w:pStyle w:val="0"/>
        <w:ind w:leftChars="0" w:firstLineChars="0"/>
        <w:rPr>
          <w:rFonts w:hint="default"/>
          <w:highlight w:val="none"/>
        </w:rPr>
      </w:pPr>
    </w:p>
    <w:p>
      <w:pPr>
        <w:pStyle w:val="0"/>
        <w:spacing w:before="100" w:beforeLines="0" w:beforeAutospacing="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rPr>
          <w:rFonts w:hint="default"/>
          <w:b w:val="1"/>
          <w:color w:val="0070C0"/>
          <w:highlight w:val="none"/>
        </w:rPr>
      </w:pPr>
      <w:r>
        <w:rPr>
          <w:rFonts w:hint="eastAsia"/>
          <w:b w:val="1"/>
          <w:color w:val="0070C0"/>
          <w:highlight w:val="none"/>
        </w:rPr>
        <w:t>１　人材の確保</w:t>
      </w:r>
    </w:p>
    <w:p>
      <w:pPr>
        <w:pStyle w:val="0"/>
        <w:ind w:left="220" w:leftChars="100" w:firstLine="220" w:firstLineChars="100"/>
        <w:rPr>
          <w:rFonts w:hint="default" w:ascii="HG丸ｺﾞｼｯｸM-PRO" w:hAnsi="HG丸ｺﾞｼｯｸM-PRO" w:eastAsia="HG丸ｺﾞｼｯｸM-PRO"/>
          <w:highlight w:val="none"/>
        </w:rPr>
      </w:pPr>
      <w:r>
        <w:rPr>
          <w:rFonts w:hint="eastAsia"/>
          <w:highlight w:val="none"/>
        </w:rPr>
        <w:t>県は、県民の健康づくりを総合的に進め、生活習慣病予防のための特定健診・特定保健指導の強化を図るため、管理栄養士・栄養士がいない市町村に対しては配置を、また、既に配置している市町村に対しては、複数人数の配置を促します。</w:t>
      </w:r>
    </w:p>
    <w:p>
      <w:pPr>
        <w:pStyle w:val="0"/>
        <w:ind w:left="220" w:leftChars="100" w:firstLine="220" w:firstLineChars="100"/>
        <w:rPr>
          <w:rFonts w:hint="default"/>
          <w:highlight w:val="none"/>
        </w:rPr>
      </w:pPr>
      <w:r>
        <w:rPr>
          <w:rFonts w:hint="eastAsia"/>
          <w:highlight w:val="none"/>
        </w:rPr>
        <w:t>高知県教育委員会及び各市町村の教育委員会は、栄養教諭を積極的に配置し、それぞれの小中学校などで栄養教諭を中心とした食育を推進します。</w:t>
      </w:r>
    </w:p>
    <w:p>
      <w:pPr>
        <w:pStyle w:val="0"/>
        <w:ind w:left="220" w:leftChars="100" w:firstLine="220" w:firstLineChars="100"/>
        <w:rPr>
          <w:rFonts w:hint="default"/>
          <w:highlight w:val="none"/>
        </w:rPr>
      </w:pPr>
      <w:r>
        <w:rPr>
          <w:rFonts w:hint="eastAsia"/>
          <w:highlight w:val="none"/>
        </w:rPr>
        <w:t>県は、医療機関の管理栄養士・栄養士の需要動向を把握し、人材の確保や養成の在り方、再就職に向けた支援方法などについて、養成施設や関係団体と協議します。</w:t>
      </w:r>
    </w:p>
    <w:p>
      <w:pPr>
        <w:pStyle w:val="29"/>
        <w:spacing w:line="240" w:lineRule="exact"/>
        <w:ind w:left="0" w:leftChars="0"/>
        <w:rPr>
          <w:rFonts w:hint="eastAsia" w:ascii="ＭＳ ゴシック" w:hAnsi="ＭＳ ゴシック" w:eastAsia="ＭＳ ゴシック"/>
          <w:b w:val="1"/>
          <w:color w:val="0070C0"/>
          <w:sz w:val="22"/>
          <w:highlight w:val="none"/>
        </w:rPr>
      </w:pPr>
    </w:p>
    <w:p>
      <w:pPr>
        <w:pStyle w:val="0"/>
        <w:rPr>
          <w:rFonts w:hint="default"/>
          <w:b w:val="1"/>
          <w:color w:val="0070C0"/>
          <w:highlight w:val="none"/>
        </w:rPr>
      </w:pPr>
      <w:r>
        <w:rPr>
          <w:rFonts w:hint="eastAsia"/>
          <w:b w:val="1"/>
          <w:color w:val="0070C0"/>
          <w:highlight w:val="none"/>
        </w:rPr>
        <w:t>２　人材の育成</w:t>
      </w:r>
    </w:p>
    <w:p>
      <w:pPr>
        <w:pStyle w:val="0"/>
        <w:ind w:left="220" w:leftChars="100" w:firstLine="220" w:firstLineChars="100"/>
        <w:rPr>
          <w:rFonts w:hint="default"/>
          <w:highlight w:val="none"/>
        </w:rPr>
      </w:pPr>
      <w:r>
        <w:rPr>
          <w:rFonts w:hint="eastAsia"/>
          <w:highlight w:val="none"/>
        </w:rPr>
        <w:t>県は、管理栄養士・栄養士に求められる役割が従来に比べ多様化していることから、専門性の向上を図るため、医療機関や養成施設、関係団体が行う人材育成の実態を把握し、それぞれの団体と連携して研修の充実を支援します。福祉保健所においても、管内の市町村や医療機関などと連携し、管理栄養士・栄養士の資質向上に向けた研修を実施します。</w:t>
      </w:r>
    </w:p>
    <w:p>
      <w:pPr>
        <w:pStyle w:val="0"/>
        <w:ind w:left="220" w:leftChars="100" w:firstLine="220" w:firstLineChars="100"/>
        <w:rPr>
          <w:rFonts w:hint="default"/>
          <w:color w:val="auto"/>
          <w:highlight w:val="none"/>
          <w:u w:val="none" w:color="auto"/>
          <w:shd w:val="pct15" w:color="auto" w:fill="auto"/>
        </w:rPr>
      </w:pPr>
      <w:r>
        <w:rPr>
          <w:rFonts w:hint="eastAsia"/>
          <w:color w:val="auto"/>
          <w:highlight w:val="none"/>
          <w:u w:val="none" w:color="auto"/>
          <w:shd w:val="clear" w:color="auto" w:fill="auto"/>
        </w:rPr>
        <w:t>県は「高知県行政栄養士人材育成ガイドライン」に基づき、県や市町村の行政栄養士を対象に、健康づくり及び栄養・食生活の改善に関する施策の推進や成果が見える栄養施策を展開できる力を身につけることができ、さらに経験年数別ステージや職位に応じて求められる能力を発揮できるよう体系的に育成に取り組みます。</w:t>
      </w:r>
    </w:p>
    <w:p>
      <w:pPr>
        <w:pStyle w:val="0"/>
        <w:ind w:left="227" w:leftChars="100" w:firstLine="227" w:firstLineChars="100"/>
        <w:rPr>
          <w:rFonts w:hint="eastAsia"/>
          <w:b w:val="1"/>
          <w:sz w:val="28"/>
          <w:highlight w:val="none"/>
        </w:rPr>
      </w:pPr>
      <w:r>
        <w:rPr>
          <w:rFonts w:hint="eastAsia"/>
          <w:color w:val="auto"/>
          <w:highlight w:val="none"/>
          <w:u w:val="none" w:color="auto"/>
          <w:shd w:val="clear" w:color="auto" w:fill="auto"/>
        </w:rPr>
        <w:t>県は災害時における栄養・食生活支援活動において、</w:t>
      </w:r>
      <w:r>
        <w:rPr>
          <w:rFonts w:hint="eastAsia"/>
          <w:color w:val="000000"/>
          <w:highlight w:val="none"/>
          <w:u w:val="none" w:color="auto"/>
          <w:shd w:val="clear" w:color="auto" w:fill="auto"/>
        </w:rPr>
        <w:t>市町村や関係団体などと連携し、避難者の健康状態の把握や要配慮者の特性に応じた食料の調査及び栄養指導に対応できる管理栄養士・栄養士の育成に努めます。</w:t>
      </w:r>
    </w:p>
    <w:p>
      <w:pPr>
        <w:pStyle w:val="0"/>
        <w:spacing w:line="320" w:lineRule="exact"/>
        <w:ind w:left="227" w:leftChars="100" w:firstLine="287" w:firstLineChars="100"/>
        <w:rPr>
          <w:rFonts w:hint="eastAsia"/>
          <w:b w:val="1"/>
          <w:sz w:val="28"/>
          <w:highlight w:val="none"/>
        </w:rPr>
      </w:pPr>
    </w:p>
    <w:p>
      <w:pPr>
        <w:pStyle w:val="0"/>
        <w:widowControl w:val="1"/>
        <w:spacing w:after="200" w:afterLines="0" w:afterAutospacing="0"/>
        <w:rPr>
          <w:rFonts w:hint="default"/>
          <w:b w:val="1"/>
          <w:highlight w:val="none"/>
        </w:rPr>
      </w:pPr>
      <w:r>
        <w:rPr>
          <w:rFonts w:hint="eastAsia"/>
          <w:b w:val="1"/>
          <w:color w:val="1F497D"/>
          <w:highlight w:val="none"/>
        </w:rPr>
        <w:t>第３　歯科衛生士・歯科技工士</w:t>
      </w:r>
    </w:p>
    <w:p>
      <w:pPr>
        <w:pStyle w:val="0"/>
        <w:ind w:firstLine="220" w:firstLineChars="100"/>
        <w:rPr>
          <w:rFonts w:hint="default"/>
          <w:highlight w:val="none"/>
        </w:rPr>
      </w:pPr>
      <w:r>
        <w:rPr>
          <w:rFonts w:hint="eastAsia"/>
          <w:highlight w:val="none"/>
        </w:rPr>
        <w:t>歯科衛生士は、歯科医師の指示のもとでの歯科診療の補助や、むし歯や歯周病にならないための予防処置や歯科保健指導を行うなど、歯の健康を守る重要な役割を担います。</w:t>
      </w:r>
    </w:p>
    <w:p>
      <w:pPr>
        <w:pStyle w:val="0"/>
        <w:ind w:left="220" w:leftChars="100"/>
        <w:rPr>
          <w:rFonts w:hint="default"/>
          <w:highlight w:val="none"/>
        </w:rPr>
      </w:pPr>
      <w:r>
        <w:rPr>
          <w:rFonts w:hint="eastAsia"/>
          <w:highlight w:val="none"/>
        </w:rPr>
        <w:t>また、歯科技工士は、歯科医師の指示に従い、義歯（入れ歯）や差し歯、歯並びの矯正</w:t>
      </w:r>
    </w:p>
    <w:p>
      <w:pPr>
        <w:pStyle w:val="0"/>
        <w:rPr>
          <w:rFonts w:hint="default"/>
          <w:strike w:val="1"/>
          <w:highlight w:val="none"/>
          <w:shd w:val="pct15" w:color="auto" w:fill="FFFFFF"/>
        </w:rPr>
      </w:pPr>
      <w:r>
        <w:rPr>
          <w:rFonts w:hint="eastAsia"/>
          <w:highlight w:val="none"/>
        </w:rPr>
        <w:t>装置などを製作する専門職で、高い技術が求められる職種です。</w:t>
      </w:r>
    </w:p>
    <w:p>
      <w:pPr>
        <w:pStyle w:val="0"/>
        <w:spacing w:line="240" w:lineRule="auto"/>
        <w:rPr>
          <w:rFonts w:hint="default"/>
          <w:highlight w:val="none"/>
        </w:rPr>
      </w:pPr>
    </w:p>
    <w:p>
      <w:pPr>
        <w:pStyle w:val="0"/>
        <w:spacing w:line="240" w:lineRule="auto"/>
        <w:rPr>
          <w:rFonts w:hint="default"/>
          <w:highlight w:val="none"/>
        </w:rPr>
      </w:pPr>
    </w:p>
    <w:p>
      <w:pPr>
        <w:pStyle w:val="0"/>
        <w:spacing w:line="240" w:lineRule="auto"/>
        <w:rPr>
          <w:rFonts w:hint="default"/>
          <w:highlight w:val="none"/>
        </w:rPr>
      </w:pPr>
    </w:p>
    <w:p>
      <w:pPr>
        <w:pStyle w:val="0"/>
        <w:spacing w:line="240" w:lineRule="auto"/>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現状と課題</w:t>
      </w:r>
    </w:p>
    <w:p>
      <w:pPr>
        <w:pStyle w:val="0"/>
        <w:rPr>
          <w:rFonts w:hint="default"/>
          <w:b w:val="1"/>
          <w:color w:val="0070C0"/>
          <w:highlight w:val="none"/>
          <w:bdr w:val="single" w:color="auto" w:sz="4" w:space="0"/>
        </w:rPr>
      </w:pPr>
      <w:r>
        <w:rPr>
          <w:rFonts w:hint="eastAsia"/>
          <w:b w:val="1"/>
          <w:color w:val="0070C0"/>
          <w:highlight w:val="none"/>
        </w:rPr>
        <w:t>１　歯科衛生士・歯科技工士の状況</w:t>
      </w:r>
    </w:p>
    <w:p>
      <w:pPr>
        <w:pStyle w:val="0"/>
        <w:ind w:left="220" w:leftChars="100" w:firstLine="220" w:firstLineChars="100"/>
        <w:rPr>
          <w:rFonts w:hint="default"/>
          <w:color w:val="auto"/>
          <w:highlight w:val="none"/>
          <w:u w:val="none" w:color="auto"/>
          <w:bdr w:val="single" w:color="auto" w:sz="4" w:space="0"/>
        </w:rPr>
      </w:pPr>
      <w:r>
        <w:rPr>
          <w:rFonts w:hint="eastAsia"/>
          <w:highlight w:val="none"/>
        </w:rPr>
        <w:t>本県の歯科衛生士の医療機関への就業者数は、</w:t>
      </w:r>
      <w:r>
        <w:rPr>
          <w:rFonts w:hint="eastAsia"/>
          <w:color w:val="auto"/>
          <w:highlight w:val="none"/>
          <w:u w:val="none" w:color="auto"/>
        </w:rPr>
        <w:t>令和２年衛生行政報告例によると</w:t>
      </w:r>
      <w:r>
        <w:rPr>
          <w:rFonts w:hint="eastAsia"/>
          <w:color w:val="auto"/>
          <w:highlight w:val="none"/>
          <w:u w:val="none" w:color="auto"/>
        </w:rPr>
        <w:t>953</w:t>
      </w:r>
      <w:r>
        <w:rPr>
          <w:rFonts w:hint="eastAsia"/>
          <w:color w:val="auto"/>
          <w:highlight w:val="none"/>
          <w:u w:val="none" w:color="auto"/>
        </w:rPr>
        <w:t>人で、人口</w:t>
      </w:r>
      <w:r>
        <w:rPr>
          <w:rFonts w:hint="eastAsia"/>
          <w:color w:val="auto"/>
          <w:highlight w:val="none"/>
          <w:u w:val="none" w:color="auto"/>
        </w:rPr>
        <w:t>10</w:t>
      </w:r>
      <w:r>
        <w:rPr>
          <w:rFonts w:hint="eastAsia"/>
          <w:color w:val="auto"/>
          <w:highlight w:val="none"/>
          <w:u w:val="none" w:color="auto"/>
        </w:rPr>
        <w:t>万人当たりでは</w:t>
      </w:r>
      <w:r>
        <w:rPr>
          <w:rFonts w:hint="eastAsia"/>
          <w:color w:val="auto"/>
          <w:highlight w:val="none"/>
          <w:u w:val="none" w:color="auto"/>
        </w:rPr>
        <w:t>144.3</w:t>
      </w:r>
      <w:r>
        <w:rPr>
          <w:rFonts w:hint="eastAsia"/>
          <w:color w:val="auto"/>
          <w:highlight w:val="none"/>
          <w:u w:val="none" w:color="auto"/>
        </w:rPr>
        <w:t>人と全国平均の</w:t>
      </w:r>
      <w:r>
        <w:rPr>
          <w:rFonts w:hint="eastAsia"/>
          <w:color w:val="auto"/>
          <w:highlight w:val="none"/>
          <w:u w:val="none" w:color="auto"/>
        </w:rPr>
        <w:t>113.2</w:t>
      </w:r>
      <w:r>
        <w:rPr>
          <w:rFonts w:hint="eastAsia"/>
          <w:color w:val="auto"/>
          <w:highlight w:val="none"/>
          <w:u w:val="none" w:color="auto"/>
        </w:rPr>
        <w:t>人を大きく上回っています。</w:t>
      </w:r>
    </w:p>
    <w:p>
      <w:pPr>
        <w:pStyle w:val="0"/>
        <w:ind w:left="220" w:leftChars="100" w:firstLine="220" w:firstLineChars="100"/>
        <w:rPr>
          <w:rFonts w:hint="eastAsia"/>
          <w:color w:val="auto"/>
          <w:highlight w:val="none"/>
          <w:u w:val="none" w:color="auto"/>
        </w:rPr>
      </w:pPr>
      <w:r>
        <w:rPr>
          <w:rFonts w:hint="eastAsia"/>
          <w:color w:val="auto"/>
          <w:highlight w:val="none"/>
          <w:u w:val="none" w:color="auto"/>
        </w:rPr>
        <w:t>しかし、圏域別の歯科診療所に従事する歯科衛生士数は、令和２年医療施設調査によると、１歯科診療所当たり安芸保健医療圏</w:t>
      </w:r>
      <w:r>
        <w:rPr>
          <w:rFonts w:hint="eastAsia"/>
          <w:color w:val="auto"/>
          <w:highlight w:val="none"/>
          <w:u w:val="none" w:color="auto"/>
        </w:rPr>
        <w:t>2.0</w:t>
      </w:r>
      <w:r>
        <w:rPr>
          <w:rFonts w:hint="eastAsia"/>
          <w:color w:val="auto"/>
          <w:highlight w:val="none"/>
          <w:u w:val="none" w:color="auto"/>
        </w:rPr>
        <w:t>人、中央保健医療圏</w:t>
      </w:r>
      <w:r>
        <w:rPr>
          <w:rFonts w:hint="eastAsia"/>
          <w:color w:val="auto"/>
          <w:highlight w:val="none"/>
          <w:u w:val="none" w:color="auto"/>
        </w:rPr>
        <w:t>2.3</w:t>
      </w:r>
      <w:r>
        <w:rPr>
          <w:rFonts w:hint="eastAsia"/>
          <w:color w:val="auto"/>
          <w:highlight w:val="none"/>
          <w:u w:val="none" w:color="auto"/>
        </w:rPr>
        <w:t>人に対し、高幡保健医療圏</w:t>
      </w:r>
      <w:r>
        <w:rPr>
          <w:rFonts w:hint="eastAsia"/>
          <w:color w:val="auto"/>
          <w:highlight w:val="none"/>
          <w:u w:val="none" w:color="auto"/>
        </w:rPr>
        <w:t>1.5</w:t>
      </w:r>
      <w:r>
        <w:rPr>
          <w:rFonts w:hint="eastAsia"/>
          <w:color w:val="auto"/>
          <w:highlight w:val="none"/>
          <w:u w:val="none" w:color="auto"/>
        </w:rPr>
        <w:t>人、幡多保健医療圏</w:t>
      </w:r>
      <w:r>
        <w:rPr>
          <w:rFonts w:hint="eastAsia"/>
          <w:color w:val="auto"/>
          <w:highlight w:val="none"/>
          <w:u w:val="none" w:color="auto"/>
        </w:rPr>
        <w:t>1.2</w:t>
      </w:r>
      <w:r>
        <w:rPr>
          <w:rFonts w:hint="eastAsia"/>
          <w:color w:val="auto"/>
          <w:highlight w:val="none"/>
          <w:u w:val="none" w:color="auto"/>
        </w:rPr>
        <w:t>人と県西部の地域で少なくなっています。</w:t>
      </w:r>
    </w:p>
    <w:p>
      <w:pPr>
        <w:pStyle w:val="0"/>
        <w:ind w:left="220" w:leftChars="100" w:firstLine="220" w:firstLineChars="100"/>
        <w:rPr>
          <w:rFonts w:hint="eastAsia"/>
          <w:color w:val="auto"/>
          <w:highlight w:val="none"/>
          <w:u w:val="none" w:color="auto"/>
        </w:rPr>
      </w:pPr>
      <w:r>
        <w:rPr>
          <w:rFonts w:hint="eastAsia"/>
          <w:color w:val="auto"/>
          <w:highlight w:val="none"/>
          <w:u w:val="none" w:color="auto"/>
        </w:rPr>
        <w:t>また、高齢化の進展に伴い増加する訪問歯科診療のニーズに対応するため、口腔ケア等を担う歯科衛生士のマンパワーを充足していく必要があります。</w:t>
      </w:r>
    </w:p>
    <w:p>
      <w:pPr>
        <w:pStyle w:val="0"/>
        <w:ind w:left="220" w:leftChars="100" w:firstLine="220" w:firstLineChars="100"/>
        <w:rPr>
          <w:rFonts w:hint="eastAsia"/>
          <w:color w:val="auto"/>
          <w:highlight w:val="none"/>
          <w:u w:val="none" w:color="auto"/>
        </w:rPr>
      </w:pPr>
      <w:r>
        <w:rPr>
          <w:rFonts w:hint="eastAsia"/>
          <w:color w:val="auto"/>
          <w:highlight w:val="none"/>
          <w:u w:val="none" w:color="auto"/>
        </w:rPr>
        <w:t>県内の医療機関や歯科技工所に勤務する歯科技工士は、令和２年衛生行政報告例によると</w:t>
      </w:r>
      <w:r>
        <w:rPr>
          <w:rFonts w:hint="eastAsia"/>
          <w:color w:val="auto"/>
          <w:highlight w:val="none"/>
          <w:u w:val="none" w:color="auto"/>
        </w:rPr>
        <w:t>231</w:t>
      </w:r>
      <w:r>
        <w:rPr>
          <w:rFonts w:hint="eastAsia"/>
          <w:color w:val="auto"/>
          <w:highlight w:val="none"/>
          <w:u w:val="none" w:color="auto"/>
        </w:rPr>
        <w:t>人となっています。人口</w:t>
      </w:r>
      <w:r>
        <w:rPr>
          <w:rFonts w:hint="eastAsia"/>
          <w:color w:val="auto"/>
          <w:highlight w:val="none"/>
          <w:u w:val="none" w:color="auto"/>
        </w:rPr>
        <w:t>10</w:t>
      </w:r>
      <w:r>
        <w:rPr>
          <w:rFonts w:hint="eastAsia"/>
          <w:color w:val="auto"/>
          <w:highlight w:val="none"/>
          <w:u w:val="none" w:color="auto"/>
        </w:rPr>
        <w:t>万人当たりは</w:t>
      </w:r>
      <w:r>
        <w:rPr>
          <w:rFonts w:hint="eastAsia"/>
          <w:color w:val="auto"/>
          <w:highlight w:val="none"/>
          <w:u w:val="none" w:color="auto"/>
        </w:rPr>
        <w:t>33.4</w:t>
      </w:r>
      <w:r>
        <w:rPr>
          <w:rFonts w:hint="eastAsia"/>
          <w:color w:val="auto"/>
          <w:highlight w:val="none"/>
          <w:u w:val="none" w:color="auto"/>
        </w:rPr>
        <w:t>人で全国平均</w:t>
      </w:r>
      <w:r>
        <w:rPr>
          <w:rFonts w:hint="eastAsia"/>
          <w:color w:val="auto"/>
          <w:highlight w:val="none"/>
          <w:u w:val="none" w:color="auto"/>
        </w:rPr>
        <w:t>27.6</w:t>
      </w:r>
      <w:r>
        <w:rPr>
          <w:rFonts w:hint="eastAsia"/>
          <w:color w:val="auto"/>
          <w:highlight w:val="none"/>
          <w:u w:val="none" w:color="auto"/>
        </w:rPr>
        <w:t>人を上回っていますが、平成</w:t>
      </w:r>
      <w:r>
        <w:rPr>
          <w:rFonts w:hint="eastAsia"/>
          <w:color w:val="auto"/>
          <w:highlight w:val="none"/>
          <w:u w:val="none" w:color="auto"/>
        </w:rPr>
        <w:t>22</w:t>
      </w:r>
      <w:r>
        <w:rPr>
          <w:rFonts w:hint="eastAsia"/>
          <w:color w:val="auto"/>
          <w:highlight w:val="none"/>
          <w:u w:val="none" w:color="auto"/>
        </w:rPr>
        <w:t>年度末に県内唯一の歯科技工士養成所が廃止された影響もあり平成</w:t>
      </w:r>
      <w:r>
        <w:rPr>
          <w:rFonts w:hint="eastAsia"/>
          <w:color w:val="auto"/>
          <w:highlight w:val="none"/>
          <w:u w:val="none" w:color="auto"/>
        </w:rPr>
        <w:t>10</w:t>
      </w:r>
      <w:r>
        <w:rPr>
          <w:rFonts w:hint="eastAsia"/>
          <w:color w:val="auto"/>
          <w:highlight w:val="none"/>
          <w:u w:val="none" w:color="auto"/>
        </w:rPr>
        <w:t>年の</w:t>
      </w:r>
      <w:r>
        <w:rPr>
          <w:rFonts w:hint="eastAsia"/>
          <w:color w:val="auto"/>
          <w:highlight w:val="none"/>
          <w:u w:val="none" w:color="auto"/>
        </w:rPr>
        <w:t>39.9</w:t>
      </w:r>
      <w:r>
        <w:rPr>
          <w:rFonts w:hint="eastAsia"/>
          <w:color w:val="auto"/>
          <w:highlight w:val="none"/>
          <w:u w:val="none" w:color="auto"/>
        </w:rPr>
        <w:t>人からは減少傾向にあります。</w:t>
      </w:r>
    </w:p>
    <w:p>
      <w:pPr>
        <w:pStyle w:val="0"/>
        <w:ind w:leftChars="0" w:firstLineChars="0"/>
        <w:rPr>
          <w:rFonts w:hint="default"/>
          <w:highlight w:val="none"/>
        </w:rPr>
      </w:pPr>
    </w:p>
    <w:p>
      <w:pPr>
        <w:pStyle w:val="0"/>
        <w:rPr>
          <w:rFonts w:hint="default"/>
          <w:b w:val="1"/>
          <w:color w:val="0070C0"/>
          <w:highlight w:val="none"/>
        </w:rPr>
      </w:pPr>
      <w:r>
        <w:rPr>
          <w:rFonts w:hint="eastAsia"/>
          <w:b w:val="1"/>
          <w:color w:val="0070C0"/>
          <w:highlight w:val="none"/>
        </w:rPr>
        <w:t>２　期待される役割</w:t>
      </w:r>
    </w:p>
    <w:p>
      <w:pPr>
        <w:pStyle w:val="0"/>
        <w:ind w:left="220" w:leftChars="100" w:firstLine="220" w:firstLineChars="100"/>
        <w:rPr>
          <w:rFonts w:hint="eastAsia"/>
          <w:color w:val="000000"/>
          <w:highlight w:val="none"/>
          <w:u w:val="none" w:color="auto"/>
        </w:rPr>
      </w:pPr>
      <w:r>
        <w:rPr>
          <w:rFonts w:hint="eastAsia"/>
          <w:color w:val="000000"/>
          <w:highlight w:val="none"/>
          <w:u w:val="none" w:color="auto"/>
        </w:rPr>
        <w:t>高齢化の進行や要介護者の増加により、疾病や障害等のために歯科医療機関への通院が困難なケースに対する潜在的な訪問歯科診療にニーズの増加が見込まれており、在宅歯科医療の対応力強化に向けた人材の確保と専門性の向上が必要となっています。</w:t>
      </w:r>
    </w:p>
    <w:p>
      <w:pPr>
        <w:pStyle w:val="0"/>
        <w:ind w:left="220" w:leftChars="100" w:firstLine="220" w:firstLineChars="100"/>
        <w:rPr>
          <w:rFonts w:hint="default"/>
          <w:color w:val="000000"/>
          <w:highlight w:val="none"/>
          <w:u w:val="none" w:color="auto"/>
        </w:rPr>
      </w:pPr>
      <w:r>
        <w:rPr>
          <w:rFonts w:hint="eastAsia"/>
          <w:color w:val="000000"/>
          <w:highlight w:val="none"/>
          <w:u w:val="none" w:color="auto"/>
        </w:rPr>
        <w:t>また、南海トラフ地震など大規模災害には、被災者への口腔ケアなど多くの役割を担うため、災害時のマンパワーや通信連絡手段の確保、医療救護活動などへの派遣体制について、検討を進める必要があります。</w:t>
      </w:r>
    </w:p>
    <w:p>
      <w:pPr>
        <w:pStyle w:val="0"/>
        <w:rPr>
          <w:rFonts w:hint="default"/>
          <w:highlight w:val="none"/>
          <w:bdr w:val="single" w:color="auto" w:sz="4" w:space="0"/>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rPr>
          <w:rFonts w:hint="default"/>
          <w:b w:val="1"/>
          <w:color w:val="0070C0"/>
          <w:highlight w:val="none"/>
        </w:rPr>
      </w:pPr>
      <w:r>
        <w:rPr>
          <w:rFonts w:hint="eastAsia"/>
          <w:b w:val="1"/>
          <w:color w:val="0070C0"/>
          <w:highlight w:val="none"/>
        </w:rPr>
        <w:t>１　人材の確保</w:t>
      </w:r>
    </w:p>
    <w:p>
      <w:pPr>
        <w:pStyle w:val="0"/>
        <w:ind w:left="220" w:leftChars="100" w:firstLine="220" w:firstLineChars="100"/>
        <w:rPr>
          <w:rFonts w:hint="default"/>
          <w:highlight w:val="none"/>
        </w:rPr>
      </w:pPr>
      <w:r>
        <w:rPr>
          <w:rFonts w:hint="eastAsia"/>
          <w:highlight w:val="none"/>
        </w:rPr>
        <w:t>県は、歯科保健・医療のニーズなど需要動向を踏まえた養成のあり方について関係団体とともに検討し、歯科衛生士・歯科技工士の確保に努めます。</w:t>
      </w:r>
    </w:p>
    <w:p>
      <w:pPr>
        <w:pStyle w:val="0"/>
        <w:ind w:left="220" w:leftChars="100" w:firstLine="220" w:firstLineChars="100"/>
        <w:rPr>
          <w:rFonts w:hint="default"/>
          <w:color w:val="auto"/>
          <w:highlight w:val="none"/>
          <w:u w:val="none" w:color="auto"/>
        </w:rPr>
      </w:pPr>
      <w:r>
        <w:rPr>
          <w:rFonts w:hint="eastAsia"/>
          <w:color w:val="auto"/>
          <w:highlight w:val="none"/>
          <w:u w:val="none" w:color="auto"/>
        </w:rPr>
        <w:t>また、歯科衛生士については、中山間地域の歯科衛生士を確保するために設けている「高知県歯科衛生士養成奨学金制度」を継続し、高知市及び南国市周辺以外の地域で働く歯科衛生士の確保を図ります。</w:t>
      </w:r>
    </w:p>
    <w:p>
      <w:pPr>
        <w:pStyle w:val="0"/>
        <w:ind w:left="220" w:leftChars="100" w:firstLine="220" w:firstLineChars="100"/>
        <w:rPr>
          <w:rFonts w:hint="default"/>
          <w:highlight w:val="none"/>
        </w:rPr>
      </w:pPr>
      <w:r>
        <w:rPr>
          <w:rFonts w:hint="eastAsia"/>
          <w:color w:val="auto"/>
          <w:highlight w:val="none"/>
          <w:u w:val="none" w:color="auto"/>
        </w:rPr>
        <w:t>さらに、</w:t>
      </w:r>
      <w:r>
        <w:rPr>
          <w:rFonts w:hint="eastAsia"/>
          <w:highlight w:val="none"/>
        </w:rPr>
        <w:t>県及び歯科医師会は、結婚・出産などで離職した歯科医療従事者に対する復職支援を行うとともに、養成施設などの関係機関と連携して人材確保に努めます。</w:t>
      </w:r>
    </w:p>
    <w:p>
      <w:pPr>
        <w:pStyle w:val="0"/>
        <w:rPr>
          <w:rFonts w:hint="default"/>
          <w:highlight w:val="none"/>
        </w:rPr>
      </w:pPr>
    </w:p>
    <w:p>
      <w:pPr>
        <w:pStyle w:val="0"/>
        <w:rPr>
          <w:rFonts w:hint="default"/>
          <w:b w:val="1"/>
          <w:color w:val="0070C0"/>
          <w:highlight w:val="none"/>
        </w:rPr>
      </w:pPr>
      <w:r>
        <w:rPr>
          <w:rFonts w:hint="eastAsia"/>
          <w:b w:val="1"/>
          <w:color w:val="0070C0"/>
          <w:highlight w:val="none"/>
        </w:rPr>
        <w:t>２　在宅歯科医療の充実</w:t>
      </w:r>
    </w:p>
    <w:p>
      <w:pPr>
        <w:pStyle w:val="0"/>
        <w:ind w:left="227" w:leftChars="100" w:firstLine="227" w:firstLineChars="100"/>
        <w:rPr>
          <w:rFonts w:hint="eastAsia"/>
          <w:b w:val="1"/>
          <w:sz w:val="28"/>
          <w:highlight w:val="none"/>
        </w:rPr>
      </w:pPr>
      <w:r>
        <w:rPr>
          <w:rFonts w:hint="eastAsia"/>
          <w:highlight w:val="none"/>
        </w:rPr>
        <w:t>県は県歯科医師会と連携して、在宅歯科医療の推進・充実に向け、歯科衛生士に対する研修を行うなど専門性の強化に取り組みます。</w:t>
      </w:r>
    </w:p>
    <w:p>
      <w:pPr>
        <w:pStyle w:val="0"/>
        <w:spacing w:line="240" w:lineRule="exact"/>
        <w:ind w:left="227" w:leftChars="100" w:firstLine="287" w:firstLineChars="100"/>
        <w:rPr>
          <w:rFonts w:hint="eastAsia"/>
          <w:b w:val="1"/>
          <w:sz w:val="28"/>
          <w:highlight w:val="none"/>
        </w:rPr>
      </w:pPr>
    </w:p>
    <w:p>
      <w:pPr>
        <w:pStyle w:val="0"/>
        <w:spacing w:after="200" w:afterLines="0" w:afterAutospacing="0"/>
        <w:ind w:left="0" w:leftChars="0" w:right="0" w:rightChars="0" w:firstLine="0" w:firstLineChars="0"/>
        <w:rPr>
          <w:rFonts w:hint="default"/>
          <w:b w:val="1"/>
          <w:color w:val="1F497D"/>
          <w:highlight w:val="none"/>
        </w:rPr>
      </w:pPr>
      <w:r>
        <w:rPr>
          <w:rFonts w:hint="eastAsia"/>
        </w:rPr>
        <w:br w:type="page"/>
      </w:r>
    </w:p>
    <w:p>
      <w:pPr>
        <w:pStyle w:val="0"/>
        <w:spacing w:after="200" w:afterLines="0" w:afterAutospacing="0"/>
        <w:ind w:left="0" w:leftChars="0" w:right="0" w:rightChars="0" w:firstLine="0" w:firstLineChars="0"/>
        <w:rPr>
          <w:rFonts w:hint="default"/>
          <w:b w:val="1"/>
          <w:color w:val="1F497D"/>
          <w:highlight w:val="none"/>
        </w:rPr>
      </w:pPr>
      <w:r>
        <w:rPr>
          <w:rFonts w:hint="eastAsia"/>
          <w:b w:val="1"/>
          <w:color w:val="1F497D"/>
          <w:highlight w:val="none"/>
        </w:rPr>
        <w:t>第４　医療ソーシャルワーカー</w:t>
      </w:r>
    </w:p>
    <w:p>
      <w:pPr>
        <w:pStyle w:val="0"/>
        <w:ind w:firstLine="227" w:firstLineChars="100"/>
        <w:rPr>
          <w:rFonts w:hint="eastAsia"/>
          <w:color w:val="auto"/>
          <w:highlight w:val="none"/>
          <w:u w:val="none" w:color="auto"/>
        </w:rPr>
      </w:pPr>
      <w:r>
        <w:rPr>
          <w:rFonts w:hint="eastAsia"/>
          <w:highlight w:val="none"/>
        </w:rPr>
        <w:t>医療ソーシャルワーカーは、病院や介護老人保健施設、</w:t>
      </w:r>
      <w:r>
        <w:rPr>
          <w:rFonts w:hint="eastAsia"/>
          <w:color w:val="auto"/>
          <w:highlight w:val="none"/>
          <w:u w:val="none" w:color="auto"/>
        </w:rPr>
        <w:t>介護医療院、地域包括支援センターなどにおいて、患者や家族が安心して療養できるよう、経済的・心理的・社会的問題の解決に必要な援助を行い、退院援助や退院後の社会復帰が円滑に進むように援助しています。</w:t>
      </w:r>
    </w:p>
    <w:p>
      <w:pPr>
        <w:pStyle w:val="0"/>
        <w:ind w:firstLine="227" w:firstLineChars="100"/>
        <w:rPr>
          <w:rFonts w:hint="default"/>
          <w:highlight w:val="none"/>
        </w:rPr>
      </w:pPr>
      <w:r>
        <w:rPr>
          <w:rFonts w:hint="eastAsia"/>
          <w:color w:val="auto"/>
          <w:highlight w:val="none"/>
          <w:u w:val="none" w:color="auto"/>
        </w:rPr>
        <w:t>さらに、患者のニーズに合ったサービスが地域において提供されるよう、関係機関と連携しながら地域の保健医療福祉のシステムづくりに貢献し、高齢者や障がいのある方が地域で安心して暮らしていけるよう地域の理解を深め、社会復帰の促進や自立した生活等の必要性について啓発しています。</w:t>
      </w:r>
    </w:p>
    <w:p>
      <w:pPr>
        <w:pStyle w:val="0"/>
        <w:ind w:firstLine="227" w:firstLineChars="100"/>
        <w:rPr>
          <w:rFonts w:hint="default"/>
          <w:highlight w:val="none"/>
        </w:rPr>
      </w:pPr>
      <w:r>
        <w:rPr>
          <w:rFonts w:hint="eastAsia"/>
          <w:highlight w:val="none"/>
        </w:rPr>
        <w:t>医療ソーシャルワーカーの役割は、医療と福祉の連携強化が求められる中で非常に大きくなっています。</w:t>
      </w:r>
    </w:p>
    <w:p>
      <w:pPr>
        <w:pStyle w:val="0"/>
        <w:spacing w:line="200" w:lineRule="exact"/>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w:t>
      </w:r>
    </w:p>
    <w:p>
      <w:pPr>
        <w:pStyle w:val="0"/>
        <w:rPr>
          <w:rFonts w:hint="default"/>
          <w:b w:val="1"/>
          <w:color w:val="0070C0"/>
          <w:highlight w:val="none"/>
        </w:rPr>
      </w:pPr>
      <w:r>
        <w:rPr>
          <w:rFonts w:hint="eastAsia"/>
          <w:b w:val="1"/>
          <w:color w:val="0070C0"/>
          <w:highlight w:val="none"/>
        </w:rPr>
        <w:t>１　就業者数</w:t>
      </w:r>
    </w:p>
    <w:p>
      <w:pPr>
        <w:pStyle w:val="0"/>
        <w:ind w:left="227" w:leftChars="100" w:firstLine="227" w:firstLineChars="100"/>
        <w:rPr>
          <w:rFonts w:hint="eastAsia"/>
          <w:highlight w:val="none"/>
        </w:rPr>
      </w:pPr>
      <w:r>
        <w:rPr>
          <w:rFonts w:hint="eastAsia"/>
          <w:highlight w:val="none"/>
        </w:rPr>
        <w:t>医療ソーシャルワーカーは、病院をはじめとして、介護老人保健施設、障害者福祉サービス事業所などの様々な場において就業しています。高知県医療ソーシャルワーカー協会の会員については、</w:t>
      </w:r>
      <w:r>
        <w:rPr>
          <w:rFonts w:hint="eastAsia"/>
          <w:color w:val="auto"/>
          <w:highlight w:val="none"/>
          <w:u w:val="none" w:color="auto"/>
        </w:rPr>
        <w:t>令和</w:t>
      </w:r>
      <w:r>
        <w:rPr>
          <w:rFonts w:hint="eastAsia"/>
          <w:color w:val="auto"/>
          <w:highlight w:val="none"/>
          <w:u w:val="none" w:color="auto"/>
        </w:rPr>
        <w:t>5</w:t>
      </w:r>
      <w:r>
        <w:rPr>
          <w:rFonts w:hint="eastAsia"/>
          <w:color w:val="auto"/>
          <w:highlight w:val="none"/>
          <w:u w:val="none" w:color="auto"/>
        </w:rPr>
        <w:t>年</w:t>
      </w:r>
      <w:r>
        <w:rPr>
          <w:rFonts w:hint="eastAsia"/>
          <w:color w:val="auto"/>
          <w:highlight w:val="none"/>
          <w:u w:val="none" w:color="auto"/>
        </w:rPr>
        <w:t>5</w:t>
      </w:r>
      <w:r>
        <w:rPr>
          <w:rFonts w:hint="eastAsia"/>
          <w:color w:val="auto"/>
          <w:highlight w:val="none"/>
          <w:u w:val="none" w:color="auto"/>
        </w:rPr>
        <w:t>月時点で</w:t>
      </w:r>
      <w:r>
        <w:rPr>
          <w:rFonts w:hint="eastAsia"/>
          <w:color w:val="auto"/>
          <w:highlight w:val="none"/>
          <w:u w:val="none" w:color="auto"/>
        </w:rPr>
        <w:t>270</w:t>
      </w:r>
      <w:r>
        <w:rPr>
          <w:rFonts w:hint="eastAsia"/>
          <w:color w:val="auto"/>
          <w:highlight w:val="none"/>
          <w:u w:val="none" w:color="auto"/>
        </w:rPr>
        <w:t>人を超えています。（なお、高知県社会福祉士会の会員については、令和</w:t>
      </w:r>
      <w:r>
        <w:rPr>
          <w:rFonts w:hint="eastAsia"/>
          <w:color w:val="auto"/>
          <w:highlight w:val="none"/>
          <w:u w:val="none" w:color="auto"/>
        </w:rPr>
        <w:t>5</w:t>
      </w:r>
      <w:r>
        <w:rPr>
          <w:rFonts w:hint="eastAsia"/>
          <w:color w:val="auto"/>
          <w:highlight w:val="none"/>
          <w:u w:val="none" w:color="auto"/>
        </w:rPr>
        <w:t>年</w:t>
      </w:r>
      <w:r>
        <w:rPr>
          <w:rFonts w:hint="eastAsia"/>
          <w:color w:val="auto"/>
          <w:highlight w:val="none"/>
          <w:u w:val="none" w:color="auto"/>
        </w:rPr>
        <w:t>3</w:t>
      </w:r>
      <w:r>
        <w:rPr>
          <w:rFonts w:hint="eastAsia"/>
          <w:color w:val="auto"/>
          <w:highlight w:val="none"/>
          <w:u w:val="none" w:color="auto"/>
        </w:rPr>
        <w:t>月末で</w:t>
      </w:r>
      <w:r>
        <w:rPr>
          <w:rFonts w:hint="eastAsia"/>
          <w:color w:val="auto"/>
          <w:highlight w:val="none"/>
          <w:u w:val="none" w:color="auto"/>
        </w:rPr>
        <w:t>241</w:t>
      </w:r>
      <w:r>
        <w:rPr>
          <w:rFonts w:hint="eastAsia"/>
          <w:color w:val="auto"/>
          <w:highlight w:val="none"/>
          <w:u w:val="none" w:color="auto"/>
        </w:rPr>
        <w:t>人、高知県精神保健福祉士協会の会員については、令和</w:t>
      </w:r>
      <w:r>
        <w:rPr>
          <w:rFonts w:hint="eastAsia"/>
          <w:color w:val="auto"/>
          <w:highlight w:val="none"/>
          <w:u w:val="none" w:color="auto"/>
        </w:rPr>
        <w:t>5</w:t>
      </w:r>
      <w:r>
        <w:rPr>
          <w:rFonts w:hint="eastAsia"/>
          <w:color w:val="auto"/>
          <w:highlight w:val="none"/>
          <w:u w:val="none" w:color="auto"/>
        </w:rPr>
        <w:t>年</w:t>
      </w:r>
      <w:r>
        <w:rPr>
          <w:rFonts w:hint="eastAsia"/>
          <w:color w:val="auto"/>
          <w:highlight w:val="none"/>
          <w:u w:val="none" w:color="auto"/>
        </w:rPr>
        <w:t>5</w:t>
      </w:r>
      <w:r>
        <w:rPr>
          <w:rFonts w:hint="eastAsia"/>
          <w:color w:val="auto"/>
          <w:highlight w:val="none"/>
          <w:u w:val="none" w:color="auto"/>
        </w:rPr>
        <w:t>月時点で</w:t>
      </w:r>
      <w:r>
        <w:rPr>
          <w:rFonts w:hint="eastAsia"/>
          <w:color w:val="auto"/>
          <w:highlight w:val="none"/>
          <w:u w:val="none" w:color="auto"/>
        </w:rPr>
        <w:t>100</w:t>
      </w:r>
      <w:r>
        <w:rPr>
          <w:rFonts w:hint="eastAsia"/>
          <w:color w:val="auto"/>
          <w:highlight w:val="none"/>
          <w:u w:val="none" w:color="auto"/>
        </w:rPr>
        <w:t>人程度</w:t>
      </w:r>
      <w:r>
        <w:rPr>
          <w:rFonts w:hint="eastAsia"/>
          <w:highlight w:val="none"/>
        </w:rPr>
        <w:t>となっています。）</w:t>
      </w:r>
    </w:p>
    <w:p>
      <w:pPr>
        <w:pStyle w:val="0"/>
        <w:rPr>
          <w:rFonts w:hint="default"/>
          <w:highlight w:val="none"/>
        </w:rPr>
      </w:pPr>
    </w:p>
    <w:p>
      <w:pPr>
        <w:pStyle w:val="0"/>
        <w:rPr>
          <w:rFonts w:hint="default"/>
          <w:b w:val="1"/>
          <w:color w:val="0070C0"/>
          <w:highlight w:val="none"/>
        </w:rPr>
      </w:pPr>
      <w:r>
        <w:rPr>
          <w:rFonts w:hint="eastAsia"/>
          <w:b w:val="1"/>
          <w:color w:val="0070C0"/>
          <w:highlight w:val="none"/>
        </w:rPr>
        <w:t>２　養成施設</w:t>
      </w:r>
    </w:p>
    <w:p>
      <w:pPr>
        <w:pStyle w:val="0"/>
        <w:ind w:left="227" w:leftChars="100" w:firstLine="227" w:firstLineChars="100"/>
        <w:rPr>
          <w:rFonts w:hint="default"/>
          <w:highlight w:val="none"/>
        </w:rPr>
      </w:pPr>
      <w:r>
        <w:rPr>
          <w:rFonts w:hint="eastAsia"/>
          <w:highlight w:val="none"/>
        </w:rPr>
        <w:t>医療ソーシャルワーカーは</w:t>
      </w:r>
      <w:r>
        <w:rPr>
          <w:rFonts w:hint="eastAsia"/>
          <w:color w:val="auto"/>
          <w:highlight w:val="none"/>
          <w:u w:val="none" w:color="auto"/>
        </w:rPr>
        <w:t>診療報酬の算定上、社会福祉士や精神保健福祉士の資格が必要です。県内においては、社会福祉士及び精神保健福祉士の国家試験受験資格を取得できる大学は１校、社会福祉士の国家試験受験基礎資格が取得できる専門学校は</w:t>
      </w:r>
      <w:r>
        <w:rPr>
          <w:rFonts w:hint="eastAsia"/>
          <w:highlight w:val="none"/>
        </w:rPr>
        <w:t>１校あります。</w:t>
      </w:r>
    </w:p>
    <w:p>
      <w:pPr>
        <w:pStyle w:val="0"/>
        <w:spacing w:before="165" w:beforeLines="50" w:beforeAutospacing="0"/>
        <w:ind w:left="227" w:leftChars="100" w:firstLine="217" w:firstLineChars="100"/>
        <w:rPr>
          <w:rFonts w:hint="eastAsia" w:ascii="ＭＳ ゴシック" w:hAnsi="ＭＳ ゴシック" w:eastAsia="ＭＳ ゴシック"/>
          <w:sz w:val="22"/>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4-5-5</w:t>
      </w:r>
      <w:r>
        <w:rPr>
          <w:rFonts w:hint="eastAsia" w:ascii="ＭＳ ゴシック" w:hAnsi="ＭＳ ゴシック" w:eastAsia="ＭＳ ゴシック"/>
          <w:sz w:val="22"/>
          <w:highlight w:val="none"/>
        </w:rPr>
        <w:t>）社会福祉士及び精神保健福祉士の受験資格・受験基礎資格</w:t>
      </w:r>
    </w:p>
    <w:p>
      <w:pPr>
        <w:pStyle w:val="0"/>
        <w:spacing w:line="240" w:lineRule="exact"/>
        <w:ind w:left="227" w:leftChars="100" w:firstLine="1517" w:firstLineChars="700"/>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を取得できる養成施設の養成定員数</w:t>
      </w:r>
    </w:p>
    <w:tbl>
      <w:tblPr>
        <w:tblStyle w:val="11"/>
        <w:tblpPr w:leftFromText="142" w:rightFromText="142" w:topFromText="0" w:bottomFromText="0" w:vertAnchor="text" w:horzAnchor="margin" w:tblpXSpec="center" w:tblpY="42"/>
        <w:tblW w:w="7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951"/>
        <w:gridCol w:w="3011"/>
        <w:gridCol w:w="1276"/>
        <w:gridCol w:w="1276"/>
      </w:tblGrid>
      <w:tr>
        <w:trPr>
          <w:trHeight w:val="418" w:hRule="atLeast"/>
        </w:trPr>
        <w:tc>
          <w:tcPr>
            <w:tcW w:w="1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養成施設名</w:t>
            </w:r>
          </w:p>
        </w:tc>
        <w:tc>
          <w:tcPr>
            <w:tcW w:w="3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学部・学科名</w:t>
            </w:r>
          </w:p>
        </w:tc>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学年定員</w:t>
            </w:r>
          </w:p>
        </w:tc>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修学年数</w:t>
            </w:r>
          </w:p>
        </w:tc>
      </w:tr>
      <w:tr>
        <w:trPr>
          <w:trHeight w:val="422" w:hRule="atLeast"/>
        </w:trPr>
        <w:tc>
          <w:tcPr>
            <w:tcW w:w="1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高知県立大学</w:t>
            </w:r>
          </w:p>
        </w:tc>
        <w:tc>
          <w:tcPr>
            <w:tcW w:w="3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highlight w:val="none"/>
              </w:rPr>
            </w:pPr>
            <w:r>
              <w:rPr>
                <w:rFonts w:hint="eastAsia"/>
                <w:sz w:val="20"/>
                <w:highlight w:val="none"/>
              </w:rPr>
              <w:t>社会福祉学部社会福祉学科＊</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70</w:t>
            </w:r>
            <w:r>
              <w:rPr>
                <w:rFonts w:hint="eastAsia"/>
                <w:sz w:val="20"/>
                <w:highlight w:val="none"/>
              </w:rPr>
              <w:t>人</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４年</w:t>
            </w:r>
          </w:p>
        </w:tc>
      </w:tr>
      <w:tr>
        <w:trPr>
          <w:trHeight w:val="398" w:hRule="atLeast"/>
        </w:trPr>
        <w:tc>
          <w:tcPr>
            <w:tcW w:w="1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高知福祉専門学校</w:t>
            </w:r>
          </w:p>
        </w:tc>
        <w:tc>
          <w:tcPr>
            <w:tcW w:w="3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highlight w:val="none"/>
              </w:rPr>
            </w:pPr>
            <w:r>
              <w:rPr>
                <w:rFonts w:hint="eastAsia"/>
                <w:sz w:val="20"/>
                <w:highlight w:val="none"/>
              </w:rPr>
              <w:t>社会福祉学科＊＊</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40</w:t>
            </w:r>
            <w:r>
              <w:rPr>
                <w:rFonts w:hint="eastAsia"/>
                <w:sz w:val="20"/>
                <w:highlight w:val="none"/>
              </w:rPr>
              <w:t>人</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３年</w:t>
            </w:r>
          </w:p>
        </w:tc>
      </w:tr>
    </w:tbl>
    <w:p>
      <w:pPr>
        <w:pStyle w:val="0"/>
        <w:rPr>
          <w:rFonts w:hint="default"/>
          <w:highlight w:val="none"/>
          <w:u w:val="single" w:color="auto"/>
        </w:rPr>
      </w:pPr>
    </w:p>
    <w:p>
      <w:pPr>
        <w:pStyle w:val="0"/>
        <w:rPr>
          <w:rFonts w:hint="default"/>
          <w:highlight w:val="none"/>
          <w:u w:val="single" w:color="auto"/>
        </w:rPr>
      </w:pPr>
    </w:p>
    <w:p>
      <w:pPr>
        <w:pStyle w:val="0"/>
        <w:spacing w:line="0" w:lineRule="atLeast"/>
        <w:rPr>
          <w:rFonts w:hint="default"/>
          <w:highlight w:val="none"/>
          <w:u w:val="single" w:color="auto"/>
        </w:rPr>
      </w:pPr>
    </w:p>
    <w:p>
      <w:pPr>
        <w:pStyle w:val="0"/>
        <w:spacing w:line="0" w:lineRule="atLeast"/>
        <w:ind w:firstLine="834" w:firstLineChars="500"/>
        <w:rPr>
          <w:rFonts w:hint="eastAsia"/>
          <w:sz w:val="16"/>
          <w:highlight w:val="none"/>
        </w:rPr>
      </w:pPr>
      <w:r>
        <w:rPr>
          <w:rFonts w:hint="eastAsia"/>
          <w:sz w:val="16"/>
          <w:highlight w:val="none"/>
        </w:rPr>
        <w:t>＊社会福祉士国家試験受験資格取得を前提に精神保健福祉士国家試験受験資格を取得することができます。</w:t>
      </w:r>
    </w:p>
    <w:p>
      <w:pPr>
        <w:pStyle w:val="0"/>
        <w:spacing w:line="0" w:lineRule="atLeast"/>
        <w:ind w:firstLine="1000" w:firstLineChars="600"/>
        <w:rPr>
          <w:rFonts w:hint="eastAsia"/>
          <w:sz w:val="16"/>
          <w:highlight w:val="none"/>
        </w:rPr>
      </w:pPr>
      <w:r>
        <w:rPr>
          <w:rFonts w:hint="eastAsia"/>
          <w:sz w:val="16"/>
          <w:highlight w:val="none"/>
        </w:rPr>
        <w:t>（定員</w:t>
      </w:r>
      <w:r>
        <w:rPr>
          <w:rFonts w:hint="eastAsia"/>
          <w:sz w:val="16"/>
          <w:highlight w:val="none"/>
        </w:rPr>
        <w:t>30</w:t>
      </w:r>
      <w:r>
        <w:rPr>
          <w:rFonts w:hint="eastAsia"/>
          <w:sz w:val="16"/>
          <w:highlight w:val="none"/>
        </w:rPr>
        <w:t>人）</w:t>
      </w:r>
    </w:p>
    <w:p>
      <w:pPr>
        <w:pStyle w:val="0"/>
        <w:spacing w:line="0" w:lineRule="atLeast"/>
        <w:ind w:left="0" w:leftChars="0" w:right="0" w:rightChars="0" w:firstLine="834" w:firstLineChars="500"/>
        <w:rPr>
          <w:rFonts w:hint="default"/>
          <w:sz w:val="16"/>
          <w:highlight w:val="none"/>
        </w:rPr>
      </w:pPr>
      <w:r>
        <w:rPr>
          <w:rFonts w:hint="eastAsia"/>
          <w:sz w:val="16"/>
          <w:highlight w:val="none"/>
        </w:rPr>
        <w:t>＊＊国家試験受験には実務年数（１年）が必要です。</w:t>
      </w:r>
    </w:p>
    <w:p>
      <w:pPr>
        <w:pStyle w:val="0"/>
        <w:spacing w:line="0" w:lineRule="atLeast"/>
        <w:rPr>
          <w:rFonts w:hint="default"/>
          <w:highlight w:val="none"/>
          <w:bdr w:val="single" w:color="auto" w:sz="4" w:space="0"/>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課題と対策</w:t>
      </w:r>
    </w:p>
    <w:p>
      <w:pPr>
        <w:pStyle w:val="0"/>
        <w:ind w:left="227" w:leftChars="100" w:firstLine="0" w:firstLineChars="0"/>
        <w:rPr>
          <w:rFonts w:hint="eastAsia"/>
          <w:color w:val="auto"/>
          <w:highlight w:val="none"/>
          <w:u w:val="none" w:color="auto"/>
        </w:rPr>
      </w:pPr>
      <w:r>
        <w:rPr>
          <w:rFonts w:hint="eastAsia"/>
          <w:color w:val="auto"/>
          <w:highlight w:val="none"/>
          <w:u w:val="none" w:color="auto"/>
        </w:rPr>
        <w:t>県内における医療ソーシャルワーカーの就業者数は一定数を確保できているものの、求</w:t>
      </w:r>
    </w:p>
    <w:p>
      <w:pPr>
        <w:pStyle w:val="0"/>
        <w:ind w:leftChars="0" w:firstLineChars="0"/>
        <w:rPr>
          <w:rFonts w:hint="eastAsia"/>
          <w:color w:val="auto"/>
          <w:highlight w:val="none"/>
          <w:u w:val="none" w:color="auto"/>
        </w:rPr>
      </w:pPr>
      <w:r>
        <w:rPr>
          <w:rFonts w:hint="eastAsia"/>
          <w:color w:val="auto"/>
          <w:highlight w:val="none"/>
          <w:u w:val="none" w:color="auto"/>
        </w:rPr>
        <w:t>められる役割が大きくなる中にあって、患者や家族、医療機関や介護サービス事業者などの関係者を円滑につなぐための技術の向上を図る必要があります。</w:t>
      </w:r>
    </w:p>
    <w:p>
      <w:pPr>
        <w:pStyle w:val="0"/>
        <w:ind w:left="227" w:leftChars="100" w:firstLine="0" w:firstLineChars="0"/>
        <w:rPr>
          <w:rFonts w:hint="eastAsia"/>
          <w:b w:val="1"/>
          <w:color w:val="auto"/>
          <w:sz w:val="28"/>
          <w:highlight w:val="none"/>
          <w:u w:val="none" w:color="auto"/>
        </w:rPr>
      </w:pPr>
      <w:r>
        <w:rPr>
          <w:rFonts w:hint="eastAsia"/>
          <w:color w:val="auto"/>
          <w:highlight w:val="none"/>
          <w:u w:val="none" w:color="auto"/>
        </w:rPr>
        <w:t>このため、関係団体と連携し、医療ソーシャルワーカーのリーダーシップ機能やマネジ</w:t>
      </w:r>
    </w:p>
    <w:p>
      <w:pPr>
        <w:pStyle w:val="0"/>
        <w:ind w:leftChars="0" w:firstLineChars="0"/>
        <w:rPr>
          <w:rFonts w:hint="eastAsia"/>
          <w:highlight w:val="none"/>
        </w:rPr>
      </w:pPr>
      <w:r>
        <w:rPr>
          <w:rFonts w:hint="eastAsia"/>
          <w:color w:val="auto"/>
          <w:highlight w:val="none"/>
          <w:u w:val="none" w:color="auto"/>
        </w:rPr>
        <w:t>メント機能等を修得するための研修等の支援を行っていきます。</w:t>
      </w:r>
    </w:p>
    <w:sectPr>
      <w:pgSz w:w="11906" w:h="16838"/>
      <w:pgMar w:top="1418" w:right="1418" w:bottom="1418" w:left="1418" w:header="567" w:footer="720" w:gutter="0"/>
      <w:pgNumType w:fmt="numberInDash"/>
      <w:cols w:space="720"/>
      <w:noEndnote w:val="1"/>
      <w:textDirection w:val="lrTb"/>
      <w:docGrid w:type="linesAndChars" w:linePitch="350" w:charSpace="139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明朝">
    <w:panose1 w:val="000000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游明朝">
    <w:panose1 w:val="000008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- 70 -</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70"/>
  <w:bordersDoNotSurroundHeader/>
  <w:bordersDoNotSurroundFooter/>
  <w:doNotTrackMoves/>
  <w:doNotTrackFormatting/>
  <w:defaultTabStop w:val="720"/>
  <w:hyphenationZone w:val="0"/>
  <w:doNotHyphenateCaps/>
  <w:defaultTableStyle w:val="46"/>
  <w:drawingGridHorizontalSpacing w:val="226"/>
  <w:drawingGridVerticalSpacing w:val="175"/>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100" type="connector" idref="#_x0000_s1239">
          <o:proxy start="" idref="#_x0000_s0" connectloc="-1"/>
          <o:proxy end="" idref="#_x0000_s0" connectloc="-1"/>
        </o:r>
        <o:r id="V:Rule126" type="connector" idref="#_x0000_s1285">
          <o:proxy start="" idref="#_x0000_s0" connectloc="-1"/>
          <o:proxy end="" idref="#_x0000_s0" connectloc="-1"/>
        </o:r>
        <o:r id="V:Rule132" type="connector" idref="#_x0000_s1236">
          <o:proxy start="" idref="#_x0000_s0" connectloc="-1"/>
          <o:proxy end="" idref="#_x0000_s0" connectloc="-1"/>
        </o:r>
        <o:r id="V:Rule288" type="connector" idref="#_x0000_s1238">
          <o:proxy start="" idref="#_x0000_s0" connectloc="-1"/>
          <o:proxy end="" idref="#_x0000_s0" connectloc="-1"/>
        </o:r>
        <o:r id="V:Rule320" type="connector" idref="#_x0000_s1235">
          <o:proxy start="" idref="#_x0000_s0" connectloc="-1"/>
          <o:proxy end="" idref="#_x0000_s0" connectloc="-1"/>
        </o:r>
        <o:r id="V:Rule444" type="connector" idref="#_x0000_s1240">
          <o:proxy start="" idref="#_x0000_s0" connectloc="-1"/>
          <o:proxy end="" idref="#_x0000_s0" connectloc="-1"/>
        </o:r>
        <o:r id="V:Rule476" type="connector" idref="#_x0000_s1237">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character" w:styleId="44" w:customStyle="1">
    <w:name w:val="font15"/>
    <w:basedOn w:val="10"/>
    <w:next w:val="44"/>
    <w:link w:val="0"/>
    <w:uiPriority w:val="0"/>
    <w:qFormat/>
    <w:rPr>
      <w:rFonts w:ascii="Meiryo UI" w:hAnsi="Meiryo UI" w:eastAsia="Meiryo UI"/>
      <w:sz w:val="22"/>
    </w:rPr>
  </w:style>
  <w:style w:type="table" w:styleId="45">
    <w:name w:val="Table Grid"/>
    <w:basedOn w:val="11"/>
    <w:next w:val="45"/>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6" w:customStyle="1">
    <w:name w:val="表（シンプル 1）"/>
    <w:basedOn w:val="11"/>
    <w:next w:val="46"/>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7" w:customStyle="1">
    <w:name w:val="表 (青)  111"/>
    <w:basedOn w:val="11"/>
    <w:next w:val="47"/>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emf" /><Relationship Id="rId7" Type="http://schemas.openxmlformats.org/officeDocument/2006/relationships/package" Target="embeddings/oleObject1.xlsx"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chart" Target="charts/chart1.xml" /><Relationship Id="rId11" Type="http://schemas.openxmlformats.org/officeDocument/2006/relationships/image" Target="media/image4.png" /><Relationship Id="rId12" Type="http://schemas.openxmlformats.org/officeDocument/2006/relationships/chart" Target="charts/chart2.xml" /><Relationship Id="rId13" Type="http://schemas.openxmlformats.org/officeDocument/2006/relationships/image" Target="media/image5.png" /><Relationship Id="rId14" Type="http://schemas.openxmlformats.org/officeDocument/2006/relationships/chart" Target="charts/chart3.xml" /><Relationship Id="rId15" Type="http://schemas.openxmlformats.org/officeDocument/2006/relationships/image" Target="media/image6.png" /><Relationship Id="rId16" Type="http://schemas.openxmlformats.org/officeDocument/2006/relationships/image" Target="media/image7.emf" /><Relationship Id="rId17" Type="http://schemas.openxmlformats.org/officeDocument/2006/relationships/chart" Target="charts/chart4.xml" /><Relationship Id="rId18" Type="http://schemas.openxmlformats.org/officeDocument/2006/relationships/image" Target="media/image8.png" /><Relationship Id="rId19" Type="http://schemas.openxmlformats.org/officeDocument/2006/relationships/chart" Target="charts/chart5.xml" /><Relationship Id="rId20" Type="http://schemas.openxmlformats.org/officeDocument/2006/relationships/image" Target="media/image9.png" /><Relationship Id="rId21" Type="http://schemas.openxmlformats.org/officeDocument/2006/relationships/chart" Target="charts/chart6.xml" /><Relationship Id="rId22" Type="http://schemas.openxmlformats.org/officeDocument/2006/relationships/image" Target="media/image10.png" /><Relationship Id="rId23" Type="http://schemas.openxmlformats.org/officeDocument/2006/relationships/chart" Target="charts/chart7.xml" /><Relationship Id="rId24" Type="http://schemas.openxmlformats.org/officeDocument/2006/relationships/image" Target="media/image11.png" /><Relationship Id="rId25" Type="http://schemas.openxmlformats.org/officeDocument/2006/relationships/image" Target="media/image12.emf" /><Relationship Id="rId26" Type="http://schemas.openxmlformats.org/officeDocument/2006/relationships/image" Target="media/image13.png" /><Relationship Id="rId27" Type="http://schemas.openxmlformats.org/officeDocument/2006/relationships/image" Target="media/image14.emf" /><Relationship Id="rId28" Type="http://schemas.openxmlformats.org/officeDocument/2006/relationships/chart" Target="charts/chart8.xml" /><Relationship Id="rId29" Type="http://schemas.openxmlformats.org/officeDocument/2006/relationships/image" Target="media/image15.png" /><Relationship Id="rId30" Type="http://schemas.openxmlformats.org/officeDocument/2006/relationships/image" Target="media/image16.png" /><Relationship Id="rId31" Type="http://schemas.openxmlformats.org/officeDocument/2006/relationships/image" Target="media/image17.png"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png" /><Relationship Id="rId35" Type="http://schemas.openxmlformats.org/officeDocument/2006/relationships/image" Target="media/image21.png" /><Relationship Id="rId36" Type="http://schemas.openxmlformats.org/officeDocument/2006/relationships/image" Target="media/image22.png" /><Relationship Id="rId37" Type="http://schemas.openxmlformats.org/officeDocument/2006/relationships/image" Target="media/image23.png" /><Relationship Id="rId38" Type="http://schemas.openxmlformats.org/officeDocument/2006/relationships/image" Target="media/image24.emf" /><Relationship Id="rId39" Type="http://schemas.openxmlformats.org/officeDocument/2006/relationships/image" Target="media/image25.png" /><Relationship Id="rId40" Type="http://schemas.openxmlformats.org/officeDocument/2006/relationships/image" Target="media/image26.png" /><Relationship Id="rId41" Type="http://schemas.openxmlformats.org/officeDocument/2006/relationships/image" Target="media/image27.png" /><Relationship Id="rId42" Type="http://schemas.openxmlformats.org/officeDocument/2006/relationships/image" Target="media/image28.emf" /><Relationship Id="rId43" Type="http://schemas.openxmlformats.org/officeDocument/2006/relationships/chart" Target="charts/chart9.xml" /><Relationship Id="rId44" Type="http://schemas.openxmlformats.org/officeDocument/2006/relationships/image" Target="media/image29.png" /><Relationship Id="rId45" Type="http://schemas.openxmlformats.org/officeDocument/2006/relationships/image" Target="media/image30.emf"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emf" /><Relationship Id="rId50" Type="http://schemas.openxmlformats.org/officeDocument/2006/relationships/image" Target="media/image35.png" /><Relationship Id="rId51" Type="http://schemas.openxmlformats.org/officeDocument/2006/relationships/image" Target="media/image36.png" /><Relationship Id="rId52" Type="http://schemas.openxmlformats.org/officeDocument/2006/relationships/image" Target="media/image37.png" /><Relationship Id="rId53" Type="http://schemas.openxmlformats.org/officeDocument/2006/relationships/image" Target="media/image38.png" /><Relationship Id="rId54" Type="http://schemas.openxmlformats.org/officeDocument/2006/relationships/image" Target="media/image39.png" /><Relationship Id="rId55" Type="http://schemas.openxmlformats.org/officeDocument/2006/relationships/chart" Target="charts/chart10.xml" /><Relationship Id="rId56" Type="http://schemas.openxmlformats.org/officeDocument/2006/relationships/image" Target="media/image40.png" /><Relationship Id="rId57" Type="http://schemas.openxmlformats.org/officeDocument/2006/relationships/image" Target="media/image41.emf" /><Relationship Id="rId58" Type="http://schemas.openxmlformats.org/officeDocument/2006/relationships/image" Target="media/image42.png" /><Relationship Id="rId59"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 Id="rId2" Type="http://schemas.microsoft.com/office/2011/relationships/chartColorStyle" Target="colors1.xml" /><Relationship Id="rId3" Type="http://schemas.microsoft.com/office/2011/relationships/chartStyle" Target="style1.xml" /></Relationships>
</file>

<file path=word/charts/_rels/chart10.xml.rels><?xml version="1.0" encoding="UTF-8"?><Relationships xmlns="http://schemas.openxmlformats.org/package/2006/relationships"><Relationship Id="rId1" Type="http://schemas.openxmlformats.org/officeDocument/2006/relationships/oleObject" Target="file:///\\nas2023\intra\&#20445;&#20581;&#21307;&#30274;&#31119;&#31049;&#36899;&#25658;\73%20&#31532;&#65304;&#26399;&#20445;&#20581;&#21307;&#30274;&#35336;&#30011;\&#20316;&#26989;&#29992;&#12487;&#12540;&#12479;\&#65288;&#34220;&#21092;&#24107;&#65289;&#23601;&#26989;&#31278;&#21029;&#12539;&#22320;&#21029;&#12398;&#34220;&#21092;&#24107;&#25968;&#65288;&#25244;&#31883;&#65289;.xlsx" TargetMode="External" /><Relationship Id="rId2" Type="http://schemas.openxmlformats.org/officeDocument/2006/relationships/themeOverride" Target="../theme/themeOverride2.xml" /><Relationship Id="rId3" Type="http://schemas.microsoft.com/office/2011/relationships/chartColorStyle" Target="colors5.xml" /><Relationship Id="rId4" Type="http://schemas.microsoft.com/office/2011/relationships/chartStyle" Target="style5.xml" /></Relationships>
</file>

<file path=word/charts/_rels/chart2.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 Id="rId2" Type="http://schemas.microsoft.com/office/2011/relationships/chartColorStyle" Target="colors2.xml" /><Relationship Id="rId3" Type="http://schemas.microsoft.com/office/2011/relationships/chartStyle" Target="style2.xml" /></Relationships>
</file>

<file path=word/charts/_rels/chart3.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s>
</file>

<file path=word/charts/_rels/chart4.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s>
</file>

<file path=word/charts/_rels/chart5.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 Id="rId2" Type="http://schemas.openxmlformats.org/officeDocument/2006/relationships/chartUserShapes" Target="../drawings/drawing2.xml" /><Relationship Id="rId3" Type="http://schemas.microsoft.com/office/2011/relationships/chartColorStyle" Target="colors3.xml" /><Relationship Id="rId4" Type="http://schemas.microsoft.com/office/2011/relationships/chartStyle" Target="style3.xml" /></Relationships>
</file>

<file path=word/charts/_rels/chart6.xml.rels><?xml version="1.0" encoding="UTF-8"?><Relationships xmlns="http://schemas.openxmlformats.org/package/2006/relationships"><Relationship Id="rId1" Type="http://schemas.openxmlformats.org/officeDocument/2006/relationships/oleObject" Target="file:///\\ishikakuho\&#21307;&#24107;&#30906;&#20445;\42%20&#21307;&#24107;&#30906;&#20445;&#35336;&#30011;\R&#65301;&#24180;\&#21442;&#32771;&#12487;&#12540;&#12479;\&#21307;&#24107;&#30906;&#20445;&#35336;&#30011;&#12487;&#12540;&#12479;&#38598;.xlsx" TargetMode="External" /><Relationship Id="rId2" Type="http://schemas.openxmlformats.org/officeDocument/2006/relationships/themeOverride" Target="../theme/themeOverride1.xml" /></Relationships>
</file>

<file path=word/charts/_rels/chart7.xml.rels><?xml version="1.0" encoding="UTF-8"?><Relationships xmlns="http://schemas.openxmlformats.org/package/2006/relationships"><Relationship Id="rId1" Type="http://schemas.openxmlformats.org/officeDocument/2006/relationships/oleObject" Target="file:///\\ishikakuho\&#21307;&#24107;&#30906;&#20445;\42%20&#21307;&#24107;&#30906;&#20445;&#35336;&#30011;\R&#65301;&#24180;\&#21442;&#32771;&#12487;&#12540;&#12479;\&#21307;&#24107;&#30906;&#20445;&#35336;&#30011;&#12487;&#12540;&#12479;&#38598;.xlsx" TargetMode="External" /></Relationships>
</file>

<file path=word/charts/_rels/chart8.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 Id="rId2" Type="http://schemas.microsoft.com/office/2011/relationships/chartColorStyle" Target="colors4.xml" /><Relationship Id="rId3" Type="http://schemas.microsoft.com/office/2011/relationships/chartStyle" Target="style4.xml" /></Relationships>
</file>

<file path=word/charts/_rels/chart9.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8300653594772"/>
          <c:y val="4.0658722969363341e-002"/>
          <c:w val="0.71677559912854028"/>
          <c:h val="0.82659791419877826"/>
        </c:manualLayout>
      </c:layout>
      <c:lineChart>
        <c:grouping val="standard"/>
        <c:varyColors val="0"/>
        <c:ser>
          <c:idx val="0"/>
          <c:order val="0"/>
          <c:tx>
            <c:strRef>
              <c:f>P7病床あたり医師数!$A$17</c:f>
              <c:strCache>
                <c:ptCount val="1"/>
                <c:pt idx="0">
                  <c:v>全国</c:v>
                </c:pt>
              </c:strCache>
            </c:strRef>
          </c:tx>
          <c:spPr>
            <a:noFill/>
            <a:ln w="28575" cap="rnd">
              <a:solidFill>
                <a:schemeClr val="accent1"/>
              </a:solidFill>
              <a:round/>
            </a:ln>
            <a:effectLst/>
          </c:spPr>
          <c:marker>
            <c:symbol val="square"/>
            <c:size val="5"/>
            <c:spPr>
              <a:solidFill>
                <a:schemeClr val="accent1"/>
              </a:solidFill>
              <a:ln w="9525">
                <a:solidFill>
                  <a:schemeClr val="accent1"/>
                </a:solidFill>
              </a:ln>
              <a:effectLst/>
            </c:spPr>
          </c:marker>
          <c:dPt>
            <c:idx val="2"/>
            <c:invertIfNegative val="0"/>
            <c:marker>
              <c:symbol val="squar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3"/>
            <c:invertIfNegative val="0"/>
            <c:marker>
              <c:symbol val="square"/>
              <c:size val="5"/>
              <c:spPr>
                <a:solidFill>
                  <a:schemeClr val="accent1"/>
                </a:solidFill>
                <a:ln w="9525">
                  <a:solidFill>
                    <a:schemeClr val="accent1"/>
                  </a:solidFill>
                </a:ln>
                <a:effectLst/>
              </c:spPr>
            </c:marker>
            <c:bubble3D val="0"/>
            <c:spPr>
              <a:noFill/>
              <a:ln w="28575" cap="rnd">
                <a:solidFill>
                  <a:schemeClr val="accent1"/>
                </a:solidFill>
                <a:round/>
              </a:ln>
              <a:effectLst/>
            </c:spPr>
          </c:dPt>
          <c:dLbls>
            <c:dLbl>
              <c:idx val="2"/>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kern="1200">
                      <a:solidFill>
                        <a:schemeClr val="tx1"/>
                      </a:solidFill>
                      <a:latin typeface="ＭＳ 明朝"/>
                      <a:ea typeface="+mn-ea"/>
                      <a:cs typeface="+mn-cs"/>
                    </a:defRPr>
                  </a:pPr>
                  <a:endParaRPr lang="ja-JP" altLang="en-US"/>
                </a:p>
              </c:txPr>
              <c:dLblPos val="t"/>
              <c:showLegendKey val="0"/>
              <c:showVal val="1"/>
              <c:showCatName val="0"/>
              <c:showSerName val="0"/>
              <c:showPercent val="0"/>
              <c:showBubbleSize val="0"/>
            </c:dLbl>
            <c:dLbl>
              <c:idx val="3"/>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kern="1200">
                      <a:solidFill>
                        <a:schemeClr val="tx1"/>
                      </a:solidFill>
                      <a:latin typeface="ＭＳ 明朝"/>
                      <a:ea typeface="+mn-ea"/>
                      <a:cs typeface="+mn-cs"/>
                    </a:defRPr>
                  </a:pPr>
                  <a:endParaRPr lang="ja-JP" altLang="en-US"/>
                </a:p>
              </c:txPr>
              <c:dLblPos val="t"/>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kern="1200">
                    <a:solidFill>
                      <a:schemeClr val="tx1"/>
                    </a:solidFill>
                    <a:latin typeface="ＭＳ 明朝"/>
                    <a:ea typeface="+mn-ea"/>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[医師確保計画データ集.xlsx]P7病床あたり医師数!$B$17:$K$17</c:f>
              <c:numCache>
                <c:formatCode xml:space="preserve">0.0_ </c:formatCode>
                <c:ptCount val="10"/>
                <c:pt idx="0">
                  <c:v>10.6</c:v>
                </c:pt>
                <c:pt idx="1">
                  <c:v>10.9</c:v>
                </c:pt>
                <c:pt idx="2">
                  <c:v>11.1</c:v>
                </c:pt>
                <c:pt idx="3">
                  <c:v>11.7</c:v>
                </c:pt>
                <c:pt idx="4">
                  <c:v>12.3</c:v>
                </c:pt>
                <c:pt idx="5">
                  <c:v>12.9</c:v>
                </c:pt>
                <c:pt idx="6">
                  <c:v>13.4</c:v>
                </c:pt>
                <c:pt idx="7">
                  <c:v>13.9</c:v>
                </c:pt>
                <c:pt idx="8">
                  <c:v>13.457467375856258</c:v>
                </c:pt>
                <c:pt idx="9">
                  <c:v>14.359553334403518</c:v>
                </c:pt>
              </c:numCache>
            </c:numRef>
          </c:val>
          <c:smooth val="0"/>
        </c:ser>
        <c:ser>
          <c:idx val="2"/>
          <c:order val="1"/>
          <c:tx>
            <c:strRef>
              <c:f>P7病床あたり医師数!$A$18</c:f>
              <c:strCache>
                <c:ptCount val="1"/>
                <c:pt idx="0">
                  <c:v>徳島</c:v>
                </c:pt>
              </c:strCache>
            </c:strRef>
          </c:tx>
          <c:spPr>
            <a:noFill/>
            <a:ln w="28575" cap="rnd">
              <a:solidFill>
                <a:schemeClr val="accent3"/>
              </a:solidFill>
              <a:round/>
            </a:ln>
            <a:effectLst/>
          </c:spPr>
          <c:marker>
            <c:symbol val="diamond"/>
            <c:size val="5"/>
            <c:spPr>
              <a:solidFill>
                <a:schemeClr val="accent3"/>
              </a:solidFill>
              <a:ln w="9525">
                <a:solidFill>
                  <a:schemeClr val="accent3"/>
                </a:solidFill>
              </a:ln>
              <a:effectLst/>
            </c:spPr>
          </c:marker>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[医師確保計画データ集.xlsx]P7病床あたり医師数!$B$18:$K$18</c:f>
              <c:numCache>
                <c:formatCode xml:space="preserve">0.0_ </c:formatCode>
                <c:ptCount val="10"/>
                <c:pt idx="0">
                  <c:v>9.3000000000000007</c:v>
                </c:pt>
                <c:pt idx="1">
                  <c:v>9.3000000000000007</c:v>
                </c:pt>
                <c:pt idx="2">
                  <c:v>9.5</c:v>
                </c:pt>
                <c:pt idx="3">
                  <c:v>9.9</c:v>
                </c:pt>
                <c:pt idx="4">
                  <c:v>10.6</c:v>
                </c:pt>
                <c:pt idx="5">
                  <c:v>10.9</c:v>
                </c:pt>
                <c:pt idx="6">
                  <c:v>11.1</c:v>
                </c:pt>
                <c:pt idx="7">
                  <c:v>11.7</c:v>
                </c:pt>
                <c:pt idx="8">
                  <c:v>11.595515008008913</c:v>
                </c:pt>
                <c:pt idx="9">
                  <c:v>12.351179607041123</c:v>
                </c:pt>
              </c:numCache>
            </c:numRef>
          </c:val>
          <c:smooth val="0"/>
        </c:ser>
        <c:ser>
          <c:idx val="1"/>
          <c:order val="2"/>
          <c:tx>
            <c:strRef>
              <c:f>P7病床あたり医師数!$A$19</c:f>
              <c:strCache>
                <c:ptCount val="1"/>
                <c:pt idx="0">
                  <c:v>香川</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[医師確保計画データ集.xlsx]P7病床あたり医師数!$B$19:$K$19</c:f>
              <c:numCache>
                <c:formatCode xml:space="preserve">0.0_ </c:formatCode>
                <c:ptCount val="10"/>
                <c:pt idx="0">
                  <c:v>9.6999999999999993</c:v>
                </c:pt>
                <c:pt idx="1">
                  <c:v>9.9</c:v>
                </c:pt>
                <c:pt idx="2">
                  <c:v>10.3</c:v>
                </c:pt>
                <c:pt idx="3">
                  <c:v>10.8</c:v>
                </c:pt>
                <c:pt idx="4">
                  <c:v>11.4</c:v>
                </c:pt>
                <c:pt idx="5">
                  <c:v>11.9</c:v>
                </c:pt>
                <c:pt idx="6">
                  <c:v>12.4</c:v>
                </c:pt>
                <c:pt idx="7">
                  <c:v>12.7</c:v>
                </c:pt>
                <c:pt idx="8">
                  <c:v>12.559651428176222</c:v>
                </c:pt>
                <c:pt idx="9">
                  <c:v>13.19940581452925</c:v>
                </c:pt>
              </c:numCache>
            </c:numRef>
          </c:val>
          <c:smooth val="0"/>
        </c:ser>
        <c:ser>
          <c:idx val="3"/>
          <c:order val="3"/>
          <c:tx>
            <c:strRef>
              <c:f>P7病床あたり医師数!$A$20</c:f>
              <c:strCache>
                <c:ptCount val="1"/>
                <c:pt idx="0">
                  <c:v>愛媛</c:v>
                </c:pt>
              </c:strCache>
            </c:strRef>
          </c:tx>
          <c:spPr>
            <a:noFill/>
            <a:ln w="28575" cap="rnd">
              <a:solidFill>
                <a:schemeClr val="accent4"/>
              </a:solidFill>
              <a:round/>
            </a:ln>
            <a:effectLst/>
          </c:spPr>
          <c:marker>
            <c:symbol val="triangle"/>
            <c:size val="5"/>
            <c:spPr>
              <a:solidFill>
                <a:schemeClr val="accent4"/>
              </a:solidFill>
              <a:ln w="9525">
                <a:solidFill>
                  <a:schemeClr val="accent4"/>
                </a:solidFill>
              </a:ln>
              <a:effectLst/>
            </c:spPr>
          </c:marker>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[医師確保計画データ集.xlsx]P7病床あたり医師数!$B$20:$K$20</c:f>
              <c:numCache>
                <c:formatCode xml:space="preserve">0.0_ </c:formatCode>
                <c:ptCount val="10"/>
                <c:pt idx="0">
                  <c:v>9.5</c:v>
                </c:pt>
                <c:pt idx="1">
                  <c:v>9</c:v>
                </c:pt>
                <c:pt idx="2">
                  <c:v>9.4</c:v>
                </c:pt>
                <c:pt idx="3">
                  <c:v>9.8000000000000007</c:v>
                </c:pt>
                <c:pt idx="4">
                  <c:v>10</c:v>
                </c:pt>
                <c:pt idx="5">
                  <c:v>10.4</c:v>
                </c:pt>
                <c:pt idx="6">
                  <c:v>10.7</c:v>
                </c:pt>
                <c:pt idx="7">
                  <c:v>11.2</c:v>
                </c:pt>
                <c:pt idx="8">
                  <c:v>10.975497843443149</c:v>
                </c:pt>
                <c:pt idx="9">
                  <c:v>12.018063513644751</c:v>
                </c:pt>
              </c:numCache>
            </c:numRef>
          </c:val>
          <c:smooth val="0"/>
        </c:ser>
        <c:ser>
          <c:idx val="4"/>
          <c:order val="4"/>
          <c:tx>
            <c:strRef>
              <c:f>P7病床あたり医師数!$A$21</c:f>
              <c:strCache>
                <c:ptCount val="1"/>
                <c:pt idx="0">
                  <c:v>高知</c:v>
                </c:pt>
              </c:strCache>
            </c:strRef>
          </c:tx>
          <c:spPr>
            <a:noFill/>
            <a:ln w="28575" cap="rnd">
              <a:solidFill>
                <a:schemeClr val="accent5"/>
              </a:solidFill>
              <a:round/>
            </a:ln>
            <a:effectLst/>
          </c:spPr>
          <c:marker>
            <c:symbol val="star"/>
            <c:size val="5"/>
            <c:spPr>
              <a:noFill/>
              <a:ln w="9525">
                <a:solidFill>
                  <a:schemeClr val="accent5"/>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kern="1200">
                    <a:solidFill>
                      <a:schemeClr val="tx1"/>
                    </a:solidFill>
                    <a:latin typeface="ＭＳ 明朝"/>
                    <a:ea typeface="+mn-ea"/>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[医師確保計画データ集.xlsx]P7病床あたり医師数!$B$21:$K$21</c:f>
              <c:numCache>
                <c:formatCode xml:space="preserve">0.0_ </c:formatCode>
                <c:ptCount val="10"/>
                <c:pt idx="0">
                  <c:v>8.3000000000000007</c:v>
                </c:pt>
                <c:pt idx="1">
                  <c:v>8.4</c:v>
                </c:pt>
                <c:pt idx="2">
                  <c:v>8.6</c:v>
                </c:pt>
                <c:pt idx="3">
                  <c:v>8.6999999999999993</c:v>
                </c:pt>
                <c:pt idx="4">
                  <c:v>8.9</c:v>
                </c:pt>
                <c:pt idx="5">
                  <c:v>9.1999999999999993</c:v>
                </c:pt>
                <c:pt idx="6">
                  <c:v>9.5</c:v>
                </c:pt>
                <c:pt idx="7">
                  <c:v>10</c:v>
                </c:pt>
                <c:pt idx="8">
                  <c:v>9.5203730431886306</c:v>
                </c:pt>
                <c:pt idx="9">
                  <c:v>10.724043715846994</c:v>
                </c:pt>
              </c:numCache>
            </c:numRef>
          </c:val>
          <c:smooth val="0"/>
        </c:ser>
        <c:dLbls>
          <c:txPr>
            <a:bodyPr rot="0" spcFirstLastPara="1" vertOverflow="ellipsis" horzOverflow="overflow" wrap="square" anchor="ctr" anchorCtr="1">
              <a:spAutoFit/>
            </a:bodyPr>
            <a:lstStyle/>
            <a:p>
              <a:pPr algn="ctr" rtl="0">
                <a:defRPr kumimoji="0" lang="ja-JP" altLang="en-US" sz="1050" b="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0.0_ "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b="0" kern="1200">
                <a:solidFill>
                  <a:schemeClr val="tx1"/>
                </a:solidFill>
                <a:latin typeface="ＭＳ 明朝"/>
                <a:ea typeface="+mn-ea"/>
                <a:cs typeface="+mn-cs"/>
              </a:defRPr>
            </a:pPr>
            <a:endParaRPr lang="ja-JP" altLang="en-US"/>
          </a:p>
        </c:txPr>
        <c:crossAx val="2"/>
        <c:crosses val="autoZero"/>
        <c:auto val="1"/>
        <c:lblAlgn val="ctr"/>
        <c:lblOffset val="100"/>
        <c:noMultiLvlLbl val="0"/>
      </c:catAx>
      <c:valAx>
        <c:axId val="2"/>
        <c:scaling>
          <c:orientation val="minMax"/>
          <c:min val="7"/>
        </c:scaling>
        <c:delete val="0"/>
        <c:axPos val="l"/>
        <c:majorGridlines>
          <c:spPr>
            <a:noFill/>
            <a:ln w="9525" cap="flat" cmpd="sng" algn="ctr">
              <a:solidFill>
                <a:schemeClr val="tx1">
                  <a:lumMod val="15000"/>
                  <a:lumOff val="85000"/>
                </a:schemeClr>
              </a:solidFill>
              <a:round/>
            </a:ln>
            <a:effectLst/>
          </c:spPr>
        </c:majorGridlines>
        <c:numFmt formatCode="0.0_ "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b="0" kern="1200">
                <a:solidFill>
                  <a:schemeClr val="tx1"/>
                </a:solidFill>
                <a:latin typeface="ＭＳ 明朝"/>
                <a:ea typeface="+mn-ea"/>
                <a:cs typeface="+mn-cs"/>
              </a:defRPr>
            </a:pPr>
            <a:endParaRPr lang="ja-JP" altLang="en-US"/>
          </a:p>
        </c:txPr>
        <c:crossAx val="1"/>
        <c:crosses val="autoZero"/>
        <c:crossBetween val="between"/>
      </c:valAx>
      <c:spPr>
        <a:noFill/>
        <a:ln>
          <a:noFill/>
        </a:ln>
        <a:effectLst/>
      </c:spPr>
    </c:plotArea>
    <c:legend>
      <c:legendPos val="r"/>
      <c:layout/>
      <c:overlay val="0"/>
      <c:spPr>
        <a:noFill/>
        <a:ln>
          <a:noFill/>
        </a:ln>
        <a:effectLst/>
      </c:spPr>
      <c:txPr>
        <a:bodyPr rot="0" spcFirstLastPara="1" vertOverflow="ellipsis" horzOverflow="overflow" wrap="square" anchor="ctr" anchorCtr="1"/>
        <a:lstStyle/>
        <a:p>
          <a:pPr algn="ctr" rtl="0">
            <a:defRPr kumimoji="0" lang="ja-JP" altLang="en-US" sz="800" b="0" kern="1200">
              <a:solidFill>
                <a:schemeClr val="tx1"/>
              </a:solidFill>
              <a:latin typeface="ＭＳ 明朝"/>
              <a:ea typeface="+mn-ea"/>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kumimoji="0" lang="ja-JP" altLang="en-US" sz="1050" b="0"/>
      </a:pPr>
      <a:endParaRPr lang="ja-JP" altLang="en-US"/>
    </a:p>
  </c:txPr>
  <c:externalData r:id="rId1">
    <c:autoUpdate val="0"/>
  </c:externalData>
  <c:extLst>
    <c:ext xmlns:c14="http://schemas.microsoft.com/office/drawing/2007/8/2/chart" uri="{781A3756-C4B2-4CAC-9D66-4F8BD8637D16}"/>
  </c:extLst>
</c:chartSpace>
</file>

<file path=word/charts/chart1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8957871396895"/>
          <c:y val="7.0866141732283464e-002"/>
          <c:w val="0.80044345898004432"/>
          <c:h val="0.69685039370078738"/>
        </c:manualLayout>
      </c:layout>
      <c:barChart>
        <c:barDir val="col"/>
        <c:grouping val="clustered"/>
        <c:varyColors val="0"/>
        <c:ser>
          <c:idx val="0"/>
          <c:order val="0"/>
          <c:tx>
            <c:strRef>
              <c:f>'[0]10万人当たりの薬剤師数 ※計画に使用'!$B$8</c:f>
              <c:strCache>
                <c:ptCount val="1"/>
                <c:pt idx="0">
                  <c:v>人口10万人あたり</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solidFill>
              <a:ln>
                <a:noFill/>
              </a:ln>
              <a:effectLst/>
            </c:spPr>
          </c:dPt>
          <c:dPt>
            <c:idx val="4"/>
            <c:invertIfNegative val="0"/>
            <c:bubble3D val="0"/>
            <c:spPr>
              <a:solidFill>
                <a:schemeClr val="accent1"/>
              </a:solidFill>
              <a:ln>
                <a:noFill/>
              </a:ln>
              <a:effectLst/>
            </c:spPr>
          </c:dPt>
          <c:dPt>
            <c:idx val="5"/>
            <c:invertIfNegative val="0"/>
            <c:bubble3D val="0"/>
            <c:spPr>
              <a:solidFill>
                <a:schemeClr val="accent1"/>
              </a:solidFill>
              <a:ln>
                <a:noFill/>
              </a:ln>
              <a:effectLst/>
            </c:spPr>
          </c:dPt>
          <c:dPt>
            <c:idx val="6"/>
            <c:invertIfNegative val="0"/>
            <c:bubble3D val="0"/>
            <c:spPr>
              <a:solidFill>
                <a:schemeClr val="accent1"/>
              </a:solidFill>
              <a:ln>
                <a:noFill/>
              </a:ln>
              <a:effectLst/>
            </c:spPr>
          </c:dPt>
          <c:dLbls>
            <c:dLbl>
              <c:idx val="0"/>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1"/>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2"/>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3"/>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4"/>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5"/>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6"/>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游ゴシック"/>
                    <a:ea typeface="游ゴシック"/>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'[0]10万人当たりの薬剤師数 ※計画に使用'!$C$7:$I$7</c:f>
              <c:strCache>
                <c:ptCount val="7"/>
                <c:pt idx="0">
                  <c:v>安芸</c:v>
                </c:pt>
                <c:pt idx="1">
                  <c:v>中央</c:v>
                </c:pt>
                <c:pt idx="2">
                  <c:v>高幡</c:v>
                </c:pt>
                <c:pt idx="3">
                  <c:v>幡多</c:v>
                </c:pt>
                <c:pt idx="4">
                  <c:v>高知市</c:v>
                </c:pt>
                <c:pt idx="5">
                  <c:v>高知県</c:v>
                </c:pt>
                <c:pt idx="6">
                  <c:v>全国</c:v>
                </c:pt>
              </c:strCache>
            </c:strRef>
          </c:cat>
          <c:val>
            <c:numRef>
              <c:f>'[（薬剤師）就業種別・地別の薬剤師数（抜粋）.xlsx]10万人当たりの薬剤師数 ※計画に使用'!$C$8:$I$8</c:f>
              <c:numCache>
                <c:formatCode xml:space="preserve">0.0_ </c:formatCode>
                <c:ptCount val="7"/>
                <c:pt idx="0">
                  <c:v>196.94957174918702</c:v>
                </c:pt>
                <c:pt idx="1">
                  <c:v>218.10995895328242</c:v>
                </c:pt>
                <c:pt idx="2">
                  <c:v>167.33271649900587</c:v>
                </c:pt>
                <c:pt idx="3">
                  <c:v>198.135779084837</c:v>
                </c:pt>
                <c:pt idx="4">
                  <c:v>319.09843972499965</c:v>
                </c:pt>
                <c:pt idx="5">
                  <c:v>258.41362665521376</c:v>
                </c:pt>
                <c:pt idx="6">
                  <c:v>255.24550917191192</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ＭＳ 明朝"/>
                  <a:ea typeface="ＭＳ 明朝"/>
                  <a:cs typeface="+mn-cs"/>
                </a:defRPr>
              </a:pPr>
              <a:endParaRPr lang="ja-JP" altLang="en-US" sz="900" kern="1200">
                <a:solidFill>
                  <a:schemeClr val="tx1">
                    <a:lumMod val="75000"/>
                    <a:lumOff val="25000"/>
                  </a:schemeClr>
                </a:solidFill>
                <a:latin typeface="ＭＳ 明朝"/>
                <a:ea typeface="ＭＳ 明朝"/>
                <a:cs typeface="+mn-cs"/>
              </a:endParaRPr>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0.0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1100" kern="1200">
                <a:solidFill>
                  <a:schemeClr val="tx1"/>
                </a:solidFill>
                <a:latin typeface="ＭＳ 明朝"/>
                <a:ea typeface="ＭＳ 明朝"/>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1100" kern="1200">
                <a:solidFill>
                  <a:schemeClr val="tx1"/>
                </a:solidFill>
                <a:latin typeface="ＭＳ 明朝"/>
                <a:ea typeface="ＭＳ 明朝"/>
                <a:cs typeface="+mn-cs"/>
              </a:defRPr>
            </a:pPr>
            <a:endParaRPr lang="ja-JP" altLang="en-US"/>
          </a:p>
        </c:txPr>
        <c:crossAx val="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latin typeface="ＭＳ 明朝"/>
          <a:ea typeface="ＭＳ 明朝"/>
        </a:defRPr>
      </a:pPr>
      <a:endParaRPr lang="ja-JP" altLang="en-US">
        <a:latin typeface="ＭＳ 明朝"/>
        <a:ea typeface="ＭＳ 明朝"/>
      </a:endParaRPr>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50190114068435e-002"/>
          <c:y val="0.10469314079422384"/>
          <c:w val="0.85741444866920147"/>
          <c:h val="0.6028880866425993"/>
        </c:manualLayout>
      </c:layout>
      <c:barChart>
        <c:barDir val="col"/>
        <c:grouping val="stacked"/>
        <c:varyColors val="0"/>
        <c:ser>
          <c:idx val="0"/>
          <c:order val="0"/>
          <c:tx>
            <c:strRef>
              <c:f>P7年齢構成推移!$A$75</c:f>
              <c:strCache>
                <c:ptCount val="1"/>
                <c:pt idx="0">
                  <c:v>40歳未満</c:v>
                </c:pt>
              </c:strCache>
            </c:strRef>
          </c:tx>
          <c:spPr>
            <a:solidFill>
              <a:schemeClr val="accent6"/>
            </a:solidFill>
            <a:ln>
              <a:solidFill>
                <a:schemeClr val="tx1"/>
              </a:solidFill>
            </a:ln>
            <a:effectLst/>
          </c:spPr>
          <c:invertIfNegative val="0"/>
          <c:dPt>
            <c:idx val="0"/>
            <c:invertIfNegative val="0"/>
            <c:bubble3D val="0"/>
            <c:spPr>
              <a:solidFill>
                <a:schemeClr val="accent6"/>
              </a:solidFill>
              <a:ln>
                <a:solidFill>
                  <a:schemeClr val="tx1"/>
                </a:solidFill>
              </a:ln>
              <a:effectLst/>
            </c:spPr>
          </c:dPt>
          <c:dPt>
            <c:idx val="1"/>
            <c:invertIfNegative val="0"/>
            <c:bubble3D val="0"/>
            <c:spPr>
              <a:solidFill>
                <a:schemeClr val="accent6"/>
              </a:solidFill>
              <a:ln>
                <a:solidFill>
                  <a:schemeClr val="tx1"/>
                </a:solidFill>
              </a:ln>
              <a:effectLst/>
            </c:spPr>
          </c:dPt>
          <c:dPt>
            <c:idx val="2"/>
            <c:invertIfNegative val="0"/>
            <c:bubble3D val="0"/>
            <c:spPr>
              <a:solidFill>
                <a:schemeClr val="accent6"/>
              </a:solidFill>
              <a:ln>
                <a:solidFill>
                  <a:schemeClr val="tx1"/>
                </a:solidFill>
              </a:ln>
              <a:effectLst/>
            </c:spPr>
          </c:dPt>
          <c:dPt>
            <c:idx val="3"/>
            <c:invertIfNegative val="0"/>
            <c:bubble3D val="0"/>
            <c:spPr>
              <a:solidFill>
                <a:schemeClr val="accent6"/>
              </a:solidFill>
              <a:ln>
                <a:solidFill>
                  <a:schemeClr val="tx1"/>
                </a:solidFill>
              </a:ln>
              <a:effectLst/>
            </c:spPr>
          </c:dPt>
          <c:dPt>
            <c:idx val="4"/>
            <c:invertIfNegative val="0"/>
            <c:bubble3D val="0"/>
            <c:spPr>
              <a:solidFill>
                <a:schemeClr val="accent6"/>
              </a:solidFill>
              <a:ln>
                <a:solidFill>
                  <a:schemeClr val="tx1"/>
                </a:solidFill>
              </a:ln>
              <a:effectLst/>
            </c:spPr>
          </c:dPt>
          <c:dPt>
            <c:idx val="5"/>
            <c:invertIfNegative val="0"/>
            <c:bubble3D val="0"/>
            <c:spPr>
              <a:solidFill>
                <a:schemeClr val="accent6"/>
              </a:solidFill>
              <a:ln>
                <a:solidFill>
                  <a:schemeClr val="tx1"/>
                </a:solidFill>
              </a:ln>
              <a:effectLst/>
            </c:spPr>
          </c:dPt>
          <c:dPt>
            <c:idx val="6"/>
            <c:invertIfNegative val="0"/>
            <c:bubble3D val="0"/>
            <c:spPr>
              <a:solidFill>
                <a:schemeClr val="accent6"/>
              </a:solidFill>
              <a:ln>
                <a:solidFill>
                  <a:schemeClr val="tx1"/>
                </a:solidFill>
              </a:ln>
              <a:effectLst/>
            </c:spPr>
          </c:dPt>
          <c:dPt>
            <c:idx val="7"/>
            <c:invertIfNegative val="0"/>
            <c:bubble3D val="0"/>
            <c:spPr>
              <a:solidFill>
                <a:schemeClr val="accent6"/>
              </a:solidFill>
              <a:ln>
                <a:solidFill>
                  <a:schemeClr val="tx1"/>
                </a:solidFill>
              </a:ln>
              <a:effectLst/>
            </c:spPr>
          </c:dPt>
          <c:dPt>
            <c:idx val="8"/>
            <c:invertIfNegative val="0"/>
            <c:bubble3D val="0"/>
            <c:spPr>
              <a:solidFill>
                <a:schemeClr val="accent6"/>
              </a:solidFill>
              <a:ln>
                <a:solidFill>
                  <a:schemeClr val="tx1"/>
                </a:solidFill>
              </a:ln>
              <a:effectLst/>
            </c:spPr>
          </c:dPt>
          <c:dPt>
            <c:idx val="9"/>
            <c:invertIfNegative val="0"/>
            <c:bubble3D val="0"/>
            <c:spPr>
              <a:solidFill>
                <a:schemeClr val="accent6"/>
              </a:solidFill>
              <a:ln>
                <a:solidFill>
                  <a:schemeClr val="tx1"/>
                </a:solidFill>
              </a:ln>
              <a:effectLst/>
            </c:spPr>
          </c:dPt>
          <c:dLbls>
            <c:dLbl>
              <c:idx val="0"/>
              <c:layout>
                <c:manualLayout>
                  <c:x val="-5.9227731668676546e-004"/>
                  <c:y val="9.4581510644502764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1"/>
              <c:layout>
                <c:manualLayout>
                  <c:x val="9.1972287247877801e-004"/>
                  <c:y val="-1.2563429571303586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2"/>
              <c:layout>
                <c:manualLayout>
                  <c:x val="-2.7088505828663307e-004"/>
                  <c:y val="-8.3001846991348303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3"/>
              <c:layout>
                <c:manualLayout>
                  <c:x val="-5.6068667092289137e-004"/>
                  <c:y val="-9.2586759988334787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4"/>
              <c:layout>
                <c:manualLayout>
                  <c:x val="5.0507200113499328e-005"/>
                  <c:y val="-1.981568970545348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5"/>
              <c:layout>
                <c:manualLayout>
                  <c:x val="-2.3929441252275898e-004"/>
                  <c:y val="-2.573461650627004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6"/>
              <c:layout>
                <c:manualLayout>
                  <c:x val="3.7189945851363176e-004"/>
                  <c:y val="-2.702206668610868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7"/>
              <c:layout>
                <c:manualLayout>
                  <c:x val="9.8309332955002246e-004"/>
                  <c:y val="-2.367298532127928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8"/>
              <c:layout>
                <c:manualLayout>
                  <c:x val="-2.0770376675888487e-004"/>
                  <c:y val="-2.229104695246427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9"/>
              <c:layout>
                <c:manualLayout>
                  <c:x val="4.0349010427750585e-004"/>
                  <c:y val="-1.96418780985710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[医師確保計画データ集.xlsx]P7年齢構成推移!$B$75:$K$75</c:f>
              <c:numCache>
                <c:formatCode>0%</c:formatCode>
                <c:ptCount val="10"/>
                <c:pt idx="0">
                  <c:v>0.36</c:v>
                </c:pt>
                <c:pt idx="1">
                  <c:v>0.33063363506431642</c:v>
                </c:pt>
                <c:pt idx="2">
                  <c:v>0.31343283582089554</c:v>
                </c:pt>
                <c:pt idx="3">
                  <c:v>0.2857142857142857</c:v>
                </c:pt>
                <c:pt idx="4">
                  <c:v>0.2630071599045346</c:v>
                </c:pt>
                <c:pt idx="5">
                  <c:v>0.24953183520599248</c:v>
                </c:pt>
                <c:pt idx="6">
                  <c:v>0.2391304347826087</c:v>
                </c:pt>
                <c:pt idx="7">
                  <c:v>0.25022665457842247</c:v>
                </c:pt>
                <c:pt idx="8">
                  <c:v>0.25480554313813142</c:v>
                </c:pt>
                <c:pt idx="9">
                  <c:v>0.26358329591378538</c:v>
                </c:pt>
              </c:numCache>
            </c:numRef>
          </c:val>
        </c:ser>
        <c:ser>
          <c:idx val="1"/>
          <c:order val="1"/>
          <c:tx>
            <c:strRef>
              <c:f>P7年齢構成推移!$A$76</c:f>
              <c:strCache>
                <c:ptCount val="1"/>
                <c:pt idx="0">
                  <c:v>40～59歳</c:v>
                </c:pt>
              </c:strCache>
            </c:strRef>
          </c:tx>
          <c:spPr>
            <a:solidFill>
              <a:srgbClr val="FFA6A6"/>
            </a:solidFill>
            <a:ln>
              <a:solidFill>
                <a:schemeClr val="tx1"/>
              </a:solidFill>
            </a:ln>
            <a:effectLst/>
          </c:spPr>
          <c:invertIfNegative val="0"/>
          <c:dPt>
            <c:idx val="0"/>
            <c:invertIfNegative val="0"/>
            <c:bubble3D val="0"/>
            <c:spPr>
              <a:solidFill>
                <a:srgbClr val="FFA6A6"/>
              </a:solidFill>
              <a:ln>
                <a:solidFill>
                  <a:schemeClr val="tx1"/>
                </a:solidFill>
              </a:ln>
              <a:effectLst/>
            </c:spPr>
          </c:dPt>
          <c:dPt>
            <c:idx val="1"/>
            <c:invertIfNegative val="0"/>
            <c:bubble3D val="0"/>
            <c:spPr>
              <a:solidFill>
                <a:srgbClr val="FFA6A6"/>
              </a:solidFill>
              <a:ln>
                <a:solidFill>
                  <a:schemeClr val="tx1"/>
                </a:solidFill>
              </a:ln>
              <a:effectLst/>
            </c:spPr>
          </c:dPt>
          <c:dPt>
            <c:idx val="2"/>
            <c:invertIfNegative val="0"/>
            <c:bubble3D val="0"/>
            <c:spPr>
              <a:solidFill>
                <a:srgbClr val="FFA6A6"/>
              </a:solidFill>
              <a:ln>
                <a:solidFill>
                  <a:schemeClr val="tx1"/>
                </a:solidFill>
              </a:ln>
              <a:effectLst/>
            </c:spPr>
          </c:dPt>
          <c:dPt>
            <c:idx val="3"/>
            <c:invertIfNegative val="0"/>
            <c:bubble3D val="0"/>
            <c:spPr>
              <a:solidFill>
                <a:srgbClr val="FFA6A6"/>
              </a:solidFill>
              <a:ln>
                <a:solidFill>
                  <a:schemeClr val="tx1"/>
                </a:solidFill>
              </a:ln>
              <a:effectLst/>
            </c:spPr>
          </c:dPt>
          <c:dPt>
            <c:idx val="4"/>
            <c:invertIfNegative val="0"/>
            <c:bubble3D val="0"/>
            <c:spPr>
              <a:solidFill>
                <a:srgbClr val="FFA6A6"/>
              </a:solidFill>
              <a:ln>
                <a:solidFill>
                  <a:schemeClr val="tx1"/>
                </a:solidFill>
              </a:ln>
              <a:effectLst/>
            </c:spPr>
          </c:dPt>
          <c:dPt>
            <c:idx val="5"/>
            <c:invertIfNegative val="0"/>
            <c:bubble3D val="0"/>
            <c:spPr>
              <a:solidFill>
                <a:srgbClr val="FFA6A6"/>
              </a:solidFill>
              <a:ln>
                <a:solidFill>
                  <a:schemeClr val="tx1"/>
                </a:solidFill>
              </a:ln>
              <a:effectLst/>
            </c:spPr>
          </c:dPt>
          <c:dPt>
            <c:idx val="6"/>
            <c:invertIfNegative val="0"/>
            <c:bubble3D val="0"/>
            <c:spPr>
              <a:solidFill>
                <a:srgbClr val="FFA6A6"/>
              </a:solidFill>
              <a:ln>
                <a:solidFill>
                  <a:schemeClr val="tx1"/>
                </a:solidFill>
              </a:ln>
              <a:effectLst/>
            </c:spPr>
          </c:dPt>
          <c:dPt>
            <c:idx val="7"/>
            <c:invertIfNegative val="0"/>
            <c:bubble3D val="0"/>
            <c:spPr>
              <a:solidFill>
                <a:srgbClr val="FFA6A6"/>
              </a:solidFill>
              <a:ln>
                <a:solidFill>
                  <a:schemeClr val="tx1"/>
                </a:solidFill>
              </a:ln>
              <a:effectLst/>
            </c:spPr>
          </c:dPt>
          <c:dPt>
            <c:idx val="8"/>
            <c:invertIfNegative val="0"/>
            <c:bubble3D val="0"/>
            <c:spPr>
              <a:solidFill>
                <a:srgbClr val="FFA6A6"/>
              </a:solidFill>
              <a:ln>
                <a:solidFill>
                  <a:schemeClr val="tx1"/>
                </a:solidFill>
              </a:ln>
              <a:effectLst/>
            </c:spPr>
          </c:dPt>
          <c:dPt>
            <c:idx val="9"/>
            <c:invertIfNegative val="0"/>
            <c:bubble3D val="0"/>
            <c:spPr>
              <a:solidFill>
                <a:srgbClr val="FFA6A6"/>
              </a:solidFill>
              <a:ln>
                <a:solidFill>
                  <a:schemeClr val="tx1"/>
                </a:solidFill>
              </a:ln>
              <a:effectLst/>
            </c:spPr>
          </c:dPt>
          <c:dLbls>
            <c:dLbl>
              <c:idx val="0"/>
              <c:layout>
                <c:manualLayout>
                  <c:x val="3.0852900144238727e-004"/>
                  <c:y val="6.7403907844852728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1"/>
              <c:layout>
                <c:manualLayout>
                  <c:x val="1.8916554349625214e-005"/>
                  <c:y val="5.198016914552347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2"/>
              <c:layout>
                <c:manualLayout>
                  <c:x val="-2.7088505828663307e-004"/>
                  <c:y val="4.7299309808496164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3"/>
              <c:layout>
                <c:manualLayout>
                  <c:x val="-5.6068667092289137e-004"/>
                  <c:y val="3.9137163410129287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4"/>
              <c:layout>
                <c:manualLayout>
                  <c:x val="9.513135182426521e-004"/>
                  <c:y val="2.07909011373578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5"/>
              <c:layout>
                <c:manualLayout>
                  <c:x val="1.5625073892790429e-003"/>
                  <c:y val="1.1471177213959367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6"/>
              <c:layout>
                <c:manualLayout>
                  <c:x val="-5.2871769407202473e-004"/>
                  <c:y val="9.3387770973072815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7"/>
              <c:layout>
                <c:manualLayout>
                  <c:x val="9.8309332955002246e-004"/>
                  <c:y val="6.6907747642655779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8"/>
              <c:layout>
                <c:manualLayout>
                  <c:x val="6.9329171691376421e-004"/>
                  <c:y val="3.2320404393895207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9"/>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dLblPos val="ct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[医師確保計画データ集.xlsx]P7年齢構成推移!$B$76:$K$76</c:f>
              <c:numCache>
                <c:formatCode>0%</c:formatCode>
                <c:ptCount val="10"/>
                <c:pt idx="0">
                  <c:v>0.44555873925501432</c:v>
                </c:pt>
                <c:pt idx="1">
                  <c:v>0.46545974273463553</c:v>
                </c:pt>
                <c:pt idx="2">
                  <c:v>0.48435243139143003</c:v>
                </c:pt>
                <c:pt idx="3">
                  <c:v>0.50047619047619052</c:v>
                </c:pt>
                <c:pt idx="4">
                  <c:v>0.4973747016706444</c:v>
                </c:pt>
                <c:pt idx="5">
                  <c:v>0.49344569288389512</c:v>
                </c:pt>
                <c:pt idx="6">
                  <c:v>0.49491211840888072</c:v>
                </c:pt>
                <c:pt idx="7">
                  <c:v>0.4700815956482321</c:v>
                </c:pt>
                <c:pt idx="8">
                  <c:v>0.43719266875279394</c:v>
                </c:pt>
                <c:pt idx="9">
                  <c:v>0.40547822182308041</c:v>
                </c:pt>
              </c:numCache>
            </c:numRef>
          </c:val>
        </c:ser>
        <c:ser>
          <c:idx val="2"/>
          <c:order val="2"/>
          <c:tx>
            <c:strRef>
              <c:f>P7年齢構成推移!$A$77</c:f>
              <c:strCache>
                <c:ptCount val="1"/>
                <c:pt idx="0">
                  <c:v>60歳以上</c:v>
                </c:pt>
              </c:strCache>
            </c:strRef>
          </c:tx>
          <c:spPr>
            <a:solidFill>
              <a:srgbClr val="FFC000"/>
            </a:solidFill>
            <a:ln>
              <a:solidFill>
                <a:schemeClr val="tx1"/>
              </a:solidFill>
            </a:ln>
            <a:effectLst/>
          </c:spPr>
          <c:invertIfNegative val="0"/>
          <c:dPt>
            <c:idx val="0"/>
            <c:invertIfNegative val="0"/>
            <c:bubble3D val="0"/>
            <c:spPr>
              <a:solidFill>
                <a:srgbClr val="FFC000"/>
              </a:solidFill>
              <a:ln>
                <a:solidFill>
                  <a:schemeClr val="tx1"/>
                </a:solidFill>
              </a:ln>
              <a:effectLst/>
            </c:spPr>
          </c:dPt>
          <c:dPt>
            <c:idx val="1"/>
            <c:invertIfNegative val="0"/>
            <c:bubble3D val="0"/>
            <c:spPr>
              <a:solidFill>
                <a:srgbClr val="FFC000"/>
              </a:solidFill>
              <a:ln>
                <a:solidFill>
                  <a:schemeClr val="tx1"/>
                </a:solidFill>
              </a:ln>
              <a:effectLst/>
            </c:spPr>
          </c:dPt>
          <c:dPt>
            <c:idx val="2"/>
            <c:invertIfNegative val="0"/>
            <c:bubble3D val="0"/>
            <c:spPr>
              <a:solidFill>
                <a:srgbClr val="FFC00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C000"/>
              </a:solidFill>
              <a:ln>
                <a:solidFill>
                  <a:schemeClr val="tx1"/>
                </a:solidFill>
              </a:ln>
              <a:effectLst/>
            </c:spPr>
          </c:dPt>
          <c:dPt>
            <c:idx val="5"/>
            <c:invertIfNegative val="0"/>
            <c:bubble3D val="0"/>
            <c:spPr>
              <a:solidFill>
                <a:srgbClr val="FFC000"/>
              </a:solidFill>
              <a:ln>
                <a:solidFill>
                  <a:schemeClr val="tx1"/>
                </a:solidFill>
              </a:ln>
              <a:effectLst/>
            </c:spPr>
          </c:dPt>
          <c:dPt>
            <c:idx val="6"/>
            <c:invertIfNegative val="0"/>
            <c:bubble3D val="0"/>
            <c:spPr>
              <a:solidFill>
                <a:srgbClr val="FFC000"/>
              </a:solidFill>
              <a:ln>
                <a:solidFill>
                  <a:schemeClr val="tx1"/>
                </a:solidFill>
              </a:ln>
              <a:effectLst/>
            </c:spPr>
          </c:dPt>
          <c:dPt>
            <c:idx val="7"/>
            <c:invertIfNegative val="0"/>
            <c:bubble3D val="0"/>
            <c:spPr>
              <a:solidFill>
                <a:srgbClr val="FFC000"/>
              </a:solidFill>
              <a:ln>
                <a:solidFill>
                  <a:schemeClr val="tx1"/>
                </a:solidFill>
              </a:ln>
              <a:effectLst/>
            </c:spPr>
          </c:dPt>
          <c:dPt>
            <c:idx val="8"/>
            <c:invertIfNegative val="0"/>
            <c:bubble3D val="0"/>
            <c:spPr>
              <a:solidFill>
                <a:srgbClr val="FFC000"/>
              </a:solidFill>
              <a:ln>
                <a:solidFill>
                  <a:schemeClr val="tx1"/>
                </a:solidFill>
              </a:ln>
              <a:effectLst/>
            </c:spPr>
          </c:dPt>
          <c:dPt>
            <c:idx val="9"/>
            <c:invertIfNegative val="0"/>
            <c:bubble3D val="0"/>
            <c:spPr>
              <a:solidFill>
                <a:srgbClr val="FFC000"/>
              </a:solidFill>
              <a:ln>
                <a:solidFill>
                  <a:schemeClr val="tx1"/>
                </a:solidFill>
              </a:ln>
              <a:effectLst/>
            </c:spPr>
          </c:dPt>
          <c:dLbls>
            <c:dLbl>
              <c:idx val="0"/>
              <c:layout>
                <c:manualLayout>
                  <c:x val="3.0852900144238727e-004"/>
                  <c:y val="-1.110255662486633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1"/>
              <c:layout>
                <c:manualLayout>
                  <c:x val="-8.8207892932302382e-004"/>
                  <c:y val="-1.266102848255079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2"/>
              <c:layout>
                <c:manualLayout>
                  <c:x val="1.5309167435151687e-003"/>
                  <c:y val="-1.2150481189851268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3"/>
              <c:layout>
                <c:manualLayout>
                  <c:x val="-5.6068667092289137e-004"/>
                  <c:y val="-1.750170117624185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4"/>
              <c:layout>
                <c:manualLayout>
                  <c:x val="-8.5048828355914973e-004"/>
                  <c:y val="-2.1587246038689608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5"/>
              <c:layout>
                <c:manualLayout>
                  <c:x val="2.4635028729516921e-003"/>
                  <c:y val="-3.054379313696899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6"/>
              <c:layout>
                <c:manualLayout>
                  <c:x val="1.2728949421862807e-003"/>
                  <c:y val="-3.138913191406629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7"/>
              <c:layout>
                <c:manualLayout>
                  <c:x val="9.8309332955002246e-004"/>
                  <c:y val="-3.923787304364732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8"/>
              <c:layout>
                <c:manualLayout>
                  <c:x val="1.5940980350429169e-003"/>
                  <c:y val="-4.4078545737338388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9"/>
              <c:layout>
                <c:manualLayout>
                  <c:x val="1.3044855879501549e-003"/>
                  <c:y val="-5.285311558277437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[医師確保計画データ集.xlsx]P7年齢構成推移!$B$77:$K$77</c:f>
              <c:numCache>
                <c:formatCode>0%</c:formatCode>
                <c:ptCount val="10"/>
                <c:pt idx="0">
                  <c:v>0.19627507163323785</c:v>
                </c:pt>
                <c:pt idx="1">
                  <c:v>0.2039066222010481</c:v>
                </c:pt>
                <c:pt idx="2">
                  <c:v>0.20221473278767449</c:v>
                </c:pt>
                <c:pt idx="3">
                  <c:v>0.21380952380952381</c:v>
                </c:pt>
                <c:pt idx="4">
                  <c:v>0.23961813842482096</c:v>
                </c:pt>
                <c:pt idx="5">
                  <c:v>0.25702247191011235</c:v>
                </c:pt>
                <c:pt idx="6">
                  <c:v>0.26595744680851063</c:v>
                </c:pt>
                <c:pt idx="7">
                  <c:v>0.27969174977334543</c:v>
                </c:pt>
                <c:pt idx="8">
                  <c:v>0.30800178810907464</c:v>
                </c:pt>
                <c:pt idx="9">
                  <c:v>0.33093848226313427</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100"/>
        <c:axId val="1"/>
        <c:axId val="2"/>
      </c:barChart>
      <c:lineChart>
        <c:grouping val="standard"/>
        <c:varyColors val="0"/>
        <c:ser>
          <c:idx val="6"/>
          <c:order val="3"/>
          <c:tx>
            <c:strRef>
              <c:f>P7年齢構成推移!$A$78</c:f>
              <c:strCache>
                <c:ptCount val="1"/>
                <c:pt idx="0">
                  <c:v>平均年齢（高知県）</c:v>
                </c:pt>
              </c:strCache>
            </c:strRef>
          </c:tx>
          <c:spPr>
            <a:solidFill>
              <a:srgbClr val="00B050"/>
            </a:solidFill>
            <a:ln w="28575" cap="rnd">
              <a:solidFill>
                <a:srgbClr val="00B050"/>
              </a:solidFill>
              <a:round/>
            </a:ln>
            <a:effectLst/>
          </c:spPr>
          <c:marker>
            <c:symbol val="circle"/>
            <c:size val="5"/>
            <c:spPr>
              <a:solidFill>
                <a:srgbClr val="00B050"/>
              </a:solidFill>
              <a:ln w="9525">
                <a:solidFill>
                  <a:srgbClr val="00B050"/>
                </a:solidFill>
              </a:ln>
              <a:effectLst/>
            </c:spPr>
          </c:mark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extLst>
              <c:ext xmlns:c15="http://schemas.microsoft.com/office/drawing/2012/chart" uri="{CE6537A1-D6FC-4f65-9D91-7224C49458BB}">
                <c15:showLeaderLines val="1"/>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[医師確保計画データ集.xlsx]P7年齢構成推移!$B$78:$K$78</c:f>
              <c:numCache>
                <c:formatCode>#,##0.0;[Red]\-#,##0.0</c:formatCode>
                <c:ptCount val="10"/>
                <c:pt idx="0">
                  <c:v>47.5</c:v>
                </c:pt>
                <c:pt idx="1" formatCode="General">
                  <c:v>48.5</c:v>
                </c:pt>
                <c:pt idx="2">
                  <c:v>48.9</c:v>
                </c:pt>
                <c:pt idx="3">
                  <c:v>49.6</c:v>
                </c:pt>
                <c:pt idx="4">
                  <c:v>50.3</c:v>
                </c:pt>
                <c:pt idx="5">
                  <c:v>50.7</c:v>
                </c:pt>
                <c:pt idx="6">
                  <c:v>51.1</c:v>
                </c:pt>
                <c:pt idx="7">
                  <c:v>51.4</c:v>
                </c:pt>
                <c:pt idx="8">
                  <c:v>51.7</c:v>
                </c:pt>
                <c:pt idx="9">
                  <c:v>52.1</c:v>
                </c:pt>
              </c:numCache>
            </c:numRef>
          </c:val>
          <c:smooth val="0"/>
        </c:ser>
        <c:ser>
          <c:idx val="3"/>
          <c:order val="4"/>
          <c:tx>
            <c:strRef>
              <c:f>P7年齢構成推移!$A$79</c:f>
              <c:strCache>
                <c:ptCount val="1"/>
                <c:pt idx="0">
                  <c:v>平均年齢（全国）</c:v>
                </c:pt>
              </c:strCache>
            </c:strRef>
          </c:tx>
          <c:spPr>
            <a:solidFill>
              <a:srgbClr val="00B0F0"/>
            </a:solidFill>
            <a:ln w="28575" cap="rnd">
              <a:solidFill>
                <a:srgbClr val="00B0F0"/>
              </a:solidFill>
              <a:round/>
            </a:ln>
            <a:effectLst/>
          </c:spPr>
          <c:marker>
            <c:symbol val="square"/>
            <c:size val="5"/>
            <c:spPr>
              <a:solidFill>
                <a:srgbClr val="00B0F0"/>
              </a:solidFill>
              <a:ln w="9525">
                <a:solidFill>
                  <a:srgbClr val="00B0F0"/>
                </a:solidFill>
              </a:ln>
              <a:effectLst/>
            </c:spPr>
          </c:marker>
          <c:dPt>
            <c:idx val="4"/>
            <c:invertIfNegative val="0"/>
            <c:marker>
              <c:symbol val="square"/>
              <c:size val="5"/>
              <c:spPr>
                <a:solidFill>
                  <a:srgbClr val="00B0F0"/>
                </a:solidFill>
                <a:ln w="9525">
                  <a:solidFill>
                    <a:srgbClr val="00B0F0"/>
                  </a:solidFill>
                </a:ln>
                <a:effectLst/>
              </c:spPr>
            </c:marker>
            <c:bubble3D val="0"/>
            <c:spPr>
              <a:solidFill>
                <a:srgbClr val="00B0F0"/>
              </a:solidFill>
              <a:ln w="28575" cap="rnd">
                <a:solidFill>
                  <a:srgbClr val="00B0F0"/>
                </a:solidFill>
                <a:round/>
              </a:ln>
              <a:effectLst/>
            </c:spPr>
          </c:dPt>
          <c:dPt>
            <c:idx val="6"/>
            <c:invertIfNegative val="0"/>
            <c:marker>
              <c:symbol val="square"/>
              <c:size val="5"/>
              <c:spPr>
                <a:solidFill>
                  <a:srgbClr val="00B0F0"/>
                </a:solidFill>
                <a:ln w="9525">
                  <a:solidFill>
                    <a:srgbClr val="00B0F0"/>
                  </a:solidFill>
                </a:ln>
                <a:effectLst/>
              </c:spPr>
            </c:marker>
            <c:bubble3D val="0"/>
            <c:spPr>
              <a:solidFill>
                <a:srgbClr val="00B0F0"/>
              </a:solidFill>
              <a:ln w="28575" cap="rnd">
                <a:solidFill>
                  <a:srgbClr val="00B0F0"/>
                </a:solidFill>
                <a:round/>
              </a:ln>
              <a:effectLst/>
            </c:spPr>
          </c:dPt>
          <c:dPt>
            <c:idx val="7"/>
            <c:invertIfNegative val="0"/>
            <c:marker>
              <c:symbol val="square"/>
              <c:size val="5"/>
              <c:spPr>
                <a:solidFill>
                  <a:srgbClr val="00B0F0"/>
                </a:solidFill>
                <a:ln w="9525">
                  <a:solidFill>
                    <a:srgbClr val="00B0F0"/>
                  </a:solidFill>
                </a:ln>
                <a:effectLst/>
              </c:spPr>
            </c:marker>
            <c:bubble3D val="0"/>
            <c:spPr>
              <a:solidFill>
                <a:srgbClr val="00B0F0"/>
              </a:solidFill>
              <a:ln w="28575" cap="rnd">
                <a:solidFill>
                  <a:srgbClr val="00B0F0"/>
                </a:solidFill>
                <a:round/>
              </a:ln>
              <a:effectLst/>
            </c:spPr>
          </c:dPt>
          <c:dLbls>
            <c:dLbl>
              <c:idx val="4"/>
              <c:delete val="1"/>
            </c:dLbl>
            <c:dLbl>
              <c:idx val="6"/>
              <c:delete val="1"/>
            </c:dLbl>
            <c:dLbl>
              <c:idx val="7"/>
              <c:delete val="1"/>
            </c:dLbl>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extLst>
              <c:ext xmlns:c15="http://schemas.microsoft.com/office/drawing/2012/chart" uri="{CE6537A1-D6FC-4f65-9D91-7224C49458BB}">
                <c15:showLeaderLines val="1"/>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[医師確保計画データ集.xlsx]P7年齢構成推移!$B$79:$K$79</c:f>
              <c:numCache>
                <c:formatCode>#,##0.0;[Red]\-#,##0.0</c:formatCode>
                <c:ptCount val="10"/>
                <c:pt idx="0">
                  <c:v>47.5</c:v>
                </c:pt>
                <c:pt idx="1">
                  <c:v>48.2</c:v>
                </c:pt>
                <c:pt idx="2">
                  <c:v>48.1</c:v>
                </c:pt>
                <c:pt idx="3">
                  <c:v>48.3</c:v>
                </c:pt>
                <c:pt idx="4">
                  <c:v>48.3</c:v>
                </c:pt>
                <c:pt idx="5">
                  <c:v>48.9</c:v>
                </c:pt>
                <c:pt idx="6">
                  <c:v>49.3</c:v>
                </c:pt>
                <c:pt idx="7">
                  <c:v>49.6</c:v>
                </c:pt>
                <c:pt idx="8">
                  <c:v>49.9</c:v>
                </c:pt>
                <c:pt idx="9">
                  <c:v>50.1</c:v>
                </c:pt>
              </c:numCache>
            </c:numRef>
          </c:val>
          <c:smooth val="0"/>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0%" sourceLinked="1"/>
        <c:majorTickMark val="in"/>
        <c:minorTickMark val="none"/>
        <c:tickLblPos val="nextTo"/>
        <c:spPr>
          <a:noFill/>
          <a:ln w="9525" cap="flat" cmpd="sng" algn="ctr">
            <a:solidFill>
              <a:schemeClr val="bg1">
                <a:lumMod val="65000"/>
              </a:schemeClr>
            </a:solidFill>
            <a:round/>
          </a:ln>
          <a:effectLst/>
        </c:spPr>
        <c:txPr>
          <a:bodyPr rot="-60000000" spcFirstLastPara="1" vertOverflow="ellipsis" horzOverflow="overflow" wrap="square" anchor="ctr" anchorCtr="1"/>
          <a:lstStyle/>
          <a:p>
            <a:pPr algn="ctr" rtl="0">
              <a:defRPr kumimoji="0" lang="ja-JP" altLang="en-US" sz="800" b="0" i="0" kern="1200">
                <a:solidFill>
                  <a:schemeClr val="tx1"/>
                </a:solidFill>
                <a:latin typeface="ＭＳ 明朝"/>
                <a:ea typeface="+mn-ea"/>
                <a:cs typeface="+mn-cs"/>
              </a:defRPr>
            </a:pPr>
            <a:endParaRPr lang="ja-JP" altLang="en-US"/>
          </a:p>
        </c:txPr>
        <c:crossAx val="2"/>
        <c:crosses val="autoZero"/>
        <c:auto val="1"/>
        <c:lblAlgn val="ctr"/>
        <c:lblOffset val="100"/>
        <c:noMultiLvlLbl val="0"/>
      </c:catAx>
      <c:valAx>
        <c:axId val="2"/>
        <c:scaling>
          <c:orientation val="minMax"/>
          <c:max val="1"/>
        </c:scaling>
        <c:delete val="0"/>
        <c:axPos val="l"/>
        <c:majorGridlines>
          <c:spPr>
            <a:noFill/>
            <a:ln w="9525" cap="flat" cmpd="sng" algn="ctr">
              <a:solidFill>
                <a:schemeClr val="bg1">
                  <a:lumMod val="65000"/>
                </a:schemeClr>
              </a:solidFill>
              <a:round/>
            </a:ln>
            <a:effectLst/>
          </c:spPr>
        </c:majorGridlines>
        <c:numFmt formatCode="0%"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800" b="0" i="0" kern="1200">
                <a:solidFill>
                  <a:schemeClr val="tx1"/>
                </a:solidFill>
                <a:latin typeface="ＭＳ 明朝"/>
                <a:ea typeface="+mn-ea"/>
                <a:cs typeface="+mn-cs"/>
              </a:defRPr>
            </a:pPr>
            <a:endParaRPr lang="ja-JP" altLang="en-US"/>
          </a:p>
        </c:txPr>
        <c:crossAx val="1"/>
        <c:crosses val="autoZero"/>
        <c:crossBetween val="between"/>
      </c:valAx>
      <c:catAx>
        <c:axId val="11"/>
        <c:scaling>
          <c:orientation val="minMax"/>
        </c:scaling>
        <c:delete val="0"/>
        <c:axPos val="b"/>
        <c:numFmt formatCode="#,##0.0;[Red]\-#,##0.0" sourceLinked="1"/>
        <c:majorTickMark val="out"/>
        <c:minorTickMark val="none"/>
        <c:tickLblPos val="nextTo"/>
        <c:txPr>
          <a:bodyPr rot="-60000000" spcFirstLastPara="1" vertOverflow="ellipsis" horzOverflow="overflow" wrap="square" anchor="ctr" anchorCtr="1"/>
          <a:lstStyle/>
          <a:p>
            <a:pPr algn="ctr" rtl="0">
              <a:defRPr lang="ja-JP" altLang="en-US" sz="1000" kern="1200">
                <a:solidFill>
                  <a:schemeClr val="tx1"/>
                </a:solidFill>
                <a:latin typeface="+mn-lt"/>
                <a:ea typeface="+mn-ea"/>
                <a:cs typeface="+mn-cs"/>
              </a:defRPr>
            </a:pPr>
            <a:endParaRPr lang="ja-JP" altLang="en-US"/>
          </a:p>
        </c:txPr>
        <c:crossAx val="12"/>
        <c:crosses val="autoZero"/>
        <c:auto val="1"/>
        <c:lblAlgn val="ctr"/>
        <c:lblOffset val="100"/>
        <c:noMultiLvlLbl val="0"/>
      </c:catAx>
      <c:valAx>
        <c:axId val="12"/>
        <c:scaling>
          <c:orientation val="minMax"/>
          <c:max val="54"/>
          <c:min val="40"/>
        </c:scaling>
        <c:delete val="0"/>
        <c:axPos val="r"/>
        <c:numFmt formatCode="General" sourceLinked="0"/>
        <c:majorTickMark val="out"/>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800" b="0" i="0" kern="1200">
                <a:solidFill>
                  <a:schemeClr val="tx1"/>
                </a:solidFill>
                <a:latin typeface="ＭＳ 明朝"/>
                <a:ea typeface="+mn-ea"/>
                <a:cs typeface="+mn-cs"/>
              </a:defRPr>
            </a:pPr>
            <a:endParaRPr lang="ja-JP" altLang="en-US"/>
          </a:p>
        </c:txPr>
        <c:crossAx val="11"/>
        <c:crosses val="max"/>
        <c:crossBetween val="between"/>
      </c:valAx>
      <c:spPr>
        <a:noFill/>
        <a:ln>
          <a:noFill/>
        </a:ln>
        <a:effectLst/>
      </c:spPr>
    </c:plotArea>
    <c:legend>
      <c:legendPos val="b"/>
      <c:layout>
        <c:manualLayout>
          <c:xMode val="edge"/>
          <c:yMode val="edge"/>
          <c:x val="0"/>
          <c:y val="0.78148148148148144"/>
          <c:w val="1.0019011406844107"/>
          <c:h val="8.8888888888888892e-002"/>
        </c:manualLayout>
      </c:layout>
      <c:overlay val="0"/>
      <c:spPr>
        <a:noFill/>
        <a:ln>
          <a:noFill/>
        </a:ln>
        <a:effectLst/>
      </c:spPr>
      <c:txPr>
        <a:bodyPr rot="0" spcFirstLastPara="1" vertOverflow="ellipsis" horzOverflow="overflow" wrap="square" anchor="ctr" anchorCtr="1"/>
        <a:lstStyle/>
        <a:p>
          <a:pPr algn="l" rtl="0">
            <a:defRPr kumimoji="0" lang="ja-JP" altLang="en-US" sz="900" b="0" i="0" kern="1200">
              <a:solidFill>
                <a:schemeClr val="tx1"/>
              </a:solidFill>
              <a:latin typeface="ＭＳ 明朝"/>
              <a:ea typeface="+mn-ea"/>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6276150627616"/>
          <c:y val="5.1948051948051951e-002"/>
          <c:w val="0.85355648535564832"/>
          <c:h val="0.82683982683982693"/>
        </c:manualLayout>
      </c:layout>
      <c:lineChart>
        <c:grouping val="standard"/>
        <c:varyColors val="0"/>
        <c:ser>
          <c:idx val="0"/>
          <c:order val="0"/>
          <c:tx>
            <c:strRef>
              <c:f>'[0]40歳未満医師数'!$C$12</c:f>
              <c:strCache>
                <c:ptCount val="1"/>
                <c:pt idx="0">
                  <c:v>高知県</c:v>
                </c:pt>
              </c:strCache>
            </c:strRef>
          </c:tx>
          <c:spPr>
            <a:solidFill>
              <a:srgbClr val="0070C0"/>
            </a:solidFill>
            <a:ln w="19050" cmpd="sng">
              <a:solidFill>
                <a:srgbClr val="0070C0"/>
              </a:solidFill>
            </a:ln>
          </c:spPr>
          <c:marker>
            <c:spPr>
              <a:solidFill>
                <a:srgbClr val="0070C0"/>
              </a:solidFill>
              <a:ln w="19050" cmpd="sng">
                <a:solidFill>
                  <a:srgbClr val="0070C0"/>
                </a:solidFill>
              </a:ln>
            </c:spPr>
          </c:marker>
          <c:cat>
            <c:strRef>
              <c:f>'[0]40歳未満医師数'!$D$11:$M$11</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医師数の状況.xlsx]40歳未満医師数'!$D$12:$M$12</c:f>
              <c:numCache>
                <c:formatCode>General</c:formatCode>
                <c:ptCount val="10"/>
                <c:pt idx="0">
                  <c:v>100</c:v>
                </c:pt>
                <c:pt idx="1">
                  <c:v>92.533333333333331</c:v>
                </c:pt>
                <c:pt idx="2">
                  <c:v>86.8</c:v>
                </c:pt>
                <c:pt idx="3">
                  <c:v>80</c:v>
                </c:pt>
                <c:pt idx="4">
                  <c:v>73.466666666666669</c:v>
                </c:pt>
                <c:pt idx="5">
                  <c:v>71.066666666666663</c:v>
                </c:pt>
                <c:pt idx="6">
                  <c:v>68.933333333333337</c:v>
                </c:pt>
                <c:pt idx="7">
                  <c:v>73.599999999999994</c:v>
                </c:pt>
                <c:pt idx="8">
                  <c:v>76</c:v>
                </c:pt>
                <c:pt idx="9">
                  <c:v>78.266666666666666</c:v>
                </c:pt>
              </c:numCache>
            </c:numRef>
          </c:val>
          <c:smooth val="0"/>
        </c:ser>
        <c:ser>
          <c:idx val="1"/>
          <c:order val="1"/>
          <c:tx>
            <c:strRef>
              <c:f>'[0]40歳未満医師数'!$C$13</c:f>
              <c:strCache>
                <c:ptCount val="1"/>
                <c:pt idx="0">
                  <c:v>全国</c:v>
                </c:pt>
              </c:strCache>
            </c:strRef>
          </c:tx>
          <c:spPr>
            <a:solidFill>
              <a:srgbClr val="FF0000"/>
            </a:solidFill>
            <a:ln w="19050" cmpd="sng">
              <a:solidFill>
                <a:srgbClr val="FF0000"/>
              </a:solidFill>
            </a:ln>
          </c:spPr>
          <c:marker>
            <c:spPr>
              <a:solidFill>
                <a:srgbClr val="FF0000"/>
              </a:solidFill>
              <a:ln w="19050" cmpd="sng">
                <a:solidFill>
                  <a:srgbClr val="FF0000"/>
                </a:solidFill>
              </a:ln>
            </c:spPr>
          </c:marker>
          <c:cat>
            <c:strRef>
              <c:f>'[0]40歳未満医師数'!$D$11:$M$11</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医師数の状況.xlsx]40歳未満医師数'!$D$13:$M$13</c:f>
              <c:numCache>
                <c:formatCode>General</c:formatCode>
                <c:ptCount val="10"/>
                <c:pt idx="0">
                  <c:v>100</c:v>
                </c:pt>
                <c:pt idx="1">
                  <c:v>99.473929030257395</c:v>
                </c:pt>
                <c:pt idx="2">
                  <c:v>100.33890045629734</c:v>
                </c:pt>
                <c:pt idx="3">
                  <c:v>100.33668542063528</c:v>
                </c:pt>
                <c:pt idx="4">
                  <c:v>100.4629424533735</c:v>
                </c:pt>
                <c:pt idx="5">
                  <c:v>101.03774420768174</c:v>
                </c:pt>
                <c:pt idx="6">
                  <c:v>101.1086253488681</c:v>
                </c:pt>
                <c:pt idx="7">
                  <c:v>102.55947370752669</c:v>
                </c:pt>
                <c:pt idx="8">
                  <c:v>103.98041908474727</c:v>
                </c:pt>
                <c:pt idx="9">
                  <c:v>108.33628671421609</c:v>
                </c:pt>
              </c:numCache>
            </c:numRef>
          </c:val>
          <c:smooth val="0"/>
        </c:ser>
        <c:ser>
          <c:idx val="2"/>
          <c:order val="2"/>
          <c:tx>
            <c:strRef>
              <c:f>'[0]40歳未満医師数'!$C$14</c:f>
              <c:strCache>
                <c:ptCount val="1"/>
                <c:pt idx="0">
                  <c:v>東京都</c:v>
                </c:pt>
              </c:strCache>
            </c:strRef>
          </c:tx>
          <c:spPr>
            <a:solidFill>
              <a:srgbClr val="00B050"/>
            </a:solidFill>
            <a:ln w="19050" cmpd="sng">
              <a:solidFill>
                <a:srgbClr val="00B050"/>
              </a:solidFill>
            </a:ln>
          </c:spPr>
          <c:marker>
            <c:spPr>
              <a:solidFill>
                <a:srgbClr val="00B050"/>
              </a:solidFill>
              <a:ln w="19050" cmpd="sng">
                <a:solidFill>
                  <a:srgbClr val="00B050"/>
                </a:solidFill>
              </a:ln>
            </c:spPr>
          </c:marker>
          <c:cat>
            <c:strRef>
              <c:f>'[0]40歳未満医師数'!$D$11:$M$11</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医師数の状況.xlsx]40歳未満医師数'!$D$14:$M$14</c:f>
              <c:numCache>
                <c:formatCode>General</c:formatCode>
                <c:ptCount val="10"/>
                <c:pt idx="0">
                  <c:v>100</c:v>
                </c:pt>
                <c:pt idx="1">
                  <c:v>106.93793670365804</c:v>
                </c:pt>
                <c:pt idx="2">
                  <c:v>108.37648993012741</c:v>
                </c:pt>
                <c:pt idx="3">
                  <c:v>115.30620632963419</c:v>
                </c:pt>
                <c:pt idx="4">
                  <c:v>120.70694615700781</c:v>
                </c:pt>
                <c:pt idx="5">
                  <c:v>123.74023838882037</c:v>
                </c:pt>
                <c:pt idx="6">
                  <c:v>126.40361693382656</c:v>
                </c:pt>
                <c:pt idx="7">
                  <c:v>125.48294286888616</c:v>
                </c:pt>
                <c:pt idx="8">
                  <c:v>127.60378133990957</c:v>
                </c:pt>
                <c:pt idx="9">
                  <c:v>132.86477599671187</c:v>
                </c:pt>
              </c:numCache>
            </c:numRef>
          </c:val>
          <c:smooth val="0"/>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out"/>
        <c:minorTickMark val="none"/>
        <c:tickLblPos val="nextTo"/>
        <c:txPr>
          <a:bodyPr horzOverflow="overflow" anchor="ctr" anchorCtr="1"/>
          <a:lstStyle/>
          <a:p>
            <a:pPr algn="ctr" rtl="0">
              <a:defRPr kumimoji="0" sz="900" kern="1200">
                <a:solidFill>
                  <a:schemeClr val="tx1"/>
                </a:solidFill>
                <a:latin typeface="ＭＳ 明朝"/>
                <a:ea typeface="ＭＳ 明朝"/>
              </a:defRPr>
            </a:pPr>
            <a:endParaRPr lang="ja-JP" altLang="en-US"/>
          </a:p>
        </c:txPr>
        <c:crossAx val="2"/>
        <c:crosses val="autoZero"/>
        <c:auto val="1"/>
        <c:lblAlgn val="ctr"/>
        <c:lblOffset val="100"/>
        <c:noMultiLvlLbl val="0"/>
      </c:catAx>
      <c:valAx>
        <c:axId val="2"/>
        <c:scaling>
          <c:orientation val="minMax"/>
          <c:max val="140"/>
          <c:min val="60"/>
        </c:scaling>
        <c:delete val="0"/>
        <c:axPos val="l"/>
        <c:majorGridlines/>
        <c:numFmt formatCode="General" sourceLinked="1"/>
        <c:majorTickMark val="out"/>
        <c:minorTickMark val="none"/>
        <c:tickLblPos val="nextTo"/>
        <c:txPr>
          <a:bodyPr horzOverflow="overflow" anchor="ctr" anchorCtr="1"/>
          <a:lstStyle/>
          <a:p>
            <a:pPr algn="ctr" rtl="0">
              <a:defRPr kumimoji="0" sz="900" kern="1200">
                <a:solidFill>
                  <a:schemeClr val="tx1"/>
                </a:solidFill>
                <a:latin typeface="ＭＳ 明朝"/>
                <a:ea typeface="ＭＳ 明朝"/>
              </a:defRPr>
            </a:pPr>
            <a:endParaRPr lang="ja-JP" altLang="en-US"/>
          </a:p>
        </c:txPr>
        <c:crossAx val="1"/>
        <c:crosses val="autoZero"/>
        <c:crossBetween val="between"/>
        <c:majorUnit val="10"/>
      </c:valAx>
    </c:plotArea>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63440860215055e-002"/>
          <c:y val="3.3232554791410567e-002"/>
          <c:w val="0.91039426523297473"/>
          <c:h val="0.85706280385837841"/>
        </c:manualLayout>
      </c:layout>
      <c:lineChart>
        <c:grouping val="standard"/>
        <c:varyColors val="0"/>
        <c:ser>
          <c:idx val="0"/>
          <c:order val="0"/>
          <c:tx>
            <c:strRef>
              <c:f>二次医療圏別!$C$41</c:f>
              <c:strCache>
                <c:ptCount val="1"/>
                <c:pt idx="0">
                  <c:v>安芸</c:v>
                </c:pt>
              </c:strCache>
            </c:strRef>
          </c:tx>
          <c:spPr>
            <a:solidFill>
              <a:schemeClr val="accent5"/>
            </a:solidFill>
            <a:ln w="25400" cmpd="sng">
              <a:solidFill>
                <a:schemeClr val="accent5"/>
              </a:solidFill>
            </a:ln>
          </c:spPr>
          <c:marker>
            <c:symbol val="diamond"/>
            <c:size val="4"/>
            <c:spPr>
              <a:solidFill>
                <a:schemeClr val="accent5"/>
              </a:solidFill>
              <a:ln w="25400" cmpd="sng">
                <a:solidFill>
                  <a:schemeClr val="accent5"/>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医師数の状況.xlsx]二次医療圏別'!$D$41:$M$41</c:f>
              <c:numCache>
                <c:formatCode>General</c:formatCode>
                <c:ptCount val="10"/>
                <c:pt idx="0">
                  <c:v>100</c:v>
                </c:pt>
                <c:pt idx="1">
                  <c:v>102.97029702970298</c:v>
                </c:pt>
                <c:pt idx="2">
                  <c:v>90.099009900990097</c:v>
                </c:pt>
                <c:pt idx="3">
                  <c:v>85.148514851485146</c:v>
                </c:pt>
                <c:pt idx="4">
                  <c:v>87.128712871287135</c:v>
                </c:pt>
                <c:pt idx="5">
                  <c:v>90.099009900990097</c:v>
                </c:pt>
                <c:pt idx="6">
                  <c:v>89.10891089108911</c:v>
                </c:pt>
                <c:pt idx="7">
                  <c:v>94.059405940594047</c:v>
                </c:pt>
                <c:pt idx="8">
                  <c:v>96.039603960395993</c:v>
                </c:pt>
                <c:pt idx="9">
                  <c:v>101.980198019802</c:v>
                </c:pt>
              </c:numCache>
            </c:numRef>
          </c:val>
          <c:smooth val="0"/>
        </c:ser>
        <c:ser>
          <c:idx val="1"/>
          <c:order val="1"/>
          <c:tx>
            <c:strRef>
              <c:f>二次医療圏別!$C$42</c:f>
              <c:strCache>
                <c:ptCount val="1"/>
                <c:pt idx="0">
                  <c:v>中央</c:v>
                </c:pt>
              </c:strCache>
            </c:strRef>
          </c:tx>
          <c:spPr>
            <a:solidFill>
              <a:srgbClr val="C00000"/>
            </a:solidFill>
            <a:ln w="25400" cmpd="sng">
              <a:solidFill>
                <a:srgbClr val="C00000"/>
              </a:solidFill>
            </a:ln>
          </c:spPr>
          <c:marker>
            <c:symbol val="square"/>
            <c:size val="4"/>
            <c:spPr>
              <a:solidFill>
                <a:srgbClr val="C00000"/>
              </a:solidFill>
              <a:ln w="25400" cmpd="sng">
                <a:solidFill>
                  <a:srgbClr val="C00000"/>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医師数の状況.xlsx]二次医療圏別'!$D$42:$M$42</c:f>
              <c:numCache>
                <c:formatCode>General</c:formatCode>
                <c:ptCount val="10"/>
                <c:pt idx="0">
                  <c:v>100</c:v>
                </c:pt>
                <c:pt idx="1">
                  <c:v>99.881305637982194</c:v>
                </c:pt>
                <c:pt idx="2">
                  <c:v>101.54302670623146</c:v>
                </c:pt>
                <c:pt idx="3">
                  <c:v>103.32344213649851</c:v>
                </c:pt>
                <c:pt idx="4">
                  <c:v>103.79821958456974</c:v>
                </c:pt>
                <c:pt idx="5">
                  <c:v>105.4005934718101</c:v>
                </c:pt>
                <c:pt idx="6">
                  <c:v>107.47774480712199</c:v>
                </c:pt>
                <c:pt idx="7">
                  <c:v>110.38575667655786</c:v>
                </c:pt>
                <c:pt idx="8">
                  <c:v>111.57270029673592</c:v>
                </c:pt>
                <c:pt idx="9">
                  <c:v>111.394658753709</c:v>
                </c:pt>
              </c:numCache>
            </c:numRef>
          </c:val>
          <c:smooth val="0"/>
        </c:ser>
        <c:ser>
          <c:idx val="2"/>
          <c:order val="2"/>
          <c:tx>
            <c:strRef>
              <c:f>二次医療圏別!$C$43</c:f>
              <c:strCache>
                <c:ptCount val="1"/>
                <c:pt idx="0">
                  <c:v>中央（高知市・南国市を除く）</c:v>
                </c:pt>
              </c:strCache>
            </c:strRef>
          </c:tx>
          <c:spPr>
            <a:solidFill>
              <a:srgbClr val="00B0F0"/>
            </a:solidFill>
            <a:ln w="25400" cmpd="sng">
              <a:solidFill>
                <a:srgbClr val="00B0F0"/>
              </a:solidFill>
            </a:ln>
          </c:spPr>
          <c:marker>
            <c:symbol val="triangle"/>
            <c:size val="4"/>
            <c:spPr>
              <a:solidFill>
                <a:srgbClr val="00B0F0"/>
              </a:solidFill>
              <a:ln w="25400" cmpd="sng">
                <a:solidFill>
                  <a:srgbClr val="00B0F0"/>
                </a:solidFill>
              </a:ln>
            </c:spPr>
          </c:marker>
          <c:dPt>
            <c:idx val="4"/>
            <c:invertIfNegative val="0"/>
            <c:marker>
              <c:symbol val="triangle"/>
              <c:size val="4"/>
              <c:spPr>
                <a:solidFill>
                  <a:srgbClr val="00B0F0"/>
                </a:solidFill>
                <a:ln w="25400" cmpd="sng">
                  <a:solidFill>
                    <a:srgbClr val="00B0F0"/>
                  </a:solidFill>
                </a:ln>
              </c:spPr>
            </c:marker>
            <c:bubble3D val="0"/>
            <c:spPr>
              <a:solidFill>
                <a:srgbClr val="00B0F0"/>
              </a:solidFill>
              <a:ln w="25400" cmpd="sng">
                <a:solidFill>
                  <a:srgbClr val="00B0F0"/>
                </a:solidFill>
              </a:ln>
            </c:spPr>
          </c:dPt>
          <c:dPt>
            <c:idx val="6"/>
            <c:invertIfNegative val="0"/>
            <c:marker>
              <c:symbol val="triangle"/>
              <c:size val="4"/>
              <c:spPr>
                <a:solidFill>
                  <a:srgbClr val="00B0F0"/>
                </a:solidFill>
                <a:ln w="25400" cmpd="sng">
                  <a:solidFill>
                    <a:srgbClr val="00B0F0"/>
                  </a:solidFill>
                </a:ln>
              </c:spPr>
            </c:marker>
            <c:bubble3D val="0"/>
            <c:spPr>
              <a:solidFill>
                <a:srgbClr val="00B0F0"/>
              </a:solidFill>
              <a:ln w="25400" cmpd="sng">
                <a:solidFill>
                  <a:srgbClr val="00B0F0"/>
                </a:solidFill>
              </a:ln>
            </c:spPr>
          </c:dPt>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医師数の状況.xlsx]二次医療圏別'!$D$43:$M$43</c:f>
              <c:numCache>
                <c:formatCode>General</c:formatCode>
                <c:ptCount val="10"/>
                <c:pt idx="0">
                  <c:v>100</c:v>
                </c:pt>
                <c:pt idx="1">
                  <c:v>94.79553903345726</c:v>
                </c:pt>
                <c:pt idx="2">
                  <c:v>90.334572490706321</c:v>
                </c:pt>
                <c:pt idx="3">
                  <c:v>91.078066914498152</c:v>
                </c:pt>
                <c:pt idx="4">
                  <c:v>88.475836431226767</c:v>
                </c:pt>
                <c:pt idx="5">
                  <c:v>83.643122676579935</c:v>
                </c:pt>
                <c:pt idx="6">
                  <c:v>85.873605947955383</c:v>
                </c:pt>
                <c:pt idx="7">
                  <c:v>83.271375464684013</c:v>
                </c:pt>
                <c:pt idx="8">
                  <c:v>81.040892193308551</c:v>
                </c:pt>
                <c:pt idx="9">
                  <c:v>76.951672862453535</c:v>
                </c:pt>
              </c:numCache>
            </c:numRef>
          </c:val>
          <c:smooth val="0"/>
        </c:ser>
        <c:ser>
          <c:idx val="3"/>
          <c:order val="3"/>
          <c:tx>
            <c:strRef>
              <c:f>二次医療圏別!$C$44</c:f>
              <c:strCache>
                <c:ptCount val="1"/>
                <c:pt idx="0">
                  <c:v>高幡</c:v>
                </c:pt>
              </c:strCache>
            </c:strRef>
          </c:tx>
          <c:spPr>
            <a:solidFill>
              <a:srgbClr val="92D050"/>
            </a:solidFill>
            <a:ln w="25400" cmpd="sng">
              <a:solidFill>
                <a:srgbClr val="92D050"/>
              </a:solidFill>
            </a:ln>
          </c:spPr>
          <c:marker>
            <c:symbol val="x"/>
            <c:size val="4"/>
            <c:spPr>
              <a:solidFill>
                <a:srgbClr val="92D050"/>
              </a:solidFill>
              <a:ln w="25400" cmpd="sng">
                <a:solidFill>
                  <a:srgbClr val="92D050"/>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医師数の状況.xlsx]二次医療圏別'!$D$44:$M$44</c:f>
              <c:numCache>
                <c:formatCode>General</c:formatCode>
                <c:ptCount val="10"/>
                <c:pt idx="0">
                  <c:v>100</c:v>
                </c:pt>
                <c:pt idx="1">
                  <c:v>100.96153846153845</c:v>
                </c:pt>
                <c:pt idx="2">
                  <c:v>86.538461538461547</c:v>
                </c:pt>
                <c:pt idx="3">
                  <c:v>89.423076923076934</c:v>
                </c:pt>
                <c:pt idx="4">
                  <c:v>81.730769230769226</c:v>
                </c:pt>
                <c:pt idx="5">
                  <c:v>84.615384615384613</c:v>
                </c:pt>
                <c:pt idx="6">
                  <c:v>79.807692307692307</c:v>
                </c:pt>
                <c:pt idx="7">
                  <c:v>77.884615384615387</c:v>
                </c:pt>
                <c:pt idx="8">
                  <c:v>87.5</c:v>
                </c:pt>
                <c:pt idx="9">
                  <c:v>82.692307692307693</c:v>
                </c:pt>
              </c:numCache>
            </c:numRef>
          </c:val>
          <c:smooth val="0"/>
        </c:ser>
        <c:ser>
          <c:idx val="4"/>
          <c:order val="4"/>
          <c:tx>
            <c:strRef>
              <c:f>二次医療圏別!$C$45</c:f>
              <c:strCache>
                <c:ptCount val="1"/>
                <c:pt idx="0">
                  <c:v>幡多</c:v>
                </c:pt>
              </c:strCache>
            </c:strRef>
          </c:tx>
          <c:spPr>
            <a:solidFill>
              <a:srgbClr val="7030A0"/>
            </a:solidFill>
            <a:ln w="25400" cmpd="sng">
              <a:solidFill>
                <a:srgbClr val="7030A0"/>
              </a:solidFill>
            </a:ln>
          </c:spPr>
          <c:marker>
            <c:symbol val="star"/>
            <c:size val="4"/>
            <c:spPr>
              <a:solidFill>
                <a:srgbClr val="7030A0"/>
              </a:solidFill>
              <a:ln w="25400" cmpd="sng">
                <a:solidFill>
                  <a:srgbClr val="7030A0"/>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医師数の状況.xlsx]二次医療圏別'!$D$45:$M$45</c:f>
              <c:numCache>
                <c:formatCode>General</c:formatCode>
                <c:ptCount val="10"/>
                <c:pt idx="0">
                  <c:v>100</c:v>
                </c:pt>
                <c:pt idx="1">
                  <c:v>101.47058823529412</c:v>
                </c:pt>
                <c:pt idx="2">
                  <c:v>89.215686274509807</c:v>
                </c:pt>
                <c:pt idx="3">
                  <c:v>88.235294117647058</c:v>
                </c:pt>
                <c:pt idx="4">
                  <c:v>84.803921568627445</c:v>
                </c:pt>
                <c:pt idx="5">
                  <c:v>88.725490196078425</c:v>
                </c:pt>
                <c:pt idx="6">
                  <c:v>87.254901960784309</c:v>
                </c:pt>
                <c:pt idx="7">
                  <c:v>83.333333333333343</c:v>
                </c:pt>
                <c:pt idx="8">
                  <c:v>82.843137254901961</c:v>
                </c:pt>
                <c:pt idx="9">
                  <c:v>78.921568627450981</c:v>
                </c:pt>
              </c:numCache>
            </c:numRef>
          </c:val>
          <c:smooth val="0"/>
        </c:ser>
        <c:ser>
          <c:idx val="5"/>
          <c:order val="5"/>
          <c:tx>
            <c:strRef>
              <c:f>二次医療圏別!$C$46</c:f>
              <c:strCache>
                <c:ptCount val="1"/>
                <c:pt idx="0">
                  <c:v>県全体</c:v>
                </c:pt>
              </c:strCache>
            </c:strRef>
          </c:tx>
          <c:spPr>
            <a:solidFill>
              <a:schemeClr val="accent2"/>
            </a:solidFill>
            <a:ln w="25400" cmpd="sng">
              <a:solidFill>
                <a:schemeClr val="accent2"/>
              </a:solidFill>
            </a:ln>
          </c:spPr>
          <c:marker>
            <c:symbol val="circle"/>
            <c:size val="4"/>
            <c:spPr>
              <a:solidFill>
                <a:schemeClr val="accent2"/>
              </a:solidFill>
              <a:ln w="25400" cmpd="sng">
                <a:solidFill>
                  <a:schemeClr val="accent2"/>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医師数の状況.xlsx]二次医療圏別'!$D$46:$M$46</c:f>
              <c:numCache>
                <c:formatCode>General</c:formatCode>
                <c:ptCount val="10"/>
                <c:pt idx="0">
                  <c:v>100</c:v>
                </c:pt>
                <c:pt idx="1">
                  <c:v>100.23877745940783</c:v>
                </c:pt>
                <c:pt idx="2">
                  <c:v>99.044890162368674</c:v>
                </c:pt>
                <c:pt idx="3">
                  <c:v>100.2865329512894</c:v>
                </c:pt>
                <c:pt idx="4">
                  <c:v>100.04775549188156</c:v>
                </c:pt>
                <c:pt idx="5">
                  <c:v>102.00573065902579</c:v>
                </c:pt>
                <c:pt idx="6">
                  <c:v>103.24737344794653</c:v>
                </c:pt>
                <c:pt idx="7">
                  <c:v>105.34861509073544</c:v>
                </c:pt>
                <c:pt idx="8">
                  <c:v>106.82903533906398</c:v>
                </c:pt>
                <c:pt idx="9">
                  <c:v>106.35148042024834</c:v>
                </c:pt>
              </c:numCache>
            </c:numRef>
          </c:val>
          <c:smooth val="0"/>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in"/>
        <c:minorTickMark val="none"/>
        <c:tickLblPos val="nextTo"/>
        <c:spPr>
          <a:noFill/>
          <a:ln w="6350" cap="flat" cmpd="sng" algn="ctr">
            <a:solidFill>
              <a:schemeClr val="dk1"/>
            </a:solidFill>
            <a:prstDash val="solid"/>
            <a:miter lim="800000"/>
          </a:ln>
        </c:spPr>
        <c:txPr>
          <a:bodyPr horzOverflow="overflow" anchor="ctr" anchorCtr="1"/>
          <a:lstStyle/>
          <a:p>
            <a:pPr algn="ctr" rtl="0">
              <a:defRPr kumimoji="0" sz="900" kern="1200">
                <a:solidFill>
                  <a:schemeClr val="tx1"/>
                </a:solidFill>
                <a:latin typeface="ＭＳ 明朝"/>
              </a:defRPr>
            </a:pPr>
            <a:endParaRPr lang="ja-JP" altLang="en-US"/>
          </a:p>
        </c:txPr>
        <c:crossAx val="2"/>
        <c:crosses val="autoZero"/>
        <c:auto val="1"/>
        <c:lblAlgn val="ctr"/>
        <c:lblOffset val="100"/>
        <c:noMultiLvlLbl val="0"/>
      </c:catAx>
      <c:valAx>
        <c:axId val="2"/>
        <c:scaling>
          <c:orientation val="minMax"/>
          <c:min val="70"/>
        </c:scaling>
        <c:delete val="0"/>
        <c:axPos val="l"/>
        <c:majorGridlines>
          <c:spPr>
            <a:noFill/>
            <a:ln w="6350" cap="flat" cmpd="sng" algn="ctr">
              <a:solidFill>
                <a:schemeClr val="dk1"/>
              </a:solidFill>
              <a:prstDash val="solid"/>
              <a:miter lim="800000"/>
            </a:ln>
          </c:spPr>
        </c:majorGridlines>
        <c:numFmt formatCode="General" sourceLinked="1"/>
        <c:majorTickMark val="in"/>
        <c:minorTickMark val="none"/>
        <c:tickLblPos val="nextTo"/>
        <c:spPr>
          <a:noFill/>
          <a:ln w="6350" cap="flat" cmpd="sng" algn="ctr">
            <a:solidFill>
              <a:schemeClr val="dk1"/>
            </a:solidFill>
            <a:prstDash val="solid"/>
            <a:miter lim="800000"/>
          </a:ln>
        </c:spPr>
        <c:txPr>
          <a:bodyPr horzOverflow="overflow" anchor="ctr" anchorCtr="1"/>
          <a:lstStyle/>
          <a:p>
            <a:pPr algn="ctr" rtl="0">
              <a:defRPr kumimoji="0" sz="900" kern="1200">
                <a:solidFill>
                  <a:schemeClr val="tx1"/>
                </a:solidFill>
                <a:latin typeface="ＭＳ 明朝"/>
              </a:defRPr>
            </a:pPr>
            <a:endParaRPr lang="ja-JP" altLang="en-US"/>
          </a:p>
        </c:txPr>
        <c:crossAx val="1"/>
        <c:crosses val="autoZero"/>
        <c:crossBetween val="between"/>
        <c:majorUnit val="10"/>
      </c:valAx>
    </c:plotArea>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44628099173556e-002"/>
          <c:y val="3.7684763088824423e-002"/>
          <c:w val="0.8925619834710744"/>
          <c:h val="0.8947368421052630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solidFill>
              <a:ln>
                <a:noFill/>
              </a:ln>
              <a:effectLst/>
            </c:spPr>
          </c:dPt>
          <c:dPt>
            <c:idx val="4"/>
            <c:invertIfNegative val="0"/>
            <c:bubble3D val="0"/>
            <c:spPr>
              <a:solidFill>
                <a:schemeClr val="accent1"/>
              </a:solidFill>
              <a:ln>
                <a:noFill/>
              </a:ln>
              <a:effectLst/>
            </c:spPr>
          </c:dPt>
          <c:dPt>
            <c:idx val="5"/>
            <c:invertIfNegative val="0"/>
            <c:bubble3D val="0"/>
            <c:spPr>
              <a:solidFill>
                <a:schemeClr val="accent1"/>
              </a:solidFill>
              <a:ln>
                <a:noFill/>
              </a:ln>
              <a:effectLst/>
            </c:spPr>
          </c:dPt>
          <c:dPt>
            <c:idx val="6"/>
            <c:invertIfNegative val="0"/>
            <c:bubble3D val="0"/>
            <c:spPr>
              <a:solidFill>
                <a:schemeClr val="accent1"/>
              </a:solidFill>
              <a:ln>
                <a:noFill/>
              </a:ln>
              <a:effectLst/>
            </c:spPr>
          </c:dPt>
          <c:dPt>
            <c:idx val="7"/>
            <c:invertIfNegative val="0"/>
            <c:bubble3D val="0"/>
            <c:spPr>
              <a:solidFill>
                <a:schemeClr val="accent1"/>
              </a:solidFill>
              <a:ln>
                <a:noFill/>
              </a:ln>
              <a:effectLst/>
            </c:spPr>
          </c:dPt>
          <c:dLbls>
            <c:dLbl>
              <c:idx val="0"/>
              <c:layout>
                <c:manualLayout>
                  <c:x val="2.8775080800850306e-003"/>
                  <c:y val="1.986763616270454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1"/>
              <c:layout>
                <c:manualLayout>
                  <c:x val="1.2122947441487169e-003"/>
                  <c:y val="-1.264765349307413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2"/>
              <c:layout>
                <c:manualLayout>
                  <c:x val="-4.5291859178759681e-004"/>
                  <c:y val="2.428060128847530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3"/>
              <c:layout>
                <c:manualLayout>
                  <c:x val="1.1876531962430317e-003"/>
                  <c:y val="2.233306961031784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4"/>
              <c:layout>
                <c:manualLayout>
                  <c:x val="-1.3039196546712653e-003"/>
                  <c:y val="1.660299639578545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5"/>
              <c:layout>
                <c:manualLayout>
                  <c:x val="-4.8970738161861998e-004"/>
                  <c:y val="2.105313390850067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6"/>
              <c:layout>
                <c:manualLayout>
                  <c:x val="3.6301164833734624e-003"/>
                  <c:y val="2.221301284707832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7"/>
              <c:layout>
                <c:manualLayout>
                  <c:x val="-5.1434892952430538e-004"/>
                  <c:y val="2.211857489105727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P910万人あたり二次医療圏!$Y$2:$Y$9</c:f>
              <c:strCache>
                <c:ptCount val="8"/>
                <c:pt idx="0">
                  <c:v>高知県</c:v>
                </c:pt>
                <c:pt idx="1">
                  <c:v>安芸</c:v>
                </c:pt>
                <c:pt idx="2">
                  <c:v>中央</c:v>
                </c:pt>
                <c:pt idx="3">
                  <c:v>中央（高知市・南国市）</c:v>
                </c:pt>
                <c:pt idx="4">
                  <c:v>中央（高知市・南国市除く）</c:v>
                </c:pt>
                <c:pt idx="5">
                  <c:v>高幡</c:v>
                </c:pt>
                <c:pt idx="6">
                  <c:v>幡多</c:v>
                </c:pt>
                <c:pt idx="7">
                  <c:v>全国</c:v>
                </c:pt>
              </c:strCache>
            </c:strRef>
          </c:cat>
          <c:val>
            <c:numRef>
              <c:f>[医師確保計画データ集.xlsx]P910万人あたり二次医療圏!$Z$2:$Z$9</c:f>
              <c:numCache>
                <c:formatCode>#,##0.0;"△ "#,##0.0</c:formatCode>
                <c:ptCount val="8"/>
                <c:pt idx="0">
                  <c:v>322.04093260277619</c:v>
                </c:pt>
                <c:pt idx="1">
                  <c:v>235.88146383914258</c:v>
                </c:pt>
                <c:pt idx="2">
                  <c:v>363.18535029875238</c:v>
                </c:pt>
                <c:pt idx="3">
                  <c:v>447.47045221310316</c:v>
                </c:pt>
                <c:pt idx="4">
                  <c:v>144.14339133886233</c:v>
                </c:pt>
                <c:pt idx="5">
                  <c:v>169.30133669311181</c:v>
                </c:pt>
                <c:pt idx="6">
                  <c:v>200.62805303558969</c:v>
                </c:pt>
                <c:pt idx="7" formatCode="General">
                  <c:v>256.60000000000002</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0"/>
        <c:axId val="1"/>
        <c:axId val="2"/>
      </c:barChart>
      <c:catAx>
        <c:axId val="1"/>
        <c:scaling>
          <c:orientation val="minMax"/>
        </c:scaling>
        <c:delete val="1"/>
        <c:axPos val="b"/>
        <c:numFmt formatCode="#,##0.0;&quot;△ &quot;#,##0.0" sourceLinked="1"/>
        <c:majorTickMark val="out"/>
        <c:minorTickMark val="none"/>
        <c:tickLblPos val="nextTo"/>
        <c:spPr>
          <a:noFill/>
          <a:ln w="6350" cap="flat" cmpd="sng" algn="ctr">
            <a:solidFill>
              <a:schemeClr val="tx1"/>
            </a:solidFill>
            <a:prstDash val="solid"/>
            <a:miter lim="800000"/>
          </a:ln>
          <a:effectLst/>
        </c:spPr>
        <c:txPr>
          <a:bodyPr rot="-60000000" spcFirstLastPara="1" vertOverflow="ellipsis" horzOverflow="overflow" wrap="square" anchor="ctr" anchorCtr="1"/>
          <a:lstStyle/>
          <a:p>
            <a:pPr algn="ctr" rtl="0">
              <a:defRPr kumimoji="0" lang="ja-JP" altLang="en-US" sz="900" kern="1200">
                <a:solidFill>
                  <a:schemeClr val="bg1"/>
                </a:solidFill>
                <a:latin typeface="+mn-lt"/>
                <a:ea typeface="+mn-ea"/>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6350" cap="flat" cmpd="sng" algn="ctr">
              <a:solidFill>
                <a:schemeClr val="bg1">
                  <a:lumMod val="65000"/>
                </a:schemeClr>
              </a:solidFill>
              <a:prstDash val="solid"/>
              <a:miter lim="800000"/>
            </a:ln>
            <a:effectLst/>
          </c:spPr>
        </c:majorGridlines>
        <c:numFmt formatCode="#,##0.0;&quot;△ &quot;#,##0.0" sourceLinked="1"/>
        <c:majorTickMark val="out"/>
        <c:minorTickMark val="none"/>
        <c:tickLblPos val="nextTo"/>
        <c:spPr>
          <a:noFill/>
          <a:ln w="6350" cap="flat" cmpd="sng" algn="ctr">
            <a:solidFill>
              <a:schemeClr val="bg1">
                <a:lumMod val="65000"/>
              </a:schemeClr>
            </a:solidFill>
            <a:prstDash val="solid"/>
            <a:miter lim="800000"/>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明朝"/>
                <a:ea typeface="+mn-ea"/>
                <a:cs typeface="+mn-cs"/>
              </a:defRPr>
            </a:pPr>
            <a:endParaRPr lang="ja-JP" altLang="en-US"/>
          </a:p>
        </c:txPr>
        <c:crossAx val="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471603211760698e-002"/>
          <c:y val="4.2660978616865977e-002"/>
          <c:w val="0.90669559335877203"/>
          <c:h val="0.7112231576240291"/>
        </c:manualLayout>
      </c:layout>
      <c:barChart>
        <c:barDir val="col"/>
        <c:grouping val="stacked"/>
        <c:varyColors val="0"/>
        <c:ser>
          <c:idx val="0"/>
          <c:order val="0"/>
          <c:tx>
            <c:strRef>
              <c:f>P9研修医採用数!$A$2</c:f>
              <c:strCache>
                <c:ptCount val="1"/>
                <c:pt idx="0">
                  <c:v>高知大学医学部附属病院</c:v>
                </c:pt>
              </c:strCache>
            </c:strRef>
          </c:tx>
          <c:spPr>
            <a:solidFill>
              <a:schemeClr val="tx2">
                <a:lumMod val="40000"/>
                <a:lumOff val="60000"/>
              </a:schemeClr>
            </a:solidFill>
          </c:spPr>
          <c:invertIfNegative val="0"/>
          <c:dLbls>
            <c:txPr>
              <a:bodyPr rot="0" horzOverflow="overflow" lIns="36576" tIns="18288" rIns="36576" bIns="18288" anchor="ctr" anchorCtr="1"/>
              <a:lstStyle/>
              <a:p>
                <a:pPr algn="ctr" rtl="0">
                  <a:defRPr kumimoji="0" sz="1000" kern="1200">
                    <a:solidFill>
                      <a:schemeClr val="tx1"/>
                    </a:solidFill>
                    <a:latin typeface="ＭＳ 明朝"/>
                    <a:ea typeface="ＭＳ 明朝"/>
                  </a:defRPr>
                </a:pPr>
                <a:endParaRPr lang="ja-JP" altLang="en-US"/>
              </a:p>
            </c:txPr>
            <c:showLegendKey val="0"/>
            <c:showVal val="1"/>
            <c:showCatName val="0"/>
            <c:showSerName val="0"/>
            <c:showPercent val="0"/>
            <c:showBubbleSize val="0"/>
          </c:dLbls>
          <c:cat>
            <c:strRef>
              <c:f>P9研修医採用数!$B$1:$U$1</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R1</c:v>
                </c:pt>
                <c:pt idx="16">
                  <c:v>R2</c:v>
                </c:pt>
                <c:pt idx="17">
                  <c:v>R3</c:v>
                </c:pt>
                <c:pt idx="18">
                  <c:v>R4</c:v>
                </c:pt>
                <c:pt idx="19">
                  <c:v>R5</c:v>
                </c:pt>
              </c:strCache>
            </c:strRef>
          </c:cat>
          <c:val>
            <c:numRef>
              <c:f>[医師確保計画データ集.xlsx]P9研修医採用数!$B$2:$U$2</c:f>
              <c:numCache>
                <c:formatCode>General</c:formatCode>
                <c:ptCount val="20"/>
                <c:pt idx="0">
                  <c:v>22</c:v>
                </c:pt>
                <c:pt idx="1">
                  <c:v>16</c:v>
                </c:pt>
                <c:pt idx="2">
                  <c:v>7</c:v>
                </c:pt>
                <c:pt idx="3">
                  <c:v>20</c:v>
                </c:pt>
                <c:pt idx="4">
                  <c:v>15</c:v>
                </c:pt>
                <c:pt idx="5">
                  <c:v>18</c:v>
                </c:pt>
                <c:pt idx="6">
                  <c:v>26</c:v>
                </c:pt>
                <c:pt idx="7">
                  <c:v>15</c:v>
                </c:pt>
                <c:pt idx="8">
                  <c:v>17</c:v>
                </c:pt>
                <c:pt idx="9">
                  <c:v>11</c:v>
                </c:pt>
                <c:pt idx="10">
                  <c:v>22</c:v>
                </c:pt>
                <c:pt idx="11">
                  <c:v>17</c:v>
                </c:pt>
                <c:pt idx="12">
                  <c:v>19</c:v>
                </c:pt>
                <c:pt idx="13">
                  <c:v>17</c:v>
                </c:pt>
                <c:pt idx="14">
                  <c:v>8</c:v>
                </c:pt>
                <c:pt idx="15">
                  <c:v>15</c:v>
                </c:pt>
                <c:pt idx="16">
                  <c:v>5</c:v>
                </c:pt>
                <c:pt idx="17">
                  <c:v>15</c:v>
                </c:pt>
                <c:pt idx="18">
                  <c:v>13</c:v>
                </c:pt>
                <c:pt idx="19">
                  <c:v>16</c:v>
                </c:pt>
              </c:numCache>
            </c:numRef>
          </c:val>
        </c:ser>
        <c:ser>
          <c:idx val="1"/>
          <c:order val="1"/>
          <c:tx>
            <c:strRef>
              <c:f>P9研修医採用数!$A$3</c:f>
              <c:strCache>
                <c:ptCount val="1"/>
                <c:pt idx="0">
                  <c:v>その他の基幹型臨床研修病院</c:v>
                </c:pt>
              </c:strCache>
            </c:strRef>
          </c:tx>
          <c:spPr>
            <a:solidFill>
              <a:schemeClr val="accent6">
                <a:lumMod val="60000"/>
                <a:lumOff val="40000"/>
              </a:schemeClr>
            </a:solidFill>
          </c:spPr>
          <c:invertIfNegative val="0"/>
          <c:dLbls>
            <c:txPr>
              <a:bodyPr rot="0" horzOverflow="overflow" lIns="36576" tIns="18288" rIns="36576" bIns="18288" anchor="ctr" anchorCtr="1"/>
              <a:lstStyle/>
              <a:p>
                <a:pPr algn="ctr" rtl="0">
                  <a:defRPr kumimoji="0" sz="1000" kern="1200">
                    <a:solidFill>
                      <a:schemeClr val="tx1"/>
                    </a:solidFill>
                    <a:latin typeface="ＭＳ 明朝"/>
                    <a:ea typeface="ＭＳ 明朝"/>
                  </a:defRPr>
                </a:pPr>
                <a:endParaRPr lang="ja-JP" altLang="en-US"/>
              </a:p>
            </c:txPr>
            <c:showLegendKey val="0"/>
            <c:showVal val="1"/>
            <c:showCatName val="0"/>
            <c:showSerName val="0"/>
            <c:showPercent val="0"/>
            <c:showBubbleSize val="0"/>
          </c:dLbls>
          <c:cat>
            <c:strRef>
              <c:f>P9研修医採用数!$B$1:$U$1</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R1</c:v>
                </c:pt>
                <c:pt idx="16">
                  <c:v>R2</c:v>
                </c:pt>
                <c:pt idx="17">
                  <c:v>R3</c:v>
                </c:pt>
                <c:pt idx="18">
                  <c:v>R4</c:v>
                </c:pt>
                <c:pt idx="19">
                  <c:v>R5</c:v>
                </c:pt>
              </c:strCache>
            </c:strRef>
          </c:cat>
          <c:val>
            <c:numRef>
              <c:f>[医師確保計画データ集.xlsx]P9研修医採用数!$B$3:$U$3</c:f>
              <c:numCache>
                <c:formatCode>General</c:formatCode>
                <c:ptCount val="20"/>
                <c:pt idx="0">
                  <c:v>19</c:v>
                </c:pt>
                <c:pt idx="1">
                  <c:v>29</c:v>
                </c:pt>
                <c:pt idx="2">
                  <c:v>29</c:v>
                </c:pt>
                <c:pt idx="3">
                  <c:v>24</c:v>
                </c:pt>
                <c:pt idx="4">
                  <c:v>23</c:v>
                </c:pt>
                <c:pt idx="5">
                  <c:v>18</c:v>
                </c:pt>
                <c:pt idx="6">
                  <c:v>15</c:v>
                </c:pt>
                <c:pt idx="7">
                  <c:v>24</c:v>
                </c:pt>
                <c:pt idx="8">
                  <c:v>33</c:v>
                </c:pt>
                <c:pt idx="9">
                  <c:v>35</c:v>
                </c:pt>
                <c:pt idx="10">
                  <c:v>30</c:v>
                </c:pt>
                <c:pt idx="11">
                  <c:v>41</c:v>
                </c:pt>
                <c:pt idx="12">
                  <c:v>40</c:v>
                </c:pt>
                <c:pt idx="13">
                  <c:v>41</c:v>
                </c:pt>
                <c:pt idx="14">
                  <c:v>44</c:v>
                </c:pt>
                <c:pt idx="15">
                  <c:v>47</c:v>
                </c:pt>
                <c:pt idx="16">
                  <c:v>51</c:v>
                </c:pt>
                <c:pt idx="17">
                  <c:v>49</c:v>
                </c:pt>
                <c:pt idx="18">
                  <c:v>45</c:v>
                </c:pt>
                <c:pt idx="19">
                  <c:v>52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out"/>
        <c:minorTickMark val="none"/>
        <c:tickLblPos val="nextTo"/>
        <c:txPr>
          <a:bodyPr horzOverflow="overflow" anchor="ctr" anchorCtr="1"/>
          <a:lstStyle/>
          <a:p>
            <a:pPr algn="ctr" rtl="0">
              <a:defRPr kumimoji="0" sz="1100" b="0" i="0" kern="1200">
                <a:solidFill>
                  <a:schemeClr val="tx1"/>
                </a:solidFill>
                <a:latin typeface="ＭＳ 明朝"/>
                <a:ea typeface="ＭＳ 明朝"/>
              </a:defRPr>
            </a:pPr>
            <a:endParaRPr lang="ja-JP" altLang="en-US"/>
          </a:p>
        </c:txPr>
        <c:crossAx val="2"/>
        <c:crosses val="autoZero"/>
        <c:auto val="1"/>
        <c:lblAlgn val="ctr"/>
        <c:lblOffset val="100"/>
        <c:noMultiLvlLbl val="0"/>
      </c:catAx>
      <c:valAx>
        <c:axId val="2"/>
        <c:scaling>
          <c:orientation val="minMax"/>
        </c:scaling>
        <c:delete val="0"/>
        <c:axPos val="l"/>
        <c:majorGridlines/>
        <c:numFmt formatCode="General" sourceLinked="1"/>
        <c:majorTickMark val="out"/>
        <c:minorTickMark val="none"/>
        <c:tickLblPos val="nextTo"/>
        <c:txPr>
          <a:bodyPr horzOverflow="overflow" anchor="ctr" anchorCtr="1"/>
          <a:lstStyle/>
          <a:p>
            <a:pPr algn="ctr" rtl="0">
              <a:defRPr kumimoji="0" sz="1100" b="0" i="0" kern="1200">
                <a:solidFill>
                  <a:schemeClr val="tx1"/>
                </a:solidFill>
                <a:latin typeface="ＭＳ 明朝"/>
                <a:ea typeface="ＭＳ 明朝"/>
              </a:defRPr>
            </a:pPr>
            <a:endParaRPr lang="ja-JP" altLang="en-US"/>
          </a:p>
        </c:txPr>
        <c:crossAx val="1"/>
        <c:crosses val="autoZero"/>
        <c:crossBetween val="between"/>
      </c:valAx>
    </c:plotArea>
    <c:legend>
      <c:legendPos val="t"/>
      <c:legendEntry>
        <c:idx val="0"/>
        <c:txPr>
          <a:bodyPr horzOverflow="overflow" anchor="ctr" anchorCtr="1"/>
          <a:lstStyle/>
          <a:p>
            <a:pPr algn="l" rtl="0">
              <a:defRPr kumimoji="0" sz="1100" b="0" i="0" kern="1200">
                <a:solidFill>
                  <a:schemeClr val="tx1"/>
                </a:solidFill>
                <a:latin typeface="ＭＳ 明朝"/>
                <a:ea typeface="ＭＳ 明朝"/>
              </a:defRPr>
            </a:pPr>
            <a:endParaRPr lang="ja-JP" altLang="en-US"/>
          </a:p>
        </c:txPr>
      </c:legendEntry>
      <c:legendEntry>
        <c:idx val="1"/>
        <c:txPr>
          <a:bodyPr horzOverflow="overflow" anchor="ctr" anchorCtr="1"/>
          <a:lstStyle/>
          <a:p>
            <a:pPr algn="l" rtl="0">
              <a:defRPr kumimoji="0" sz="1100" b="0" i="0" kern="1200">
                <a:solidFill>
                  <a:schemeClr val="tx1"/>
                </a:solidFill>
                <a:latin typeface="ＭＳ 明朝"/>
                <a:ea typeface="ＭＳ 明朝"/>
              </a:defRPr>
            </a:pPr>
            <a:endParaRPr lang="ja-JP" altLang="en-US"/>
          </a:p>
        </c:txPr>
      </c:legendEntry>
      <c:layout>
        <c:manualLayout>
          <c:xMode val="edge"/>
          <c:yMode val="edge"/>
          <c:x val="5.9900166389351084e-002"/>
          <c:y val="4.3010752688172046e-002"/>
          <c:w val="0.85690515806988354"/>
          <c:h val="7.5268817204301078e-002"/>
        </c:manualLayout>
      </c:layout>
      <c:overlay val="0"/>
      <c:txPr>
        <a:bodyPr horzOverflow="overflow" anchor="ctr" anchorCtr="1"/>
        <a:lstStyle/>
        <a:p>
          <a:pPr algn="l" rtl="0">
            <a:defRPr kumimoji="0" sz="1100" b="1" i="0" kern="1200">
              <a:solidFill>
                <a:schemeClr val="tx1"/>
              </a:solidFill>
              <a:latin typeface="ＭＳ 明朝"/>
              <a:ea typeface="ＭＳ 明朝"/>
            </a:defRPr>
          </a:pPr>
          <a:endParaRPr lang="ja-JP" altLang="en-US"/>
        </a:p>
      </c:txPr>
    </c:legend>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19009785261291e-002"/>
          <c:y val="7.7634295713035872e-002"/>
          <c:w val="0.84136862029658532"/>
          <c:h val="0.79424380285797613"/>
        </c:manualLayout>
      </c:layout>
      <c:barChart>
        <c:barDir val="col"/>
        <c:grouping val="stacked"/>
        <c:varyColors val="0"/>
        <c:ser>
          <c:idx val="0"/>
          <c:order val="0"/>
          <c:tx>
            <c:strRef>
              <c:f>P10研修医の進路!$AE$8</c:f>
              <c:strCache>
                <c:ptCount val="1"/>
                <c:pt idx="0">
                  <c:v>県内（その他）</c:v>
                </c:pt>
              </c:strCache>
            </c:strRef>
          </c:tx>
          <c:spPr>
            <a:solidFill>
              <a:srgbClr val="CCFFFF"/>
            </a:solidFill>
            <a:ln w="12700">
              <a:solidFill>
                <a:srgbClr val="000000"/>
              </a:solidFill>
              <a:prstDash val="solid"/>
            </a:ln>
          </c:spPr>
          <c:invertIfNegative val="0"/>
          <c:dPt>
            <c:idx val="9"/>
            <c:invertIfNegative val="0"/>
            <c:bubble3D val="0"/>
          </c:dPt>
          <c:dLbls>
            <c:dLbl>
              <c:idx val="9"/>
              <c:layout/>
              <c:spPr>
                <a:noFill/>
                <a:ln>
                  <a:noFill/>
                </a:ln>
              </c:spPr>
              <c:txPr>
                <a:bodyPr lIns="36576" tIns="18288" rIns="36576" bIns="18288"/>
                <a:lstStyle/>
                <a:p>
                  <a:pPr>
                    <a:defRPr kumimoji="0" sz="900" b="0" kern="1200">
                      <a:solidFill>
                        <a:srgbClr val="000000"/>
                      </a:solidFill>
                      <a:latin typeface="ＭＳ 明朝"/>
                      <a:ea typeface="ＭＳ 明朝"/>
                    </a:defRPr>
                  </a:pPr>
                  <a:endParaRPr lang="ja-JP" altLang="en-US"/>
                </a:p>
              </c:txPr>
              <c:showLegendKey val="0"/>
              <c:showVal val="1"/>
              <c:showCatName val="0"/>
              <c:showSerName val="0"/>
              <c:showPercent val="0"/>
              <c:showBubbleSize val="0"/>
              <c:separator xml:space="preserve">, </c:separator>
            </c:dLbl>
            <c:spPr>
              <a:noFill/>
              <a:ln>
                <a:noFill/>
              </a:ln>
            </c:spPr>
            <c:txPr>
              <a:bodyPr rot="0" horzOverflow="overflow" lIns="36576" tIns="18288" rIns="36576" bIns="18288" anchor="ctr" anchorCtr="1"/>
              <a:lstStyle/>
              <a:p>
                <a:pPr algn="ctr" rtl="0">
                  <a:defRPr kumimoji="0" sz="900" b="0" kern="1200">
                    <a:solidFill>
                      <a:srgbClr val="000000"/>
                    </a:solidFill>
                    <a:latin typeface="ＭＳ 明朝"/>
                    <a:ea typeface="ＭＳ 明朝"/>
                  </a:defRPr>
                </a:pPr>
                <a:endParaRPr lang="ja-JP" altLang="en-US"/>
              </a:p>
            </c:txPr>
            <c:showLegendKey val="0"/>
            <c:showVal val="1"/>
            <c:showCatName val="0"/>
            <c:showSerName val="0"/>
            <c:showPercent val="0"/>
            <c:showBubbleSize val="0"/>
            <c:separator xml:space="preserve">, </c:separator>
          </c:dLbls>
          <c:cat>
            <c:strRef>
              <c:f>P10研修医の進路!$AF$7:$AU$7</c:f>
              <c:strCache>
                <c:ptCount val="16"/>
                <c:pt idx="0">
                  <c:v>H20</c:v>
                </c:pt>
                <c:pt idx="1">
                  <c:v>H21</c:v>
                </c:pt>
                <c:pt idx="2">
                  <c:v>H22</c:v>
                </c:pt>
                <c:pt idx="3">
                  <c:v>H23</c:v>
                </c:pt>
                <c:pt idx="4">
                  <c:v>H24</c:v>
                </c:pt>
                <c:pt idx="5">
                  <c:v>H25</c:v>
                </c:pt>
                <c:pt idx="6">
                  <c:v>H26</c:v>
                </c:pt>
                <c:pt idx="7">
                  <c:v>H27</c:v>
                </c:pt>
                <c:pt idx="8">
                  <c:v>H28</c:v>
                </c:pt>
                <c:pt idx="9">
                  <c:v>H29</c:v>
                </c:pt>
                <c:pt idx="10">
                  <c:v>H30</c:v>
                </c:pt>
                <c:pt idx="11">
                  <c:v>R1</c:v>
                </c:pt>
                <c:pt idx="12">
                  <c:v>R2</c:v>
                </c:pt>
                <c:pt idx="13">
                  <c:v>R3</c:v>
                </c:pt>
                <c:pt idx="14">
                  <c:v>R4</c:v>
                </c:pt>
                <c:pt idx="15">
                  <c:v>R5</c:v>
                </c:pt>
              </c:strCache>
            </c:strRef>
          </c:cat>
          <c:val>
            <c:numRef>
              <c:f>[医師確保計画データ集.xlsx]P10研修医の進路!$AF$8:$AU$8</c:f>
              <c:numCache>
                <c:formatCode>General</c:formatCode>
                <c:ptCount val="16"/>
                <c:pt idx="0">
                  <c:v>18</c:v>
                </c:pt>
                <c:pt idx="1">
                  <c:v>34</c:v>
                </c:pt>
                <c:pt idx="2">
                  <c:v>29</c:v>
                </c:pt>
                <c:pt idx="3">
                  <c:v>24</c:v>
                </c:pt>
                <c:pt idx="4">
                  <c:v>25</c:v>
                </c:pt>
                <c:pt idx="5">
                  <c:v>21</c:v>
                </c:pt>
                <c:pt idx="6">
                  <c:v>27</c:v>
                </c:pt>
                <c:pt idx="7">
                  <c:v>40</c:v>
                </c:pt>
                <c:pt idx="8">
                  <c:v>39</c:v>
                </c:pt>
                <c:pt idx="9">
                  <c:v>30</c:v>
                </c:pt>
                <c:pt idx="10">
                  <c:v>23</c:v>
                </c:pt>
                <c:pt idx="11">
                  <c:v>22</c:v>
                </c:pt>
                <c:pt idx="12">
                  <c:v>15</c:v>
                </c:pt>
                <c:pt idx="13">
                  <c:v>24</c:v>
                </c:pt>
                <c:pt idx="14">
                  <c:v>15</c:v>
                </c:pt>
                <c:pt idx="15">
                  <c:v>19</c:v>
                </c:pt>
              </c:numCache>
            </c:numRef>
          </c:val>
        </c:ser>
        <c:ser>
          <c:idx val="1"/>
          <c:order val="1"/>
          <c:tx>
            <c:strRef>
              <c:f>P10研修医の進路!$AE$9</c:f>
              <c:strCache>
                <c:ptCount val="1"/>
                <c:pt idx="0">
                  <c:v>県内（奨学金受給者）</c:v>
                </c:pt>
              </c:strCache>
            </c:strRef>
          </c:tx>
          <c:spPr>
            <a:solidFill>
              <a:srgbClr val="FF99CC"/>
            </a:solidFill>
            <a:ln w="12700">
              <a:solidFill>
                <a:srgbClr val="000000"/>
              </a:solidFill>
              <a:prstDash val="solid"/>
            </a:ln>
          </c:spPr>
          <c:invertIfNegative val="0"/>
          <c:dLbls>
            <c:spPr>
              <a:noFill/>
              <a:ln>
                <a:noFill/>
              </a:ln>
            </c:spPr>
            <c:txPr>
              <a:bodyPr rot="0" horzOverflow="overflow" lIns="36576" tIns="18288" rIns="36576" bIns="18288" anchor="ctr" anchorCtr="1"/>
              <a:lstStyle/>
              <a:p>
                <a:pPr algn="ctr" rtl="0">
                  <a:defRPr kumimoji="0" sz="900" b="0" kern="1200">
                    <a:solidFill>
                      <a:srgbClr val="000000"/>
                    </a:solidFill>
                    <a:latin typeface="ＭＳ 明朝"/>
                    <a:ea typeface="ＭＳ 明朝"/>
                  </a:defRPr>
                </a:pPr>
                <a:endParaRPr lang="ja-JP" altLang="en-US"/>
              </a:p>
            </c:txPr>
            <c:showLegendKey val="0"/>
            <c:showVal val="1"/>
            <c:showCatName val="0"/>
            <c:showSerName val="0"/>
            <c:showPercent val="0"/>
            <c:showBubbleSize val="0"/>
            <c:separator xml:space="preserve">, </c:separator>
          </c:dLbls>
          <c:cat>
            <c:strRef>
              <c:f>P10研修医の進路!$AF$7:$AU$7</c:f>
              <c:strCache>
                <c:ptCount val="16"/>
                <c:pt idx="0">
                  <c:v>H20</c:v>
                </c:pt>
                <c:pt idx="1">
                  <c:v>H21</c:v>
                </c:pt>
                <c:pt idx="2">
                  <c:v>H22</c:v>
                </c:pt>
                <c:pt idx="3">
                  <c:v>H23</c:v>
                </c:pt>
                <c:pt idx="4">
                  <c:v>H24</c:v>
                </c:pt>
                <c:pt idx="5">
                  <c:v>H25</c:v>
                </c:pt>
                <c:pt idx="6">
                  <c:v>H26</c:v>
                </c:pt>
                <c:pt idx="7">
                  <c:v>H27</c:v>
                </c:pt>
                <c:pt idx="8">
                  <c:v>H28</c:v>
                </c:pt>
                <c:pt idx="9">
                  <c:v>H29</c:v>
                </c:pt>
                <c:pt idx="10">
                  <c:v>H30</c:v>
                </c:pt>
                <c:pt idx="11">
                  <c:v>R1</c:v>
                </c:pt>
                <c:pt idx="12">
                  <c:v>R2</c:v>
                </c:pt>
                <c:pt idx="13">
                  <c:v>R3</c:v>
                </c:pt>
                <c:pt idx="14">
                  <c:v>R4</c:v>
                </c:pt>
                <c:pt idx="15">
                  <c:v>R5</c:v>
                </c:pt>
              </c:strCache>
            </c:strRef>
          </c:cat>
          <c:val>
            <c:numRef>
              <c:f>[医師確保計画データ集.xlsx]P10研修医の進路!$AF$9:$AU$9</c:f>
              <c:numCache>
                <c:formatCode>General</c:formatCode>
                <c:ptCount val="16"/>
                <c:pt idx="2">
                  <c:v>1</c:v>
                </c:pt>
                <c:pt idx="3">
                  <c:v>3</c:v>
                </c:pt>
                <c:pt idx="4">
                  <c:v>4</c:v>
                </c:pt>
                <c:pt idx="5">
                  <c:v>3</c:v>
                </c:pt>
                <c:pt idx="6">
                  <c:v>6</c:v>
                </c:pt>
                <c:pt idx="7">
                  <c:v>4</c:v>
                </c:pt>
                <c:pt idx="8">
                  <c:v>5</c:v>
                </c:pt>
                <c:pt idx="9">
                  <c:v>11</c:v>
                </c:pt>
                <c:pt idx="10">
                  <c:v>26</c:v>
                </c:pt>
                <c:pt idx="11">
                  <c:v>16</c:v>
                </c:pt>
                <c:pt idx="12">
                  <c:v>27</c:v>
                </c:pt>
                <c:pt idx="13">
                  <c:v>30</c:v>
                </c:pt>
                <c:pt idx="14">
                  <c:v>32</c:v>
                </c:pt>
                <c:pt idx="15">
                  <c:v>33</c:v>
                </c:pt>
              </c:numCache>
            </c:numRef>
          </c:val>
        </c:ser>
        <c:ser>
          <c:idx val="2"/>
          <c:order val="2"/>
          <c:tx>
            <c:strRef>
              <c:f>P10研修医の進路!$AE$10</c:f>
              <c:strCache>
                <c:ptCount val="1"/>
                <c:pt idx="0">
                  <c:v>県外</c:v>
                </c:pt>
              </c:strCache>
            </c:strRef>
          </c:tx>
          <c:spPr>
            <a:solidFill>
              <a:srgbClr val="FFFFCC"/>
            </a:solidFill>
            <a:ln w="12700">
              <a:solidFill>
                <a:srgbClr val="000000"/>
              </a:solidFill>
              <a:prstDash val="solid"/>
            </a:ln>
          </c:spPr>
          <c:invertIfNegative val="0"/>
          <c:dLbls>
            <c:spPr>
              <a:noFill/>
              <a:ln>
                <a:noFill/>
              </a:ln>
            </c:spPr>
            <c:txPr>
              <a:bodyPr rot="0" horzOverflow="overflow" lIns="36576" tIns="18288" rIns="36576" bIns="18288" anchor="ctr" anchorCtr="1"/>
              <a:lstStyle/>
              <a:p>
                <a:pPr algn="ctr" rtl="0">
                  <a:defRPr kumimoji="0" sz="900" b="0" kern="1200">
                    <a:solidFill>
                      <a:srgbClr val="000000"/>
                    </a:solidFill>
                    <a:latin typeface="ＭＳ 明朝"/>
                    <a:ea typeface="ＭＳ 明朝"/>
                  </a:defRPr>
                </a:pPr>
                <a:endParaRPr lang="ja-JP" altLang="en-US"/>
              </a:p>
            </c:txPr>
            <c:showLegendKey val="0"/>
            <c:showVal val="1"/>
            <c:showCatName val="0"/>
            <c:showSerName val="0"/>
            <c:showPercent val="0"/>
            <c:showBubbleSize val="0"/>
            <c:separator xml:space="preserve">, </c:separator>
          </c:dLbls>
          <c:cat>
            <c:strRef>
              <c:f>P10研修医の進路!$AF$7:$AU$7</c:f>
              <c:strCache>
                <c:ptCount val="16"/>
                <c:pt idx="0">
                  <c:v>H20</c:v>
                </c:pt>
                <c:pt idx="1">
                  <c:v>H21</c:v>
                </c:pt>
                <c:pt idx="2">
                  <c:v>H22</c:v>
                </c:pt>
                <c:pt idx="3">
                  <c:v>H23</c:v>
                </c:pt>
                <c:pt idx="4">
                  <c:v>H24</c:v>
                </c:pt>
                <c:pt idx="5">
                  <c:v>H25</c:v>
                </c:pt>
                <c:pt idx="6">
                  <c:v>H26</c:v>
                </c:pt>
                <c:pt idx="7">
                  <c:v>H27</c:v>
                </c:pt>
                <c:pt idx="8">
                  <c:v>H28</c:v>
                </c:pt>
                <c:pt idx="9">
                  <c:v>H29</c:v>
                </c:pt>
                <c:pt idx="10">
                  <c:v>H30</c:v>
                </c:pt>
                <c:pt idx="11">
                  <c:v>R1</c:v>
                </c:pt>
                <c:pt idx="12">
                  <c:v>R2</c:v>
                </c:pt>
                <c:pt idx="13">
                  <c:v>R3</c:v>
                </c:pt>
                <c:pt idx="14">
                  <c:v>R4</c:v>
                </c:pt>
                <c:pt idx="15">
                  <c:v>R5</c:v>
                </c:pt>
              </c:strCache>
            </c:strRef>
          </c:cat>
          <c:val>
            <c:numRef>
              <c:f>[医師確保計画データ集.xlsx]P10研修医の進路!$AF$10:$AU$10</c:f>
              <c:numCache>
                <c:formatCode>General</c:formatCode>
                <c:ptCount val="16"/>
                <c:pt idx="0">
                  <c:v>16</c:v>
                </c:pt>
                <c:pt idx="1">
                  <c:v>11</c:v>
                </c:pt>
                <c:pt idx="2">
                  <c:v>9</c:v>
                </c:pt>
                <c:pt idx="3">
                  <c:v>7</c:v>
                </c:pt>
                <c:pt idx="4">
                  <c:v>7</c:v>
                </c:pt>
                <c:pt idx="5">
                  <c:v>15</c:v>
                </c:pt>
                <c:pt idx="6">
                  <c:v>12</c:v>
                </c:pt>
                <c:pt idx="7">
                  <c:v>5</c:v>
                </c:pt>
                <c:pt idx="8">
                  <c:v>8</c:v>
                </c:pt>
                <c:pt idx="9">
                  <c:v>15</c:v>
                </c:pt>
                <c:pt idx="10">
                  <c:v>10</c:v>
                </c:pt>
                <c:pt idx="11">
                  <c:v>16</c:v>
                </c:pt>
                <c:pt idx="12">
                  <c:v>12</c:v>
                </c:pt>
                <c:pt idx="13">
                  <c:v>7</c:v>
                </c:pt>
                <c:pt idx="14">
                  <c:v>8</c:v>
                </c:pt>
                <c:pt idx="15">
                  <c:v>12</c:v>
                </c:pt>
              </c:numCache>
            </c:numRef>
          </c:val>
        </c:ser>
        <c:dLbls>
          <c:txPr>
            <a:bodyPr rot="0" horzOverflow="overflow" anchor="ctr" anchorCtr="1">
              <a:spAutoFit/>
            </a:bodyPr>
            <a:lstStyle/>
            <a:p>
              <a:pPr algn="ctr" rtl="0">
                <a:defRPr sz="1100">
                  <a:solidFill>
                    <a:srgbClr val="000000"/>
                  </a:solidFill>
                </a:defRPr>
              </a:pPr>
              <a:endParaRPr lang="ja-JP" altLang="en-US"/>
            </a:p>
          </c:txPr>
          <c:showLegendKey val="0"/>
          <c:showVal val="0"/>
          <c:showCatName val="0"/>
          <c:showSerName val="0"/>
          <c:showPercent val="0"/>
          <c:showBubbleSize val="0"/>
        </c:dLbls>
        <c:gapWidth val="70"/>
        <c:overlap val="100"/>
        <c:axId val="1"/>
        <c:axId val="2"/>
      </c:barChart>
      <c:lineChart>
        <c:grouping val="standard"/>
        <c:varyColors val="0"/>
        <c:ser>
          <c:idx val="3"/>
          <c:order val="3"/>
          <c:tx>
            <c:strRef>
              <c:f>P10研修医の進路!$AE$11</c:f>
              <c:strCache>
                <c:ptCount val="1"/>
                <c:pt idx="0">
                  <c:v>県内定着率</c:v>
                </c:pt>
              </c:strCache>
            </c:strRef>
          </c:tx>
          <c:spPr>
            <a:ln w="12700">
              <a:solidFill>
                <a:srgbClr val="000080"/>
              </a:solidFill>
              <a:prstDash val="solid"/>
            </a:ln>
          </c:spPr>
          <c:marker>
            <c:spPr>
              <a:solidFill>
                <a:srgbClr val="FFFFFF"/>
              </a:solidFill>
              <a:ln>
                <a:solidFill>
                  <a:srgbClr val="000080"/>
                </a:solidFill>
              </a:ln>
            </c:spPr>
          </c:marker>
          <c:dPt>
            <c:idx val="1"/>
            <c:invertIfNegative val="0"/>
            <c:marker/>
            <c:bubble3D val="0"/>
          </c:dPt>
          <c:dPt>
            <c:idx val="2"/>
            <c:invertIfNegative val="0"/>
            <c:marker/>
            <c:bubble3D val="0"/>
          </c:dPt>
          <c:dPt>
            <c:idx val="5"/>
            <c:invertIfNegative val="0"/>
            <c:marker/>
            <c:bubble3D val="0"/>
          </c:dPt>
          <c:dPt>
            <c:idx val="7"/>
            <c:invertIfNegative val="0"/>
            <c:marker/>
            <c:bubble3D val="0"/>
          </c:dPt>
          <c:dPt>
            <c:idx val="8"/>
            <c:invertIfNegative val="0"/>
            <c:marker/>
            <c:bubble3D val="0"/>
          </c:dPt>
          <c:dPt>
            <c:idx val="9"/>
            <c:invertIfNegative val="0"/>
            <c:marker/>
            <c:bubble3D val="0"/>
          </c:dPt>
          <c:dPt>
            <c:idx val="10"/>
            <c:invertIfNegative val="0"/>
            <c:marker/>
            <c:bubble3D val="0"/>
          </c:dPt>
          <c:dPt>
            <c:idx val="11"/>
            <c:invertIfNegative val="0"/>
            <c:marker/>
            <c:bubble3D val="0"/>
          </c:dPt>
          <c:dPt>
            <c:idx val="12"/>
            <c:invertIfNegative val="0"/>
            <c:marker/>
            <c:bubble3D val="0"/>
          </c:dPt>
          <c:dPt>
            <c:idx val="13"/>
            <c:invertIfNegative val="0"/>
            <c:marker/>
            <c:bubble3D val="0"/>
          </c:dPt>
          <c:dPt>
            <c:idx val="14"/>
            <c:invertIfNegative val="0"/>
            <c:marker/>
            <c:bubble3D val="0"/>
          </c:dPt>
          <c:dPt>
            <c:idx val="15"/>
            <c:invertIfNegative val="0"/>
            <c:marker/>
            <c:bubble3D val="0"/>
          </c:dPt>
          <c:dLbls>
            <c:dLbl>
              <c:idx val="1"/>
              <c:layout>
                <c:manualLayout>
                  <c:x val="-3.1383176112886879e-002"/>
                  <c:y val="-3.2893749392437055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2"/>
              <c:layout>
                <c:manualLayout>
                  <c:x val="-3.4958758868012786e-002"/>
                  <c:y val="-4.7958199669485758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5"/>
              <c:layout>
                <c:manualLayout>
                  <c:x val="-2.984413086977989e-002"/>
                  <c:y val="-4.8853504423058226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7"/>
              <c:layout>
                <c:manualLayout>
                  <c:x val="-3.3537041570906943e-002"/>
                  <c:y val="-3.1827743754252943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8"/>
              <c:layout>
                <c:manualLayout>
                  <c:x val="-3.6449505998309893e-002"/>
                  <c:y val="-3.5936813453873818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9"/>
              <c:layout>
                <c:manualLayout>
                  <c:x val="-3.4346819987521621e-002"/>
                  <c:y val="-7.8341207349081371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0"/>
              <c:layout>
                <c:manualLayout>
                  <c:x val="-3.5253266360762078e-002"/>
                  <c:y val="-4.2807426849421598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1"/>
              <c:layout>
                <c:manualLayout>
                  <c:x val="-3.515670370692129e-002"/>
                  <c:y val="-7.6854670943909784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2"/>
              <c:layout>
                <c:manualLayout>
                  <c:x val="-3.0121046750344327e-002"/>
                  <c:y val="-3.4688441722562455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3"/>
              <c:layout>
                <c:manualLayout>
                  <c:x val="-3.5676931472674825e-002"/>
                  <c:y val="-2.988801399825022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4"/>
              <c:layout>
                <c:manualLayout>
                  <c:x val="-3.2816922637145605e-002"/>
                  <c:y val="-3.2049382716049381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5"/>
              <c:layout>
                <c:manualLayout>
                  <c:x val="-3.1529014318754711e-002"/>
                  <c:y val="-0.10248080101098474"/>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numFmt formatCode="0%" sourceLinked="0"/>
            <c:spPr>
              <a:noFill/>
              <a:ln>
                <a:noFill/>
              </a:ln>
            </c:spPr>
            <c:txPr>
              <a:bodyPr rot="0" horzOverflow="overflow" lIns="36576" tIns="18288" rIns="36576" bIns="18288" anchor="ctr" anchorCtr="1"/>
              <a:lstStyle/>
              <a:p>
                <a:pPr algn="ctr" rtl="0">
                  <a:defRPr kumimoji="0" sz="900" b="0" kern="1200">
                    <a:solidFill>
                      <a:srgbClr val="0000FF"/>
                    </a:solidFill>
                    <a:latin typeface="ＭＳ 明朝"/>
                    <a:ea typeface="ＭＳ 明朝"/>
                  </a:defRPr>
                </a:pPr>
                <a:endParaRPr lang="ja-JP" altLang="en-US"/>
              </a:p>
            </c:txPr>
            <c:dLblPos val="t"/>
            <c:showLegendKey val="0"/>
            <c:showVal val="1"/>
            <c:showCatName val="0"/>
            <c:showSerName val="0"/>
            <c:showPercent val="0"/>
            <c:showBubbleSize val="0"/>
            <c:separator xml:space="preserve">, </c:separator>
          </c:dLbls>
          <c:cat>
            <c:strRef>
              <c:f>P10研修医の進路!$AF$7:$AU$7</c:f>
              <c:strCache>
                <c:ptCount val="16"/>
                <c:pt idx="0">
                  <c:v>H20</c:v>
                </c:pt>
                <c:pt idx="1">
                  <c:v>H21</c:v>
                </c:pt>
                <c:pt idx="2">
                  <c:v>H22</c:v>
                </c:pt>
                <c:pt idx="3">
                  <c:v>H23</c:v>
                </c:pt>
                <c:pt idx="4">
                  <c:v>H24</c:v>
                </c:pt>
                <c:pt idx="5">
                  <c:v>H25</c:v>
                </c:pt>
                <c:pt idx="6">
                  <c:v>H26</c:v>
                </c:pt>
                <c:pt idx="7">
                  <c:v>H27</c:v>
                </c:pt>
                <c:pt idx="8">
                  <c:v>H28</c:v>
                </c:pt>
                <c:pt idx="9">
                  <c:v>H29</c:v>
                </c:pt>
                <c:pt idx="10">
                  <c:v>H30</c:v>
                </c:pt>
                <c:pt idx="11">
                  <c:v>R1</c:v>
                </c:pt>
                <c:pt idx="12">
                  <c:v>R2</c:v>
                </c:pt>
                <c:pt idx="13">
                  <c:v>R3</c:v>
                </c:pt>
                <c:pt idx="14">
                  <c:v>R4</c:v>
                </c:pt>
                <c:pt idx="15">
                  <c:v>R5</c:v>
                </c:pt>
              </c:strCache>
            </c:strRef>
          </c:cat>
          <c:val>
            <c:numRef>
              <c:f>[医師確保計画データ集.xlsx]P10研修医の進路!$AF$11:$AU$11</c:f>
              <c:numCache>
                <c:formatCode>0%</c:formatCode>
                <c:ptCount val="16"/>
                <c:pt idx="0">
                  <c:v>0.52941176470588236</c:v>
                </c:pt>
                <c:pt idx="1">
                  <c:v>0.75555555555555554</c:v>
                </c:pt>
                <c:pt idx="2">
                  <c:v>0.76923076923076927</c:v>
                </c:pt>
                <c:pt idx="3">
                  <c:v>0.79411764705882337</c:v>
                </c:pt>
                <c:pt idx="4">
                  <c:v>0.80555555555555536</c:v>
                </c:pt>
                <c:pt idx="5">
                  <c:v>0.61538461538461531</c:v>
                </c:pt>
                <c:pt idx="6">
                  <c:v>0.73333333333333317</c:v>
                </c:pt>
                <c:pt idx="7">
                  <c:v>0.89795918367346939</c:v>
                </c:pt>
                <c:pt idx="8">
                  <c:v>0.84615384615384603</c:v>
                </c:pt>
                <c:pt idx="9">
                  <c:v>0.7321428571428571</c:v>
                </c:pt>
                <c:pt idx="10">
                  <c:v>0.83050847457627119</c:v>
                </c:pt>
                <c:pt idx="11">
                  <c:v>0.70370370370370372</c:v>
                </c:pt>
                <c:pt idx="12">
                  <c:v>0.7777777777777779</c:v>
                </c:pt>
                <c:pt idx="13">
                  <c:v>0.88524590163934413</c:v>
                </c:pt>
                <c:pt idx="14">
                  <c:v>0.8545454545454545</c:v>
                </c:pt>
                <c:pt idx="15">
                  <c:v>0.8125</c:v>
                </c:pt>
              </c:numCache>
            </c:numRef>
          </c:val>
          <c:smooth val="0"/>
        </c:ser>
        <c:dLbls>
          <c:txPr>
            <a:bodyPr rot="0" horzOverflow="overflow" anchor="ctr" anchorCtr="1">
              <a:spAutoFit/>
            </a:bodyPr>
            <a:lstStyle/>
            <a:p>
              <a:pPr algn="ctr" rtl="0">
                <a:defRPr sz="1100">
                  <a:solidFill>
                    <a:srgbClr val="000000"/>
                  </a:solidFill>
                </a:defRPr>
              </a:pPr>
              <a:endParaRPr lang="ja-JP" altLang="en-US"/>
            </a:p>
          </c:txPr>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in"/>
        <c:minorTickMark val="none"/>
        <c:tickLblPos val="nextTo"/>
        <c:spPr>
          <a:ln w="3175">
            <a:solidFill>
              <a:srgbClr val="000000"/>
            </a:solidFill>
            <a:prstDash val="solid"/>
          </a:ln>
        </c:spPr>
        <c:txPr>
          <a:bodyPr horzOverflow="overflow" anchor="ctr" anchorCtr="1"/>
          <a:lstStyle/>
          <a:p>
            <a:pPr algn="ctr" rtl="0">
              <a:defRPr kumimoji="0" sz="1200" b="0" kern="1200">
                <a:solidFill>
                  <a:srgbClr val="000000"/>
                </a:solidFill>
                <a:latin typeface="ＭＳ 明朝"/>
                <a:ea typeface="ＭＳ 明朝"/>
              </a:defRPr>
            </a:pPr>
            <a:endParaRPr lang="ja-JP" altLang="en-US"/>
          </a:p>
        </c:txPr>
        <c:crossAx val="2"/>
        <c:crosses val="autoZero"/>
        <c:auto val="1"/>
        <c:lblAlgn val="ctr"/>
        <c:lblOffset val="100"/>
        <c:noMultiLvlLbl val="0"/>
      </c:catAx>
      <c:valAx>
        <c:axId val="2"/>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horzOverflow="overflow" anchor="ctr" anchorCtr="1"/>
          <a:lstStyle/>
          <a:p>
            <a:pPr algn="ctr" rtl="0">
              <a:defRPr kumimoji="0" sz="1050" b="0" kern="1200">
                <a:solidFill>
                  <a:srgbClr val="000000"/>
                </a:solidFill>
                <a:latin typeface="ＭＳ 明朝"/>
                <a:ea typeface="ＭＳ 明朝"/>
              </a:defRPr>
            </a:pPr>
            <a:endParaRPr lang="ja-JP" altLang="en-US"/>
          </a:p>
        </c:txPr>
        <c:crossAx val="1"/>
        <c:crosses val="autoZero"/>
        <c:crossBetween val="between"/>
      </c:valAx>
      <c:catAx>
        <c:axId val="11"/>
        <c:scaling>
          <c:orientation val="minMax"/>
        </c:scaling>
        <c:delete val="1"/>
        <c:axPos val="b"/>
        <c:numFmt formatCode="0%" sourceLinked="1"/>
        <c:majorTickMark val="in"/>
        <c:minorTickMark val="none"/>
        <c:tickLblPos val="nextTo"/>
        <c:txPr>
          <a:bodyPr horzOverflow="overflow" anchor="ctr" anchorCtr="1"/>
          <a:lstStyle/>
          <a:p>
            <a:pPr algn="ctr" rtl="0">
              <a:defRPr sz="1100">
                <a:solidFill>
                  <a:srgbClr val="000000"/>
                </a:solidFill>
              </a:defRPr>
            </a:pPr>
            <a:endParaRPr lang="ja-JP" altLang="en-US"/>
          </a:p>
        </c:txPr>
        <c:crossAx val="12"/>
        <c:crosses val="autoZero"/>
        <c:auto val="1"/>
        <c:lblAlgn val="ctr"/>
        <c:lblOffset val="100"/>
        <c:noMultiLvlLbl val="0"/>
      </c:catAx>
      <c:valAx>
        <c:axId val="12"/>
        <c:scaling>
          <c:orientation val="minMax"/>
        </c:scaling>
        <c:delete val="0"/>
        <c:axPos val="r"/>
        <c:numFmt formatCode="0%" sourceLinked="1"/>
        <c:majorTickMark val="in"/>
        <c:minorTickMark val="none"/>
        <c:tickLblPos val="nextTo"/>
        <c:spPr>
          <a:ln w="3175">
            <a:solidFill>
              <a:srgbClr val="000000"/>
            </a:solidFill>
            <a:prstDash val="solid"/>
          </a:ln>
        </c:spPr>
        <c:txPr>
          <a:bodyPr horzOverflow="overflow" anchor="ctr" anchorCtr="1"/>
          <a:lstStyle/>
          <a:p>
            <a:pPr algn="ctr" rtl="0">
              <a:defRPr kumimoji="0" sz="1050" b="0" kern="1200">
                <a:solidFill>
                  <a:srgbClr val="000000"/>
                </a:solidFill>
                <a:latin typeface="ＭＳ 明朝"/>
                <a:ea typeface="ＭＳ 明朝"/>
              </a:defRPr>
            </a:pPr>
            <a:endParaRPr lang="ja-JP" altLang="en-US"/>
          </a:p>
        </c:txPr>
        <c:crossAx val="11"/>
        <c:crosses val="max"/>
        <c:crossBetween val="between"/>
        <c:majorUnit val="0.2"/>
        <c:minorUnit val="2.e-002"/>
      </c:valAx>
      <c:spPr>
        <a:solidFill>
          <a:srgbClr val="FFFFFF"/>
        </a:solidFill>
        <a:ln w="12700">
          <a:solidFill>
            <a:srgbClr val="FFFFCC"/>
          </a:solidFill>
          <a:prstDash val="solid"/>
        </a:ln>
      </c:spPr>
    </c:plotArea>
    <c:legend>
      <c:legendPos val="t"/>
      <c:layout>
        <c:manualLayout>
          <c:xMode val="edge"/>
          <c:yMode val="edge"/>
          <c:x val="7.3960990583298455e-002"/>
          <c:y val="9.2592592592592587e-003"/>
          <c:w val="0.7280843054096674"/>
          <c:h val="6.6666666666666666e-002"/>
        </c:manualLayout>
      </c:layout>
      <c:overlay val="0"/>
      <c:spPr>
        <a:solidFill>
          <a:srgbClr val="FFFFFF"/>
        </a:solidFill>
        <a:ln>
          <a:noFill/>
        </a:ln>
      </c:spPr>
      <c:txPr>
        <a:bodyPr horzOverflow="overflow" anchor="ctr" anchorCtr="1"/>
        <a:lstStyle/>
        <a:p>
          <a:pPr algn="l" rtl="0">
            <a:defRPr kumimoji="0" sz="900" b="0" kern="1200">
              <a:solidFill>
                <a:srgbClr val="000000"/>
              </a:solidFill>
              <a:latin typeface="ＭＳ 明朝"/>
            </a:defRPr>
          </a:pPr>
          <a:endParaRPr lang="ja-JP" altLang="en-US"/>
        </a:p>
      </c:txPr>
    </c:legend>
    <c:plotVisOnly val="1"/>
    <c:dispBlanksAs val="gap"/>
    <c:showDLblsOverMax val="0"/>
  </c:chart>
  <c:spPr>
    <a:solidFill>
      <a:srgbClr val="FFFFFF"/>
    </a:solidFill>
    <a:ln w="3175">
      <a:solidFill>
        <a:srgbClr val="000000"/>
      </a:solidFill>
      <a:prstDash val="solid"/>
    </a:ln>
  </c:spPr>
  <c:txPr>
    <a:bodyPr horzOverflow="overflow" anchor="ctr" anchorCtr="1"/>
    <a:lstStyle/>
    <a:p>
      <a:pPr algn="ctr" rtl="0">
        <a:defRPr lang="ja-JP" altLang="en-US" sz="1100" b="1" i="0" u="none" strike="noStrike" baseline="0">
          <a:solidFill>
            <a:srgbClr val="000000"/>
          </a:solidFill>
          <a:latin typeface="ＭＳ Ｐゴシック"/>
          <a:ea typeface="ＭＳ Ｐゴシック"/>
        </a:defRPr>
      </a:pPr>
      <a:endParaRPr lang="ja-JP" altLang="en-US"/>
    </a:p>
  </c:txPr>
  <c:externalData r:id="rId1">
    <c:autoUpdate val="0"/>
  </c:externalData>
  <c:extLst>
    <c:ext xmlns:c14="http://schemas.microsoft.com/office/drawing/2007/8/2/chart" uri="{781A3756-C4B2-4CAC-9D66-4F8BD8637D16}"/>
  </c:extLst>
</c:chartSpace>
</file>

<file path=word/charts/chart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5840707964602e-002"/>
          <c:y val="2.7031080574387661e-002"/>
          <c:w val="0.90707964601769941"/>
          <c:h val="0.88358738941416093"/>
        </c:manualLayout>
      </c:layout>
      <c:lineChart>
        <c:grouping val="standard"/>
        <c:varyColors val="0"/>
        <c:ser>
          <c:idx val="0"/>
          <c:order val="0"/>
          <c:tx>
            <c:strRef>
              <c:f>P12診療科医師数推移!$C$27:$D$27</c:f>
              <c:strCache>
                <c:ptCount val="1"/>
                <c:pt idx="0">
                  <c:v>小児科 小児科（高知）</c:v>
                </c:pt>
              </c:strCache>
            </c:strRef>
          </c:tx>
          <c:spPr>
            <a:noFill/>
            <a:ln w="28575" cap="rnd">
              <a:solidFill>
                <a:srgbClr val="00B0F0"/>
              </a:solidFill>
              <a:round/>
            </a:ln>
            <a:effectLst/>
          </c:spPr>
          <c:marker>
            <c:symbol val="triangle"/>
            <c:size val="8"/>
            <c:spPr>
              <a:solidFill>
                <a:srgbClr val="00B0F0"/>
              </a:solidFill>
              <a:ln w="9525">
                <a:solidFill>
                  <a:srgbClr val="00B0F0"/>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[医師確保計画データ集.xlsx]P12診療科医師数推移!$E$27:$Q$27</c:f>
              <c:numCache>
                <c:formatCode>#,##0.0;[Red]\-#,##0.0</c:formatCode>
                <c:ptCount val="12"/>
                <c:pt idx="0" formatCode="#,##0;[Red]\-#,##0">
                  <c:v>100</c:v>
                </c:pt>
                <c:pt idx="1">
                  <c:v>98.98989898989899</c:v>
                </c:pt>
                <c:pt idx="2">
                  <c:v>102.02020202020201</c:v>
                </c:pt>
                <c:pt idx="3">
                  <c:v>101.01010101010101</c:v>
                </c:pt>
                <c:pt idx="4">
                  <c:v>102.02020202020201</c:v>
                </c:pt>
                <c:pt idx="5">
                  <c:v>98.98989898989899</c:v>
                </c:pt>
                <c:pt idx="6">
                  <c:v>101.01010101010101</c:v>
                </c:pt>
                <c:pt idx="7">
                  <c:v>105.05050505050507</c:v>
                </c:pt>
                <c:pt idx="8">
                  <c:v>103.03030303030303</c:v>
                </c:pt>
                <c:pt idx="9">
                  <c:v>107.07070707070707</c:v>
                </c:pt>
                <c:pt idx="10">
                  <c:v>107.07070707070707</c:v>
                </c:pt>
                <c:pt idx="11">
                  <c:v>105.05050505050507</c:v>
                </c:pt>
              </c:numCache>
            </c:numRef>
          </c:val>
          <c:smooth val="0"/>
        </c:ser>
        <c:ser>
          <c:idx val="1"/>
          <c:order val="1"/>
          <c:tx>
            <c:strRef>
              <c:f>P12診療科医師数推移!$C$28:$D$28</c:f>
              <c:strCache>
                <c:ptCount val="1"/>
                <c:pt idx="0">
                  <c:v>小児科 小児科（全国）</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[医師確保計画データ集.xlsx]P12診療科医師数推移!$E$28:$Q$28</c:f>
              <c:numCache>
                <c:formatCode>#,##0.0;[Red]\-#,##0.0</c:formatCode>
                <c:ptCount val="12"/>
                <c:pt idx="0" formatCode="#,##0;[Red]\-#,##0">
                  <c:v>100</c:v>
                </c:pt>
                <c:pt idx="1">
                  <c:v>101.19379512474087</c:v>
                </c:pt>
                <c:pt idx="2">
                  <c:v>103.51704911001501</c:v>
                </c:pt>
                <c:pt idx="3">
                  <c:v>104.91814997498035</c:v>
                </c:pt>
                <c:pt idx="4">
                  <c:v>105.08256487239976</c:v>
                </c:pt>
                <c:pt idx="5">
                  <c:v>108.91414682965186</c:v>
                </c:pt>
                <c:pt idx="6">
                  <c:v>113.44627921938665</c:v>
                </c:pt>
                <c:pt idx="7">
                  <c:v>116.80606190578311</c:v>
                </c:pt>
                <c:pt idx="8">
                  <c:v>119.79412395453571</c:v>
                </c:pt>
                <c:pt idx="9">
                  <c:v>121.07370076488671</c:v>
                </c:pt>
                <c:pt idx="10">
                  <c:v>123.81871470441061</c:v>
                </c:pt>
                <c:pt idx="11">
                  <c:v>128.65108299378082</c:v>
                </c:pt>
              </c:numCache>
            </c:numRef>
          </c:val>
          <c:smooth val="0"/>
        </c:ser>
        <c:ser>
          <c:idx val="2"/>
          <c:order val="2"/>
          <c:tx>
            <c:strRef>
              <c:f>P12診療科医師数推移!$C$29:$D$29</c:f>
              <c:strCache>
                <c:ptCount val="1"/>
                <c:pt idx="0">
                  <c:v>産婦人科 産科・産婦人科（高知）</c:v>
                </c:pt>
              </c:strCache>
            </c:strRef>
          </c:tx>
          <c:spPr>
            <a:noFill/>
            <a:ln w="28575" cap="rnd">
              <a:solidFill>
                <a:srgbClr val="00B0F0"/>
              </a:solidFill>
              <a:prstDash val="sysDash"/>
              <a:round/>
            </a:ln>
            <a:effectLst/>
          </c:spPr>
          <c:marker>
            <c:symbol val="triangle"/>
            <c:size val="8"/>
            <c:spPr>
              <a:solidFill>
                <a:srgbClr val="00B0F0"/>
              </a:solidFill>
              <a:ln w="9525">
                <a:solidFill>
                  <a:srgbClr val="00B0F0"/>
                </a:solidFill>
              </a:ln>
              <a:effectLst/>
            </c:spPr>
          </c:marker>
          <c:dPt>
            <c:idx val="1"/>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2"/>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3"/>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4"/>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5"/>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6"/>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7"/>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8"/>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[医師確保計画データ集.xlsx]P12診療科医師数推移!$E$29:$Q$29</c:f>
              <c:numCache>
                <c:formatCode>#,##0.0;[Red]\-#,##0.0</c:formatCode>
                <c:ptCount val="12"/>
                <c:pt idx="0" formatCode="#,##0;[Red]\-#,##0">
                  <c:v>100</c:v>
                </c:pt>
                <c:pt idx="1">
                  <c:v>101.44927536231884</c:v>
                </c:pt>
                <c:pt idx="2">
                  <c:v>92.753623188405797</c:v>
                </c:pt>
                <c:pt idx="3">
                  <c:v>78.260869565217391</c:v>
                </c:pt>
                <c:pt idx="4">
                  <c:v>84.05797101449275</c:v>
                </c:pt>
                <c:pt idx="5">
                  <c:v>78.260869565217391</c:v>
                </c:pt>
                <c:pt idx="6">
                  <c:v>71.014492753623188</c:v>
                </c:pt>
                <c:pt idx="7">
                  <c:v>71.014492753623188</c:v>
                </c:pt>
                <c:pt idx="8">
                  <c:v>72.463768115942031</c:v>
                </c:pt>
                <c:pt idx="9">
                  <c:v>75.362318840579718</c:v>
                </c:pt>
                <c:pt idx="10">
                  <c:v>86.956521739130437</c:v>
                </c:pt>
                <c:pt idx="11">
                  <c:v>88.405797101449281</c:v>
                </c:pt>
              </c:numCache>
            </c:numRef>
          </c:val>
          <c:smooth val="0"/>
        </c:ser>
        <c:ser>
          <c:idx val="3"/>
          <c:order val="3"/>
          <c:tx>
            <c:strRef>
              <c:f>P12診療科医師数推移!$C$30:$D$30</c:f>
              <c:strCache>
                <c:ptCount val="1"/>
                <c:pt idx="0">
                  <c:v>産婦人科 産科・産婦人科（全国）</c:v>
                </c:pt>
              </c:strCache>
            </c:strRef>
          </c:tx>
          <c:spPr>
            <a:noFill/>
            <a:ln w="28575" cap="rnd">
              <a:solidFill>
                <a:srgbClr val="FFC000"/>
              </a:solidFill>
              <a:round/>
            </a:ln>
            <a:effectLst/>
          </c:spPr>
          <c:marker>
            <c:symbol val="diamond"/>
            <c:size val="9"/>
            <c:spPr>
              <a:solidFill>
                <a:srgbClr val="FFC000"/>
              </a:solidFill>
              <a:ln w="9525">
                <a:solidFill>
                  <a:srgbClr val="FFC000"/>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[医師確保計画データ集.xlsx]P12診療科医師数推移!$E$30:$Q$30</c:f>
              <c:numCache>
                <c:formatCode>#,##0.0;[Red]\-#,##0.0</c:formatCode>
                <c:ptCount val="12"/>
                <c:pt idx="0" formatCode="#,##0;[Red]\-#,##0">
                  <c:v>100</c:v>
                </c:pt>
                <c:pt idx="1">
                  <c:v>98.136480610524444</c:v>
                </c:pt>
                <c:pt idx="2">
                  <c:v>97.914633064158309</c:v>
                </c:pt>
                <c:pt idx="3">
                  <c:v>94.010116248114301</c:v>
                </c:pt>
                <c:pt idx="4">
                  <c:v>89.395687283698649</c:v>
                </c:pt>
                <c:pt idx="5">
                  <c:v>92.190966367911969</c:v>
                </c:pt>
                <c:pt idx="6">
                  <c:v>94.524802555683735</c:v>
                </c:pt>
                <c:pt idx="7">
                  <c:v>96.441565356287157</c:v>
                </c:pt>
                <c:pt idx="8">
                  <c:v>98.367202058745235</c:v>
                </c:pt>
                <c:pt idx="9">
                  <c:v>100.70991214837164</c:v>
                </c:pt>
                <c:pt idx="10">
                  <c:v>100.55905581684266</c:v>
                </c:pt>
                <c:pt idx="11">
                  <c:v>103.62942585854999</c:v>
                </c:pt>
              </c:numCache>
            </c:numRef>
          </c:val>
          <c:smooth val="0"/>
        </c:ser>
        <c:ser>
          <c:idx val="4"/>
          <c:order val="4"/>
          <c:tx>
            <c:strRef>
              <c:f>P12診療科医師数推移!$C$31:$D$31</c:f>
              <c:strCache>
                <c:ptCount val="1"/>
                <c:pt idx="0">
                  <c:v>脳神経外科 脳神経外科（高知）</c:v>
                </c:pt>
              </c:strCache>
            </c:strRef>
          </c:tx>
          <c:spPr>
            <a:noFill/>
            <a:ln w="28575" cap="rnd">
              <a:solidFill>
                <a:schemeClr val="accent5"/>
              </a:solidFill>
              <a:round/>
            </a:ln>
            <a:effectLst/>
          </c:spPr>
          <c:marker>
            <c:symbol val="circle"/>
            <c:size val="5"/>
            <c:spPr>
              <a:solidFill>
                <a:schemeClr val="accent5"/>
              </a:solidFill>
              <a:ln w="9525">
                <a:solidFill>
                  <a:schemeClr val="accent5"/>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[医師確保計画データ集.xlsx]P12診療科医師数推移!$E$31:$Q$31</c:f>
              <c:numCache>
                <c:formatCode>#,##0.0;[Red]\-#,##0.0</c:formatCode>
                <c:ptCount val="12"/>
                <c:pt idx="0" formatCode="#,##0;[Red]\-#,##0">
                  <c:v>100</c:v>
                </c:pt>
                <c:pt idx="1">
                  <c:v>101.69491525423729</c:v>
                </c:pt>
                <c:pt idx="2">
                  <c:v>108.47457627118644</c:v>
                </c:pt>
                <c:pt idx="3">
                  <c:v>106.77966101694916</c:v>
                </c:pt>
                <c:pt idx="4">
                  <c:v>103.38983050847457</c:v>
                </c:pt>
                <c:pt idx="5">
                  <c:v>100</c:v>
                </c:pt>
                <c:pt idx="6">
                  <c:v>106.77966101694916</c:v>
                </c:pt>
                <c:pt idx="7">
                  <c:v>111.86440677966101</c:v>
                </c:pt>
                <c:pt idx="8">
                  <c:v>115.2542372881356</c:v>
                </c:pt>
                <c:pt idx="9">
                  <c:v>118.64406779661016</c:v>
                </c:pt>
                <c:pt idx="10">
                  <c:v>122.03389830508475</c:v>
                </c:pt>
                <c:pt idx="11">
                  <c:v>122.03389830508475</c:v>
                </c:pt>
              </c:numCache>
            </c:numRef>
          </c:val>
          <c:smooth val="0"/>
        </c:ser>
        <c:ser>
          <c:idx val="5"/>
          <c:order val="5"/>
          <c:tx>
            <c:strRef>
              <c:f>P12診療科医師数推移!$C$32:$D$32</c:f>
              <c:strCache>
                <c:ptCount val="1"/>
                <c:pt idx="0">
                  <c:v>脳神経外科 脳神経外科（全国）</c:v>
                </c:pt>
              </c:strCache>
            </c:strRef>
          </c:tx>
          <c:spPr>
            <a:noFill/>
            <a:ln w="28575" cap="rnd">
              <a:solidFill>
                <a:srgbClr val="FFC000"/>
              </a:solidFill>
              <a:prstDash val="sysDash"/>
              <a:round/>
            </a:ln>
            <a:effectLst/>
          </c:spPr>
          <c:marker>
            <c:symbol val="diamond"/>
            <c:size val="9"/>
            <c:spPr>
              <a:solidFill>
                <a:schemeClr val="accent4"/>
              </a:solidFill>
              <a:ln w="9525">
                <a:solidFill>
                  <a:srgbClr val="FFC000"/>
                </a:solidFill>
              </a:ln>
              <a:effectLst/>
            </c:spPr>
          </c:marker>
          <c:dPt>
            <c:idx val="1"/>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2"/>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3"/>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4"/>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5"/>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6"/>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7"/>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8"/>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[医師確保計画データ集.xlsx]P12診療科医師数推移!$E$32:$Q$32</c:f>
              <c:numCache>
                <c:formatCode>#,##0.0;[Red]\-#,##0.0</c:formatCode>
                <c:ptCount val="12"/>
                <c:pt idx="0" formatCode="#,##0;[Red]\-#,##0">
                  <c:v>100</c:v>
                </c:pt>
                <c:pt idx="1">
                  <c:v>103.04888434678929</c:v>
                </c:pt>
                <c:pt idx="2">
                  <c:v>106.3021631749276</c:v>
                </c:pt>
                <c:pt idx="3">
                  <c:v>107.08567535343212</c:v>
                </c:pt>
                <c:pt idx="4">
                  <c:v>106.3021631749276</c:v>
                </c:pt>
                <c:pt idx="5">
                  <c:v>108.9763243059104</c:v>
                </c:pt>
                <c:pt idx="6">
                  <c:v>114.03508771929825</c:v>
                </c:pt>
                <c:pt idx="7">
                  <c:v>118.82132515755409</c:v>
                </c:pt>
                <c:pt idx="8">
                  <c:v>121.73394651677738</c:v>
                </c:pt>
                <c:pt idx="9">
                  <c:v>125.3619485607222</c:v>
                </c:pt>
                <c:pt idx="10">
                  <c:v>128.22347129960826</c:v>
                </c:pt>
                <c:pt idx="11">
                  <c:v>125.17458695281893</c:v>
                </c:pt>
              </c:numCache>
            </c:numRef>
          </c:val>
          <c:smooth val="0"/>
        </c:ser>
        <c:ser>
          <c:idx val="6"/>
          <c:order val="6"/>
          <c:tx>
            <c:strRef>
              <c:f>P12診療科医師数推移!$C$33:$D$33</c:f>
              <c:strCache>
                <c:ptCount val="1"/>
                <c:pt idx="0">
                  <c:v>麻酔科 麻酔科（高知）</c:v>
                </c:pt>
              </c:strCache>
            </c:strRef>
          </c:tx>
          <c:spPr>
            <a:noFill/>
            <a:ln w="28575" cap="rnd">
              <a:solidFill>
                <a:srgbClr val="E78B8B"/>
              </a:solidFill>
              <a:round/>
            </a:ln>
            <a:effectLst/>
          </c:spPr>
          <c:marker>
            <c:symbol val="circle"/>
            <c:size val="8"/>
            <c:spPr>
              <a:solidFill>
                <a:srgbClr val="E78B8B"/>
              </a:solidFill>
              <a:ln w="9525">
                <a:solidFill>
                  <a:srgbClr val="E78B8B"/>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[医師確保計画データ集.xlsx]P12診療科医師数推移!$E$33:$Q$33</c:f>
              <c:numCache>
                <c:formatCode>#,##0.0;[Red]\-#,##0.0</c:formatCode>
                <c:ptCount val="12"/>
                <c:pt idx="0" formatCode="#,##0;[Red]\-#,##0">
                  <c:v>100</c:v>
                </c:pt>
                <c:pt idx="1">
                  <c:v>121.81818181818183</c:v>
                </c:pt>
                <c:pt idx="2">
                  <c:v>105.45454545454544</c:v>
                </c:pt>
                <c:pt idx="3">
                  <c:v>96.36363636363636</c:v>
                </c:pt>
                <c:pt idx="4">
                  <c:v>85.454545454545453</c:v>
                </c:pt>
                <c:pt idx="5">
                  <c:v>98.181818181818187</c:v>
                </c:pt>
                <c:pt idx="6">
                  <c:v>98.181818181818187</c:v>
                </c:pt>
                <c:pt idx="7">
                  <c:v>114.54545454545455</c:v>
                </c:pt>
                <c:pt idx="8">
                  <c:v>116.36363636363636</c:v>
                </c:pt>
                <c:pt idx="9">
                  <c:v>120</c:v>
                </c:pt>
                <c:pt idx="10">
                  <c:v>129.09090909090909</c:v>
                </c:pt>
                <c:pt idx="11">
                  <c:v>129.09090909090909</c:v>
                </c:pt>
              </c:numCache>
            </c:numRef>
          </c:val>
          <c:smooth val="0"/>
        </c:ser>
        <c:ser>
          <c:idx val="7"/>
          <c:order val="7"/>
          <c:tx>
            <c:strRef>
              <c:f>P12診療科医師数推移!$C$34:$D$34</c:f>
              <c:strCache>
                <c:ptCount val="1"/>
                <c:pt idx="0">
                  <c:v>麻酔科 麻酔科（全国）</c:v>
                </c:pt>
              </c:strCache>
            </c:strRef>
          </c:tx>
          <c:spPr>
            <a:noFill/>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[医師確保計画データ集.xlsx]P12診療科医師数推移!$E$34:$Q$34</c:f>
              <c:numCache>
                <c:formatCode>#,##0.0;[Red]\-#,##0.0</c:formatCode>
                <c:ptCount val="12"/>
                <c:pt idx="0" formatCode="#,##0;[Red]\-#,##0">
                  <c:v>100</c:v>
                </c:pt>
                <c:pt idx="1">
                  <c:v>102.97224709042077</c:v>
                </c:pt>
                <c:pt idx="2">
                  <c:v>108.98836168307969</c:v>
                </c:pt>
                <c:pt idx="3">
                  <c:v>114.5389435989257</c:v>
                </c:pt>
                <c:pt idx="4">
                  <c:v>111.1727842435094</c:v>
                </c:pt>
                <c:pt idx="5">
                  <c:v>126.53536257833483</c:v>
                </c:pt>
                <c:pt idx="6">
                  <c:v>138.2452999104745</c:v>
                </c:pt>
                <c:pt idx="7">
                  <c:v>145.74753804834378</c:v>
                </c:pt>
                <c:pt idx="8">
                  <c:v>154.43151298119963</c:v>
                </c:pt>
                <c:pt idx="9">
                  <c:v>164.0465532676813</c:v>
                </c:pt>
                <c:pt idx="10">
                  <c:v>172.98119964189794</c:v>
                </c:pt>
                <c:pt idx="11">
                  <c:v>184.01074306177262</c:v>
                </c:pt>
              </c:numCache>
            </c:numRef>
          </c:val>
          <c:smooth val="0"/>
        </c:ser>
        <c:ser>
          <c:idx val="8"/>
          <c:order val="8"/>
          <c:tx>
            <c:strRef>
              <c:f>P12診療科医師数推移!$C$35:$D$35</c:f>
              <c:strCache>
                <c:ptCount val="1"/>
                <c:pt idx="0">
                  <c:v>外科 外科計（高知）</c:v>
                </c:pt>
              </c:strCache>
            </c:strRef>
          </c:tx>
          <c:spPr>
            <a:noFill/>
            <a:ln w="28575" cap="rnd">
              <a:solidFill>
                <a:srgbClr val="E78B8B"/>
              </a:solidFill>
              <a:prstDash val="sysDash"/>
              <a:round/>
            </a:ln>
            <a:effectLst/>
          </c:spPr>
          <c:marker>
            <c:symbol val="circle"/>
            <c:size val="8"/>
            <c:spPr>
              <a:solidFill>
                <a:srgbClr val="E78B8B"/>
              </a:solidFill>
              <a:ln w="9525">
                <a:solidFill>
                  <a:srgbClr val="E78B8B"/>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[医師確保計画データ集.xlsx]P12診療科医師数推移!$E$35:$Q$35</c:f>
              <c:numCache>
                <c:formatCode>#,##0.0;[Red]\-#,##0.0</c:formatCode>
                <c:ptCount val="12"/>
                <c:pt idx="0" formatCode="#,##0;[Red]\-#,##0">
                  <c:v>100</c:v>
                </c:pt>
                <c:pt idx="1">
                  <c:v>99.1869918699187</c:v>
                </c:pt>
                <c:pt idx="2">
                  <c:v>97.967479674796749</c:v>
                </c:pt>
                <c:pt idx="3">
                  <c:v>96.341463414634148</c:v>
                </c:pt>
                <c:pt idx="4">
                  <c:v>87.804878048780495</c:v>
                </c:pt>
                <c:pt idx="5">
                  <c:v>92.276422764227632</c:v>
                </c:pt>
                <c:pt idx="6">
                  <c:v>88.211382113821131</c:v>
                </c:pt>
                <c:pt idx="7">
                  <c:v>86.178861788617894</c:v>
                </c:pt>
                <c:pt idx="8">
                  <c:v>84.146341463414629</c:v>
                </c:pt>
                <c:pt idx="9">
                  <c:v>84.959349593495944</c:v>
                </c:pt>
                <c:pt idx="10">
                  <c:v>83.739837398373979</c:v>
                </c:pt>
                <c:pt idx="11">
                  <c:v>82.113821138211378</c:v>
                </c:pt>
              </c:numCache>
            </c:numRef>
          </c:val>
          <c:smooth val="0"/>
        </c:ser>
        <c:ser>
          <c:idx val="9"/>
          <c:order val="9"/>
          <c:tx>
            <c:strRef>
              <c:f>P12診療科医師数推移!$C$36:$D$36</c:f>
              <c:strCache>
                <c:ptCount val="1"/>
                <c:pt idx="0">
                  <c:v>外科 外科計（全国）</c:v>
                </c:pt>
              </c:strCache>
            </c:strRef>
          </c:tx>
          <c:spPr>
            <a:noFill/>
            <a:ln w="28575" cap="rnd">
              <a:solidFill>
                <a:schemeClr val="tx2"/>
              </a:solidFill>
              <a:round/>
            </a:ln>
            <a:effectLst/>
          </c:spPr>
          <c:marker>
            <c:symbol val="square"/>
            <c:size val="8"/>
            <c:spPr>
              <a:solidFill>
                <a:schemeClr val="tx2"/>
              </a:solidFill>
              <a:ln w="9525">
                <a:solidFill>
                  <a:schemeClr val="tx2"/>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[医師確保計画データ集.xlsx]P12診療科医師数推移!$E$36:$Q$36</c:f>
              <c:numCache>
                <c:formatCode>#,##0.0;[Red]\-#,##0.0</c:formatCode>
                <c:ptCount val="12"/>
                <c:pt idx="0" formatCode="#,##0;[Red]\-#,##0">
                  <c:v>100</c:v>
                </c:pt>
                <c:pt idx="1">
                  <c:v>99.518548023968691</c:v>
                </c:pt>
                <c:pt idx="2">
                  <c:v>98.354750441619615</c:v>
                </c:pt>
                <c:pt idx="3">
                  <c:v>97.319109140660174</c:v>
                </c:pt>
                <c:pt idx="4">
                  <c:v>91.68369644279727</c:v>
                </c:pt>
                <c:pt idx="5">
                  <c:v>95.337882304042125</c:v>
                </c:pt>
                <c:pt idx="6">
                  <c:v>96.359668871878355</c:v>
                </c:pt>
                <c:pt idx="7">
                  <c:v>97.173634442866543</c:v>
                </c:pt>
                <c:pt idx="8">
                  <c:v>97.132070243496941</c:v>
                </c:pt>
                <c:pt idx="9">
                  <c:v>97.024696061792113</c:v>
                </c:pt>
                <c:pt idx="10">
                  <c:v>96.404696754528757</c:v>
                </c:pt>
                <c:pt idx="11">
                  <c:v>96.796092965259263</c:v>
                </c:pt>
              </c:numCache>
            </c:numRef>
          </c:val>
          <c:smooth val="0"/>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0;[Red]\-#,##0"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800" kern="1200">
                <a:solidFill>
                  <a:schemeClr val="tx1"/>
                </a:solidFill>
                <a:latin typeface="ＭＳ 明朝"/>
                <a:ea typeface="+mn-ea"/>
                <a:cs typeface="+mn-cs"/>
              </a:defRPr>
            </a:pPr>
            <a:endParaRPr lang="ja-JP" altLang="en-US"/>
          </a:p>
        </c:txPr>
        <c:crossAx val="2"/>
        <c:crosses val="autoZero"/>
        <c:auto val="1"/>
        <c:lblAlgn val="ctr"/>
        <c:lblOffset val="100"/>
        <c:noMultiLvlLbl val="0"/>
      </c:catAx>
      <c:valAx>
        <c:axId val="2"/>
        <c:scaling>
          <c:orientation val="minMax"/>
          <c:max val="190"/>
          <c:min val="70"/>
        </c:scaling>
        <c:delete val="0"/>
        <c:axPos val="l"/>
        <c:majorGridlines>
          <c:spPr>
            <a:noFill/>
            <a:ln w="9525" cap="flat" cmpd="sng" algn="ctr">
              <a:solidFill>
                <a:schemeClr val="tx1">
                  <a:lumMod val="15000"/>
                  <a:lumOff val="85000"/>
                </a:schemeClr>
              </a:solidFill>
              <a:round/>
            </a:ln>
            <a:effectLst/>
          </c:spPr>
        </c:majorGridlines>
        <c:numFmt formatCode="#,##0;[Red]\-#,##0"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800" kern="1200">
                <a:solidFill>
                  <a:schemeClr val="tx1"/>
                </a:solidFill>
                <a:latin typeface="ＭＳ 明朝"/>
                <a:ea typeface="+mn-ea"/>
                <a:cs typeface="+mn-cs"/>
              </a:defRPr>
            </a:pPr>
            <a:endParaRPr lang="ja-JP" altLang="en-US"/>
          </a:p>
        </c:txPr>
        <c:crossAx val="1"/>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33e-002"/>
          <c:y val="5.1400554097404488e-002"/>
          <c:w val="0.89726159230096225"/>
          <c:h val="0.8326195683872849"/>
        </c:manualLayout>
      </c:layout>
      <c:lineChart>
        <c:grouping val="standard"/>
        <c:varyColors val="0"/>
        <c:ser>
          <c:idx val="0"/>
          <c:order val="0"/>
          <c:tx>
            <c:strRef>
              <c:f>P27産科医師数の推移!$C$30:$D$30</c:f>
              <c:strCache>
                <c:ptCount val="1"/>
                <c:pt idx="0">
                  <c:v>産婦人科 産科・産婦人科（高知）</c:v>
                </c:pt>
              </c:strCache>
            </c:strRef>
          </c:tx>
          <c:spPr>
            <a:solidFill>
              <a:srgbClr val="0070C0"/>
            </a:solidFill>
            <a:ln>
              <a:solidFill>
                <a:srgbClr val="0070C0"/>
              </a:solidFill>
            </a:ln>
          </c:spPr>
          <c:marker>
            <c:spPr>
              <a:solidFill>
                <a:srgbClr val="0070C0"/>
              </a:solidFill>
              <a:ln>
                <a:solidFill>
                  <a:srgbClr val="0070C0"/>
                </a:solidFill>
              </a:ln>
            </c:spPr>
          </c:marker>
          <c:cat>
            <c:strRef>
              <c:f>P27産科医師数の推移!$H$26:$Q$26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[医師確保計画データ集.xlsx]P27産科医師数の推移!$E$30:$Q$30</c:f>
              <c:numCache>
                <c:formatCode>#,##0.0;[Red]\-#,##0.0</c:formatCode>
                <c:ptCount val="10"/>
                <c:pt idx="0" formatCode="#,##0;[Red]\-#,##0">
                  <c:v>100</c:v>
                </c:pt>
                <c:pt idx="1">
                  <c:v>84.375</c:v>
                </c:pt>
                <c:pt idx="2">
                  <c:v>90.625</c:v>
                </c:pt>
                <c:pt idx="3">
                  <c:v>84.375</c:v>
                </c:pt>
                <c:pt idx="4">
                  <c:v>76.5625</c:v>
                </c:pt>
                <c:pt idx="5">
                  <c:v>76.5625</c:v>
                </c:pt>
                <c:pt idx="6">
                  <c:v>78.125</c:v>
                </c:pt>
                <c:pt idx="7">
                  <c:v>81.25</c:v>
                </c:pt>
                <c:pt idx="8">
                  <c:v>93.75</c:v>
                </c:pt>
                <c:pt idx="9" formatCode="0.0_ ">
                  <c:v>95.3125</c:v>
                </c:pt>
              </c:numCache>
            </c:numRef>
          </c:val>
          <c:smooth val="0"/>
        </c:ser>
        <c:ser>
          <c:idx val="2"/>
          <c:order val="1"/>
          <c:tx>
            <c:strRef>
              <c:f>P27産科医師数の推移!$C$32:$D$32</c:f>
              <c:strCache>
                <c:ptCount val="1"/>
                <c:pt idx="0">
                  <c:v>産婦人科 産科・産婦人科（全国）</c:v>
                </c:pt>
              </c:strCache>
            </c:strRef>
          </c:tx>
          <c:spPr>
            <a:solidFill>
              <a:srgbClr val="FF0000"/>
            </a:solidFill>
            <a:ln>
              <a:solidFill>
                <a:srgbClr val="FF0000"/>
              </a:solidFill>
            </a:ln>
          </c:spPr>
          <c:marker>
            <c:spPr>
              <a:solidFill>
                <a:srgbClr val="FF0000"/>
              </a:solidFill>
              <a:ln>
                <a:solidFill>
                  <a:srgbClr val="FF0000"/>
                </a:solidFill>
              </a:ln>
            </c:spPr>
          </c:marker>
          <c:cat>
            <c:strRef>
              <c:f>P27産科医師数の推移!$H$26:$Q$26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[医師確保計画データ集.xlsx]P27産科医師数の推移!$E$32:$Q$32</c:f>
              <c:numCache>
                <c:formatCode>#,##0.0;[Red]\-#,##0.0</c:formatCode>
                <c:ptCount val="10"/>
                <c:pt idx="0" formatCode="#,##0;[Red]\-#,##0">
                  <c:v>100</c:v>
                </c:pt>
                <c:pt idx="1">
                  <c:v>96.01232553924234</c:v>
                </c:pt>
                <c:pt idx="2">
                  <c:v>91.299619358346931</c:v>
                </c:pt>
                <c:pt idx="3">
                  <c:v>94.154431756389343</c:v>
                </c:pt>
                <c:pt idx="4">
                  <c:v>96.537973536342207</c:v>
                </c:pt>
                <c:pt idx="5">
                  <c:v>98.495559180714153</c:v>
                </c:pt>
                <c:pt idx="6">
                  <c:v>100.46220772158783</c:v>
                </c:pt>
                <c:pt idx="7">
                  <c:v>102.85481239804241</c:v>
                </c:pt>
                <c:pt idx="8">
                  <c:v>102.70074315751314</c:v>
                </c:pt>
                <c:pt idx="9" formatCode="0.0_ ">
                  <c:v>105.83650534710894</c:v>
                </c:pt>
              </c:numCache>
            </c:numRef>
          </c:val>
          <c:smooth val="0"/>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0;[Red]\-#,##0" sourceLinked="1"/>
        <c:majorTickMark val="out"/>
        <c:minorTickMark val="none"/>
        <c:tickLblPos val="nextTo"/>
        <c:spPr>
          <a:noFill/>
          <a:ln w="6350" cap="flat" cmpd="sng" algn="ctr">
            <a:solidFill>
              <a:schemeClr val="dk1"/>
            </a:solidFill>
            <a:prstDash val="solid"/>
            <a:miter lim="800000"/>
          </a:ln>
        </c:spPr>
        <c:txPr>
          <a:bodyPr horzOverflow="overflow" anchor="ctr" anchorCtr="1"/>
          <a:lstStyle/>
          <a:p>
            <a:pPr algn="ctr" rtl="0">
              <a:defRPr kumimoji="0" sz="1200" kern="1200">
                <a:solidFill>
                  <a:schemeClr val="tx1"/>
                </a:solidFill>
                <a:latin typeface="ＭＳ 明朝"/>
              </a:defRPr>
            </a:pPr>
            <a:endParaRPr lang="ja-JP" altLang="en-US"/>
          </a:p>
        </c:txPr>
        <c:crossAx val="2"/>
        <c:crosses val="autoZero"/>
        <c:auto val="1"/>
        <c:lblAlgn val="ctr"/>
        <c:lblOffset val="100"/>
        <c:noMultiLvlLbl val="0"/>
      </c:catAx>
      <c:valAx>
        <c:axId val="2"/>
        <c:scaling>
          <c:orientation val="minMax"/>
          <c:max val="110"/>
          <c:min val="70"/>
        </c:scaling>
        <c:delete val="0"/>
        <c:axPos val="l"/>
        <c:majorGridlines>
          <c:spPr>
            <a:noFill/>
            <a:ln w="6350" cap="flat" cmpd="sng" algn="ctr">
              <a:solidFill>
                <a:schemeClr val="dk1"/>
              </a:solidFill>
              <a:prstDash val="solid"/>
              <a:miter lim="800000"/>
            </a:ln>
          </c:spPr>
        </c:majorGridlines>
        <c:numFmt formatCode="#,##0;[Red]\-#,##0" sourceLinked="1"/>
        <c:majorTickMark val="out"/>
        <c:minorTickMark val="none"/>
        <c:tickLblPos val="nextTo"/>
        <c:spPr>
          <a:noFill/>
          <a:ln w="6350" cap="flat" cmpd="sng" algn="ctr">
            <a:solidFill>
              <a:schemeClr val="dk1"/>
            </a:solidFill>
            <a:prstDash val="solid"/>
            <a:miter lim="800000"/>
          </a:ln>
        </c:spPr>
        <c:txPr>
          <a:bodyPr horzOverflow="overflow" anchor="ctr" anchorCtr="1"/>
          <a:lstStyle/>
          <a:p>
            <a:pPr algn="ctr" rtl="0">
              <a:defRPr kumimoji="0" sz="1200" kern="1200">
                <a:solidFill>
                  <a:schemeClr val="tx1"/>
                </a:solidFill>
                <a:latin typeface="ＭＳ 明朝"/>
              </a:defRPr>
            </a:pPr>
            <a:endParaRPr lang="ja-JP" altLang="en-US"/>
          </a:p>
        </c:txPr>
        <c:crossAx val="1"/>
        <c:crosses val="autoZero"/>
        <c:crossBetween val="between"/>
        <c:majorUnit val="10"/>
      </c:valAx>
    </c:plotArea>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a="http://schemas.openxmlformats.org/drawingml/2006/main" xmlns:cs="http://schemas.microsoft.com/office/drawing/2012/chartStyle"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a="http://schemas.openxmlformats.org/drawingml/2006/main" xmlns:cs="http://schemas.microsoft.com/office/drawing/2012/chartStyle"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2.xml><?xml version="1.0" encoding="utf-8"?>
<c:userShapes xmlns:c="http://schemas.openxmlformats.org/drawingml/2006/chart">
  <cdr:relSizeAnchor xmlns:cdr="http://schemas.openxmlformats.org/drawingml/2006/chartDrawing">
    <cdr:from>
      <cdr:x>9.7250000000000003e-002</cdr:x>
      <cdr:y>0.47299999999999998</cdr:y>
    </cdr:from>
    <cdr:to>
      <cdr:x>0.95799999999999996</cdr:x>
      <cdr:y>0.47299999999999998</cdr:y>
    </cdr:to>
    <cdr:sp macro="" textlink="">
      <cdr:nvSpPr>
        <cdr:cNvPr id="26625" name="直線 1"/>
        <cdr:cNvSpPr/>
      </cdr:nvSpPr>
      <cdr:spPr>
        <a:xfrm xmlns:a="http://schemas.openxmlformats.org/drawingml/2006/main">
          <a:off x="565540" y="910676"/>
          <a:ext cx="5005545" cy="0"/>
        </a:xfrm>
        <a:prstGeom xmlns:a="http://schemas.openxmlformats.org/drawingml/2006/main" prst="line">
          <a:avLst/>
        </a:prstGeom>
        <a:ln xmlns:a="http://schemas.openxmlformats.org/drawingml/2006/main" w="12700" cmpd="sng">
          <a:solidFill>
            <a:srgbClr val="FF0000"/>
          </a:solidFill>
          <a:headEnd type="none"/>
          <a:tailEnd type="non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sp>
  </cdr:relSizeAnchor>
</c:userShape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5591</TotalTime>
  <Pages>55</Pages>
  <Words>1685</Words>
  <Characters>39159</Characters>
  <Application>Microsoft Office Word</Application>
  <Lines>104962</Lines>
  <Paragraphs>1953</Paragraphs>
  <CharactersWithSpaces>39634</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445265</cp:lastModifiedBy>
  <cp:lastPrinted>2024-03-07T09:42:44Z</cp:lastPrinted>
  <dcterms:created xsi:type="dcterms:W3CDTF">2013-01-07T04:42:00Z</dcterms:created>
  <dcterms:modified xsi:type="dcterms:W3CDTF">2024-03-18T04:43:37Z</dcterms:modified>
  <cp:revision>393</cp:revision>
</cp:coreProperties>
</file>