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pacing w:val="2"/>
          <w:sz w:val="32"/>
          <w:highlight w:val="none"/>
        </w:rPr>
      </w:pPr>
      <w:r>
        <w:rPr>
          <w:rFonts w:hint="eastAsia"/>
          <w:b w:val="1"/>
          <w:color w:val="1F497D"/>
          <w:spacing w:val="2"/>
          <w:sz w:val="32"/>
          <w:highlight w:val="none"/>
        </w:rPr>
        <w:t>第５章　医療提供体制の充実</w:t>
      </w:r>
    </w:p>
    <w:p>
      <w:pPr>
        <w:pStyle w:val="0"/>
        <w:spacing w:after="165" w:afterLines="50" w:afterAutospacing="0"/>
        <w:rPr>
          <w:rFonts w:hint="eastAsia"/>
          <w:b w:val="1"/>
          <w:color w:val="1F497D"/>
          <w:sz w:val="28"/>
          <w:highlight w:val="none"/>
        </w:rPr>
      </w:pPr>
      <w:r>
        <w:rPr>
          <w:rFonts w:hint="eastAsia"/>
          <w:b w:val="1"/>
          <w:color w:val="1F497D"/>
          <w:sz w:val="28"/>
          <w:highlight w:val="none"/>
        </w:rPr>
        <w:t>第１節　患者本位の医療の提供</w:t>
      </w:r>
    </w:p>
    <w:p>
      <w:pPr>
        <w:pStyle w:val="0"/>
        <w:spacing w:after="165" w:afterLines="50" w:afterAutospacing="0"/>
        <w:ind w:rightChars="0" w:firstLine="226" w:firstLineChars="100"/>
        <w:rPr>
          <w:rFonts w:hint="eastAsia"/>
          <w:highlight w:val="none"/>
        </w:rPr>
      </w:pPr>
      <w:r>
        <w:rPr>
          <w:rFonts w:hint="eastAsia"/>
          <w:highlight w:val="none"/>
        </w:rPr>
        <w:t>限られた医療資源の中で、質の高い医療を県民に適切に提供していくには、患者に対して治療に関する情報を伝えることや病期や病態に応じた医療の連携が行われるなど、患者本位の医療体制が必要です。</w:t>
      </w:r>
    </w:p>
    <w:p>
      <w:pPr>
        <w:pStyle w:val="0"/>
        <w:spacing w:after="165" w:afterLines="50" w:afterAutospacing="0"/>
        <w:ind w:rightChars="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5-1-1</w:t>
      </w:r>
      <w:r>
        <w:rPr>
          <w:rFonts w:hint="eastAsia" w:ascii="ＭＳ ゴシック" w:hAnsi="ＭＳ ゴシック" w:eastAsia="ＭＳ ゴシック"/>
          <w:sz w:val="22"/>
          <w:highlight w:val="none"/>
        </w:rPr>
        <w:t>）患者本位の医療提供体制のイメージ</w:t>
      </w:r>
    </w:p>
    <w:p>
      <w:pPr>
        <w:pStyle w:val="0"/>
        <w:spacing w:after="165" w:afterLines="50" w:afterAutospacing="0"/>
        <w:ind w:rightChars="0"/>
        <w:rPr>
          <w:rFonts w:hint="eastAsia"/>
          <w:highlight w:val="none"/>
        </w:rPr>
      </w:pPr>
      <w:r>
        <w:rPr>
          <w:rFonts w:hint="eastAsia"/>
        </w:rPr>
        <mc:AlternateContent>
          <mc:Choice Requires="wpg">
            <w:drawing>
              <wp:anchor simplePos="0" relativeHeight="23" behindDoc="0" locked="0" layoutInCell="1" hidden="0" allowOverlap="1">
                <wp:simplePos x="0" y="0"/>
                <wp:positionH relativeFrom="column">
                  <wp:posOffset>40640</wp:posOffset>
                </wp:positionH>
                <wp:positionV relativeFrom="paragraph">
                  <wp:posOffset>102235</wp:posOffset>
                </wp:positionV>
                <wp:extent cx="6024245" cy="4130040"/>
                <wp:effectExtent l="17145" t="15240" r="57785" b="61595"/>
                <wp:wrapNone/>
                <wp:docPr id="1026" name="オブジェクト 0"/>
                <a:graphic xmlns:a="http://schemas.openxmlformats.org/drawingml/2006/main">
                  <a:graphicData uri="http://schemas.microsoft.com/office/word/2010/wordprocessingGroup">
                    <wpg:wgp>
                      <wpg:cNvGrpSpPr/>
                      <wpg:grpSpPr>
                        <a:xfrm>
                          <a:off x="0" y="0"/>
                          <a:ext cx="6024245" cy="4130040"/>
                          <a:chOff x="1482" y="5079"/>
                          <a:chExt cx="9487" cy="6504"/>
                        </a:xfrm>
                      </wpg:grpSpPr>
                      <wps:wsp>
                        <wps:cNvPr id="1027" name="オブジェクト 0"/>
                        <wps:cNvSpPr>
                          <a:spLocks noChangeArrowheads="1"/>
                        </wps:cNvSpPr>
                        <wps:spPr>
                          <a:xfrm>
                            <a:off x="2745" y="5079"/>
                            <a:ext cx="6531" cy="618"/>
                          </a:xfrm>
                          <a:prstGeom prst="ellipse">
                            <a:avLst/>
                          </a:prstGeom>
                          <a:gradFill rotWithShape="1">
                            <a:gsLst>
                              <a:gs pos="0">
                                <a:srgbClr val="FFFFFF"/>
                              </a:gs>
                              <a:gs pos="100000">
                                <a:srgbClr val="B8CCE4"/>
                              </a:gs>
                            </a:gsLst>
                            <a:lin ang="5400000" scaled="1"/>
                            <a:tileRect/>
                          </a:gradFill>
                          <a:ln w="12700">
                            <a:solidFill>
                              <a:srgbClr val="95B3D7"/>
                            </a:solidFill>
                          </a:ln>
                          <a:effectLst>
                            <a:outerShdw dist="28398" dir="3806097" algn="ctr" rotWithShape="0">
                              <a:srgbClr val="243F60">
                                <a:alpha val="50000"/>
                              </a:srgbClr>
                            </a:outerShdw>
                          </a:effectLst>
                        </wps:spPr>
                        <wps:txbx>
                          <w:txbxContent>
                            <w:p>
                              <w:pPr>
                                <w:pStyle w:val="0"/>
                                <w:jc w:val="center"/>
                                <w:rPr>
                                  <w:rFonts w:hint="default" w:ascii="ＭＳ ゴシック" w:hAnsi="ＭＳ ゴシック" w:eastAsia="ＭＳ ゴシック"/>
                                  <w:b w:val="1"/>
                                  <w:shadow w:val="1"/>
                                  <w:sz w:val="21"/>
                                </w:rPr>
                              </w:pPr>
                              <w:r>
                                <w:rPr>
                                  <w:rFonts w:hint="eastAsia" w:ascii="ＭＳ ゴシック" w:hAnsi="ＭＳ ゴシック" w:eastAsia="ＭＳ ゴシック"/>
                                  <w:b w:val="1"/>
                                  <w:sz w:val="21"/>
                                  <w14:shadow w14:blurRad="50800" w14:dist="38100" w14:dir="2700000" w14:sx="100000" w14:sy="100000" w14:kx="0" w14:ky="0" w14:algn="tl">
                                    <w14:srgbClr w14:val="000000">
                                      <w14:alpha w14:val="60000"/>
                                    </w14:srgbClr>
                                  </w14:shadow>
                                </w:rPr>
                                <w:t>患者本位の医療の提供</w:t>
                              </w:r>
                            </w:p>
                          </w:txbxContent>
                        </wps:txbx>
                        <wps:bodyPr vertOverflow="overflow" horzOverflow="overflow" lIns="74295" tIns="8890" rIns="74295" bIns="8890" upright="1"/>
                      </wps:wsp>
                      <wps:wsp>
                        <wps:cNvPr id="1028" name="オブジェクト 0"/>
                        <wps:cNvSpPr>
                          <a:spLocks noChangeArrowheads="1"/>
                        </wps:cNvSpPr>
                        <wps:spPr>
                          <a:xfrm flipV="1">
                            <a:off x="7440" y="5708"/>
                            <a:ext cx="450" cy="497"/>
                          </a:xfrm>
                          <a:prstGeom prst="downArrow">
                            <a:avLst>
                              <a:gd name="adj1" fmla="val 45778"/>
                              <a:gd name="adj2" fmla="val 50003"/>
                            </a:avLst>
                          </a:prstGeom>
                          <a:solidFill>
                            <a:srgbClr val="FFFFFF"/>
                          </a:solidFill>
                          <a:ln w="19050">
                            <a:solidFill>
                              <a:srgbClr val="17365D"/>
                            </a:solidFill>
                            <a:miter/>
                          </a:ln>
                        </wps:spPr>
                        <wps:bodyPr/>
                      </wps:wsp>
                      <wps:wsp>
                        <wps:cNvPr id="1029" name="オブジェクト 0"/>
                        <wps:cNvSpPr>
                          <a:spLocks noChangeArrowheads="1"/>
                        </wps:cNvSpPr>
                        <wps:spPr>
                          <a:xfrm flipV="1">
                            <a:off x="4280" y="5708"/>
                            <a:ext cx="450" cy="497"/>
                          </a:xfrm>
                          <a:prstGeom prst="downArrow">
                            <a:avLst>
                              <a:gd name="adj1" fmla="val 45778"/>
                              <a:gd name="adj2" fmla="val 50003"/>
                            </a:avLst>
                          </a:prstGeom>
                          <a:solidFill>
                            <a:srgbClr val="FFFFFF"/>
                          </a:solidFill>
                          <a:ln w="19050">
                            <a:solidFill>
                              <a:srgbClr val="17365D"/>
                            </a:solidFill>
                            <a:miter/>
                          </a:ln>
                        </wps:spPr>
                        <wps:bodyPr/>
                      </wps:wsp>
                      <wps:wsp>
                        <wps:cNvPr id="1030" name="オブジェクト 0"/>
                        <wps:cNvSpPr>
                          <a:spLocks noChangeArrowheads="1"/>
                        </wps:cNvSpPr>
                        <wps:spPr>
                          <a:xfrm>
                            <a:off x="6163" y="6530"/>
                            <a:ext cx="4806" cy="5053"/>
                          </a:xfrm>
                          <a:prstGeom prst="rect">
                            <a:avLst/>
                          </a:prstGeom>
                          <a:gradFill rotWithShape="0">
                            <a:gsLst>
                              <a:gs pos="0">
                                <a:srgbClr val="FFFFFF"/>
                              </a:gs>
                              <a:gs pos="100000">
                                <a:srgbClr val="B6DDE8"/>
                              </a:gs>
                            </a:gsLst>
                            <a:lin ang="5400000" scaled="1"/>
                            <a:tileRect/>
                          </a:gradFill>
                          <a:ln w="12700">
                            <a:solidFill>
                              <a:srgbClr val="92CDDC"/>
                            </a:solidFill>
                            <a:miter/>
                          </a:ln>
                          <a:effectLst>
                            <a:outerShdw dist="28398" dir="3806097" algn="ctr" rotWithShape="0">
                              <a:srgbClr val="205867">
                                <a:alpha val="50000"/>
                              </a:srgbClr>
                            </a:outerShdw>
                          </a:effectLst>
                        </wps:spPr>
                        <wps:txbx>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病期に応じた切れ目のない医療が提供されるとともに、情報化技術による医療連携が行われる</w:t>
                              </w:r>
                            </w:p>
                            <w:p>
                              <w:pPr>
                                <w:pStyle w:val="0"/>
                                <w:rPr>
                                  <w:rFonts w:hint="default"/>
                                </w:rPr>
                              </w:pPr>
                            </w:p>
                          </w:txbxContent>
                        </wps:txbx>
                        <wps:bodyPr vertOverflow="overflow" horzOverflow="overflow" lIns="74295" tIns="8890" rIns="74295" bIns="8890" upright="1"/>
                      </wps:wsp>
                      <wps:wsp>
                        <wps:cNvPr id="1031" name="オブジェクト 0"/>
                        <wps:cNvSpPr>
                          <a:spLocks noChangeArrowheads="1"/>
                        </wps:cNvSpPr>
                        <wps:spPr>
                          <a:xfrm>
                            <a:off x="1482" y="6514"/>
                            <a:ext cx="4687" cy="5069"/>
                          </a:xfrm>
                          <a:prstGeom prst="rect">
                            <a:avLst/>
                          </a:prstGeom>
                          <a:gradFill rotWithShape="0">
                            <a:gsLst>
                              <a:gs pos="0">
                                <a:srgbClr val="FFFFFF"/>
                              </a:gs>
                              <a:gs pos="100000">
                                <a:srgbClr val="B6DDE8"/>
                              </a:gs>
                            </a:gsLst>
                            <a:lin ang="5400000" scaled="1"/>
                            <a:tileRect/>
                          </a:gradFill>
                          <a:ln w="12700">
                            <a:solidFill>
                              <a:srgbClr val="92CDDC"/>
                            </a:solidFill>
                            <a:miter/>
                          </a:ln>
                          <a:effectLst>
                            <a:outerShdw dist="28398" dir="3806097" algn="ctr" rotWithShape="0">
                              <a:srgbClr val="205867">
                                <a:alpha val="50000"/>
                              </a:srgbClr>
                            </a:outerShdw>
                          </a:effectLst>
                        </wps:spPr>
                        <wps:txbx>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患者が受ける医療を自己決定できる情報の提供がある</w:t>
                              </w:r>
                            </w:p>
                            <w:p>
                              <w:pPr>
                                <w:pStyle w:val="0"/>
                                <w:rPr>
                                  <w:rFonts w:hint="default"/>
                                </w:rPr>
                              </w:pPr>
                            </w:p>
                          </w:txbxContent>
                        </wps:txbx>
                        <wps:bodyPr vertOverflow="overflow" horzOverflow="overflow" wrap="square" lIns="74295" tIns="8890" rIns="74295" bIns="8890" upright="1"/>
                      </wps:wsp>
                      <wps:wsp>
                        <wps:cNvPr id="1032" name="オブジェクト 0"/>
                        <wps:cNvSpPr>
                          <a:spLocks noChangeArrowheads="1"/>
                        </wps:cNvSpPr>
                        <wps:spPr>
                          <a:xfrm>
                            <a:off x="6369" y="7473"/>
                            <a:ext cx="4296" cy="1662"/>
                          </a:xfrm>
                          <a:prstGeom prst="roundRect">
                            <a:avLst>
                              <a:gd name="adj" fmla="val 16667"/>
                            </a:avLst>
                          </a:prstGeom>
                          <a:solidFill>
                            <a:srgbClr val="FFFFFF"/>
                          </a:solidFill>
                          <a:ln w="12700">
                            <a:solidFill>
                              <a:srgbClr val="4F81BD"/>
                            </a:solidFill>
                            <a:prstDash val="dash"/>
                          </a:ln>
                        </wps:spPr>
                        <wps:txbx>
                          <w:txbxContent>
                            <w:p>
                              <w:pPr>
                                <w:pStyle w:val="0"/>
                                <w:spacing w:line="240" w:lineRule="exact"/>
                                <w:jc w:val="left"/>
                                <w:rPr>
                                  <w:rFonts w:hint="eastAsia"/>
                                  <w:sz w:val="20"/>
                                </w:rPr>
                              </w:pPr>
                              <w:r>
                                <w:rPr>
                                  <w:rFonts w:hint="eastAsia"/>
                                  <w:sz w:val="20"/>
                                </w:rPr>
                                <w:t>◇</w:t>
                              </w:r>
                              <w:r>
                                <w:rPr>
                                  <w:rFonts w:hint="eastAsia"/>
                                  <w:sz w:val="20"/>
                                </w:rPr>
                                <w:t xml:space="preserve"> </w:t>
                              </w:r>
                              <w:r>
                                <w:rPr>
                                  <w:rFonts w:hint="eastAsia"/>
                                  <w:sz w:val="20"/>
                                </w:rPr>
                                <w:t>予防、救護、急性期・回復期・維持期</w:t>
                              </w:r>
                            </w:p>
                            <w:p>
                              <w:pPr>
                                <w:pStyle w:val="0"/>
                                <w:spacing w:line="240" w:lineRule="exact"/>
                                <w:ind w:firstLine="207" w:firstLineChars="100"/>
                                <w:jc w:val="left"/>
                                <w:rPr>
                                  <w:rFonts w:hint="eastAsia"/>
                                  <w:sz w:val="20"/>
                                </w:rPr>
                              </w:pPr>
                              <w:r>
                                <w:rPr>
                                  <w:rFonts w:hint="eastAsia"/>
                                  <w:sz w:val="20"/>
                                </w:rPr>
                                <w:t>などといった病期ごとに医療の連携が</w:t>
                              </w:r>
                            </w:p>
                            <w:p>
                              <w:pPr>
                                <w:pStyle w:val="0"/>
                                <w:snapToGrid w:val="0"/>
                                <w:spacing w:line="240" w:lineRule="exact"/>
                                <w:ind w:firstLine="207" w:firstLineChars="100"/>
                                <w:jc w:val="left"/>
                                <w:rPr>
                                  <w:rFonts w:hint="eastAsia"/>
                                  <w:sz w:val="20"/>
                                </w:rPr>
                              </w:pPr>
                              <w:r>
                                <w:rPr>
                                  <w:rFonts w:hint="eastAsia"/>
                                  <w:sz w:val="20"/>
                                </w:rPr>
                                <w:t>できている</w:t>
                              </w:r>
                            </w:p>
                            <w:p>
                              <w:pPr>
                                <w:pStyle w:val="0"/>
                                <w:spacing w:before="99" w:beforeLines="30" w:beforeAutospacing="0" w:after="80" w:afterLines="0" w:afterAutospacing="0" w:line="240" w:lineRule="exact"/>
                                <w:ind w:left="0" w:leftChars="200" w:firstLine="0" w:firstLineChars="0"/>
                                <w:jc w:val="left"/>
                                <w:rPr>
                                  <w:rFonts w:hint="eastAsia" w:ascii="ＭＳ ゴシック" w:hAnsi="ＭＳ ゴシック" w:eastAsia="ＭＳ ゴシック"/>
                                  <w:sz w:val="20"/>
                                </w:rPr>
                              </w:pPr>
                              <w:r>
                                <w:rPr>
                                  <w:rFonts w:hint="eastAsia" w:ascii="ＭＳ ゴシック" w:hAnsi="ＭＳ ゴシック" w:eastAsia="ＭＳ ゴシック"/>
                                  <w:sz w:val="20"/>
                                </w:rPr>
                                <w:t>かかりつけ医・歯科医・薬局の普及</w:t>
                              </w:r>
                            </w:p>
                            <w:p>
                              <w:pPr>
                                <w:pStyle w:val="0"/>
                                <w:spacing w:line="240" w:lineRule="exact"/>
                                <w:ind w:left="0" w:leftChars="200" w:firstLine="0" w:firstLineChars="0"/>
                                <w:jc w:val="left"/>
                                <w:rPr>
                                  <w:rFonts w:hint="default" w:ascii="Times New Roman" w:hAnsi="Times New Roman"/>
                                  <w:kern w:val="0"/>
                                  <w:sz w:val="24"/>
                                </w:rPr>
                              </w:pPr>
                              <w:r>
                                <w:rPr>
                                  <w:rFonts w:hint="eastAsia" w:ascii="ＭＳ ゴシック" w:hAnsi="ＭＳ ゴシック" w:eastAsia="ＭＳ ゴシック"/>
                                  <w:sz w:val="20"/>
                                </w:rPr>
                                <w:t>地域連携クリニカルパス</w:t>
                              </w:r>
                            </w:p>
                          </w:txbxContent>
                        </wps:txbx>
                        <wps:bodyPr vertOverflow="overflow" horzOverflow="overflow" wrap="square" lIns="74295" tIns="8890" rIns="74295" bIns="8890" upright="1"/>
                      </wps:wsp>
                      <wps:wsp>
                        <wps:cNvPr id="1033" name="オブジェクト 0"/>
                        <wps:cNvSpPr>
                          <a:spLocks noChangeArrowheads="1"/>
                        </wps:cNvSpPr>
                        <wps:spPr>
                          <a:xfrm>
                            <a:off x="1707" y="7557"/>
                            <a:ext cx="4145" cy="1282"/>
                          </a:xfrm>
                          <a:prstGeom prst="roundRect">
                            <a:avLst>
                              <a:gd name="adj" fmla="val 16659"/>
                            </a:avLst>
                          </a:prstGeom>
                          <a:solidFill>
                            <a:srgbClr val="FFFFFF"/>
                          </a:solidFill>
                          <a:ln w="12700">
                            <a:solidFill>
                              <a:srgbClr val="4F81BD"/>
                            </a:solidFill>
                            <a:prstDash val="dash"/>
                          </a:ln>
                        </wps:spPr>
                        <wps:txbx>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治療内容などについて患者への分かりやすい説明がある</w:t>
                              </w:r>
                            </w:p>
                            <w:p>
                              <w:pPr>
                                <w:pStyle w:val="0"/>
                                <w:spacing w:before="165" w:beforeLines="50" w:beforeAutospacing="0" w:line="200" w:lineRule="exact"/>
                                <w:ind w:left="0" w:leftChars="0" w:firstLine="414"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インフォームド・コンセント</w:t>
                              </w:r>
                            </w:p>
                            <w:p>
                              <w:pPr>
                                <w:pStyle w:val="0"/>
                                <w:spacing w:line="200" w:lineRule="exact"/>
                                <w:ind w:left="0" w:leftChars="0" w:firstLine="414" w:firstLineChars="200"/>
                                <w:jc w:val="left"/>
                                <w:rPr>
                                  <w:rFonts w:hint="default"/>
                                </w:rPr>
                              </w:pPr>
                              <w:r>
                                <w:rPr>
                                  <w:rFonts w:hint="eastAsia" w:ascii="ＭＳ ゴシック" w:hAnsi="ＭＳ ゴシック" w:eastAsia="ＭＳ ゴシック"/>
                                  <w:sz w:val="20"/>
                                </w:rPr>
                                <w:t>（インフォームド・チョイス）</w:t>
                              </w:r>
                            </w:p>
                          </w:txbxContent>
                        </wps:txbx>
                        <wps:bodyPr vertOverflow="overflow" horzOverflow="overflow" wrap="square" lIns="74295" tIns="8890" rIns="74295" bIns="8890" upright="1"/>
                      </wps:wsp>
                      <wps:wsp>
                        <wps:cNvPr id="1034" name="オブジェクト 0"/>
                        <wps:cNvSpPr>
                          <a:spLocks noChangeArrowheads="1"/>
                        </wps:cNvSpPr>
                        <wps:spPr>
                          <a:xfrm>
                            <a:off x="6760" y="8713"/>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5" name="オブジェクト 0"/>
                        <wps:cNvSpPr>
                          <a:spLocks noChangeArrowheads="1"/>
                        </wps:cNvSpPr>
                        <wps:spPr>
                          <a:xfrm>
                            <a:off x="6760" y="8430"/>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6" name="オブジェクト 0"/>
                        <wps:cNvSpPr>
                          <a:spLocks noChangeArrowheads="1"/>
                        </wps:cNvSpPr>
                        <wps:spPr>
                          <a:xfrm>
                            <a:off x="2019" y="8308"/>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37" name="オブジェクト 0"/>
                        <wps:cNvSpPr>
                          <a:spLocks noChangeArrowheads="1"/>
                        </wps:cNvSpPr>
                        <wps:spPr>
                          <a:xfrm>
                            <a:off x="6412" y="9288"/>
                            <a:ext cx="4253" cy="2130"/>
                          </a:xfrm>
                          <a:prstGeom prst="roundRect">
                            <a:avLst>
                              <a:gd name="adj" fmla="val 16665"/>
                            </a:avLst>
                          </a:prstGeom>
                          <a:solidFill>
                            <a:srgbClr val="FFFFFF"/>
                          </a:solidFill>
                          <a:ln w="12700">
                            <a:solidFill>
                              <a:srgbClr val="4F81BD"/>
                            </a:solidFill>
                            <a:prstDash val="dash"/>
                          </a:ln>
                        </wps:spPr>
                        <wps:txbx>
                          <w:txbxContent>
                            <w:p>
                              <w:pPr>
                                <w:pStyle w:val="0"/>
                                <w:spacing w:after="132" w:afterLines="40" w:afterAutospacing="0" w:line="240" w:lineRule="exact"/>
                                <w:ind w:left="207" w:hanging="220" w:hangingChars="100"/>
                                <w:jc w:val="left"/>
                                <w:rPr>
                                  <w:rFonts w:hint="default"/>
                                  <w:sz w:val="20"/>
                                </w:rPr>
                              </w:pPr>
                              <w:r>
                                <w:rPr>
                                  <w:rFonts w:hint="eastAsia"/>
                                  <w:sz w:val="20"/>
                                </w:rPr>
                                <w:t>◇</w:t>
                              </w:r>
                              <w:r>
                                <w:rPr>
                                  <w:rFonts w:hint="eastAsia"/>
                                  <w:sz w:val="20"/>
                                </w:rPr>
                                <w:t xml:space="preserve"> </w:t>
                              </w:r>
                              <w:r>
                                <w:rPr>
                                  <w:rFonts w:hint="eastAsia"/>
                                  <w:sz w:val="20"/>
                                </w:rPr>
                                <w:t>医療連携のための情報共有の仕組がある</w:t>
                              </w:r>
                              <w:r>
                                <w:rPr>
                                  <w:rFonts w:hint="default"/>
                                  <w:w w:val="90"/>
                                  <w:sz w:val="20"/>
                                </w:rPr>
                                <w:br w:type="textWrapping" w:clear="none"/>
                              </w:r>
                              <w:r>
                                <w:rPr>
                                  <w:rFonts w:hint="eastAsia"/>
                                  <w:sz w:val="20"/>
                                </w:rPr>
                                <w:t>（医療の情報化）</w:t>
                              </w:r>
                            </w:p>
                            <w:p>
                              <w:pPr>
                                <w:pStyle w:val="0"/>
                                <w:spacing w:line="260" w:lineRule="exact"/>
                                <w:ind w:left="227" w:leftChars="100" w:firstLine="207"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地域医療ネットワーク</w:t>
                              </w:r>
                            </w:p>
                            <w:p>
                              <w:pPr>
                                <w:pStyle w:val="0"/>
                                <w:spacing w:line="260" w:lineRule="exact"/>
                                <w:ind w:left="227" w:leftChars="100" w:firstLine="374" w:firstLineChars="200"/>
                                <w:jc w:val="left"/>
                                <w:rPr>
                                  <w:rFonts w:hint="eastAsia"/>
                                  <w:color w:val="auto"/>
                                  <w:sz w:val="18"/>
                                  <w:u w:val="none" w:color="auto"/>
                                </w:rPr>
                              </w:pPr>
                              <w:r>
                                <w:rPr>
                                  <w:rFonts w:hint="eastAsia"/>
                                  <w:b w:val="0"/>
                                  <w:strike w:val="0"/>
                                  <w:dstrike w:val="0"/>
                                  <w:color w:val="auto"/>
                                  <w:sz w:val="18"/>
                                  <w:u w:val="none" w:color="auto"/>
                                </w:rPr>
                                <w:t>高知ＥＨＲ</w:t>
                              </w:r>
                              <w:r>
                                <w:rPr>
                                  <w:rFonts w:hint="eastAsia"/>
                                  <w:b w:val="0"/>
                                  <w:color w:val="auto"/>
                                  <w:sz w:val="18"/>
                                  <w:u w:val="none" w:color="auto"/>
                                </w:rPr>
                                <w:t>（高知あんしんネット・</w:t>
                              </w:r>
                            </w:p>
                            <w:p>
                              <w:pPr>
                                <w:pStyle w:val="0"/>
                                <w:spacing w:line="260" w:lineRule="exact"/>
                                <w:ind w:left="227" w:leftChars="100" w:firstLine="374" w:firstLineChars="200"/>
                                <w:jc w:val="left"/>
                                <w:rPr>
                                  <w:rFonts w:hint="eastAsia"/>
                                  <w:sz w:val="18"/>
                                </w:rPr>
                              </w:pPr>
                              <w:r>
                                <w:rPr>
                                  <w:rFonts w:hint="eastAsia"/>
                                  <w:b w:val="0"/>
                                  <w:color w:val="auto"/>
                                  <w:sz w:val="18"/>
                                  <w:u w:val="none" w:color="auto"/>
                                </w:rPr>
                                <w:t>はたまるねっと・高知家＠ライン）</w:t>
                              </w:r>
                            </w:p>
                            <w:p>
                              <w:pPr>
                                <w:pStyle w:val="0"/>
                                <w:spacing w:line="260" w:lineRule="exact"/>
                                <w:ind w:left="220" w:leftChars="100" w:firstLine="440" w:firstLineChars="200"/>
                                <w:jc w:val="left"/>
                                <w:rPr>
                                  <w:rFonts w:hint="default"/>
                                  <w:sz w:val="18"/>
                                </w:rPr>
                              </w:pPr>
                              <w:r>
                                <w:rPr>
                                  <w:rFonts w:hint="eastAsia"/>
                                  <w:sz w:val="18"/>
                                </w:rPr>
                                <w:t>へき地医療情報ネットワーク</w:t>
                              </w:r>
                            </w:p>
                            <w:p>
                              <w:pPr>
                                <w:pStyle w:val="0"/>
                                <w:spacing w:line="260" w:lineRule="exact"/>
                                <w:ind w:left="0" w:leftChars="200" w:firstLine="0" w:firstLineChars="0"/>
                                <w:jc w:val="left"/>
                                <w:rPr>
                                  <w:rFonts w:hint="default"/>
                                  <w:sz w:val="18"/>
                                </w:rPr>
                              </w:pPr>
                            </w:p>
                          </w:txbxContent>
                        </wps:txbx>
                        <wps:bodyPr vertOverflow="overflow" horzOverflow="overflow" wrap="square" lIns="74295" tIns="8890" rIns="74295" bIns="8890" upright="1"/>
                      </wps:wsp>
                      <wps:wsp>
                        <wps:cNvPr id="1038" name="オブジェクト 0"/>
                        <wps:cNvSpPr>
                          <a:spLocks noChangeArrowheads="1"/>
                        </wps:cNvSpPr>
                        <wps:spPr>
                          <a:xfrm>
                            <a:off x="1707" y="9006"/>
                            <a:ext cx="4145" cy="824"/>
                          </a:xfrm>
                          <a:prstGeom prst="roundRect">
                            <a:avLst>
                              <a:gd name="adj" fmla="val 16674"/>
                            </a:avLst>
                          </a:prstGeom>
                          <a:solidFill>
                            <a:srgbClr val="FFFFFF"/>
                          </a:solidFill>
                          <a:ln w="12700">
                            <a:solidFill>
                              <a:srgbClr val="4F81BD"/>
                            </a:solidFill>
                            <a:prstDash val="dash"/>
                          </a:ln>
                        </wps:spPr>
                        <wps:txbx>
                          <w:txbxContent>
                            <w:p>
                              <w:pPr>
                                <w:pStyle w:val="0"/>
                                <w:jc w:val="left"/>
                                <w:rPr>
                                  <w:rFonts w:hint="eastAsia"/>
                                  <w:sz w:val="20"/>
                                </w:rPr>
                              </w:pPr>
                              <w:r>
                                <w:rPr>
                                  <w:rFonts w:hint="eastAsia"/>
                                  <w:sz w:val="20"/>
                                </w:rPr>
                                <w:t>◇</w:t>
                              </w:r>
                              <w:r>
                                <w:rPr>
                                  <w:rFonts w:hint="eastAsia"/>
                                  <w:sz w:val="20"/>
                                </w:rPr>
                                <w:t xml:space="preserve"> </w:t>
                              </w:r>
                              <w:r>
                                <w:rPr>
                                  <w:rFonts w:hint="eastAsia"/>
                                  <w:sz w:val="20"/>
                                </w:rPr>
                                <w:t>医療の選択肢がある</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セカンドオピニオン</w:t>
                              </w:r>
                            </w:p>
                          </w:txbxContent>
                        </wps:txbx>
                        <wps:bodyPr vertOverflow="overflow" horzOverflow="overflow" wrap="square" lIns="74295" tIns="8890" rIns="74295" bIns="8890" upright="1"/>
                      </wps:wsp>
                      <wps:wsp>
                        <wps:cNvPr id="1039" name="オブジェクト 0"/>
                        <wps:cNvSpPr>
                          <a:spLocks noChangeArrowheads="1"/>
                        </wps:cNvSpPr>
                        <wps:spPr>
                          <a:xfrm>
                            <a:off x="2019" y="9499"/>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0" name="オブジェクト 0"/>
                        <wps:cNvSpPr>
                          <a:spLocks noChangeArrowheads="1"/>
                        </wps:cNvSpPr>
                        <wps:spPr>
                          <a:xfrm>
                            <a:off x="6760" y="10327"/>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1" name="オブジェクト 0"/>
                        <wps:cNvSpPr>
                          <a:spLocks noChangeArrowheads="1"/>
                        </wps:cNvSpPr>
                        <wps:spPr>
                          <a:xfrm>
                            <a:off x="1707" y="9988"/>
                            <a:ext cx="4145" cy="1431"/>
                          </a:xfrm>
                          <a:prstGeom prst="roundRect">
                            <a:avLst>
                              <a:gd name="adj" fmla="val 16663"/>
                            </a:avLst>
                          </a:prstGeom>
                          <a:solidFill>
                            <a:srgbClr val="FFFFFF"/>
                          </a:solidFill>
                          <a:ln w="12700">
                            <a:solidFill>
                              <a:srgbClr val="4F81BD"/>
                            </a:solidFill>
                            <a:prstDash val="dash"/>
                          </a:ln>
                        </wps:spPr>
                        <wps:txbx>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住民や患者に対して医療情報の提供がある</w:t>
                              </w:r>
                            </w:p>
                            <w:p>
                              <w:pPr>
                                <w:pStyle w:val="0"/>
                                <w:ind w:left="0" w:leftChars="0" w:firstLine="414" w:firstLineChars="200"/>
                                <w:jc w:val="left"/>
                                <w:rPr>
                                  <w:rFonts w:hint="default"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こうち医療ネット</w:t>
                              </w:r>
                            </w:p>
                            <w:p>
                              <w:pPr>
                                <w:pStyle w:val="0"/>
                                <w:ind w:left="0" w:leftChars="0" w:firstLine="166" w:firstLineChars="100"/>
                                <w:jc w:val="left"/>
                                <w:rPr>
                                  <w:rFonts w:hint="default" w:ascii="ＭＳ ゴシック" w:hAnsi="ＭＳ ゴシック" w:eastAsia="ＭＳ ゴシック"/>
                                  <w:sz w:val="20"/>
                                </w:rPr>
                              </w:pPr>
                              <w:r>
                                <w:rPr>
                                  <w:rFonts w:hint="eastAsia" w:ascii="ＭＳ 明朝" w:hAnsi="ＭＳ 明朝" w:eastAsia="ＭＳ 明朝"/>
                                  <w:kern w:val="0"/>
                                  <w:sz w:val="16"/>
                                  <w:highlight w:val="none"/>
                                </w:rPr>
                                <w:t>（令和６年４月より</w:t>
                              </w:r>
                              <w:r>
                                <w:rPr>
                                  <w:rFonts w:hint="eastAsia" w:ascii="ＭＳ 明朝" w:hAnsi="ＭＳ 明朝" w:eastAsia="ＭＳ 明朝"/>
                                  <w:color w:val="auto"/>
                                  <w:sz w:val="16"/>
                                  <w:highlight w:val="none"/>
                                  <w:u w:val="none" w:color="auto"/>
                                </w:rPr>
                                <w:t>全国統一システムに移行）</w:t>
                              </w:r>
                            </w:p>
                          </w:txbxContent>
                        </wps:txbx>
                        <wps:bodyPr vertOverflow="overflow" horzOverflow="overflow" wrap="square" lIns="74295" tIns="8890" rIns="74295" bIns="8890" upright="1"/>
                      </wps:wsp>
                      <wps:wsp>
                        <wps:cNvPr id="1042" name="オブジェクト 0"/>
                        <wps:cNvSpPr>
                          <a:spLocks noChangeArrowheads="1"/>
                        </wps:cNvSpPr>
                        <wps:spPr>
                          <a:xfrm>
                            <a:off x="2019" y="10645"/>
                            <a:ext cx="167" cy="169"/>
                          </a:xfrm>
                          <a:prstGeom prst="rightArrow">
                            <a:avLst>
                              <a:gd name="adj1" fmla="val 50000"/>
                              <a:gd name="adj2" fmla="val 58000"/>
                            </a:avLst>
                          </a:prstGeom>
                          <a:solidFill>
                            <a:srgbClr val="8DB3E2"/>
                          </a:solidFill>
                          <a:ln w="9525">
                            <a:solidFill>
                              <a:sysClr val="windowText" lastClr="000000"/>
                            </a:solidFill>
                            <a:miter/>
                          </a:ln>
                        </wps:spPr>
                        <wps:bodyPr/>
                      </wps:wsp>
                      <wps:wsp>
                        <wps:cNvPr id="1043" name="オブジェクト 0"/>
                        <wps:cNvSpPr txBox="1">
                          <a:spLocks noChangeArrowheads="1"/>
                        </wps:cNvSpPr>
                        <wps:spPr>
                          <a:xfrm>
                            <a:off x="2186" y="6268"/>
                            <a:ext cx="2947" cy="396"/>
                          </a:xfrm>
                          <a:prstGeom prst="rect">
                            <a:avLst/>
                          </a:prstGeom>
                          <a:solidFill>
                            <a:srgbClr val="17365D"/>
                          </a:solidFill>
                          <a:ln w="12700">
                            <a:solidFill>
                              <a:srgbClr val="17365D"/>
                            </a:solidFill>
                            <a:miter/>
                          </a:ln>
                        </wps:spPr>
                        <wps:txbx>
                          <w:txbxContent>
                            <w:p>
                              <w:pPr>
                                <w:pStyle w:val="0"/>
                                <w:jc w:val="center"/>
                                <w:rPr>
                                  <w:rFonts w:hint="default" w:ascii="ＭＳ ゴシック" w:hAnsi="ＭＳ ゴシック" w:eastAsia="ＭＳ ゴシック"/>
                                  <w:color w:val="FFFFFF"/>
                                  <w:sz w:val="21"/>
                                </w:rPr>
                              </w:pPr>
                              <w:r>
                                <w:rPr>
                                  <w:rFonts w:hint="eastAsia" w:ascii="ＭＳ ゴシック" w:hAnsi="ＭＳ ゴシック" w:eastAsia="ＭＳ ゴシック"/>
                                  <w:color w:val="FFFFFF"/>
                                  <w:sz w:val="21"/>
                                </w:rPr>
                                <w:t>医療に関する情報の提供</w:t>
                              </w:r>
                            </w:p>
                          </w:txbxContent>
                        </wps:txbx>
                        <wps:bodyPr vertOverflow="overflow" horzOverflow="overflow" lIns="74295" tIns="8890" rIns="74295" bIns="8890" upright="1"/>
                      </wps:wsp>
                      <wps:wsp>
                        <wps:cNvPr id="1044" name="オブジェクト 0"/>
                        <wps:cNvSpPr txBox="1">
                          <a:spLocks noChangeArrowheads="1"/>
                        </wps:cNvSpPr>
                        <wps:spPr>
                          <a:xfrm>
                            <a:off x="7103" y="6268"/>
                            <a:ext cx="2947" cy="396"/>
                          </a:xfrm>
                          <a:prstGeom prst="rect">
                            <a:avLst/>
                          </a:prstGeom>
                          <a:solidFill>
                            <a:srgbClr val="17365D"/>
                          </a:solidFill>
                          <a:ln w="12700">
                            <a:solidFill>
                              <a:srgbClr val="17365D"/>
                            </a:solidFill>
                            <a:miter/>
                          </a:ln>
                        </wps:spPr>
                        <wps:txbx>
                          <w:txbxContent>
                            <w:p>
                              <w:pPr>
                                <w:pStyle w:val="0"/>
                                <w:jc w:val="center"/>
                                <w:rPr>
                                  <w:rFonts w:hint="default" w:ascii="ＭＳ ゴシック" w:hAnsi="ＭＳ ゴシック" w:eastAsia="ＭＳ ゴシック"/>
                                  <w:sz w:val="21"/>
                                </w:rPr>
                              </w:pPr>
                              <w:r>
                                <w:rPr>
                                  <w:rFonts w:hint="eastAsia" w:ascii="ＭＳ ゴシック" w:hAnsi="ＭＳ ゴシック" w:eastAsia="ＭＳ ゴシック"/>
                                  <w:color w:val="FFFFFF" w:themeColor="background1"/>
                                  <w:sz w:val="21"/>
                                </w:rPr>
                                <w:t>医療の連携体制と情報化</w:t>
                              </w:r>
                            </w:p>
                          </w:txbxContent>
                        </wps:txbx>
                        <wps:bodyPr vertOverflow="overflow" horzOverflow="overflow" lIns="74295" tIns="8890" rIns="74295" bIns="8890" upright="1"/>
                      </wps:wsp>
                    </wpg:wgp>
                  </a:graphicData>
                </a:graphic>
              </wp:anchor>
            </w:drawing>
          </mc:Choice>
          <mc:Fallback>
            <w:pict>
              <v:group id="オブジェクト 0" style="margin-top:8.0500000000000007pt;mso-position-vertical-relative:text;mso-position-horizontal-relative:text;position:absolute;height:325.2pt;width:474.35pt;margin-left:3.2pt;z-index:23;" coordsize="9487,6504" coordorigin="1482,5079" o:spid="_x0000_s1026" o:allowincell="t" o:allowoverlap="t">
                <v:oval id="オブジェクト 0" style="height:618;width:6531;top:5079;left:2745;position:absolute;" o:spid="_x0000_s1027" filled="t" fillcolor="#ffffff" stroked="t" strokecolor="#95b3d7" strokeweight="1pt" o:spt="3">
                  <v:fill type="gradient" color2="#b8cce4" focus="100%" rotate="t"/>
                  <v:stroke filltype="solid"/>
                  <v:shadow on="t" color="#243f60"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hadow w:val="1"/>
                            <w:sz w:val="21"/>
                          </w:rPr>
                        </w:pPr>
                        <w:r>
                          <w:rPr>
                            <w:rFonts w:hint="eastAsia" w:ascii="ＭＳ ゴシック" w:hAnsi="ＭＳ ゴシック" w:eastAsia="ＭＳ ゴシック"/>
                            <w:b w:val="1"/>
                            <w:sz w:val="21"/>
                            <w14:shadow w14:blurRad="50800" w14:dist="38100" w14:dir="2700000" w14:sx="100000" w14:sy="100000" w14:kx="0" w14:ky="0" w14:algn="tl">
                              <w14:srgbClr w14:val="000000">
                                <w14:alpha w14:val="60000"/>
                              </w14:srgbClr>
                            </w14:shadow>
                          </w:rPr>
                          <w:t>患者本位の医療の提供</w:t>
                        </w:r>
                      </w:p>
                    </w:txbxContent>
                  </v:textbox>
                  <v:imagedata o:title=""/>
                  <w10:wrap type="none" anchorx="text" anchory="text"/>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height:497;width:450;flip:y;top:5708;left:7440;position:absolute;" o:spid="_x0000_s1028" filled="t" fillcolor="#ffffff" stroked="t" strokecolor="#17365d" strokeweight="1.5pt" o:spt="67" type="#_x0000_t67" adj="10799,5856">
                  <v:fill/>
                  <v:stroke filltype="solid"/>
                  <v:textbox style="layout-flow:horizontal;"/>
                  <v:imagedata o:title=""/>
                  <w10:wrap type="none" anchorx="text" anchory="text"/>
                </v:shape>
                <v:shape id="オブジェクト 0" style="height:497;width:450;flip:y;top:5708;left:4280;position:absolute;" o:spid="_x0000_s1029" filled="t" fillcolor="#ffffff" stroked="t" strokecolor="#17365d" strokeweight="1.5pt" o:spt="67" type="#_x0000_t67" adj="10799,5856">
                  <v:fill/>
                  <v:stroke filltype="solid"/>
                  <v:textbox style="layout-flow:horizontal;"/>
                  <v:imagedata o:title=""/>
                  <w10:wrap type="none" anchorx="text" anchory="text"/>
                </v:shape>
                <v:rect id="オブジェクト 0" style="height:5053;width:4806;top:6530;left:6163;position:absolute;" o:spid="_x0000_s1030" filled="t" fillcolor="#ffffff" stroked="t" strokecolor="#92cddc" strokeweight="1pt" o:spt="1">
                  <v:fill type="gradient" color2="#b6dde8" focus="100%"/>
                  <v:stroke filltype="solid"/>
                  <v:shadow on="t" color="#205867" opacity="32768f" offset="1pt,2pt" matrix="65536f,,,65536f,,"/>
                  <v:textbox style="layout-flow:horizontal;" inset="2.0637499999999998mm,0.24694444444444438mm,2.0637499999999998mm,0.24694444444444438mm">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病期に応じた切れ目のない医療が提供されるとともに、情報化技術による医療連携が行われる</w:t>
                        </w:r>
                      </w:p>
                      <w:p>
                        <w:pPr>
                          <w:pStyle w:val="0"/>
                          <w:rPr>
                            <w:rFonts w:hint="default"/>
                          </w:rPr>
                        </w:pPr>
                      </w:p>
                    </w:txbxContent>
                  </v:textbox>
                  <v:imagedata o:title=""/>
                  <w10:wrap type="none" anchorx="text" anchory="text"/>
                </v:rect>
                <v:rect id="オブジェクト 0" style="height:5069;width:4687;top:6514;left:1482;position:absolute;" o:spid="_x0000_s1031" filled="t" fillcolor="#ffffff" stroked="t" strokecolor="#92cddc" strokeweight="1pt" o:spt="1">
                  <v:fill type="gradient" color2="#b6dde8" focus="100%"/>
                  <v:stroke filltype="solid"/>
                  <v:shadow on="t" color="#205867" opacity="32768f" offset="1pt,2pt" matrix="65536f,,,65536f,,"/>
                  <v:textbox style="layout-flow:horizontal;" inset="2.0637499999999998mm,0.24694444444444438mm,2.0637499999999998mm,0.24694444444444438mm">
                    <w:txbxContent>
                      <w:p>
                        <w:pPr>
                          <w:pStyle w:val="0"/>
                          <w:rPr>
                            <w:rFonts w:hint="eastAsia"/>
                          </w:rPr>
                        </w:pPr>
                      </w:p>
                      <w:p>
                        <w:pPr>
                          <w:pStyle w:val="0"/>
                          <w:spacing w:line="240" w:lineRule="exact"/>
                          <w:ind w:left="0" w:leftChars="0" w:firstLine="195" w:firstLineChars="100"/>
                          <w:rPr>
                            <w:rFonts w:hint="eastAsia"/>
                            <w:w w:val="90"/>
                            <w:sz w:val="21"/>
                          </w:rPr>
                        </w:pPr>
                        <w:r>
                          <w:rPr>
                            <w:rFonts w:hint="eastAsia"/>
                            <w:w w:val="90"/>
                            <w:sz w:val="21"/>
                          </w:rPr>
                          <w:t>患者が受ける医療を自己決定できる情報の提供がある</w:t>
                        </w:r>
                      </w:p>
                      <w:p>
                        <w:pPr>
                          <w:pStyle w:val="0"/>
                          <w:rPr>
                            <w:rFonts w:hint="default"/>
                          </w:rPr>
                        </w:pPr>
                      </w:p>
                    </w:txbxContent>
                  </v:textbox>
                  <v:imagedata o:title=""/>
                  <w10:wrap type="none" anchorx="text" anchory="text"/>
                </v:rect>
                <v:roundrect id="オブジェクト 0" style="height:1662;width:4296;top:7473;left:6369;position:absolute;" o:spid="_x0000_s1032" filled="t" fillcolor="#ffffff" stroked="t" strokecolor="#4f81bd" strokeweight="1pt" o:spt="2" arcsize="10923f">
                  <v:fill/>
                  <v:stroke dashstyle="dash" filltype="solid"/>
                  <v:textbox style="layout-flow:horizontal;" inset="2.0637499999999998mm,0.24694444444444438mm,2.0637499999999998mm,0.24694444444444438mm">
                    <w:txbxContent>
                      <w:p>
                        <w:pPr>
                          <w:pStyle w:val="0"/>
                          <w:spacing w:line="240" w:lineRule="exact"/>
                          <w:jc w:val="left"/>
                          <w:rPr>
                            <w:rFonts w:hint="eastAsia"/>
                            <w:sz w:val="20"/>
                          </w:rPr>
                        </w:pPr>
                        <w:r>
                          <w:rPr>
                            <w:rFonts w:hint="eastAsia"/>
                            <w:sz w:val="20"/>
                          </w:rPr>
                          <w:t>◇</w:t>
                        </w:r>
                        <w:r>
                          <w:rPr>
                            <w:rFonts w:hint="eastAsia"/>
                            <w:sz w:val="20"/>
                          </w:rPr>
                          <w:t xml:space="preserve"> </w:t>
                        </w:r>
                        <w:r>
                          <w:rPr>
                            <w:rFonts w:hint="eastAsia"/>
                            <w:sz w:val="20"/>
                          </w:rPr>
                          <w:t>予防、救護、急性期・回復期・維持期</w:t>
                        </w:r>
                      </w:p>
                      <w:p>
                        <w:pPr>
                          <w:pStyle w:val="0"/>
                          <w:spacing w:line="240" w:lineRule="exact"/>
                          <w:ind w:firstLine="207" w:firstLineChars="100"/>
                          <w:jc w:val="left"/>
                          <w:rPr>
                            <w:rFonts w:hint="eastAsia"/>
                            <w:sz w:val="20"/>
                          </w:rPr>
                        </w:pPr>
                        <w:r>
                          <w:rPr>
                            <w:rFonts w:hint="eastAsia"/>
                            <w:sz w:val="20"/>
                          </w:rPr>
                          <w:t>などといった病期ごとに医療の連携が</w:t>
                        </w:r>
                      </w:p>
                      <w:p>
                        <w:pPr>
                          <w:pStyle w:val="0"/>
                          <w:snapToGrid w:val="0"/>
                          <w:spacing w:line="240" w:lineRule="exact"/>
                          <w:ind w:firstLine="207" w:firstLineChars="100"/>
                          <w:jc w:val="left"/>
                          <w:rPr>
                            <w:rFonts w:hint="eastAsia"/>
                            <w:sz w:val="20"/>
                          </w:rPr>
                        </w:pPr>
                        <w:r>
                          <w:rPr>
                            <w:rFonts w:hint="eastAsia"/>
                            <w:sz w:val="20"/>
                          </w:rPr>
                          <w:t>できている</w:t>
                        </w:r>
                      </w:p>
                      <w:p>
                        <w:pPr>
                          <w:pStyle w:val="0"/>
                          <w:spacing w:before="99" w:beforeLines="30" w:beforeAutospacing="0" w:after="80" w:afterLines="0" w:afterAutospacing="0" w:line="240" w:lineRule="exact"/>
                          <w:ind w:left="0" w:leftChars="200" w:firstLine="0" w:firstLineChars="0"/>
                          <w:jc w:val="left"/>
                          <w:rPr>
                            <w:rFonts w:hint="eastAsia" w:ascii="ＭＳ ゴシック" w:hAnsi="ＭＳ ゴシック" w:eastAsia="ＭＳ ゴシック"/>
                            <w:sz w:val="20"/>
                          </w:rPr>
                        </w:pPr>
                        <w:r>
                          <w:rPr>
                            <w:rFonts w:hint="eastAsia" w:ascii="ＭＳ ゴシック" w:hAnsi="ＭＳ ゴシック" w:eastAsia="ＭＳ ゴシック"/>
                            <w:sz w:val="20"/>
                          </w:rPr>
                          <w:t>かかりつけ医・歯科医・薬局の普及</w:t>
                        </w:r>
                      </w:p>
                      <w:p>
                        <w:pPr>
                          <w:pStyle w:val="0"/>
                          <w:spacing w:line="240" w:lineRule="exact"/>
                          <w:ind w:left="0" w:leftChars="200" w:firstLine="0" w:firstLineChars="0"/>
                          <w:jc w:val="left"/>
                          <w:rPr>
                            <w:rFonts w:hint="default" w:ascii="Times New Roman" w:hAnsi="Times New Roman"/>
                            <w:kern w:val="0"/>
                            <w:sz w:val="24"/>
                          </w:rPr>
                        </w:pPr>
                        <w:r>
                          <w:rPr>
                            <w:rFonts w:hint="eastAsia" w:ascii="ＭＳ ゴシック" w:hAnsi="ＭＳ ゴシック" w:eastAsia="ＭＳ ゴシック"/>
                            <w:sz w:val="20"/>
                          </w:rPr>
                          <w:t>地域連携クリニカルパス</w:t>
                        </w:r>
                      </w:p>
                    </w:txbxContent>
                  </v:textbox>
                  <v:imagedata o:title=""/>
                  <w10:wrap type="none" anchorx="text" anchory="text"/>
                </v:roundrect>
                <v:roundrect id="オブジェクト 0" style="height:1282;width:4145;top:7557;left:1707;position:absolute;" o:spid="_x0000_s1033" filled="t" fillcolor="#ffffff" stroked="t" strokecolor="#4f81bd" strokeweight="1pt" o:spt="2" arcsize="10917f">
                  <v:fill/>
                  <v:stroke dashstyle="dash" filltype="solid"/>
                  <v:textbox style="layout-flow:horizontal;" inset="2.0637499999999998mm,0.24694444444444438mm,2.0637499999999998mm,0.24694444444444438mm">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治療内容などについて患者への分かりやすい説明がある</w:t>
                        </w:r>
                      </w:p>
                      <w:p>
                        <w:pPr>
                          <w:pStyle w:val="0"/>
                          <w:spacing w:before="165" w:beforeLines="50" w:beforeAutospacing="0" w:line="200" w:lineRule="exact"/>
                          <w:ind w:left="0" w:leftChars="0" w:firstLine="414"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インフォームド・コンセント</w:t>
                        </w:r>
                      </w:p>
                      <w:p>
                        <w:pPr>
                          <w:pStyle w:val="0"/>
                          <w:spacing w:line="200" w:lineRule="exact"/>
                          <w:ind w:left="0" w:leftChars="0" w:firstLine="414" w:firstLineChars="200"/>
                          <w:jc w:val="left"/>
                          <w:rPr>
                            <w:rFonts w:hint="default"/>
                          </w:rPr>
                        </w:pPr>
                        <w:r>
                          <w:rPr>
                            <w:rFonts w:hint="eastAsia" w:ascii="ＭＳ ゴシック" w:hAnsi="ＭＳ ゴシック" w:eastAsia="ＭＳ ゴシック"/>
                            <w:sz w:val="20"/>
                          </w:rPr>
                          <w:t>（インフォームド・チョイス）</w:t>
                        </w:r>
                      </w:p>
                    </w:txbxContent>
                  </v:textbox>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169;width:167;top:8713;left:6760;position:absolute;" o:spid="_x0000_s1034"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8430;left:6760;position:absolute;" o:spid="_x0000_s1035"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8308;left:2019;position:absolute;" o:spid="_x0000_s1036" filled="t" fillcolor="#8db3e2" stroked="t" strokecolor="#000000" strokeweight="0.75pt" o:spt="13" type="#_x0000_t13" adj="9072,5400">
                  <v:fill/>
                  <v:stroke filltype="solid"/>
                  <v:textbox style="layout-flow:horizontal;"/>
                  <v:imagedata o:title=""/>
                  <w10:wrap type="none" anchorx="text" anchory="text"/>
                </v:shape>
                <v:roundrect id="オブジェクト 0" style="height:2130;width:4253;top:9288;left:6412;position:absolute;" o:spid="_x0000_s1037" filled="t" fillcolor="#ffffff" stroked="t" strokecolor="#4f81bd" strokeweight="1pt" o:spt="2" arcsize="10923f">
                  <v:fill/>
                  <v:stroke dashstyle="dash" filltype="solid"/>
                  <v:textbox style="layout-flow:horizontal;" inset="2.0637499999999998mm,0.24694444444444438mm,2.0637499999999998mm,0.24694444444444438mm">
                    <w:txbxContent>
                      <w:p>
                        <w:pPr>
                          <w:pStyle w:val="0"/>
                          <w:spacing w:after="132" w:afterLines="40" w:afterAutospacing="0" w:line="240" w:lineRule="exact"/>
                          <w:ind w:left="207" w:hanging="220" w:hangingChars="100"/>
                          <w:jc w:val="left"/>
                          <w:rPr>
                            <w:rFonts w:hint="default"/>
                            <w:sz w:val="20"/>
                          </w:rPr>
                        </w:pPr>
                        <w:r>
                          <w:rPr>
                            <w:rFonts w:hint="eastAsia"/>
                            <w:sz w:val="20"/>
                          </w:rPr>
                          <w:t>◇</w:t>
                        </w:r>
                        <w:r>
                          <w:rPr>
                            <w:rFonts w:hint="eastAsia"/>
                            <w:sz w:val="20"/>
                          </w:rPr>
                          <w:t xml:space="preserve"> </w:t>
                        </w:r>
                        <w:r>
                          <w:rPr>
                            <w:rFonts w:hint="eastAsia"/>
                            <w:sz w:val="20"/>
                          </w:rPr>
                          <w:t>医療連携のための情報共有の仕組がある</w:t>
                        </w:r>
                        <w:r>
                          <w:rPr>
                            <w:rFonts w:hint="default"/>
                            <w:w w:val="90"/>
                            <w:sz w:val="20"/>
                          </w:rPr>
                          <w:br w:type="textWrapping" w:clear="none"/>
                        </w:r>
                        <w:r>
                          <w:rPr>
                            <w:rFonts w:hint="eastAsia"/>
                            <w:sz w:val="20"/>
                          </w:rPr>
                          <w:t>（医療の情報化）</w:t>
                        </w:r>
                      </w:p>
                      <w:p>
                        <w:pPr>
                          <w:pStyle w:val="0"/>
                          <w:spacing w:line="260" w:lineRule="exact"/>
                          <w:ind w:left="227" w:leftChars="100" w:firstLine="207"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地域医療ネットワーク</w:t>
                        </w:r>
                      </w:p>
                      <w:p>
                        <w:pPr>
                          <w:pStyle w:val="0"/>
                          <w:spacing w:line="260" w:lineRule="exact"/>
                          <w:ind w:left="227" w:leftChars="100" w:firstLine="374" w:firstLineChars="200"/>
                          <w:jc w:val="left"/>
                          <w:rPr>
                            <w:rFonts w:hint="eastAsia"/>
                            <w:color w:val="auto"/>
                            <w:sz w:val="18"/>
                            <w:u w:val="none" w:color="auto"/>
                          </w:rPr>
                        </w:pPr>
                        <w:r>
                          <w:rPr>
                            <w:rFonts w:hint="eastAsia"/>
                            <w:b w:val="0"/>
                            <w:strike w:val="0"/>
                            <w:dstrike w:val="0"/>
                            <w:color w:val="auto"/>
                            <w:sz w:val="18"/>
                            <w:u w:val="none" w:color="auto"/>
                          </w:rPr>
                          <w:t>高知ＥＨＲ</w:t>
                        </w:r>
                        <w:r>
                          <w:rPr>
                            <w:rFonts w:hint="eastAsia"/>
                            <w:b w:val="0"/>
                            <w:color w:val="auto"/>
                            <w:sz w:val="18"/>
                            <w:u w:val="none" w:color="auto"/>
                          </w:rPr>
                          <w:t>（高知あんしんネット・</w:t>
                        </w:r>
                      </w:p>
                      <w:p>
                        <w:pPr>
                          <w:pStyle w:val="0"/>
                          <w:spacing w:line="260" w:lineRule="exact"/>
                          <w:ind w:left="227" w:leftChars="100" w:firstLine="374" w:firstLineChars="200"/>
                          <w:jc w:val="left"/>
                          <w:rPr>
                            <w:rFonts w:hint="eastAsia"/>
                            <w:sz w:val="18"/>
                          </w:rPr>
                        </w:pPr>
                        <w:r>
                          <w:rPr>
                            <w:rFonts w:hint="eastAsia"/>
                            <w:b w:val="0"/>
                            <w:color w:val="auto"/>
                            <w:sz w:val="18"/>
                            <w:u w:val="none" w:color="auto"/>
                          </w:rPr>
                          <w:t>はたまるねっと・高知家＠ライン）</w:t>
                        </w:r>
                      </w:p>
                      <w:p>
                        <w:pPr>
                          <w:pStyle w:val="0"/>
                          <w:spacing w:line="260" w:lineRule="exact"/>
                          <w:ind w:left="220" w:leftChars="100" w:firstLine="440" w:firstLineChars="200"/>
                          <w:jc w:val="left"/>
                          <w:rPr>
                            <w:rFonts w:hint="default"/>
                            <w:sz w:val="18"/>
                          </w:rPr>
                        </w:pPr>
                        <w:r>
                          <w:rPr>
                            <w:rFonts w:hint="eastAsia"/>
                            <w:sz w:val="18"/>
                          </w:rPr>
                          <w:t>へき地医療情報ネットワーク</w:t>
                        </w:r>
                      </w:p>
                      <w:p>
                        <w:pPr>
                          <w:pStyle w:val="0"/>
                          <w:spacing w:line="260" w:lineRule="exact"/>
                          <w:ind w:left="0" w:leftChars="200" w:firstLine="0" w:firstLineChars="0"/>
                          <w:jc w:val="left"/>
                          <w:rPr>
                            <w:rFonts w:hint="default"/>
                            <w:sz w:val="18"/>
                          </w:rPr>
                        </w:pPr>
                      </w:p>
                    </w:txbxContent>
                  </v:textbox>
                  <v:imagedata o:title=""/>
                  <w10:wrap type="none" anchorx="text" anchory="text"/>
                </v:roundrect>
                <v:roundrect id="オブジェクト 0" style="height:824;width:4145;top:9006;left:1707;position:absolute;" o:spid="_x0000_s1038" filled="t" fillcolor="#ffffff" stroked="t" strokecolor="#4f81bd" strokeweight="1pt" o:spt="2" arcsize="10929f">
                  <v:fill/>
                  <v:stroke dashstyle="dash" filltype="solid"/>
                  <v:textbox style="layout-flow:horizontal;" inset="2.0637499999999998mm,0.24694444444444438mm,2.0637499999999998mm,0.24694444444444438mm">
                    <w:txbxContent>
                      <w:p>
                        <w:pPr>
                          <w:pStyle w:val="0"/>
                          <w:jc w:val="left"/>
                          <w:rPr>
                            <w:rFonts w:hint="eastAsia"/>
                            <w:sz w:val="20"/>
                          </w:rPr>
                        </w:pPr>
                        <w:r>
                          <w:rPr>
                            <w:rFonts w:hint="eastAsia"/>
                            <w:sz w:val="20"/>
                          </w:rPr>
                          <w:t>◇</w:t>
                        </w:r>
                        <w:r>
                          <w:rPr>
                            <w:rFonts w:hint="eastAsia"/>
                            <w:sz w:val="20"/>
                          </w:rPr>
                          <w:t xml:space="preserve"> </w:t>
                        </w:r>
                        <w:r>
                          <w:rPr>
                            <w:rFonts w:hint="eastAsia"/>
                            <w:sz w:val="20"/>
                          </w:rPr>
                          <w:t>医療の選択肢がある</w:t>
                        </w:r>
                      </w:p>
                      <w:p>
                        <w:pPr>
                          <w:pStyle w:val="0"/>
                          <w:ind w:left="0" w:leftChars="0" w:firstLine="414" w:firstLineChars="200"/>
                          <w:jc w:val="left"/>
                          <w:rPr>
                            <w:rFonts w:hint="default" w:ascii="ＭＳ ゴシック" w:hAnsi="ＭＳ ゴシック" w:eastAsia="ＭＳ ゴシック"/>
                            <w:sz w:val="20"/>
                          </w:rPr>
                        </w:pPr>
                        <w:r>
                          <w:rPr>
                            <w:rFonts w:hint="eastAsia" w:ascii="ＭＳ ゴシック" w:hAnsi="ＭＳ ゴシック" w:eastAsia="ＭＳ ゴシック"/>
                            <w:sz w:val="20"/>
                          </w:rPr>
                          <w:t>セカンドオピニオン</w:t>
                        </w:r>
                      </w:p>
                    </w:txbxContent>
                  </v:textbox>
                  <v:imagedata o:title=""/>
                  <w10:wrap type="none" anchorx="text" anchory="text"/>
                </v:roundrect>
                <v:shape id="オブジェクト 0" style="height:169;width:167;top:9499;left:2019;position:absolute;" o:spid="_x0000_s1039" filled="t" fillcolor="#8db3e2" stroked="t" strokecolor="#000000" strokeweight="0.75pt" o:spt="13" type="#_x0000_t13" adj="9072,5400">
                  <v:fill/>
                  <v:stroke filltype="solid"/>
                  <v:textbox style="layout-flow:horizontal;"/>
                  <v:imagedata o:title=""/>
                  <w10:wrap type="none" anchorx="text" anchory="text"/>
                </v:shape>
                <v:shape id="オブジェクト 0" style="height:169;width:167;top:10327;left:6760;position:absolute;" o:spid="_x0000_s1040" filled="t" fillcolor="#8db3e2" stroked="t" strokecolor="#000000" strokeweight="0.75pt" o:spt="13" type="#_x0000_t13" adj="9072,5400">
                  <v:fill/>
                  <v:stroke filltype="solid"/>
                  <v:textbox style="layout-flow:horizontal;"/>
                  <v:imagedata o:title=""/>
                  <w10:wrap type="none" anchorx="text" anchory="text"/>
                </v:shape>
                <v:roundrect id="オブジェクト 0" style="height:1431;width:4145;top:9988;left:1707;position:absolute;" o:spid="_x0000_s1041" filled="t" fillcolor="#ffffff" stroked="t" strokecolor="#4f81bd" strokeweight="1pt" o:spt="2" arcsize="10920f">
                  <v:fill/>
                  <v:stroke dashstyle="dash" filltype="solid"/>
                  <v:textbox style="layout-flow:horizontal;" inset="2.0637499999999998mm,0.24694444444444438mm,2.0637499999999998mm,0.24694444444444438mm">
                    <w:txbxContent>
                      <w:p>
                        <w:pPr>
                          <w:pStyle w:val="0"/>
                          <w:spacing w:line="240" w:lineRule="exact"/>
                          <w:ind w:left="207" w:hanging="220" w:hangingChars="100"/>
                          <w:jc w:val="left"/>
                          <w:rPr>
                            <w:rFonts w:hint="eastAsia"/>
                            <w:sz w:val="20"/>
                          </w:rPr>
                        </w:pPr>
                        <w:r>
                          <w:rPr>
                            <w:rFonts w:hint="eastAsia"/>
                            <w:sz w:val="20"/>
                          </w:rPr>
                          <w:t>◇</w:t>
                        </w:r>
                        <w:r>
                          <w:rPr>
                            <w:rFonts w:hint="eastAsia"/>
                            <w:sz w:val="20"/>
                          </w:rPr>
                          <w:t xml:space="preserve"> </w:t>
                        </w:r>
                        <w:r>
                          <w:rPr>
                            <w:rFonts w:hint="eastAsia"/>
                            <w:sz w:val="20"/>
                          </w:rPr>
                          <w:t>住民や患者に対して医療情報の提供がある</w:t>
                        </w:r>
                      </w:p>
                      <w:p>
                        <w:pPr>
                          <w:pStyle w:val="0"/>
                          <w:ind w:left="0" w:leftChars="0" w:firstLine="414" w:firstLineChars="200"/>
                          <w:jc w:val="left"/>
                          <w:rPr>
                            <w:rFonts w:hint="default"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こうち医療ネット</w:t>
                        </w:r>
                      </w:p>
                      <w:p>
                        <w:pPr>
                          <w:pStyle w:val="0"/>
                          <w:ind w:left="0" w:leftChars="0" w:firstLine="166" w:firstLineChars="100"/>
                          <w:jc w:val="left"/>
                          <w:rPr>
                            <w:rFonts w:hint="default" w:ascii="ＭＳ ゴシック" w:hAnsi="ＭＳ ゴシック" w:eastAsia="ＭＳ ゴシック"/>
                            <w:sz w:val="20"/>
                          </w:rPr>
                        </w:pPr>
                        <w:r>
                          <w:rPr>
                            <w:rFonts w:hint="eastAsia" w:ascii="ＭＳ 明朝" w:hAnsi="ＭＳ 明朝" w:eastAsia="ＭＳ 明朝"/>
                            <w:kern w:val="0"/>
                            <w:sz w:val="16"/>
                            <w:highlight w:val="none"/>
                          </w:rPr>
                          <w:t>（令和６年４月より</w:t>
                        </w:r>
                        <w:r>
                          <w:rPr>
                            <w:rFonts w:hint="eastAsia" w:ascii="ＭＳ 明朝" w:hAnsi="ＭＳ 明朝" w:eastAsia="ＭＳ 明朝"/>
                            <w:color w:val="auto"/>
                            <w:sz w:val="16"/>
                            <w:highlight w:val="none"/>
                            <w:u w:val="none" w:color="auto"/>
                          </w:rPr>
                          <w:t>全国統一システムに移行）</w:t>
                        </w:r>
                      </w:p>
                    </w:txbxContent>
                  </v:textbox>
                  <v:imagedata o:title=""/>
                  <w10:wrap type="none" anchorx="text" anchory="text"/>
                </v:roundrect>
                <v:shape id="オブジェクト 0" style="height:169;width:167;top:10645;left:2019;position:absolute;" o:spid="_x0000_s1042" filled="t" fillcolor="#8db3e2" stroked="t" strokecolor="#000000" strokeweight="0.75pt" o:spt="13" type="#_x0000_t13" adj="9072,5400">
                  <v:fill/>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396;width:2947;top:6268;left:2186;position:absolute;" o:spid="_x0000_s1043" filled="t" fillcolor="#17365d" stroked="t" strokecolor="#17365d" strokeweight="1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FFFF"/>
                            <w:sz w:val="21"/>
                          </w:rPr>
                        </w:pPr>
                        <w:r>
                          <w:rPr>
                            <w:rFonts w:hint="eastAsia" w:ascii="ＭＳ ゴシック" w:hAnsi="ＭＳ ゴシック" w:eastAsia="ＭＳ ゴシック"/>
                            <w:color w:val="FFFFFF"/>
                            <w:sz w:val="21"/>
                          </w:rPr>
                          <w:t>医療に関する情報の提供</w:t>
                        </w:r>
                      </w:p>
                    </w:txbxContent>
                  </v:textbox>
                  <v:imagedata o:title=""/>
                  <w10:wrap type="none" anchorx="text" anchory="text"/>
                </v:shape>
                <v:shape id="オブジェクト 0" style="height:396;width:2947;top:6268;left:7103;position:absolute;" o:spid="_x0000_s1044" filled="t" fillcolor="#17365d" stroked="t" strokecolor="#17365d" strokeweight="1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1"/>
                          </w:rPr>
                        </w:pPr>
                        <w:r>
                          <w:rPr>
                            <w:rFonts w:hint="eastAsia" w:ascii="ＭＳ ゴシック" w:hAnsi="ＭＳ ゴシック" w:eastAsia="ＭＳ ゴシック"/>
                            <w:color w:val="FFFFFF" w:themeColor="background1"/>
                            <w:sz w:val="21"/>
                          </w:rPr>
                          <w:t>医療の連携体制と情報化</w:t>
                        </w:r>
                      </w:p>
                    </w:txbxContent>
                  </v:textbox>
                  <v:imagedata o:title=""/>
                  <w10:wrap type="none" anchorx="text" anchory="text"/>
                </v:shape>
                <w10:wrap type="none" anchorx="text" anchory="text"/>
              </v:group>
            </w:pict>
          </mc:Fallback>
        </mc:AlternateContent>
      </w: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spacing w:after="165" w:afterLines="50" w:afterAutospacing="0"/>
        <w:ind w:rightChars="0"/>
        <w:rPr>
          <w:rFonts w:hint="eastAsia"/>
          <w:b w:val="1"/>
          <w:color w:val="FF0000"/>
          <w:sz w:val="28"/>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ind w:rightChars="0"/>
        <w:rPr>
          <w:rFonts w:hint="eastAsia"/>
          <w:spacing w:val="2"/>
          <w:highlight w:val="none"/>
        </w:rPr>
      </w:pPr>
    </w:p>
    <w:p>
      <w:pPr>
        <w:pStyle w:val="0"/>
        <w:spacing w:after="165" w:afterLines="50" w:afterAutospacing="0"/>
        <w:ind w:rightChars="0"/>
        <w:rPr>
          <w:rFonts w:hint="eastAsia"/>
          <w:b w:val="1"/>
          <w:color w:val="0070C0"/>
          <w:spacing w:val="2"/>
          <w:highlight w:val="none"/>
        </w:rPr>
      </w:pPr>
      <w:r>
        <w:rPr>
          <w:rFonts w:hint="eastAsia"/>
          <w:b w:val="1"/>
          <w:color w:val="0070C0"/>
          <w:spacing w:val="2"/>
          <w:highlight w:val="none"/>
        </w:rPr>
        <w:t>１　医療に関する情報の提供</w:t>
      </w:r>
    </w:p>
    <w:p>
      <w:pPr>
        <w:pStyle w:val="0"/>
        <w:ind w:rightChars="0"/>
        <w:rPr>
          <w:rFonts w:hint="eastAsia"/>
          <w:spacing w:val="2"/>
          <w:highlight w:val="none"/>
        </w:rPr>
      </w:pPr>
      <w:r>
        <w:rPr>
          <w:rFonts w:hint="eastAsia"/>
          <w:b w:val="1"/>
          <w:spacing w:val="2"/>
          <w:highlight w:val="none"/>
        </w:rPr>
        <w:t>（１）インフォームド・コンセント</w:t>
      </w:r>
      <w:r>
        <w:rPr>
          <w:rFonts w:hint="eastAsia"/>
          <w:b w:val="1"/>
          <w:spacing w:val="2"/>
          <w:sz w:val="20"/>
          <w:highlight w:val="none"/>
        </w:rPr>
        <w:t>（チョイス）</w:t>
      </w:r>
      <w:r>
        <w:rPr>
          <w:rFonts w:hint="eastAsia"/>
          <w:b w:val="1"/>
          <w:spacing w:val="2"/>
          <w:highlight w:val="none"/>
        </w:rPr>
        <w:t>の推進</w:t>
      </w:r>
    </w:p>
    <w:p>
      <w:pPr>
        <w:pStyle w:val="0"/>
        <w:ind w:rightChars="0" w:firstLine="230" w:firstLineChars="100"/>
        <w:rPr>
          <w:rFonts w:hint="eastAsia"/>
          <w:b w:val="1"/>
          <w:spacing w:val="2"/>
          <w:highlight w:val="none"/>
        </w:rPr>
      </w:pPr>
      <w:r>
        <w:rPr>
          <w:rFonts w:hint="eastAsia"/>
          <w:b w:val="1"/>
          <w:spacing w:val="2"/>
          <w:highlight w:val="none"/>
          <w:bdr w:val="single" w:color="auto" w:sz="4" w:space="0"/>
          <w:shd w:val="clear" w:color="auto" w:fill="E5DFEC"/>
        </w:rPr>
        <w:t>現状と課題</w:t>
      </w:r>
    </w:p>
    <w:p>
      <w:pPr>
        <w:pStyle w:val="0"/>
        <w:ind w:left="226" w:leftChars="100" w:rightChars="0" w:firstLine="230" w:firstLineChars="100"/>
        <w:rPr>
          <w:rFonts w:hint="eastAsia"/>
          <w:spacing w:val="2"/>
          <w:highlight w:val="none"/>
        </w:rPr>
      </w:pPr>
      <w:r>
        <w:rPr>
          <w:rFonts w:hint="eastAsia"/>
          <w:spacing w:val="2"/>
          <w:highlight w:val="none"/>
        </w:rPr>
        <w:t>患者が安心して医療を受けるためには、患者と医療従事者との間に信頼関係が構築されていることが重要であり、そのため、医療を受ける主体である患者本人が求める医療サービスを受けることが可能となる取組が求められています。</w:t>
      </w:r>
    </w:p>
    <w:p>
      <w:pPr>
        <w:pStyle w:val="0"/>
        <w:ind w:left="226" w:leftChars="100" w:rightChars="0" w:firstLine="230" w:firstLineChars="100"/>
        <w:rPr>
          <w:rFonts w:hint="eastAsia"/>
          <w:spacing w:val="2"/>
          <w:highlight w:val="none"/>
        </w:rPr>
      </w:pPr>
      <w:r>
        <w:rPr>
          <w:rFonts w:hint="eastAsia"/>
          <w:spacing w:val="2"/>
          <w:highlight w:val="none"/>
        </w:rPr>
        <w:t>そのための手法として、インフォームド・コンセント、さらにはインフォームド・チョイスの考え方があります。これは医師や歯科医師などの医療従事者が患者に対して、</w:t>
      </w:r>
    </w:p>
    <w:p>
      <w:pPr>
        <w:pStyle w:val="0"/>
        <w:ind w:left="226" w:leftChars="100" w:rightChars="0" w:firstLineChars="0"/>
        <w:rPr>
          <w:rFonts w:hint="eastAsia"/>
          <w:spacing w:val="2"/>
          <w:highlight w:val="none"/>
        </w:rPr>
      </w:pPr>
      <w:r>
        <w:rPr>
          <w:rFonts w:hint="eastAsia"/>
          <w:spacing w:val="2"/>
          <w:highlight w:val="none"/>
        </w:rPr>
        <w:t>診療記録の開示も含めた、治療内容やその効果、危険性、治療にかかる費用などについての十分、かつ、分かりやすい説明を行い、そのうえで治療方針について同意を得る</w:t>
      </w:r>
      <w:r>
        <w:rPr>
          <w:rFonts w:hint="eastAsia"/>
          <w:spacing w:val="2"/>
          <w:sz w:val="20"/>
          <w:highlight w:val="none"/>
        </w:rPr>
        <w:t>（インフォームド・チョイスでは十分な説明をもとに、治療内容を患者自らが選択する）</w:t>
      </w:r>
      <w:r>
        <w:rPr>
          <w:rFonts w:hint="eastAsia"/>
          <w:spacing w:val="2"/>
          <w:highlight w:val="none"/>
        </w:rPr>
        <w:t>ものです。患者側も治療を医師任せにせず、理解できないことや不安なことは質問するなど、自分の病気についての知識を持つことが必要です。</w:t>
      </w:r>
    </w:p>
    <w:p>
      <w:pPr>
        <w:pStyle w:val="0"/>
        <w:ind w:left="226" w:leftChars="100" w:rightChars="0" w:firstLine="230" w:firstLineChars="100"/>
        <w:rPr>
          <w:rFonts w:hint="eastAsia"/>
          <w:spacing w:val="2"/>
          <w:highlight w:val="none"/>
        </w:rPr>
      </w:pPr>
      <w:r>
        <w:rPr>
          <w:rFonts w:hint="eastAsia"/>
          <w:spacing w:val="2"/>
          <w:highlight w:val="none"/>
        </w:rPr>
        <w:t>こうした取組は一定浸透してきましたが、一部には、患者に対する医療機関からの説明が不十分であったり、患者側の理解が足りないままであったりする場合があり、一層の取組が必要です。</w:t>
      </w:r>
    </w:p>
    <w:p>
      <w:pPr>
        <w:pStyle w:val="0"/>
        <w:ind w:rightChars="0"/>
        <w:rPr>
          <w:rFonts w:hint="eastAsia"/>
          <w:b w:val="1"/>
          <w:spacing w:val="2"/>
          <w:highlight w:val="none"/>
          <w:bdr w:val="single" w:color="auto" w:sz="4" w:space="0"/>
          <w:shd w:val="clear" w:color="auto" w:fill="E5DFEC"/>
        </w:rPr>
      </w:pPr>
    </w:p>
    <w:p>
      <w:pPr>
        <w:pStyle w:val="0"/>
        <w:ind w:rightChars="0" w:firstLine="226" w:firstLineChars="100"/>
        <w:rPr>
          <w:rFonts w:hint="eastAsia"/>
          <w:b w:val="1"/>
          <w:spacing w:val="2"/>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226" w:leftChars="100" w:rightChars="0" w:firstLine="226" w:firstLineChars="100"/>
        <w:rPr>
          <w:rFonts w:hint="eastAsia"/>
          <w:highlight w:val="none"/>
        </w:rPr>
      </w:pPr>
      <w:r>
        <w:rPr>
          <w:rFonts w:hint="eastAsia"/>
          <w:highlight w:val="none"/>
        </w:rPr>
        <w:t>インフォームド・コンセント及びインフォームド・チョイスの推進のため、平成</w:t>
      </w:r>
      <w:r>
        <w:rPr>
          <w:rFonts w:hint="eastAsia"/>
          <w:highlight w:val="none"/>
        </w:rPr>
        <w:t>18</w:t>
      </w:r>
      <w:r>
        <w:rPr>
          <w:rFonts w:hint="eastAsia"/>
          <w:highlight w:val="none"/>
        </w:rPr>
        <w:t>年の医療法改正により、「病院または診療所の管理者は患者を入院させたときは、入院中の治療に関する計画を記載した書面の作成並びに交付及び適切な説明が行われるようにしなければならない」、また、退院時においても、「退院後の療養に必要な保健医療サービスまたは福祉サービスに関する事項を記載した書面の作成、交付及び適切な説明が行われるように努めなければならない」と規定されました。</w:t>
      </w:r>
    </w:p>
    <w:p>
      <w:pPr>
        <w:pStyle w:val="0"/>
        <w:ind w:left="226" w:leftChars="100" w:rightChars="0" w:firstLine="226" w:firstLineChars="100"/>
        <w:rPr>
          <w:rFonts w:hint="eastAsia"/>
          <w:highlight w:val="none"/>
        </w:rPr>
      </w:pPr>
      <w:r>
        <w:rPr>
          <w:rFonts w:hint="eastAsia"/>
          <w:highlight w:val="none"/>
        </w:rPr>
        <w:t>病院・診療所は、これらの書面や診療情報などの提供・提示を含め、患者に分かりやすい情報の提供に努める必要があります。県は、医療法に基づく立入検査をはじめ、必要に応じて医療機関に対して必要性の周知と指導を行うなどの取組を推進します。</w:t>
      </w:r>
    </w:p>
    <w:p>
      <w:pPr>
        <w:pStyle w:val="0"/>
        <w:ind w:rightChars="0"/>
        <w:rPr>
          <w:rFonts w:hint="eastAsia"/>
          <w:spacing w:val="2"/>
          <w:highlight w:val="none"/>
        </w:rPr>
      </w:pPr>
    </w:p>
    <w:p>
      <w:pPr>
        <w:pStyle w:val="0"/>
        <w:ind w:rightChars="0"/>
        <w:rPr>
          <w:rFonts w:hint="eastAsia"/>
          <w:b w:val="1"/>
          <w:highlight w:val="none"/>
        </w:rPr>
      </w:pPr>
      <w:r>
        <w:rPr>
          <w:rFonts w:hint="eastAsia"/>
          <w:b w:val="1"/>
          <w:spacing w:val="2"/>
          <w:highlight w:val="none"/>
        </w:rPr>
        <w:t>（２）セカンドオピニオン</w:t>
      </w:r>
    </w:p>
    <w:p>
      <w:pPr>
        <w:pStyle w:val="0"/>
        <w:ind w:left="0" w:leftChars="0" w:rightChars="0" w:firstLine="226"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ind w:left="226" w:leftChars="100" w:rightChars="0" w:firstLine="226" w:firstLineChars="100"/>
        <w:rPr>
          <w:rFonts w:hint="eastAsia"/>
          <w:kern w:val="0"/>
          <w:highlight w:val="none"/>
        </w:rPr>
      </w:pPr>
      <w:r>
        <w:rPr>
          <w:rFonts w:hint="eastAsia"/>
          <w:kern w:val="0"/>
          <w:highlight w:val="none"/>
        </w:rPr>
        <w:t>診断や治療方針について主治医以外の医師の意見を聞くセカンドオピニオンを活用することで、患者は、主治医が示した治療方針以外に、どのような治療があるのかを確認することができます。</w:t>
      </w:r>
    </w:p>
    <w:p>
      <w:pPr>
        <w:pStyle w:val="0"/>
        <w:ind w:left="226" w:leftChars="100" w:rightChars="0" w:firstLine="226" w:firstLineChars="100"/>
        <w:rPr>
          <w:rFonts w:hint="eastAsia"/>
          <w:kern w:val="0"/>
          <w:highlight w:val="none"/>
        </w:rPr>
      </w:pPr>
      <w:r>
        <w:rPr>
          <w:rFonts w:hint="eastAsia"/>
          <w:kern w:val="0"/>
          <w:highlight w:val="none"/>
        </w:rPr>
        <w:t>主治医以外の意見を聞くことは、治療方針が同じであれば安心して治療を受けることができ、異なった治療方針であれば自分に適した治療法を患者自身で選択することができるメリットがあります。希望する患者や家族がセカンドオピニオンを受けられるような情報の提供が必要です。</w:t>
      </w:r>
    </w:p>
    <w:p>
      <w:pPr>
        <w:pStyle w:val="0"/>
        <w:ind w:left="226" w:leftChars="100" w:rightChars="0" w:firstLine="0" w:firstLineChars="0"/>
        <w:rPr>
          <w:rFonts w:hint="eastAsia"/>
          <w:kern w:val="0"/>
          <w:highlight w:val="none"/>
        </w:rPr>
      </w:pPr>
    </w:p>
    <w:p>
      <w:pPr>
        <w:pStyle w:val="0"/>
        <w:ind w:left="0" w:leftChars="0" w:rightChars="0" w:firstLine="226"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226" w:leftChars="100" w:rightChars="0" w:firstLine="226" w:firstLineChars="100"/>
        <w:rPr>
          <w:rFonts w:hint="eastAsia"/>
          <w:kern w:val="0"/>
          <w:highlight w:val="none"/>
        </w:rPr>
      </w:pPr>
      <w:r>
        <w:rPr>
          <w:rFonts w:hint="eastAsia"/>
          <w:kern w:val="0"/>
          <w:highlight w:val="none"/>
        </w:rPr>
        <w:t>「こうち医療ネット</w:t>
      </w:r>
      <w:r>
        <w:rPr>
          <w:rFonts w:hint="eastAsia"/>
          <w:kern w:val="0"/>
          <w:sz w:val="20"/>
          <w:highlight w:val="none"/>
        </w:rPr>
        <w:t>（令和６年４月より、厚生労働省が構築する「全国統一システム」に移行）</w:t>
      </w:r>
      <w:r>
        <w:rPr>
          <w:rFonts w:hint="eastAsia"/>
          <w:kern w:val="0"/>
          <w:highlight w:val="none"/>
        </w:rPr>
        <w:t>」で、セカンドオピニオンを実施している医療機関名を引き続き公表していきます。</w:t>
      </w:r>
    </w:p>
    <w:p>
      <w:pPr>
        <w:pStyle w:val="0"/>
        <w:rPr>
          <w:rFonts w:hint="eastAsia"/>
          <w:highlight w:val="none"/>
        </w:rPr>
      </w:pPr>
      <w:r>
        <w:rPr>
          <w:rFonts w:hint="eastAsia"/>
          <w:highlight w:val="none"/>
        </w:rPr>
        <w:br w:type="page"/>
      </w:r>
    </w:p>
    <w:p>
      <w:pPr>
        <w:pStyle w:val="0"/>
        <w:rPr>
          <w:rFonts w:hint="eastAsia"/>
          <w:highlight w:val="none"/>
        </w:rPr>
      </w:pPr>
      <w:r>
        <w:rPr>
          <w:rFonts w:hint="eastAsia"/>
          <w:b w:val="1"/>
          <w:highlight w:val="none"/>
        </w:rPr>
        <w:t>（３）こうち医療ネットの運用</w:t>
      </w:r>
    </w:p>
    <w:p>
      <w:pPr>
        <w:pStyle w:val="0"/>
        <w:ind w:left="0" w:leftChars="0" w:right="0" w:rightChars="0" w:firstLine="227"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wordWrap w:val="1"/>
        <w:ind w:left="227" w:leftChars="100" w:right="0" w:rightChars="0" w:firstLine="227" w:firstLineChars="100"/>
        <w:rPr>
          <w:rFonts w:hint="eastAsia"/>
          <w:kern w:val="0"/>
          <w:highlight w:val="none"/>
        </w:rPr>
      </w:pPr>
      <w:r>
        <w:rPr>
          <w:rFonts w:hint="eastAsia"/>
          <w:kern w:val="0"/>
          <w:highlight w:val="none"/>
        </w:rPr>
        <w:t>医療法では、医療機関における診療内容に関する一定の情報についての報告を義務付けるとともに、その情報を住民や患者に対し分かりやすい形で提供することで、適切な医療機関の選択を支援する医療機能情報提供制度を設けています。</w:t>
      </w:r>
    </w:p>
    <w:p>
      <w:pPr>
        <w:pStyle w:val="0"/>
        <w:ind w:left="226" w:leftChars="100" w:rightChars="0" w:firstLine="226" w:firstLineChars="100"/>
        <w:jc w:val="left"/>
        <w:rPr>
          <w:rFonts w:hint="eastAsia"/>
          <w:color w:val="auto"/>
          <w:highlight w:val="none"/>
          <w:u w:val="none" w:color="auto"/>
        </w:rPr>
      </w:pPr>
      <w:r>
        <w:rPr>
          <w:rFonts w:hint="eastAsia"/>
          <w:color w:val="000000"/>
          <w:highlight w:val="none"/>
          <w:u w:val="none" w:color="auto"/>
        </w:rPr>
        <w:t>本県では、医療機関がインターネット上から医療機能情報を登録でき、かつ、県民の方々がその情報を閲覧できるシステム「こうち医療</w:t>
      </w:r>
      <w:r>
        <w:rPr>
          <w:rFonts w:hint="eastAsia"/>
          <w:color w:val="auto"/>
          <w:highlight w:val="none"/>
          <w:u w:val="none" w:color="auto"/>
        </w:rPr>
        <w:t>ネット</w:t>
      </w:r>
      <w:r>
        <w:rPr>
          <w:rFonts w:hint="eastAsia"/>
          <w:color w:val="auto"/>
          <w:sz w:val="20"/>
          <w:highlight w:val="none"/>
          <w:u w:val="none" w:color="auto"/>
        </w:rPr>
        <w:t>（</w:t>
      </w:r>
      <w:r>
        <w:rPr>
          <w:rFonts w:hint="default"/>
          <w:color w:val="auto"/>
          <w:sz w:val="20"/>
          <w:highlight w:val="none"/>
          <w:u w:val="none" w:color="auto"/>
        </w:rPr>
        <w:t>http</w:t>
      </w:r>
      <w:r>
        <w:rPr>
          <w:rFonts w:hint="eastAsia"/>
          <w:color w:val="auto"/>
          <w:sz w:val="20"/>
          <w:highlight w:val="none"/>
          <w:u w:val="none" w:color="auto"/>
        </w:rPr>
        <w:t>s</w:t>
      </w:r>
      <w:r>
        <w:rPr>
          <w:rFonts w:hint="default"/>
          <w:color w:val="auto"/>
          <w:sz w:val="20"/>
          <w:highlight w:val="none"/>
          <w:u w:val="none" w:color="auto"/>
        </w:rPr>
        <w:t>://www.kochi-iryo.net/</w:t>
      </w:r>
      <w:r>
        <w:rPr>
          <w:rFonts w:hint="eastAsia"/>
          <w:color w:val="auto"/>
          <w:sz w:val="20"/>
          <w:highlight w:val="none"/>
          <w:u w:val="none" w:color="auto"/>
        </w:rPr>
        <w:t>）</w:t>
      </w:r>
      <w:r>
        <w:rPr>
          <w:rFonts w:hint="eastAsia"/>
          <w:color w:val="auto"/>
          <w:highlight w:val="none"/>
          <w:u w:val="none" w:color="auto"/>
        </w:rPr>
        <w:t>」を平成</w:t>
      </w:r>
      <w:r>
        <w:rPr>
          <w:rFonts w:hint="eastAsia"/>
          <w:color w:val="auto"/>
          <w:highlight w:val="none"/>
          <w:u w:val="none" w:color="auto"/>
        </w:rPr>
        <w:t>22</w:t>
      </w:r>
      <w:r>
        <w:rPr>
          <w:rFonts w:hint="eastAsia"/>
          <w:color w:val="auto"/>
          <w:highlight w:val="none"/>
          <w:u w:val="none" w:color="auto"/>
        </w:rPr>
        <w:t>年度から運用しています。ここでは、各医療機関の診療科目、診療日、診療時間、診療内容</w:t>
      </w:r>
      <w:r>
        <w:rPr>
          <w:rFonts w:hint="eastAsia"/>
          <w:color w:val="auto"/>
          <w:sz w:val="20"/>
          <w:highlight w:val="none"/>
          <w:u w:val="none" w:color="auto"/>
        </w:rPr>
        <w:t>（在宅医療の有無を含む。）</w:t>
      </w:r>
      <w:r>
        <w:rPr>
          <w:rFonts w:hint="eastAsia"/>
          <w:color w:val="auto"/>
          <w:highlight w:val="none"/>
          <w:u w:val="none" w:color="auto"/>
        </w:rPr>
        <w:t>、医療の実績、従事者数などの情報を公開しています。</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また、「現在診療中の医療機関」や「今いる場所からさがす」などの検索機能があり、利用状況</w:t>
      </w:r>
      <w:r>
        <w:rPr>
          <w:rFonts w:hint="eastAsia"/>
          <w:color w:val="auto"/>
          <w:sz w:val="20"/>
          <w:highlight w:val="none"/>
          <w:u w:val="none" w:color="auto"/>
        </w:rPr>
        <w:t>（アクセス数）</w:t>
      </w:r>
      <w:r>
        <w:rPr>
          <w:rFonts w:hint="eastAsia"/>
          <w:color w:val="auto"/>
          <w:highlight w:val="none"/>
          <w:u w:val="none" w:color="auto"/>
        </w:rPr>
        <w:t>は、令和３年度で</w:t>
      </w:r>
      <w:r>
        <w:rPr>
          <w:rFonts w:hint="eastAsia"/>
          <w:color w:val="auto"/>
          <w:highlight w:val="none"/>
          <w:u w:val="none" w:color="auto"/>
        </w:rPr>
        <w:t>223,452</w:t>
      </w:r>
      <w:r>
        <w:rPr>
          <w:rFonts w:hint="eastAsia"/>
          <w:color w:val="auto"/>
          <w:highlight w:val="none"/>
          <w:u w:val="none" w:color="auto"/>
        </w:rPr>
        <w:t>件、令和４年度で</w:t>
      </w:r>
      <w:r>
        <w:rPr>
          <w:rFonts w:hint="eastAsia"/>
          <w:color w:val="auto"/>
          <w:highlight w:val="none"/>
          <w:u w:val="none" w:color="auto"/>
        </w:rPr>
        <w:t>360,157</w:t>
      </w:r>
      <w:r>
        <w:rPr>
          <w:rFonts w:hint="eastAsia"/>
          <w:color w:val="auto"/>
          <w:highlight w:val="none"/>
          <w:u w:val="none" w:color="auto"/>
        </w:rPr>
        <w:t>件と増加しています。</w:t>
      </w:r>
    </w:p>
    <w:p>
      <w:pPr>
        <w:pStyle w:val="0"/>
        <w:ind w:left="227" w:leftChars="100" w:right="0" w:rightChars="0" w:firstLine="227" w:firstLineChars="100"/>
        <w:rPr>
          <w:rFonts w:hint="eastAsia"/>
          <w:color w:val="000000"/>
          <w:highlight w:val="none"/>
          <w:u w:val="none" w:color="auto"/>
        </w:rPr>
      </w:pPr>
      <w:r>
        <w:rPr>
          <w:rFonts w:hint="eastAsia"/>
          <w:color w:val="auto"/>
          <w:highlight w:val="none"/>
          <w:u w:val="none" w:color="auto"/>
        </w:rPr>
        <w:t>なお、令和６年４月より、厚生労働省が構築する「全国統一システム」に移行し、情報を公開していきます。</w:t>
      </w:r>
    </w:p>
    <w:p>
      <w:pPr>
        <w:pStyle w:val="0"/>
        <w:rPr>
          <w:rFonts w:hint="eastAsia"/>
          <w:highlight w:val="none"/>
        </w:rPr>
      </w:pPr>
    </w:p>
    <w:p>
      <w:pPr>
        <w:pStyle w:val="0"/>
        <w:spacing w:line="0" w:lineRule="atLeast"/>
        <w:jc w:val="center"/>
        <w:rPr>
          <w:rFonts w:hint="eastAsia"/>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5-1-2</w:t>
      </w:r>
      <w:r>
        <w:rPr>
          <w:rFonts w:hint="eastAsia" w:ascii="ＭＳ ゴシック" w:hAnsi="ＭＳ ゴシック" w:eastAsia="ＭＳ ゴシック"/>
          <w:sz w:val="22"/>
          <w:highlight w:val="none"/>
        </w:rPr>
        <w:t>）こうち医療ネットの検索機能別年間アクセス件数</w:t>
      </w:r>
    </w:p>
    <w:tbl>
      <w:tblPr>
        <w:tblStyle w:val="11"/>
        <w:tblpPr w:leftFromText="142" w:rightFromText="142" w:topFromText="0" w:bottomFromText="0" w:vertAnchor="page" w:horzAnchor="margin" w:tblpX="327" w:tblpY="7392"/>
        <w:tblW w:w="9047" w:type="dxa"/>
        <w:tblLayout w:type="fixed"/>
        <w:tblCellMar>
          <w:top w:w="0" w:type="dxa"/>
          <w:left w:w="99" w:type="dxa"/>
          <w:bottom w:w="0" w:type="dxa"/>
          <w:right w:w="99" w:type="dxa"/>
        </w:tblCellMar>
        <w:tblLook w:firstRow="1" w:lastRow="0" w:firstColumn="1" w:lastColumn="0" w:noHBand="0" w:noVBand="1" w:val="04A0"/>
      </w:tblPr>
      <w:tblGrid>
        <w:gridCol w:w="666"/>
        <w:gridCol w:w="851"/>
        <w:gridCol w:w="850"/>
        <w:gridCol w:w="851"/>
        <w:gridCol w:w="720"/>
        <w:gridCol w:w="850"/>
        <w:gridCol w:w="851"/>
        <w:gridCol w:w="1134"/>
        <w:gridCol w:w="1134"/>
        <w:gridCol w:w="1140"/>
      </w:tblGrid>
      <w:tr>
        <w:trPr>
          <w:trHeight w:val="627"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000000"/>
                <w:kern w:val="0"/>
                <w:sz w:val="18"/>
                <w:highlight w:val="none"/>
              </w:rPr>
            </w:pPr>
          </w:p>
        </w:tc>
        <w:tc>
          <w:tcPr>
            <w:tcW w:w="2552" w:type="dxa"/>
            <w:gridSpan w:val="3"/>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急いで探す（医療機関）</w:t>
            </w:r>
          </w:p>
        </w:tc>
        <w:tc>
          <w:tcPr>
            <w:tcW w:w="2421" w:type="dxa"/>
            <w:gridSpan w:val="3"/>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急いで探す（歯科）</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助産所一覧</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現在の場所から探す</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マイホームへ登録</w:t>
            </w:r>
          </w:p>
        </w:tc>
      </w:tr>
      <w:tr>
        <w:trPr>
          <w:trHeight w:val="440"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rPr>
            </w:pPr>
            <w:r>
              <w:rPr>
                <w:rFonts w:hint="eastAsia" w:ascii="ＭＳ Ｐ明朝" w:hAnsi="ＭＳ Ｐ明朝" w:eastAsia="ＭＳ Ｐ明朝"/>
                <w:color w:val="000000"/>
                <w:kern w:val="0"/>
                <w:sz w:val="18"/>
                <w:highlight w:val="none"/>
              </w:rPr>
              <w:t>年度</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平日</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休日</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平日</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休日</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合計</w:t>
            </w:r>
          </w:p>
        </w:tc>
      </w:tr>
      <w:tr>
        <w:trPr>
          <w:trHeight w:val="372"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u w:val="none" w:color="auto"/>
              </w:rPr>
            </w:pPr>
            <w:r>
              <w:rPr>
                <w:rFonts w:hint="eastAsia" w:ascii="ＭＳ Ｐ明朝" w:hAnsi="ＭＳ Ｐ明朝" w:eastAsia="ＭＳ Ｐ明朝"/>
                <w:color w:val="000000"/>
                <w:kern w:val="0"/>
                <w:sz w:val="18"/>
                <w:highlight w:val="none"/>
                <w:u w:val="none" w:color="auto"/>
              </w:rPr>
              <w:t>R3</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 xml:space="preserve"> 11,690</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8,491</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20,181</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2,253</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1,127</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3,380</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956</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3,671</w:t>
            </w:r>
          </w:p>
        </w:tc>
      </w:tr>
      <w:tr>
        <w:trPr>
          <w:trHeight w:val="372" w:hRule="atLeast"/>
        </w:trPr>
        <w:tc>
          <w:tcPr>
            <w:tcW w:w="666"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Ｐ明朝" w:hAnsi="ＭＳ Ｐ明朝" w:eastAsia="ＭＳ Ｐ明朝"/>
                <w:color w:val="000000"/>
                <w:kern w:val="0"/>
                <w:sz w:val="18"/>
                <w:highlight w:val="none"/>
                <w:u w:val="none" w:color="auto"/>
              </w:rPr>
            </w:pPr>
            <w:r>
              <w:rPr>
                <w:rFonts w:hint="eastAsia" w:ascii="ＭＳ Ｐ明朝" w:hAnsi="ＭＳ Ｐ明朝" w:eastAsia="ＭＳ Ｐ明朝"/>
                <w:color w:val="000000"/>
                <w:kern w:val="0"/>
                <w:sz w:val="18"/>
                <w:highlight w:val="none"/>
                <w:u w:val="none" w:color="auto"/>
              </w:rPr>
              <w:t>R4</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 xml:space="preserve"> 11,463</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9,330</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20,793</w:t>
            </w:r>
          </w:p>
        </w:tc>
        <w:tc>
          <w:tcPr>
            <w:tcW w:w="72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1,707</w:t>
            </w:r>
          </w:p>
        </w:tc>
        <w:tc>
          <w:tcPr>
            <w:tcW w:w="85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847</w:t>
            </w:r>
          </w:p>
        </w:tc>
        <w:tc>
          <w:tcPr>
            <w:tcW w:w="851"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2,554</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870</w:t>
            </w:r>
          </w:p>
        </w:tc>
        <w:tc>
          <w:tcPr>
            <w:tcW w:w="1134"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16</w:t>
            </w:r>
          </w:p>
        </w:tc>
        <w:tc>
          <w:tcPr>
            <w:tcW w:w="1140" w:type="dxa"/>
            <w:tcBorders>
              <w:top w:val="single" w:color="auto" w:sz="4" w:space="0"/>
              <w:left w:val="single" w:color="auto" w:sz="4" w:space="0"/>
              <w:bottom w:val="single" w:color="80808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auto"/>
                <w:kern w:val="0"/>
                <w:sz w:val="18"/>
                <w:highlight w:val="none"/>
                <w:u w:val="none" w:color="auto"/>
              </w:rPr>
            </w:pPr>
            <w:r>
              <w:rPr>
                <w:rFonts w:hint="eastAsia" w:ascii="ＭＳ Ｐ明朝" w:hAnsi="ＭＳ Ｐ明朝" w:eastAsia="ＭＳ Ｐ明朝"/>
                <w:color w:val="auto"/>
                <w:kern w:val="0"/>
                <w:sz w:val="18"/>
                <w:highlight w:val="none"/>
                <w:u w:val="none" w:color="auto"/>
              </w:rPr>
              <w:t>2,578</w:t>
            </w:r>
          </w:p>
        </w:tc>
      </w:tr>
    </w:tbl>
    <w:p>
      <w:pPr>
        <w:pStyle w:val="0"/>
        <w:spacing w:line="0" w:lineRule="atLeast"/>
        <w:rPr>
          <w:rFonts w:hint="eastAsia"/>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4376420</wp:posOffset>
                </wp:positionH>
                <wp:positionV relativeFrom="paragraph">
                  <wp:posOffset>1271270</wp:posOffset>
                </wp:positionV>
                <wp:extent cx="1760855" cy="241300"/>
                <wp:effectExtent l="0" t="0" r="635" b="63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60855" cy="241300"/>
                        </a:xfrm>
                        <a:prstGeom prst="rect">
                          <a:avLst/>
                        </a:prstGeom>
                        <a:solidFill>
                          <a:srgbClr val="FFFFFF">
                            <a:alpha val="0"/>
                          </a:srgbClr>
                        </a:solidFill>
                        <a:ln>
                          <a:miter/>
                        </a:ln>
                      </wps:spPr>
                      <wps:txbx>
                        <w:txbxContent>
                          <w:p>
                            <w:pPr>
                              <w:pStyle w:val="0"/>
                              <w:ind w:leftChars="0" w:firstLine="0" w:firstLineChars="0"/>
                              <w:rPr>
                                <w:rFonts w:hint="eastAsia"/>
                              </w:rPr>
                            </w:pPr>
                            <w:r>
                              <w:rPr>
                                <w:rFonts w:hint="eastAsia"/>
                                <w:sz w:val="16"/>
                              </w:rPr>
                              <w:t>出典：高知県</w:t>
                            </w:r>
                            <w:r>
                              <w:rPr>
                                <w:rFonts w:hint="eastAsia"/>
                                <w:color w:val="auto"/>
                                <w:sz w:val="16"/>
                                <w:u w:val="none" w:color="auto"/>
                              </w:rPr>
                              <w:t>医療政策</w:t>
                            </w:r>
                            <w:r>
                              <w:rPr>
                                <w:rFonts w:hint="eastAsia"/>
                                <w:sz w:val="16"/>
                              </w:rPr>
                              <w:t>課調べ</w:t>
                            </w:r>
                          </w:p>
                        </w:txbxContent>
                      </wps:txbx>
                      <wps:bodyPr vertOverflow="overflow" horzOverflow="overflow" wrap="square" lIns="74295" tIns="8890" rIns="74295" bIns="8890" upright="1"/>
                    </wps:wsp>
                  </a:graphicData>
                </a:graphic>
              </wp:anchor>
            </w:drawing>
          </mc:Choice>
          <mc:Fallback>
            <w:pict>
              <v:rect id="オブジェクト 0" style="margin-top:100.1pt;mso-position-vertical-relative:text;mso-position-horizontal-relative:text;position:absolute;height:19pt;width:138.65pt;margin-left:344.6pt;z-index:2;" o:spid="_x0000_s1045" o:allowincell="t" o:allowoverlap="t" filled="t" fillcolor="#ffffff" stroked="f" o:spt="1">
                <v:fill opacity="0f"/>
                <v:textbox style="layout-flow:horizontal;" inset="2.0637499999999998mm,0.24694444444444438mm,2.0637499999999998mm,0.24694444444444438mm">
                  <w:txbxContent>
                    <w:p>
                      <w:pPr>
                        <w:pStyle w:val="0"/>
                        <w:ind w:leftChars="0" w:firstLine="0" w:firstLineChars="0"/>
                        <w:rPr>
                          <w:rFonts w:hint="eastAsia"/>
                        </w:rPr>
                      </w:pPr>
                      <w:r>
                        <w:rPr>
                          <w:rFonts w:hint="eastAsia"/>
                          <w:sz w:val="16"/>
                        </w:rPr>
                        <w:t>出典：高知県</w:t>
                      </w:r>
                      <w:r>
                        <w:rPr>
                          <w:rFonts w:hint="eastAsia"/>
                          <w:color w:val="auto"/>
                          <w:sz w:val="16"/>
                          <w:u w:val="none" w:color="auto"/>
                        </w:rPr>
                        <w:t>医療政策</w:t>
                      </w:r>
                      <w:r>
                        <w:rPr>
                          <w:rFonts w:hint="eastAsia"/>
                          <w:sz w:val="16"/>
                        </w:rPr>
                        <w:t>課調べ</w:t>
                      </w:r>
                    </w:p>
                  </w:txbxContent>
                </v:textbox>
                <v:imagedata o:title=""/>
                <w10:wrap type="none" anchorx="text" anchory="text"/>
              </v:rect>
            </w:pict>
          </mc:Fallback>
        </mc:AlternateContent>
      </w:r>
    </w:p>
    <w:p>
      <w:pPr>
        <w:pStyle w:val="0"/>
        <w:spacing w:line="0" w:lineRule="atLeast"/>
        <w:rPr>
          <w:rFonts w:hint="eastAsia"/>
          <w:highlight w:val="none"/>
        </w:rPr>
      </w:pPr>
    </w:p>
    <w:p>
      <w:pPr>
        <w:pStyle w:val="0"/>
        <w:ind w:firstLine="220" w:firstLineChars="100"/>
        <w:rPr>
          <w:rFonts w:hint="default"/>
          <w:b w:val="1"/>
          <w:highlight w:val="none"/>
          <w:shd w:val="clear" w:color="auto" w:fill="E5DFEC"/>
        </w:rPr>
      </w:pPr>
      <w:r>
        <w:rPr>
          <w:rFonts w:hint="eastAsia"/>
          <w:b w:val="1"/>
          <w:highlight w:val="none"/>
          <w:bdr w:val="single" w:color="auto" w:sz="4" w:space="0"/>
          <w:shd w:val="clear" w:color="auto" w:fill="E5DFEC"/>
        </w:rPr>
        <w:t>課題と対策</w:t>
      </w:r>
    </w:p>
    <w:p>
      <w:pPr>
        <w:pStyle w:val="0"/>
        <w:wordWrap w:val="1"/>
        <w:ind w:left="227" w:leftChars="100" w:right="0" w:rightChars="0" w:firstLine="227" w:firstLineChars="100"/>
        <w:rPr>
          <w:rFonts w:hint="eastAsia"/>
          <w:kern w:val="0"/>
          <w:highlight w:val="none"/>
        </w:rPr>
      </w:pPr>
      <w:r>
        <w:rPr>
          <w:rFonts w:hint="eastAsia"/>
          <w:kern w:val="0"/>
          <w:highlight w:val="none"/>
        </w:rPr>
        <w:t>医療機能情報提供制度は、医療機関が自らの責任で情報を報告し、報告を受けた県は、基本的にその情報をそのまま公表するものとされているため、医療機関側の入力誤りや定期的な更新作業を怠った場合、結果として誤った情報が発信されることとなります。</w:t>
      </w:r>
    </w:p>
    <w:p>
      <w:pPr>
        <w:pStyle w:val="0"/>
        <w:wordWrap w:val="1"/>
        <w:ind w:left="227" w:leftChars="100" w:right="0" w:rightChars="0" w:firstLine="227" w:firstLineChars="100"/>
        <w:rPr>
          <w:rFonts w:hint="default"/>
          <w:kern w:val="0"/>
          <w:highlight w:val="none"/>
        </w:rPr>
      </w:pPr>
      <w:r>
        <w:rPr>
          <w:rFonts w:hint="eastAsia"/>
          <w:kern w:val="0"/>
          <w:highlight w:val="none"/>
        </w:rPr>
        <w:t>このため、県は、誤った情報登録があった場合は速やかに是正を求めるほか、医療機関への立入検査などにおいて医療機能情報提供制度の周知徹底を行います。</w:t>
      </w:r>
    </w:p>
    <w:p>
      <w:pPr>
        <w:pStyle w:val="0"/>
        <w:spacing w:after="165" w:afterLines="50" w:afterAutospacing="0" w:line="20" w:lineRule="atLeast"/>
        <w:rPr>
          <w:rFonts w:hint="eastAsia"/>
          <w:highlight w:val="none"/>
        </w:rPr>
      </w:pPr>
    </w:p>
    <w:p>
      <w:pPr>
        <w:pStyle w:val="0"/>
        <w:spacing w:after="165" w:afterLines="50" w:afterAutospacing="0" w:line="20" w:lineRule="atLeast"/>
        <w:rPr>
          <w:rFonts w:hint="eastAsia"/>
          <w:b w:val="1"/>
          <w:color w:val="0070C0"/>
          <w:highlight w:val="none"/>
        </w:rPr>
      </w:pPr>
      <w:r>
        <w:rPr>
          <w:rFonts w:hint="eastAsia"/>
          <w:b w:val="1"/>
          <w:color w:val="0070C0"/>
          <w:highlight w:val="none"/>
        </w:rPr>
        <w:t>２　医療の連携体制</w:t>
      </w:r>
    </w:p>
    <w:p>
      <w:pPr>
        <w:pStyle w:val="0"/>
        <w:rPr>
          <w:rFonts w:hint="eastAsia"/>
          <w:b w:val="1"/>
          <w:highlight w:val="none"/>
        </w:rPr>
      </w:pPr>
      <w:r>
        <w:rPr>
          <w:rFonts w:hint="eastAsia"/>
          <w:b w:val="1"/>
          <w:highlight w:val="none"/>
        </w:rPr>
        <w:t>（１）病期ごとの医療体制と連携</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の専門化・高度化の進展、患者のニーズの多様化などにより、一つの医療機関だけで患者の治癒・回復までの医療サービスを提供することは困難になってきました。このため、地域の医療関係者などの協力の下に、医療機関が機能を分担及び連携することで、患者の病期や病態に応じた切れ目のない適切な医療を提供することが必要です。</w:t>
      </w:r>
    </w:p>
    <w:p>
      <w:pPr>
        <w:pStyle w:val="0"/>
        <w:wordWrap w:val="1"/>
        <w:spacing w:line="20" w:lineRule="atLeast"/>
        <w:ind w:left="227" w:leftChars="100" w:right="0" w:rightChars="0" w:firstLine="227" w:firstLineChars="100"/>
        <w:rPr>
          <w:rFonts w:hint="eastAsia"/>
          <w:kern w:val="0"/>
          <w:highlight w:val="none"/>
        </w:rPr>
      </w:pPr>
    </w:p>
    <w:p>
      <w:pPr>
        <w:pStyle w:val="0"/>
        <w:wordWrap w:val="1"/>
        <w:ind w:left="226" w:leftChars="100" w:right="70" w:rightChars="31" w:firstLine="226" w:firstLineChars="100"/>
        <w:rPr>
          <w:rFonts w:hint="eastAsia"/>
          <w:kern w:val="0"/>
          <w:highlight w:val="none"/>
        </w:rPr>
      </w:pPr>
      <w:r>
        <w:rPr>
          <w:rFonts w:hint="eastAsia"/>
          <w:kern w:val="0"/>
          <w:highlight w:val="none"/>
        </w:rPr>
        <w:t>このためには、県民がまず地域において、かかりつけ医、かかりつけ歯科医、かかりつけ薬局といった日ごろ相談できる医療機関を持つことが必要です。そのうえで、専門治療が必要な場合は、かかりつけ医などから高度医療機関に紹介を行い、一定の治療が終わった後はかかりつけ医に逆紹介するといった、病診連携（病院と診療所との連携）、病病連携（病院と病院の連携）の推進を図り、限られた医療資源を有効に活用することが重要です。また、早期に居宅などでの生活に復帰できるよう、在宅医療の充実が必要となります。</w:t>
      </w:r>
    </w:p>
    <w:p>
      <w:pPr>
        <w:pStyle w:val="0"/>
        <w:ind w:leftChars="0" w:firstLineChars="0"/>
        <w:rPr>
          <w:rFonts w:hint="eastAsia"/>
          <w:highlight w:val="none"/>
        </w:rPr>
      </w:pPr>
    </w:p>
    <w:p>
      <w:pPr>
        <w:pStyle w:val="0"/>
        <w:rPr>
          <w:rFonts w:hint="eastAsia"/>
          <w:b w:val="1"/>
          <w:highlight w:val="none"/>
        </w:rPr>
      </w:pPr>
      <w:r>
        <w:rPr>
          <w:rFonts w:hint="eastAsia"/>
          <w:b w:val="1"/>
          <w:highlight w:val="none"/>
        </w:rPr>
        <w:t>（</w:t>
      </w:r>
      <w:r>
        <w:rPr>
          <w:rFonts w:hint="eastAsia"/>
          <w:b w:val="1"/>
          <w:color w:val="auto"/>
          <w:highlight w:val="none"/>
          <w:u w:val="none" w:color="auto"/>
        </w:rPr>
        <w:t>２</w:t>
      </w:r>
      <w:r>
        <w:rPr>
          <w:rFonts w:hint="eastAsia"/>
          <w:b w:val="1"/>
          <w:highlight w:val="none"/>
        </w:rPr>
        <w:t>）地域連携クリニカルパス</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一人の患者が急性期病院から回復期病院を経て早期に自宅に復帰できるよう、治療にあたる複数の医療機関が共有する診療計画表（クリニカルパス）の活用は、患者に切れ目のない医療の提供を行うために有効なツールです。特に、回復期では、患者がどのような状態で転院してくるのかをあらかじめ把握できることから、重複した検査の省略や転院直後からのリハビリテーションの開始が可能となり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現在、本県では脳卒中の地域連携クリニカルパスが普及していますが、治療面だけでなく、症例検討会や研修会などを通じて多職種の連携が図られており、効果を上げています。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地域連携クリニカルパスは、病期に応じた病病連携・病診連携が必要な疾病には有効であり、脳卒中だけでなく、急性心筋梗塞や糖尿病などの分野でも、地域連携クリニカルパスの必要性や活用方法などについて、引き続き検討します。</w:t>
      </w:r>
    </w:p>
    <w:p>
      <w:pPr>
        <w:pStyle w:val="0"/>
        <w:ind w:left="902" w:hanging="876" w:hangingChars="398"/>
        <w:rPr>
          <w:rFonts w:hint="eastAsia"/>
          <w:highlight w:val="none"/>
        </w:rPr>
      </w:pPr>
    </w:p>
    <w:p>
      <w:pPr>
        <w:pStyle w:val="0"/>
        <w:ind w:left="876" w:leftChars="200" w:hanging="436" w:hangingChars="198"/>
        <w:rPr>
          <w:rFonts w:hint="eastAsia"/>
          <w:color w:val="333333"/>
          <w:sz w:val="20"/>
          <w:highlight w:val="none"/>
        </w:rPr>
      </w:pPr>
      <w:r>
        <w:rPr>
          <w:rFonts w:hint="eastAsia" w:ascii="ＭＳ 明朝" w:hAnsi="ＭＳ 明朝" w:eastAsia="ＭＳ 明朝"/>
          <w:sz w:val="20"/>
          <w:highlight w:val="none"/>
        </w:rPr>
        <w:t>＜参考＞</w:t>
      </w:r>
      <w:r>
        <w:rPr>
          <w:rFonts w:hint="eastAsia"/>
          <w:color w:val="333333"/>
          <w:sz w:val="20"/>
          <w:highlight w:val="none"/>
        </w:rPr>
        <w:t>地域連携クリニカルパスのホームページ</w:t>
      </w:r>
    </w:p>
    <w:p>
      <w:pPr>
        <w:pStyle w:val="0"/>
        <w:ind w:left="0" w:leftChars="400" w:firstLine="0" w:firstLineChars="0"/>
        <w:rPr>
          <w:rFonts w:hint="eastAsia"/>
          <w:sz w:val="20"/>
          <w:highlight w:val="none"/>
        </w:rPr>
      </w:pPr>
      <w:r>
        <w:rPr>
          <w:rFonts w:hint="default"/>
          <w:sz w:val="20"/>
          <w:highlight w:val="none"/>
        </w:rPr>
        <w:t>http</w:t>
      </w:r>
      <w:r>
        <w:rPr>
          <w:rFonts w:hint="eastAsia"/>
          <w:color w:val="auto"/>
          <w:sz w:val="20"/>
          <w:highlight w:val="none"/>
          <w:u w:val="none" w:color="auto"/>
        </w:rPr>
        <w:t>s</w:t>
      </w:r>
      <w:r>
        <w:rPr>
          <w:rFonts w:hint="default"/>
          <w:sz w:val="20"/>
          <w:highlight w:val="none"/>
        </w:rPr>
        <w:t>://clinicalpath.kochi-iryo.net/</w:t>
      </w:r>
    </w:p>
    <w:p>
      <w:pPr>
        <w:pStyle w:val="0"/>
        <w:rPr>
          <w:rFonts w:hint="eastAsia"/>
          <w:highlight w:val="none"/>
        </w:rPr>
      </w:pPr>
    </w:p>
    <w:p>
      <w:pPr>
        <w:pStyle w:val="0"/>
        <w:spacing w:after="165" w:afterLines="50" w:afterAutospacing="0"/>
        <w:ind w:left="2"/>
        <w:rPr>
          <w:rFonts w:hint="eastAsia"/>
          <w:b w:val="1"/>
          <w:color w:val="FF0000"/>
          <w:highlight w:val="none"/>
        </w:rPr>
      </w:pPr>
      <w:r>
        <w:rPr>
          <w:rFonts w:hint="eastAsia"/>
          <w:b w:val="1"/>
          <w:color w:val="0070C0"/>
          <w:highlight w:val="none"/>
        </w:rPr>
        <w:t>３　医療の情報化</w:t>
      </w:r>
      <w:r>
        <w:rPr>
          <w:rFonts w:hint="eastAsia"/>
          <w:b w:val="1"/>
          <w:color w:val="0070C0"/>
          <w:highlight w:val="none"/>
          <w:u w:val="none" w:color="auto"/>
        </w:rPr>
        <w:t>（医療ＤＸの推進）</w:t>
      </w:r>
    </w:p>
    <w:p>
      <w:pPr>
        <w:pStyle w:val="0"/>
        <w:ind w:left="227" w:leftChars="100" w:right="0" w:rightChars="0" w:firstLine="227" w:firstLineChars="100"/>
        <w:rPr>
          <w:rFonts w:hint="eastAsia"/>
          <w:color w:val="auto"/>
          <w:highlight w:val="none"/>
          <w:u w:val="none" w:color="auto"/>
        </w:rPr>
      </w:pPr>
      <w:r>
        <w:rPr>
          <w:rFonts w:hint="eastAsia"/>
          <w:color w:val="auto"/>
          <w:highlight w:val="none"/>
          <w:u w:val="none" w:color="auto"/>
        </w:rPr>
        <w:t>本県は、全国に先駆けて少子高齢化と人口減少が進行する中、医療・介護の人材確保が課題となっていることに加え、中山間地域が県土のほとんどを占める特性があり、その地理的条件を克服するためにも医療ＤＸ</w:t>
      </w:r>
      <w:r>
        <w:rPr>
          <w:rFonts w:hint="eastAsia"/>
          <w:color w:val="auto"/>
          <w:sz w:val="16"/>
          <w:highlight w:val="none"/>
          <w:u w:val="none" w:color="auto"/>
          <w:vertAlign w:val="superscript"/>
        </w:rPr>
        <w:t>（注１）</w:t>
      </w:r>
      <w:r>
        <w:rPr>
          <w:rFonts w:hint="eastAsia"/>
          <w:color w:val="auto"/>
          <w:highlight w:val="none"/>
          <w:u w:val="none" w:color="auto"/>
        </w:rPr>
        <w:t>を推進して効率的かつ効果的に、医療・介護サービスを提供する必要があります。</w:t>
      </w:r>
    </w:p>
    <w:p>
      <w:pPr>
        <w:pStyle w:val="0"/>
        <w:ind w:left="227" w:leftChars="100" w:right="0" w:rightChars="0" w:firstLine="227" w:firstLineChars="100"/>
        <w:rPr>
          <w:rFonts w:hint="eastAsia"/>
          <w:highlight w:val="none"/>
          <w:u w:val="single" w:color="auto"/>
        </w:rPr>
      </w:pPr>
      <w:r>
        <w:rPr>
          <w:rFonts w:hint="eastAsia"/>
          <w:color w:val="auto"/>
          <w:highlight w:val="none"/>
          <w:u w:val="none" w:color="auto"/>
        </w:rPr>
        <w:t>このため、本県では、情報通信技術（ＩＣＴ）を活用して医療・介護情報を切れ目なくネットワークでつなぐことで、より質の高い医療・介護サービス提供を通じて地域包括ケアシステムの構築を推進しています。</w:t>
      </w:r>
    </w:p>
    <w:p>
      <w:pPr>
        <w:pStyle w:val="0"/>
        <w:ind w:left="0" w:leftChars="0" w:right="0" w:rightChars="0" w:hanging="226" w:hangingChars="100"/>
        <w:rPr>
          <w:rFonts w:hint="eastAsia"/>
          <w:highlight w:val="none"/>
          <w:u w:val="single" w:color="auto"/>
        </w:rPr>
      </w:pPr>
      <w:r>
        <w:rPr>
          <w:rFonts w:hint="eastAsia"/>
          <w:highlight w:val="none"/>
          <w:u w:val="none" w:color="auto"/>
        </w:rPr>
        <w:t>　　また、医療機関を攻撃対象とするサイバー攻撃が近年増加傾向にあることから、国の事業と連携し、医療機関におけるサイバーセキュリティ対策を推進します。</w:t>
      </w:r>
    </w:p>
    <w:p>
      <w:pPr>
        <w:pStyle w:val="0"/>
        <w:ind w:left="0" w:leftChars="0" w:right="0" w:rightChars="0" w:hanging="226" w:hangingChars="100"/>
        <w:rPr>
          <w:rFonts w:hint="eastAsia"/>
          <w:highlight w:val="none"/>
          <w:u w:val="single" w:color="auto"/>
        </w:rPr>
      </w:pPr>
    </w:p>
    <w:p>
      <w:pPr>
        <w:pStyle w:val="0"/>
        <w:snapToGrid w:val="0"/>
        <w:ind w:left="890" w:leftChars="100" w:right="0" w:rightChars="0" w:hanging="664" w:hangingChars="400"/>
        <w:rPr>
          <w:rFonts w:hint="eastAsia"/>
          <w:highlight w:val="none"/>
          <w:u w:val="single" w:color="auto"/>
        </w:rPr>
      </w:pPr>
      <w:r>
        <w:rPr>
          <w:rFonts w:hint="eastAsia"/>
          <w:color w:val="auto"/>
          <w:sz w:val="16"/>
          <w:highlight w:val="none"/>
          <w:u w:val="none" w:color="auto"/>
        </w:rPr>
        <w:t>（注１）医療</w:t>
      </w:r>
      <w:r>
        <w:rPr>
          <w:rFonts w:hint="eastAsia"/>
          <w:color w:val="auto"/>
          <w:sz w:val="16"/>
          <w:highlight w:val="none"/>
          <w:u w:val="none" w:color="auto"/>
        </w:rPr>
        <w:t>DX</w:t>
      </w:r>
      <w:r>
        <w:rPr>
          <w:rFonts w:hint="eastAsia"/>
          <w:color w:val="auto"/>
          <w:sz w:val="16"/>
          <w:highlight w:val="none"/>
          <w:u w:val="none" w:color="auto"/>
        </w:rPr>
        <w:t>（デジタルトランスフォーメーション）：保健・医療・介護の各段階（疾病の発症予防、受診、診察・治療・薬剤処方、診断書等の作成、診療報酬の請求、医療介護の連携によるケア、地域医療連携、研究開発など）において発生する情報やデータを、全体最適された基盤を通して、保健・医療や介護関係者の業務やシステム、データ保存の外部化・共通化・標準化を図り、国民自身の予防を促進し、より良質な医療やケアを受けられるように、社会や生活の形を変えること（出典：令和</w:t>
      </w:r>
      <w:r>
        <w:rPr>
          <w:rFonts w:hint="eastAsia"/>
          <w:color w:val="auto"/>
          <w:sz w:val="16"/>
          <w:highlight w:val="none"/>
          <w:u w:val="none" w:color="auto"/>
        </w:rPr>
        <w:t>4</w:t>
      </w:r>
      <w:r>
        <w:rPr>
          <w:rFonts w:hint="eastAsia"/>
          <w:color w:val="auto"/>
          <w:sz w:val="16"/>
          <w:highlight w:val="none"/>
          <w:u w:val="none" w:color="auto"/>
        </w:rPr>
        <w:t>年</w:t>
      </w:r>
      <w:r>
        <w:rPr>
          <w:rFonts w:hint="eastAsia"/>
          <w:color w:val="auto"/>
          <w:sz w:val="16"/>
          <w:highlight w:val="none"/>
          <w:u w:val="none" w:color="auto"/>
        </w:rPr>
        <w:t>9</w:t>
      </w:r>
      <w:r>
        <w:rPr>
          <w:rFonts w:hint="eastAsia"/>
          <w:color w:val="auto"/>
          <w:sz w:val="16"/>
          <w:highlight w:val="none"/>
          <w:u w:val="none" w:color="auto"/>
        </w:rPr>
        <w:t>月</w:t>
      </w:r>
      <w:r>
        <w:rPr>
          <w:rFonts w:hint="eastAsia"/>
          <w:color w:val="auto"/>
          <w:sz w:val="16"/>
          <w:highlight w:val="none"/>
          <w:u w:val="none" w:color="auto"/>
        </w:rPr>
        <w:t>22</w:t>
      </w:r>
      <w:r>
        <w:rPr>
          <w:rFonts w:hint="eastAsia"/>
          <w:color w:val="auto"/>
          <w:sz w:val="16"/>
          <w:highlight w:val="none"/>
          <w:u w:val="none" w:color="auto"/>
        </w:rPr>
        <w:t>日</w:t>
      </w:r>
      <w:r>
        <w:rPr>
          <w:rFonts w:hint="eastAsia"/>
          <w:color w:val="auto"/>
          <w:sz w:val="16"/>
          <w:highlight w:val="none"/>
          <w:u w:val="none" w:color="auto"/>
        </w:rPr>
        <w:t xml:space="preserve"> </w:t>
      </w:r>
      <w:r>
        <w:rPr>
          <w:rFonts w:hint="eastAsia"/>
          <w:color w:val="auto"/>
          <w:sz w:val="16"/>
          <w:highlight w:val="none"/>
          <w:u w:val="none" w:color="auto"/>
        </w:rPr>
        <w:t>第１回「医療</w:t>
      </w:r>
      <w:r>
        <w:rPr>
          <w:rFonts w:hint="eastAsia"/>
          <w:color w:val="auto"/>
          <w:sz w:val="16"/>
          <w:highlight w:val="none"/>
          <w:u w:val="none" w:color="auto"/>
        </w:rPr>
        <w:t xml:space="preserve">DX </w:t>
      </w:r>
      <w:r>
        <w:rPr>
          <w:rFonts w:hint="eastAsia"/>
          <w:color w:val="auto"/>
          <w:sz w:val="16"/>
          <w:highlight w:val="none"/>
          <w:u w:val="none" w:color="auto"/>
        </w:rPr>
        <w:t>令和ビジョン</w:t>
      </w:r>
      <w:r>
        <w:rPr>
          <w:rFonts w:hint="eastAsia"/>
          <w:color w:val="auto"/>
          <w:sz w:val="16"/>
          <w:highlight w:val="none"/>
          <w:u w:val="none" w:color="auto"/>
        </w:rPr>
        <w:t xml:space="preserve"> 2030</w:t>
      </w:r>
      <w:r>
        <w:rPr>
          <w:rFonts w:hint="eastAsia"/>
          <w:color w:val="auto"/>
          <w:sz w:val="16"/>
          <w:highlight w:val="none"/>
          <w:u w:val="none" w:color="auto"/>
        </w:rPr>
        <w:t>」厚生労働省推進チーム</w:t>
      </w:r>
      <w:r>
        <w:rPr>
          <w:rFonts w:hint="eastAsia"/>
          <w:color w:val="auto"/>
          <w:sz w:val="16"/>
          <w:highlight w:val="none"/>
          <w:u w:val="none" w:color="auto"/>
        </w:rPr>
        <w:t xml:space="preserve"> </w:t>
      </w:r>
      <w:r>
        <w:rPr>
          <w:rFonts w:hint="eastAsia"/>
          <w:color w:val="auto"/>
          <w:sz w:val="16"/>
          <w:highlight w:val="none"/>
          <w:u w:val="none" w:color="auto"/>
        </w:rPr>
        <w:t>資料）</w:t>
      </w:r>
    </w:p>
    <w:p>
      <w:pPr>
        <w:pStyle w:val="0"/>
        <w:ind w:left="227" w:leftChars="100" w:right="0" w:rightChars="0" w:firstLine="0" w:firstLineChars="0"/>
        <w:rPr>
          <w:rFonts w:hint="eastAsia"/>
          <w:color w:val="FF0000"/>
          <w:highlight w:val="none"/>
          <w:u w:val="single" w:color="auto"/>
        </w:rPr>
      </w:pPr>
      <w:r>
        <w:rPr>
          <w:rFonts w:hint="eastAsia"/>
        </w:rPr>
        <w:br w:type="page"/>
      </w:r>
    </w:p>
    <w:p>
      <w:pPr>
        <w:pStyle w:val="0"/>
        <w:ind w:leftChars="0" w:right="0" w:rightChars="0" w:firstLineChars="0"/>
        <w:rPr>
          <w:rFonts w:hint="eastAsia"/>
          <w:color w:val="auto"/>
          <w:highlight w:val="none"/>
          <w:u w:val="none" w:color="auto"/>
        </w:rPr>
      </w:pPr>
      <w:r>
        <w:rPr>
          <w:rFonts w:hint="eastAsia"/>
          <w:b w:val="1"/>
          <w:color w:val="auto"/>
          <w:highlight w:val="none"/>
          <w:u w:val="none" w:color="auto"/>
        </w:rPr>
        <w:t>（１）高知ＥＨＲ</w:t>
      </w:r>
      <w:r>
        <w:rPr>
          <w:rFonts w:hint="eastAsia"/>
          <w:b w:val="1"/>
          <w:color w:val="auto"/>
          <w:highlight w:val="none"/>
          <w:u w:val="none" w:color="auto"/>
          <w:vertAlign w:val="superscript"/>
        </w:rPr>
        <w:t>（注２）</w:t>
      </w:r>
      <w:r>
        <w:rPr>
          <w:rFonts w:hint="eastAsia"/>
          <w:b w:val="1"/>
          <w:color w:val="auto"/>
          <w:highlight w:val="none"/>
          <w:u w:val="none" w:color="auto"/>
        </w:rPr>
        <w:t>（高知あんしんネット・はたまるねっと・高知家＠ライン）</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「高知あんしんネット</w:t>
      </w:r>
      <w:r>
        <w:rPr>
          <w:rFonts w:hint="eastAsia"/>
          <w:b w:val="0"/>
          <w:color w:val="auto"/>
          <w:highlight w:val="none"/>
          <w:u w:val="none" w:color="auto"/>
          <w:vertAlign w:val="superscript"/>
        </w:rPr>
        <w:t>（注３）</w:t>
      </w:r>
      <w:r>
        <w:rPr>
          <w:rFonts w:hint="eastAsia"/>
          <w:b w:val="0"/>
          <w:color w:val="auto"/>
          <w:highlight w:val="none"/>
          <w:u w:val="none" w:color="auto"/>
        </w:rPr>
        <w:t>」「はたまるねっと</w:t>
      </w:r>
      <w:r>
        <w:rPr>
          <w:rFonts w:hint="eastAsia"/>
          <w:b w:val="0"/>
          <w:color w:val="auto"/>
          <w:highlight w:val="none"/>
          <w:u w:val="none" w:color="auto"/>
          <w:vertAlign w:val="superscript"/>
        </w:rPr>
        <w:t>（注４）</w:t>
      </w:r>
      <w:r>
        <w:rPr>
          <w:rFonts w:hint="eastAsia"/>
          <w:b w:val="0"/>
          <w:color w:val="auto"/>
          <w:highlight w:val="none"/>
          <w:u w:val="none" w:color="auto"/>
        </w:rPr>
        <w:t>」は、患者のカルテや検査結果、薬などの医療情報を病院や診療所、薬局などで共有するネットワークです。</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このネットワークを利用することにより、医療機関が治療や検査内容を確認でき、重複投薬や重複検査を防ぐことができます。</w:t>
      </w:r>
    </w:p>
    <w:p>
      <w:pPr>
        <w:pStyle w:val="0"/>
        <w:ind w:left="227" w:leftChars="100" w:right="0" w:rightChars="0" w:firstLine="227" w:firstLineChars="100"/>
        <w:rPr>
          <w:rFonts w:hint="eastAsia"/>
          <w:b w:val="0"/>
          <w:color w:val="auto"/>
          <w:highlight w:val="none"/>
          <w:u w:val="none" w:color="auto"/>
        </w:rPr>
      </w:pPr>
      <w:r>
        <w:rPr>
          <w:rFonts w:hint="eastAsia"/>
          <w:b w:val="0"/>
          <w:color w:val="auto"/>
          <w:highlight w:val="none"/>
          <w:u w:val="none" w:color="auto"/>
        </w:rPr>
        <w:t>また、救急でこれまで受診したことのない病院を受診した場合や、転院や退院により医療機関が変わった場合などはこれまでの治療の内容や投薬歴を参考に、より効果的な治療に活かされることが期待できます。</w:t>
      </w:r>
    </w:p>
    <w:p>
      <w:pPr>
        <w:pStyle w:val="0"/>
        <w:ind w:left="227" w:leftChars="100" w:right="0" w:rightChars="0" w:firstLine="227" w:firstLineChars="100"/>
        <w:rPr>
          <w:rFonts w:hint="eastAsia"/>
          <w:b w:val="0"/>
          <w:color w:val="FF0000"/>
          <w:highlight w:val="none"/>
          <w:u w:val="single" w:color="auto"/>
        </w:rPr>
      </w:pPr>
      <w:r>
        <w:rPr>
          <w:rFonts w:hint="eastAsia"/>
          <w:b w:val="0"/>
          <w:color w:val="auto"/>
          <w:highlight w:val="none"/>
          <w:u w:val="none" w:color="auto"/>
        </w:rPr>
        <w:t>「高知家＠ライン</w:t>
      </w:r>
      <w:r>
        <w:rPr>
          <w:rFonts w:hint="eastAsia"/>
          <w:b w:val="0"/>
          <w:color w:val="auto"/>
          <w:highlight w:val="none"/>
          <w:u w:val="none" w:color="auto"/>
          <w:vertAlign w:val="superscript"/>
        </w:rPr>
        <w:t>（注５）</w:t>
      </w:r>
      <w:r>
        <w:rPr>
          <w:rFonts w:hint="eastAsia"/>
          <w:b w:val="0"/>
          <w:color w:val="auto"/>
          <w:highlight w:val="none"/>
          <w:u w:val="none" w:color="auto"/>
        </w:rPr>
        <w:t>」は、医療・介護に携わる多職種間において、患者のケアを行ううえで必要な情報を迅速に効率よく共有できるツールであり、モバイル端末を用いてリアルタイムで患者の状態を情報共有することにより、適時・適切なケアを実践することが可能となることに加え、多職種の情報伝達の効率化も図ることができます。</w:t>
      </w:r>
    </w:p>
    <w:p>
      <w:pPr>
        <w:pStyle w:val="0"/>
        <w:ind w:leftChars="0" w:right="0" w:rightChars="0" w:firstLineChars="0"/>
        <w:rPr>
          <w:rFonts w:hint="eastAsia"/>
          <w:color w:val="FF0000"/>
          <w:highlight w:val="none"/>
          <w:u w:val="single" w:color="auto"/>
        </w:rPr>
      </w:pPr>
    </w:p>
    <w:p>
      <w:pPr>
        <w:pStyle w:val="0"/>
        <w:snapToGrid w:val="0"/>
        <w:spacing w:line="200" w:lineRule="exact"/>
        <w:ind w:left="1258" w:leftChars="93" w:right="0" w:rightChars="0" w:hanging="1047" w:hangingChars="628"/>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（注２）ＥＨＲ：</w:t>
      </w:r>
      <w:r>
        <w:rPr>
          <w:rFonts w:hint="eastAsia" w:ascii="ＭＳ 明朝" w:hAnsi="ＭＳ 明朝" w:eastAsia="ＭＳ 明朝"/>
          <w:color w:val="auto"/>
          <w:sz w:val="16"/>
          <w:highlight w:val="none"/>
          <w:u w:val="none" w:color="auto"/>
        </w:rPr>
        <w:t>Electronic Health Record</w:t>
      </w:r>
      <w:r>
        <w:rPr>
          <w:rFonts w:hint="eastAsia" w:ascii="ＭＳ 明朝" w:hAnsi="ＭＳ 明朝" w:eastAsia="ＭＳ 明朝"/>
          <w:color w:val="auto"/>
          <w:sz w:val="16"/>
          <w:highlight w:val="none"/>
          <w:u w:val="none" w:color="auto"/>
        </w:rPr>
        <w:t>の略語。個人の医療・健康等に係る情報の共有等を行うための医療情報連携</w:t>
      </w:r>
    </w:p>
    <w:p>
      <w:pPr>
        <w:pStyle w:val="0"/>
        <w:snapToGrid w:val="0"/>
        <w:spacing w:line="200" w:lineRule="exact"/>
        <w:ind w:left="1433" w:leftChars="393" w:right="0" w:rightChars="0" w:hanging="545" w:hangingChars="328"/>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ネットワークのこと。高知あんしんネット、はたまるねっと、高知家＠ライン、国のＥＨＲを指す。</w:t>
      </w:r>
    </w:p>
    <w:p>
      <w:pPr>
        <w:pStyle w:val="0"/>
        <w:snapToGrid w:val="0"/>
        <w:ind w:left="1258" w:leftChars="93" w:right="0" w:rightChars="0" w:hanging="1047" w:hangingChars="628"/>
        <w:rPr>
          <w:rFonts w:hint="eastAsia"/>
          <w:color w:val="auto"/>
          <w:sz w:val="16"/>
          <w:highlight w:val="none"/>
          <w:u w:val="none" w:color="auto"/>
        </w:rPr>
      </w:pPr>
      <w:r>
        <w:rPr>
          <w:rFonts w:hint="eastAsia"/>
          <w:color w:val="auto"/>
          <w:sz w:val="16"/>
          <w:highlight w:val="none"/>
          <w:u w:val="none" w:color="auto"/>
        </w:rPr>
        <w:t>（注３）</w:t>
      </w:r>
      <w:r>
        <w:rPr>
          <w:rFonts w:hint="eastAsia" w:ascii="ＭＳ 明朝" w:hAnsi="ＭＳ 明朝" w:eastAsia="ＭＳ 明朝"/>
          <w:color w:val="auto"/>
          <w:sz w:val="16"/>
          <w:highlight w:val="none"/>
          <w:u w:val="none" w:color="auto"/>
        </w:rPr>
        <w:t>高知あんしんネット：</w:t>
      </w:r>
      <w:r>
        <w:rPr>
          <w:rFonts w:hint="eastAsia"/>
          <w:color w:val="auto"/>
          <w:sz w:val="16"/>
          <w:highlight w:val="none"/>
          <w:u w:val="none" w:color="auto"/>
        </w:rPr>
        <w:t>一般社団法人高知県保健医療介護福祉推進協議会が幡多地域以外で運用中</w:t>
      </w:r>
    </w:p>
    <w:p>
      <w:pPr>
        <w:pStyle w:val="0"/>
        <w:snapToGrid w:val="0"/>
        <w:ind w:left="1258" w:leftChars="93" w:right="0" w:rightChars="0" w:hanging="1047" w:hangingChars="628"/>
        <w:rPr>
          <w:rFonts w:hint="eastAsia"/>
          <w:color w:val="auto"/>
          <w:sz w:val="16"/>
          <w:highlight w:val="none"/>
          <w:u w:val="none" w:color="auto"/>
        </w:rPr>
      </w:pPr>
      <w:r>
        <w:rPr>
          <w:rFonts w:hint="eastAsia"/>
          <w:color w:val="auto"/>
          <w:sz w:val="16"/>
          <w:highlight w:val="none"/>
          <w:u w:val="none" w:color="auto"/>
        </w:rPr>
        <w:t>（注４）</w:t>
      </w:r>
      <w:r>
        <w:rPr>
          <w:rFonts w:hint="eastAsia" w:ascii="ＭＳ 明朝" w:hAnsi="ＭＳ 明朝" w:eastAsia="ＭＳ 明朝"/>
          <w:color w:val="auto"/>
          <w:sz w:val="16"/>
          <w:highlight w:val="none"/>
          <w:u w:val="none" w:color="auto"/>
        </w:rPr>
        <w:t>はたまるねっと：</w:t>
      </w:r>
      <w:r>
        <w:rPr>
          <w:rFonts w:hint="eastAsia"/>
          <w:color w:val="auto"/>
          <w:sz w:val="16"/>
          <w:highlight w:val="none"/>
          <w:u w:val="none" w:color="auto"/>
        </w:rPr>
        <w:t>一般社団法人幡多医師会が幡多地域で運用中</w:t>
      </w:r>
    </w:p>
    <w:p>
      <w:pPr>
        <w:pStyle w:val="0"/>
        <w:snapToGrid w:val="0"/>
        <w:ind w:left="1258" w:leftChars="93" w:hanging="1047" w:hangingChars="628"/>
        <w:rPr>
          <w:rFonts w:hint="eastAsia"/>
          <w:color w:val="000000"/>
          <w:highlight w:val="none"/>
          <w:u w:val="none" w:color="auto"/>
        </w:rPr>
      </w:pPr>
      <w:r>
        <w:rPr>
          <w:rFonts w:hint="eastAsia"/>
          <w:color w:val="auto"/>
          <w:sz w:val="16"/>
          <w:highlight w:val="none"/>
          <w:u w:val="none" w:color="auto"/>
        </w:rPr>
        <w:t>（注５）</w:t>
      </w:r>
      <w:r>
        <w:rPr>
          <w:rFonts w:hint="eastAsia" w:ascii="ＭＳ 明朝" w:hAnsi="ＭＳ 明朝" w:eastAsia="ＭＳ 明朝"/>
          <w:color w:val="auto"/>
          <w:sz w:val="16"/>
          <w:highlight w:val="none"/>
          <w:u w:val="none" w:color="auto"/>
        </w:rPr>
        <w:t>高知家＠ライン：</w:t>
      </w:r>
      <w:r>
        <w:rPr>
          <w:rFonts w:hint="eastAsia"/>
          <w:color w:val="auto"/>
          <w:sz w:val="16"/>
          <w:highlight w:val="none"/>
          <w:u w:val="none" w:color="auto"/>
        </w:rPr>
        <w:t>一般社団法人高知医療介護情報連携システムが県下全域で運用中</w:t>
      </w:r>
    </w:p>
    <w:p>
      <w:pPr>
        <w:pStyle w:val="0"/>
        <w:spacing w:after="165" w:afterLines="50" w:afterAutospacing="0"/>
        <w:rPr>
          <w:rFonts w:hint="eastAsia"/>
          <w:color w:val="00B0F0"/>
          <w:highlight w:val="none"/>
        </w:rPr>
      </w:pPr>
    </w:p>
    <w:p>
      <w:pPr>
        <w:pStyle w:val="0"/>
        <w:rPr>
          <w:rFonts w:hint="eastAsia"/>
          <w:b w:val="1"/>
          <w:highlight w:val="none"/>
        </w:rPr>
      </w:pPr>
      <w:r>
        <w:rPr>
          <w:rFonts w:hint="eastAsia"/>
          <w:b w:val="1"/>
          <w:highlight w:val="none"/>
        </w:rPr>
        <w:t>（２）へき地医療情報ネットワーク</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へき地に勤務する医師が、</w:t>
      </w:r>
      <w:r>
        <w:rPr>
          <w:rFonts w:hint="default"/>
          <w:kern w:val="0"/>
          <w:highlight w:val="none"/>
        </w:rPr>
        <w:t>診療や検査、治療方針などについて専門医師に</w:t>
      </w:r>
      <w:r>
        <w:rPr>
          <w:rFonts w:hint="eastAsia"/>
          <w:kern w:val="0"/>
          <w:highlight w:val="none"/>
        </w:rPr>
        <w:t>コンサルテーションとセ</w:t>
      </w:r>
      <w:r>
        <w:rPr>
          <w:rFonts w:hint="default"/>
          <w:kern w:val="0"/>
          <w:highlight w:val="none"/>
        </w:rPr>
        <w:t>カンドオピニオンを求められる環境を整備する</w:t>
      </w:r>
      <w:r>
        <w:rPr>
          <w:rFonts w:hint="eastAsia"/>
          <w:kern w:val="0"/>
          <w:highlight w:val="none"/>
        </w:rPr>
        <w:t>ため、へき地医療情報ネットワークが整備され、</w:t>
      </w:r>
      <w:r>
        <w:rPr>
          <w:rFonts w:hint="eastAsia"/>
          <w:color w:val="auto"/>
          <w:kern w:val="0"/>
          <w:highlight w:val="none"/>
          <w:u w:val="none" w:color="auto"/>
        </w:rPr>
        <w:t>令和５年９月現在、</w:t>
      </w:r>
      <w:r>
        <w:rPr>
          <w:rFonts w:hint="default"/>
          <w:color w:val="auto"/>
          <w:kern w:val="0"/>
          <w:highlight w:val="none"/>
          <w:u w:val="none" w:color="auto"/>
        </w:rPr>
        <w:t>県内</w:t>
      </w:r>
      <w:r>
        <w:rPr>
          <w:rFonts w:hint="eastAsia"/>
          <w:color w:val="auto"/>
          <w:kern w:val="0"/>
          <w:highlight w:val="none"/>
          <w:u w:val="none" w:color="auto"/>
        </w:rPr>
        <w:t>31</w:t>
      </w:r>
      <w:r>
        <w:rPr>
          <w:rFonts w:hint="eastAsia"/>
          <w:kern w:val="0"/>
          <w:highlight w:val="none"/>
        </w:rPr>
        <w:t>か</w:t>
      </w:r>
      <w:r>
        <w:rPr>
          <w:rFonts w:hint="default"/>
          <w:kern w:val="0"/>
          <w:highlight w:val="none"/>
        </w:rPr>
        <w:t>所のへき地</w:t>
      </w:r>
      <w:r>
        <w:rPr>
          <w:rFonts w:hint="eastAsia"/>
          <w:kern w:val="0"/>
          <w:highlight w:val="none"/>
        </w:rPr>
        <w:t>診療所及び</w:t>
      </w:r>
      <w:r>
        <w:rPr>
          <w:rFonts w:hint="default"/>
          <w:kern w:val="0"/>
          <w:highlight w:val="none"/>
        </w:rPr>
        <w:t>救急・地域医療の拠点病院</w:t>
      </w:r>
      <w:r>
        <w:rPr>
          <w:rFonts w:hint="eastAsia"/>
          <w:kern w:val="0"/>
          <w:highlight w:val="none"/>
        </w:rPr>
        <w:t>が参加しています。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ネットワーク参加病院間で遠隔画像伝送システムを活用してＣＴ画像などを共有し、地域の医師と専門医が治療方針を検討することにより、地域の医療機関での治療が可能であるか、高次救急医療機関への搬送が必要かなどの判断を行い、より迅速で的確な医療提供を行うことができます。また、へき</w:t>
      </w:r>
      <w:r>
        <w:rPr>
          <w:rFonts w:hint="default"/>
          <w:kern w:val="0"/>
          <w:highlight w:val="none"/>
        </w:rPr>
        <w:t>地に暮らす</w:t>
      </w:r>
      <w:r>
        <w:rPr>
          <w:rFonts w:hint="eastAsia"/>
          <w:kern w:val="0"/>
          <w:highlight w:val="none"/>
        </w:rPr>
        <w:t>患者は、遠隔地の高度医療機関まで出向かなくても治療方針の決定にあたって</w:t>
      </w:r>
      <w:r>
        <w:rPr>
          <w:rFonts w:hint="default"/>
          <w:kern w:val="0"/>
          <w:highlight w:val="none"/>
        </w:rPr>
        <w:t>専門医師</w:t>
      </w:r>
      <w:r>
        <w:rPr>
          <w:rFonts w:hint="eastAsia"/>
          <w:kern w:val="0"/>
          <w:highlight w:val="none"/>
        </w:rPr>
        <w:t>の支援を受けることができ</w:t>
      </w:r>
      <w:r>
        <w:rPr>
          <w:rFonts w:hint="default"/>
          <w:kern w:val="0"/>
          <w:highlight w:val="none"/>
        </w:rPr>
        <w:t>、症例によっては地元で治療を完結</w:t>
      </w:r>
      <w:r>
        <w:rPr>
          <w:rFonts w:hint="eastAsia"/>
          <w:kern w:val="0"/>
          <w:highlight w:val="none"/>
        </w:rPr>
        <w:t>することもできるようになっています</w:t>
      </w:r>
      <w:r>
        <w:rPr>
          <w:rFonts w:hint="default"/>
          <w:kern w:val="0"/>
          <w:highlight w:val="none"/>
        </w:rPr>
        <w:t>。</w:t>
      </w:r>
    </w:p>
    <w:p>
      <w:pPr>
        <w:pStyle w:val="0"/>
        <w:rPr>
          <w:rFonts w:hint="default"/>
          <w:b w:val="1"/>
          <w:color w:val="1F497D"/>
          <w:sz w:val="28"/>
          <w:highlight w:val="none"/>
        </w:rPr>
      </w:pPr>
      <w:r>
        <w:rPr>
          <w:rFonts w:hint="eastAsia"/>
          <w:highlight w:val="none"/>
        </w:rPr>
        <w:br w:type="page"/>
      </w:r>
      <w:r>
        <w:rPr>
          <w:rFonts w:hint="eastAsia"/>
          <w:b w:val="1"/>
          <w:color w:val="1F497D"/>
          <w:sz w:val="28"/>
          <w:highlight w:val="none"/>
        </w:rPr>
        <w:t>第２節　医療の安全の確保</w:t>
      </w:r>
    </w:p>
    <w:p>
      <w:pPr>
        <w:pStyle w:val="0"/>
        <w:spacing w:after="165" w:afterLines="50" w:afterAutospacing="0"/>
        <w:rPr>
          <w:rFonts w:hint="default"/>
          <w:b w:val="1"/>
          <w:color w:val="0070C0"/>
          <w:spacing w:val="2"/>
          <w:highlight w:val="none"/>
        </w:rPr>
      </w:pPr>
      <w:r>
        <w:rPr>
          <w:rFonts w:hint="eastAsia"/>
          <w:b w:val="1"/>
          <w:color w:val="0070C0"/>
          <w:spacing w:val="2"/>
          <w:highlight w:val="none"/>
        </w:rPr>
        <w:t>１　医療安全管理対策</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への信頼性を高めるためには、医療機関における医療安全管理対策を進める必要があり、医療法では、病院や診療所における安全管理のための体制の確保と、都道府県、保健所を設置する市及び特別区に「医療安全支援センター」の設置を求め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の確保のためには、医療機関において多職種横断的に医療安全活動が推進され、医療事故を防止するための適切な対応が行われることや、患者やその家族と医療従事者の円滑な対話による不安解消とトラブルの防止、トラブルに対応する職員のスキルアップ、院内の相談体制の整備が重要で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また、患者や家族に対して医療機関の相談窓口の役割の周知が必要です。</w:t>
      </w:r>
    </w:p>
    <w:p>
      <w:pPr>
        <w:pStyle w:val="0"/>
        <w:rPr>
          <w:rFonts w:hint="default"/>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安全支援センターは、県と高知市に設置しており、患者やその家族、住民などからの医療に関する苦情や相談に対応し、相談者や医療機関に対し助言や情報提供を行っています。また、医療関係者に対する研修会の実施や県民を対象にした啓発活動など、医療の安全確保のために必要な支援を行ってい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平成</w:t>
      </w:r>
      <w:r>
        <w:rPr>
          <w:rFonts w:hint="eastAsia"/>
          <w:kern w:val="0"/>
          <w:highlight w:val="none"/>
        </w:rPr>
        <w:t>25</w:t>
      </w:r>
      <w:r>
        <w:rPr>
          <w:rFonts w:hint="eastAsia"/>
          <w:kern w:val="0"/>
          <w:highlight w:val="none"/>
        </w:rPr>
        <w:t>年度から福祉保健所にも相談窓口が設置され、身近な場所で医療相談ができる体制となりました。</w:t>
      </w:r>
    </w:p>
    <w:p>
      <w:pPr>
        <w:pStyle w:val="0"/>
        <w:spacing w:line="0" w:lineRule="atLeast"/>
        <w:ind w:leftChars="0" w:firstLine="0" w:firstLineChars="0"/>
        <w:rPr>
          <w:rFonts w:hint="default"/>
          <w:highlight w:val="none"/>
        </w:rPr>
      </w:pPr>
    </w:p>
    <w:p>
      <w:pPr>
        <w:pStyle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5-2-1</w:t>
      </w:r>
      <w:r>
        <w:rPr>
          <w:rFonts w:hint="eastAsia" w:ascii="ＭＳ ゴシック" w:hAnsi="ＭＳ ゴシック" w:eastAsia="ＭＳ ゴシック"/>
          <w:sz w:val="22"/>
          <w:highlight w:val="none"/>
        </w:rPr>
        <w:t>）医療安全支援センターへの相談件数の推移</w:t>
      </w:r>
    </w:p>
    <w:tbl>
      <w:tblPr>
        <w:tblStyle w:val="11"/>
        <w:tblW w:w="8364"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825"/>
        <w:gridCol w:w="1160"/>
        <w:gridCol w:w="992"/>
        <w:gridCol w:w="1134"/>
        <w:gridCol w:w="992"/>
        <w:gridCol w:w="1134"/>
        <w:gridCol w:w="993"/>
        <w:gridCol w:w="1134"/>
      </w:tblGrid>
      <w:tr>
        <w:trPr>
          <w:trHeight w:val="401" w:hRule="atLeast"/>
        </w:trPr>
        <w:tc>
          <w:tcPr>
            <w:tcW w:w="1985"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29"/>
              <w:widowControl w:val="0"/>
              <w:spacing w:line="0" w:lineRule="atLeast"/>
              <w:ind w:left="0" w:leftChars="0" w:firstLine="1100" w:firstLineChars="500"/>
              <w:jc w:val="both"/>
              <w:rPr>
                <w:rFonts w:hint="default" w:ascii="ＭＳ 明朝" w:hAnsi="ＭＳ 明朝"/>
                <w:kern w:val="2"/>
                <w:sz w:val="18"/>
                <w:highlight w:val="none"/>
              </w:rPr>
            </w:pPr>
            <w:r>
              <w:rPr>
                <w:rFonts w:hint="eastAsia" w:ascii="ＭＳ 明朝" w:hAnsi="ＭＳ 明朝"/>
                <w:kern w:val="2"/>
                <w:sz w:val="18"/>
                <w:highlight w:val="none"/>
              </w:rPr>
              <w:t>年　度</w:t>
            </w:r>
          </w:p>
          <w:p>
            <w:pPr>
              <w:pStyle w:val="0"/>
              <w:widowControl w:val="0"/>
              <w:spacing w:line="0" w:lineRule="atLeast"/>
              <w:jc w:val="both"/>
              <w:rPr>
                <w:rFonts w:hint="default" w:ascii="ＭＳ 明朝" w:hAnsi="ＭＳ 明朝"/>
                <w:kern w:val="2"/>
                <w:sz w:val="18"/>
                <w:highlight w:val="none"/>
              </w:rPr>
            </w:pPr>
          </w:p>
          <w:p>
            <w:pPr>
              <w:pStyle w:val="0"/>
              <w:widowControl w:val="0"/>
              <w:spacing w:before="165" w:beforeLines="50" w:beforeAutospacing="0" w:line="0" w:lineRule="atLeast"/>
              <w:jc w:val="both"/>
              <w:rPr>
                <w:rFonts w:hint="eastAsia" w:ascii="ＭＳ 明朝" w:hAnsi="ＭＳ 明朝"/>
                <w:kern w:val="2"/>
                <w:sz w:val="18"/>
                <w:highlight w:val="none"/>
              </w:rPr>
            </w:pPr>
          </w:p>
          <w:p>
            <w:pPr>
              <w:pStyle w:val="0"/>
              <w:widowControl w:val="0"/>
              <w:spacing w:before="165" w:beforeLines="50" w:beforeAutospacing="0" w:line="0" w:lineRule="atLeast"/>
              <w:jc w:val="both"/>
              <w:rPr>
                <w:rFonts w:hint="default" w:ascii="ＭＳ 明朝" w:hAnsi="ＭＳ 明朝"/>
                <w:kern w:val="2"/>
                <w:sz w:val="18"/>
                <w:highlight w:val="none"/>
              </w:rPr>
            </w:pPr>
            <w:r>
              <w:rPr>
                <w:rFonts w:hint="eastAsia" w:ascii="ＭＳ 明朝" w:hAnsi="ＭＳ 明朝"/>
                <w:kern w:val="2"/>
                <w:sz w:val="18"/>
                <w:highlight w:val="none"/>
              </w:rPr>
              <w:t>センター設置別</w:t>
            </w:r>
          </w:p>
        </w:tc>
        <w:tc>
          <w:tcPr>
            <w:tcW w:w="212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２</w:t>
            </w:r>
          </w:p>
        </w:tc>
        <w:tc>
          <w:tcPr>
            <w:tcW w:w="2126"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３</w:t>
            </w:r>
          </w:p>
        </w:tc>
        <w:tc>
          <w:tcPr>
            <w:tcW w:w="2127"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R</w:t>
            </w:r>
            <w:r>
              <w:rPr>
                <w:rFonts w:hint="eastAsia" w:ascii="ＭＳ 明朝" w:hAnsi="ＭＳ 明朝"/>
                <w:color w:val="auto"/>
                <w:kern w:val="2"/>
                <w:sz w:val="18"/>
                <w:highlight w:val="none"/>
                <w:u w:val="none" w:color="auto"/>
              </w:rPr>
              <w:t>４</w:t>
            </w:r>
          </w:p>
        </w:tc>
      </w:tr>
      <w:tr>
        <w:trPr>
          <w:trHeight w:val="355" w:hRule="atLeast"/>
        </w:trPr>
        <w:tc>
          <w:tcPr>
            <w:tcW w:w="19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29"/>
              <w:widowControl w:val="0"/>
              <w:spacing w:line="0" w:lineRule="atLeast"/>
              <w:ind w:left="0" w:leftChars="0"/>
              <w:jc w:val="both"/>
              <w:rPr>
                <w:rFonts w:hint="default" w:ascii="ＭＳ 明朝" w:hAnsi="ＭＳ 明朝"/>
                <w:kern w:val="2"/>
                <w:sz w:val="18"/>
              </w:rPr>
            </w:pPr>
          </w:p>
        </w:tc>
        <w:tc>
          <w:tcPr>
            <w:tcW w:w="992"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29"/>
              <w:widowControl w:val="0"/>
              <w:spacing w:line="0" w:lineRule="atLeast"/>
              <w:ind w:left="22" w:leftChars="1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29"/>
              <w:widowControl w:val="0"/>
              <w:spacing w:line="0" w:lineRule="atLeast"/>
              <w:ind w:left="22" w:leftChars="1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相談件数</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件</w:t>
            </w:r>
            <w:r>
              <w:rPr>
                <w:rFonts w:hint="eastAsia" w:ascii="ＭＳ 明朝" w:hAnsi="ＭＳ 明朝"/>
                <w:color w:val="auto"/>
                <w:kern w:val="2"/>
                <w:sz w:val="18"/>
                <w:highlight w:val="none"/>
                <w:u w:val="none" w:color="auto"/>
              </w:rPr>
              <w:t>)</w:t>
            </w:r>
          </w:p>
        </w:tc>
        <w:tc>
          <w:tcPr>
            <w:tcW w:w="113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再掲）</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苦情</w:t>
            </w:r>
          </w:p>
        </w:tc>
      </w:tr>
      <w:tr>
        <w:trPr>
          <w:trHeight w:val="439" w:hRule="atLeast"/>
        </w:trPr>
        <w:tc>
          <w:tcPr>
            <w:tcW w:w="8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9"/>
              <w:widowControl w:val="0"/>
              <w:adjustRightInd w:val="0"/>
              <w:snapToGrid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高知県</w:t>
            </w:r>
          </w:p>
        </w:tc>
        <w:tc>
          <w:tcPr>
            <w:tcW w:w="11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both"/>
              <w:rPr>
                <w:rFonts w:hint="default" w:ascii="ＭＳ 明朝" w:hAnsi="ＭＳ 明朝"/>
                <w:kern w:val="2"/>
                <w:sz w:val="18"/>
                <w:highlight w:val="none"/>
              </w:rPr>
            </w:pPr>
            <w:r>
              <w:rPr>
                <w:rFonts w:hint="eastAsia" w:ascii="ＭＳ 明朝" w:hAnsi="ＭＳ 明朝"/>
                <w:kern w:val="2"/>
                <w:sz w:val="18"/>
                <w:highlight w:val="none"/>
              </w:rPr>
              <w:t>医療政策課</w:t>
            </w:r>
          </w:p>
        </w:tc>
        <w:tc>
          <w:tcPr>
            <w:tcW w:w="9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939</w:t>
            </w:r>
          </w:p>
        </w:tc>
        <w:tc>
          <w:tcPr>
            <w:tcW w:w="113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250</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(26.6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715</w:t>
            </w:r>
          </w:p>
        </w:tc>
        <w:tc>
          <w:tcPr>
            <w:tcW w:w="113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125</w:t>
            </w:r>
          </w:p>
          <w:p>
            <w:pPr>
              <w:pStyle w:val="29"/>
              <w:widowControl w:val="0"/>
              <w:spacing w:line="0" w:lineRule="atLeast"/>
              <w:ind w:left="31" w:leftChars="14" w:firstLine="110" w:firstLineChars="5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(17.5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761</w:t>
            </w: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118</w:t>
            </w:r>
          </w:p>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rHeight w:val="480" w:hRule="atLeast"/>
        </w:trPr>
        <w:tc>
          <w:tcPr>
            <w:tcW w:w="8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29"/>
              <w:widowControl w:val="0"/>
              <w:spacing w:line="0" w:lineRule="atLeast"/>
              <w:ind w:left="907" w:leftChars="400"/>
              <w:jc w:val="both"/>
              <w:rPr>
                <w:rFonts w:hint="eastAsia" w:ascii="ＭＳ 明朝" w:hAnsi="ＭＳ 明朝"/>
                <w:kern w:val="2"/>
                <w:sz w:val="18"/>
              </w:rPr>
            </w:pPr>
          </w:p>
        </w:tc>
        <w:tc>
          <w:tcPr>
            <w:tcW w:w="11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eastAsia" w:ascii="ＭＳ 明朝" w:hAnsi="ＭＳ 明朝"/>
                <w:kern w:val="2"/>
                <w:sz w:val="18"/>
                <w:highlight w:val="none"/>
              </w:rPr>
            </w:pPr>
            <w:r>
              <w:rPr>
                <w:rFonts w:hint="eastAsia" w:ascii="ＭＳ 明朝" w:hAnsi="ＭＳ 明朝"/>
                <w:kern w:val="2"/>
                <w:sz w:val="18"/>
                <w:highlight w:val="none"/>
              </w:rPr>
              <w:t>福祉保健所</w:t>
            </w:r>
          </w:p>
          <w:p>
            <w:pPr>
              <w:pStyle w:val="29"/>
              <w:widowControl w:val="0"/>
              <w:spacing w:line="0" w:lineRule="atLeast"/>
              <w:ind w:left="79" w:leftChars="36"/>
              <w:rPr>
                <w:rFonts w:hint="eastAsia" w:ascii="ＭＳ 明朝" w:hAnsi="ＭＳ 明朝"/>
                <w:kern w:val="2"/>
                <w:sz w:val="18"/>
                <w:highlight w:val="none"/>
              </w:rPr>
            </w:pPr>
            <w:r>
              <w:rPr>
                <w:rFonts w:hint="eastAsia" w:ascii="ＭＳ 明朝" w:hAnsi="ＭＳ 明朝"/>
                <w:kern w:val="2"/>
                <w:sz w:val="18"/>
                <w:highlight w:val="none"/>
              </w:rPr>
              <w:t>（５か所）</w:t>
            </w:r>
          </w:p>
        </w:tc>
        <w:tc>
          <w:tcPr>
            <w:tcW w:w="99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18</w:t>
            </w:r>
          </w:p>
        </w:tc>
        <w:tc>
          <w:tcPr>
            <w:tcW w:w="113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13</w:t>
            </w:r>
          </w:p>
          <w:p>
            <w:pPr>
              <w:pStyle w:val="0"/>
              <w:widowControl w:val="1"/>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(72.2</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19</w:t>
            </w:r>
          </w:p>
        </w:tc>
        <w:tc>
          <w:tcPr>
            <w:tcW w:w="113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11</w:t>
            </w:r>
          </w:p>
          <w:p>
            <w:pPr>
              <w:pStyle w:val="0"/>
              <w:widowControl w:val="0"/>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(57.9</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23</w:t>
            </w:r>
          </w:p>
        </w:tc>
        <w:tc>
          <w:tcPr>
            <w:tcW w:w="113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16</w:t>
            </w:r>
          </w:p>
          <w:p>
            <w:pPr>
              <w:pStyle w:val="0"/>
              <w:widowControl w:val="1"/>
              <w:spacing w:line="0" w:lineRule="atLeast"/>
              <w:jc w:val="center"/>
              <w:rPr>
                <w:rFonts w:hint="eastAsia"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(69.6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rHeight w:val="464" w:hRule="atLeast"/>
        </w:trPr>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高知市</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621</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54</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(8.7</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684</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99</w:t>
            </w:r>
          </w:p>
          <w:p>
            <w:pPr>
              <w:pStyle w:val="29"/>
              <w:widowControl w:val="0"/>
              <w:spacing w:line="0" w:lineRule="atLeast"/>
              <w:ind w:left="0" w:leftChars="0" w:firstLine="110" w:firstLineChars="5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(14.5</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798</w:t>
            </w:r>
          </w:p>
        </w:tc>
        <w:tc>
          <w:tcPr>
            <w:tcW w:w="113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74</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(9.3</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r>
        <w:trPr/>
        <w:tc>
          <w:tcPr>
            <w:tcW w:w="1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29"/>
              <w:widowControl w:val="0"/>
              <w:spacing w:line="0" w:lineRule="atLeast"/>
              <w:ind w:left="0" w:leftChars="0"/>
              <w:jc w:val="center"/>
              <w:rPr>
                <w:rFonts w:hint="default" w:ascii="ＭＳ 明朝" w:hAnsi="ＭＳ 明朝"/>
                <w:kern w:val="2"/>
                <w:sz w:val="18"/>
                <w:highlight w:val="none"/>
              </w:rPr>
            </w:pPr>
            <w:r>
              <w:rPr>
                <w:rFonts w:hint="eastAsia" w:ascii="ＭＳ 明朝" w:hAnsi="ＭＳ 明朝"/>
                <w:kern w:val="2"/>
                <w:sz w:val="18"/>
                <w:highlight w:val="none"/>
              </w:rPr>
              <w:t>計</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1578</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317</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(20.1</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1418</w:t>
            </w:r>
          </w:p>
        </w:tc>
        <w:tc>
          <w:tcPr>
            <w:tcW w:w="113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235</w:t>
            </w:r>
          </w:p>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(16.6</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c>
          <w:tcPr>
            <w:tcW w:w="99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9"/>
              <w:widowControl w:val="0"/>
              <w:spacing w:line="0" w:lineRule="atLeast"/>
              <w:ind w:left="0" w:leftChars="0"/>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1582</w:t>
            </w:r>
          </w:p>
        </w:tc>
        <w:tc>
          <w:tcPr>
            <w:tcW w:w="113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208</w:t>
            </w:r>
          </w:p>
          <w:p>
            <w:pPr>
              <w:pStyle w:val="0"/>
              <w:widowControl w:val="1"/>
              <w:spacing w:line="0" w:lineRule="atLeast"/>
              <w:jc w:val="center"/>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(13.1</w:t>
            </w:r>
            <w:r>
              <w:rPr>
                <w:rFonts w:hint="eastAsia" w:ascii="ＭＳ 明朝" w:hAnsi="ＭＳ 明朝"/>
                <w:color w:val="auto"/>
                <w:kern w:val="2"/>
                <w:sz w:val="18"/>
                <w:highlight w:val="none"/>
                <w:u w:val="none" w:color="auto"/>
              </w:rPr>
              <w:t>％</w:t>
            </w:r>
            <w:r>
              <w:rPr>
                <w:rFonts w:hint="eastAsia" w:ascii="ＭＳ 明朝" w:hAnsi="ＭＳ 明朝"/>
                <w:color w:val="auto"/>
                <w:kern w:val="2"/>
                <w:sz w:val="18"/>
                <w:highlight w:val="none"/>
                <w:u w:val="none" w:color="auto"/>
              </w:rPr>
              <w:t>)</w:t>
            </w:r>
          </w:p>
        </w:tc>
      </w:tr>
    </w:tbl>
    <w:p>
      <w:pPr>
        <w:pStyle w:val="0"/>
        <w:spacing w:line="0" w:lineRule="atLeast"/>
        <w:jc w:val="right"/>
        <w:rPr>
          <w:rFonts w:hint="default" w:ascii="ＭＳ ゴシック" w:hAnsi="ＭＳ ゴシック" w:eastAsia="ＭＳ ゴシック"/>
          <w:sz w:val="21"/>
          <w:highlight w:val="none"/>
        </w:rPr>
      </w:pPr>
      <w:r>
        <w:rPr>
          <w:rFonts w:hint="eastAsia"/>
          <w:sz w:val="16"/>
          <w:highlight w:val="none"/>
        </w:rPr>
        <w:t>出典：</w:t>
      </w:r>
      <w:r>
        <w:rPr>
          <w:rFonts w:hint="eastAsia"/>
          <w:sz w:val="16"/>
          <w:highlight w:val="none"/>
        </w:rPr>
        <w:t xml:space="preserve"> </w:t>
      </w:r>
      <w:r>
        <w:rPr>
          <w:rFonts w:hint="eastAsia"/>
          <w:sz w:val="16"/>
          <w:highlight w:val="none"/>
        </w:rPr>
        <w:t>高知県</w:t>
      </w:r>
      <w:r>
        <w:rPr>
          <w:rFonts w:hint="eastAsia"/>
          <w:color w:val="auto"/>
          <w:sz w:val="16"/>
          <w:highlight w:val="none"/>
          <w:u w:val="none" w:color="auto"/>
        </w:rPr>
        <w:t>医療政策課</w:t>
      </w:r>
      <w:r>
        <w:rPr>
          <w:rFonts w:hint="eastAsia"/>
          <w:sz w:val="16"/>
          <w:highlight w:val="none"/>
        </w:rPr>
        <w:t>調べ</w:t>
      </w:r>
    </w:p>
    <w:p>
      <w:pPr>
        <w:pStyle w:val="0"/>
        <w:spacing w:line="0" w:lineRule="atLeast"/>
        <w:jc w:val="left"/>
        <w:rPr>
          <w:rFonts w:hint="default" w:ascii="ＭＳ ゴシック" w:hAnsi="ＭＳ ゴシック" w:eastAsia="ＭＳ ゴシック"/>
          <w:sz w:val="21"/>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課題</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支援センターへの医療相談の内容は、苦情だけでなく健康や病気に関する相談や医療制度に関すること等多岐にわたるため、幅広い専門的な知識が必要です。どこの医療安全支援センターでも適切な対応ができるよう、各センターの連携や情報共有が必要です。</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また、患者やその家族は、医療機関の相談窓口について知らない方が多く、周知を図る必要があります。</w:t>
      </w:r>
    </w:p>
    <w:p>
      <w:pPr>
        <w:pStyle w:val="0"/>
        <w:wordWrap w:val="1"/>
        <w:spacing w:line="20" w:lineRule="atLeast"/>
        <w:ind w:left="227" w:leftChars="100" w:right="0" w:rightChars="0" w:firstLine="227" w:firstLineChars="100"/>
        <w:rPr>
          <w:rFonts w:hint="default"/>
          <w:kern w:val="0"/>
          <w:highlight w:val="none"/>
        </w:rPr>
      </w:pP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医療相談件数の</w:t>
      </w:r>
      <w:r>
        <w:rPr>
          <w:rFonts w:hint="eastAsia"/>
          <w:color w:val="auto"/>
          <w:kern w:val="0"/>
          <w:highlight w:val="none"/>
          <w:u w:val="none" w:color="auto"/>
        </w:rPr>
        <w:t>２</w:t>
      </w:r>
      <w:r>
        <w:rPr>
          <w:rFonts w:hint="eastAsia"/>
          <w:kern w:val="0"/>
          <w:highlight w:val="none"/>
        </w:rPr>
        <w:t>割を占める医療機関に対する苦情・不満の要因として、医療機関側の説明が不十分であることや、患者との意思疎通不足による誤解などが挙げられ、医療機関と患者及びその家族とのコミュニケーションの充実が必要です。</w:t>
      </w:r>
    </w:p>
    <w:p>
      <w:pPr>
        <w:pStyle w:val="0"/>
        <w:spacing w:line="220" w:lineRule="exact"/>
        <w:ind w:leftChars="0" w:firstLine="0" w:firstLineChars="0"/>
        <w:rPr>
          <w:rFonts w:hint="default"/>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医療安全支援センターの運営については、高知県、高知市医療安全支援センター連絡会や担当者会で活動報告や情報交換を行い、連携体制の強化を図ります。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県民の皆様に対しては、県のホームページや県政出前講座等で医療相談窓口の周知や上手な医療機関へのかかり方の啓発を行います。</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医療機関における医療安全の確保については、立入検査などの機会に助言や情報提供を行うとともに、医療安全管理研修会を開催するなど、職員のスキルアップを図ります。</w:t>
      </w:r>
    </w:p>
    <w:p>
      <w:pPr>
        <w:pStyle w:val="0"/>
        <w:wordWrap w:val="1"/>
        <w:spacing w:line="240" w:lineRule="auto"/>
        <w:ind w:leftChars="0" w:right="0" w:rightChars="0" w:firstLineChars="0"/>
        <w:rPr>
          <w:rFonts w:hint="default"/>
          <w:sz w:val="16"/>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目標</w:t>
      </w:r>
    </w:p>
    <w:p>
      <w:pPr>
        <w:pStyle w:val="0"/>
        <w:ind w:left="440" w:leftChars="100" w:hanging="220" w:hangingChars="100"/>
        <w:rPr>
          <w:rFonts w:hint="default"/>
          <w:color w:val="auto"/>
          <w:highlight w:val="none"/>
          <w:u w:val="none" w:color="auto"/>
        </w:rPr>
      </w:pPr>
      <w:r>
        <w:rPr>
          <w:rFonts w:hint="eastAsia"/>
          <w:color w:val="auto"/>
          <w:highlight w:val="none"/>
        </w:rPr>
        <w:t>○　</w:t>
      </w:r>
      <w:r>
        <w:rPr>
          <w:rFonts w:hint="eastAsia"/>
          <w:color w:val="auto"/>
          <w:highlight w:val="none"/>
          <w:u w:val="none" w:color="auto"/>
        </w:rPr>
        <w:t>全医療機関において、医療安全の確保や相談体制を確立します。</w:t>
      </w:r>
      <w:r>
        <w:rPr>
          <w:rFonts w:hint="eastAsia"/>
          <w:color w:val="auto"/>
          <w:highlight w:val="none"/>
        </w:rPr>
        <w:t>（</w:t>
      </w:r>
      <w:r>
        <w:rPr>
          <w:rFonts w:hint="eastAsia"/>
          <w:color w:val="auto"/>
          <w:sz w:val="22"/>
          <w:highlight w:val="none"/>
        </w:rPr>
        <w:t>区分</w:t>
      </w:r>
      <w:r>
        <w:rPr>
          <w:rFonts w:hint="eastAsia"/>
          <w:color w:val="auto"/>
          <w:sz w:val="22"/>
          <w:highlight w:val="none"/>
        </w:rPr>
        <w:t>:S</w:t>
      </w:r>
      <w:r>
        <w:rPr>
          <w:rFonts w:hint="eastAsia"/>
          <w:color w:val="auto"/>
          <w:highlight w:val="none"/>
        </w:rPr>
        <w:t>）</w:t>
      </w:r>
    </w:p>
    <w:p>
      <w:pPr>
        <w:pStyle w:val="0"/>
        <w:ind w:left="440" w:leftChars="100" w:hanging="220" w:hangingChars="100"/>
        <w:jc w:val="both"/>
        <w:rPr>
          <w:rFonts w:hint="default"/>
          <w:color w:val="000000"/>
          <w:sz w:val="18"/>
          <w:highlight w:val="none"/>
          <w:u w:val="none" w:color="auto"/>
          <w:shd w:val="pct15" w:color="auto" w:fill="FFFFFF"/>
        </w:rPr>
      </w:pPr>
      <w:r>
        <w:rPr>
          <w:rFonts w:hint="eastAsia"/>
          <w:color w:val="000000"/>
          <w:highlight w:val="none"/>
          <w:u w:val="none" w:color="auto"/>
        </w:rPr>
        <w:t>○　県民の皆様が医療機関の相談窓口に気軽に相談できる環境を整備します。</w:t>
      </w:r>
      <w:r>
        <w:rPr>
          <w:rFonts w:hint="eastAsia"/>
          <w:highlight w:val="none"/>
        </w:rPr>
        <w:t>（</w:t>
      </w:r>
      <w:r>
        <w:rPr>
          <w:rFonts w:hint="eastAsia"/>
          <w:sz w:val="22"/>
          <w:highlight w:val="none"/>
        </w:rPr>
        <w:t>区分</w:t>
      </w:r>
      <w:r>
        <w:rPr>
          <w:rFonts w:hint="eastAsia"/>
          <w:sz w:val="22"/>
          <w:highlight w:val="none"/>
        </w:rPr>
        <w:t>:S</w:t>
      </w:r>
      <w:r>
        <w:rPr>
          <w:rFonts w:hint="eastAsia"/>
          <w:highlight w:val="none"/>
        </w:rPr>
        <w:t>）</w:t>
      </w:r>
    </w:p>
    <w:p>
      <w:pPr>
        <w:pStyle w:val="0"/>
        <w:ind w:firstLine="220" w:firstLineChars="100"/>
        <w:rPr>
          <w:rFonts w:hint="default"/>
          <w:color w:val="000000"/>
          <w:sz w:val="18"/>
          <w:highlight w:val="none"/>
          <w:u w:val="none" w:color="auto"/>
          <w:shd w:val="pct15" w:color="auto" w:fill="FFFFFF"/>
        </w:rPr>
      </w:pPr>
      <w:r>
        <w:rPr>
          <w:rFonts w:hint="eastAsia"/>
          <w:highlight w:val="none"/>
        </w:rPr>
        <mc:AlternateContent>
          <mc:Choice Requires="wps">
            <w:drawing>
              <wp:anchor distT="0" distB="0" distL="71755" distR="71755" simplePos="0" relativeHeight="3" behindDoc="0" locked="0" layoutInCell="1" hidden="0" allowOverlap="1">
                <wp:simplePos x="0" y="0"/>
                <wp:positionH relativeFrom="column">
                  <wp:posOffset>118745</wp:posOffset>
                </wp:positionH>
                <wp:positionV relativeFrom="paragraph">
                  <wp:posOffset>53975</wp:posOffset>
                </wp:positionV>
                <wp:extent cx="5360670" cy="15176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5360670" cy="1517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5pt;mso-position-vertical-relative:text;mso-position-horizontal-relative:text;position:absolute;height:11.95pt;mso-wrap-distance-top:0pt;width:422.1pt;mso-wrap-distance-left:5.65pt;margin-left:9.35pt;z-index:3;" o:spid="_x0000_s104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v:textbox>
                <v:imagedata o:title=""/>
                <w10:wrap type="none" anchorx="text" anchory="text"/>
              </v:shape>
            </w:pict>
          </mc:Fallback>
        </mc:AlternateContent>
      </w:r>
    </w:p>
    <w:p>
      <w:pPr>
        <w:pStyle w:val="0"/>
        <w:ind w:leftChars="0" w:firstLine="0" w:firstLineChars="0"/>
        <w:rPr>
          <w:rFonts w:hint="default"/>
          <w:sz w:val="18"/>
          <w:highlight w:val="none"/>
          <w:shd w:val="pct15" w:color="auto" w:fill="FFFFFF"/>
        </w:rPr>
      </w:pPr>
    </w:p>
    <w:p>
      <w:pPr>
        <w:pStyle w:val="0"/>
        <w:spacing w:after="165" w:afterLines="50" w:afterAutospacing="0"/>
        <w:rPr>
          <w:rFonts w:hint="default"/>
          <w:b w:val="1"/>
          <w:color w:val="0070C0"/>
          <w:spacing w:val="2"/>
          <w:highlight w:val="none"/>
        </w:rPr>
      </w:pPr>
      <w:r>
        <w:rPr>
          <w:rFonts w:hint="eastAsia"/>
          <w:b w:val="1"/>
          <w:color w:val="0070C0"/>
          <w:spacing w:val="2"/>
          <w:highlight w:val="none"/>
        </w:rPr>
        <w:t>２　医療関連感染対策</w:t>
      </w:r>
    </w:p>
    <w:p>
      <w:pPr>
        <w:pStyle w:val="0"/>
        <w:wordWrap w:val="1"/>
        <w:spacing w:line="20" w:lineRule="atLeast"/>
        <w:ind w:left="227" w:leftChars="100" w:right="0" w:rightChars="0" w:firstLine="227" w:firstLineChars="100"/>
        <w:rPr>
          <w:rFonts w:hint="default"/>
          <w:kern w:val="0"/>
          <w:highlight w:val="none"/>
        </w:rPr>
      </w:pPr>
      <w:r>
        <w:rPr>
          <w:rFonts w:hint="eastAsia"/>
          <w:kern w:val="0"/>
          <w:highlight w:val="none"/>
        </w:rPr>
        <w:t>院内感染</w:t>
      </w:r>
      <w:r>
        <w:rPr>
          <w:rFonts w:hint="eastAsia"/>
          <w:kern w:val="0"/>
          <w:sz w:val="16"/>
          <w:highlight w:val="none"/>
          <w:vertAlign w:val="superscript"/>
        </w:rPr>
        <w:t>(</w:t>
      </w:r>
      <w:r>
        <w:rPr>
          <w:rFonts w:hint="eastAsia"/>
          <w:kern w:val="0"/>
          <w:sz w:val="16"/>
          <w:highlight w:val="none"/>
          <w:vertAlign w:val="superscript"/>
        </w:rPr>
        <w:t>注</w:t>
      </w:r>
      <w:r>
        <w:rPr>
          <w:rFonts w:hint="eastAsia"/>
          <w:kern w:val="0"/>
          <w:sz w:val="16"/>
          <w:highlight w:val="none"/>
          <w:vertAlign w:val="superscript"/>
        </w:rPr>
        <w:t>1)</w:t>
      </w:r>
      <w:r>
        <w:rPr>
          <w:rFonts w:hint="eastAsia"/>
          <w:kern w:val="0"/>
          <w:highlight w:val="none"/>
        </w:rPr>
        <w:t>を防止するためには、医療機関としての具体的な方針のもと、院内すべての医療従事者が院内感染について正しく理解し、対策に取り組むことが必要です。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しかし、高齢者など感染症にかかりやすい患者の増加や、多剤耐性</w:t>
      </w:r>
      <w:r>
        <w:rPr>
          <w:rFonts w:hint="eastAsia"/>
          <w:kern w:val="0"/>
          <w:sz w:val="16"/>
          <w:highlight w:val="none"/>
          <w:vertAlign w:val="superscript"/>
        </w:rPr>
        <w:t>(</w:t>
      </w:r>
      <w:r>
        <w:rPr>
          <w:rFonts w:hint="eastAsia"/>
          <w:kern w:val="0"/>
          <w:sz w:val="16"/>
          <w:highlight w:val="none"/>
          <w:vertAlign w:val="superscript"/>
        </w:rPr>
        <w:t>注</w:t>
      </w:r>
      <w:r>
        <w:rPr>
          <w:rFonts w:hint="eastAsia"/>
          <w:kern w:val="0"/>
          <w:sz w:val="16"/>
          <w:highlight w:val="none"/>
          <w:vertAlign w:val="superscript"/>
        </w:rPr>
        <w:t>2)</w:t>
      </w:r>
      <w:r>
        <w:rPr>
          <w:rFonts w:hint="eastAsia"/>
          <w:kern w:val="0"/>
          <w:highlight w:val="none"/>
        </w:rPr>
        <w:t>菌</w:t>
      </w:r>
      <w:r>
        <w:rPr>
          <w:rFonts w:hint="eastAsia"/>
          <w:color w:val="auto"/>
          <w:kern w:val="0"/>
          <w:highlight w:val="none"/>
          <w:u w:val="none" w:color="auto"/>
        </w:rPr>
        <w:t>や新興感染症</w:t>
      </w:r>
      <w:r>
        <w:rPr>
          <w:rFonts w:hint="eastAsia"/>
          <w:kern w:val="0"/>
          <w:highlight w:val="none"/>
        </w:rPr>
        <w:t>の拡がりなど、院内感染が発生しやすい現状があるため、個々の医療機関での日常の感染対策の強化とともに、医療機関、高知市及び福祉保健所などの関係機関が連携して、院内感染予防及び院内感染発生時の体制を構築することが重要です。</w:t>
      </w:r>
    </w:p>
    <w:p>
      <w:pPr>
        <w:pStyle w:val="0"/>
        <w:wordWrap w:val="1"/>
        <w:spacing w:after="165" w:afterLines="50" w:afterAutospacing="0" w:line="20" w:lineRule="atLeast"/>
        <w:ind w:left="227" w:leftChars="100" w:right="0" w:rightChars="0" w:firstLine="227" w:firstLineChars="100"/>
        <w:rPr>
          <w:rFonts w:hint="default"/>
          <w:kern w:val="0"/>
          <w:highlight w:val="none"/>
        </w:rPr>
      </w:pPr>
      <w:r>
        <w:rPr>
          <w:rFonts w:hint="eastAsia"/>
          <w:kern w:val="0"/>
          <w:highlight w:val="none"/>
        </w:rPr>
        <w:t>高知県では、医療機関に限らず、在宅ケアや高齢者施設など、医療を行うすべての場所での感染対策が重要と考え、院内感染対策のみではなく、医療関連感染対策</w:t>
      </w:r>
      <w:r>
        <w:rPr>
          <w:rFonts w:hint="eastAsia"/>
          <w:kern w:val="0"/>
          <w:sz w:val="16"/>
          <w:highlight w:val="none"/>
          <w:vertAlign w:val="superscript"/>
        </w:rPr>
        <w:t>(</w:t>
      </w:r>
      <w:r>
        <w:rPr>
          <w:rFonts w:hint="eastAsia"/>
          <w:kern w:val="0"/>
          <w:sz w:val="16"/>
          <w:highlight w:val="none"/>
          <w:vertAlign w:val="superscript"/>
        </w:rPr>
        <w:t>注３</w:t>
      </w:r>
      <w:r>
        <w:rPr>
          <w:rFonts w:hint="eastAsia"/>
          <w:kern w:val="0"/>
          <w:sz w:val="16"/>
          <w:highlight w:val="none"/>
          <w:vertAlign w:val="superscript"/>
        </w:rPr>
        <w:t>)</w:t>
      </w:r>
      <w:r>
        <w:rPr>
          <w:rFonts w:hint="eastAsia"/>
          <w:kern w:val="0"/>
          <w:highlight w:val="none"/>
        </w:rPr>
        <w:t>として取り組んでいます。</w:t>
      </w:r>
    </w:p>
    <w:p>
      <w:pPr>
        <w:pStyle w:val="0"/>
        <w:spacing w:line="240" w:lineRule="exact"/>
        <w:ind w:left="0" w:leftChars="100" w:firstLine="0" w:firstLineChars="0"/>
        <w:rPr>
          <w:rFonts w:hint="eastAsia"/>
          <w:color w:val="000000"/>
          <w:sz w:val="16"/>
          <w:highlight w:val="none"/>
          <w:u w:val="none" w:color="auto"/>
        </w:rPr>
      </w:pPr>
      <w:r>
        <w:rPr>
          <w:rFonts w:hint="eastAsia"/>
          <w:color w:val="000000"/>
          <w:sz w:val="16"/>
          <w:highlight w:val="none"/>
          <w:u w:val="none" w:color="auto"/>
        </w:rPr>
        <w:t>（注１）</w:t>
      </w:r>
      <w:r>
        <w:rPr>
          <w:rFonts w:hint="eastAsia"/>
          <w:color w:val="000000"/>
          <w:sz w:val="16"/>
          <w:u w:val="none" w:color="auto"/>
        </w:rPr>
        <w:t>院内感染：</w:t>
      </w:r>
      <w:r>
        <w:rPr>
          <w:rFonts w:hint="eastAsia"/>
          <w:color w:val="000000"/>
          <w:sz w:val="16"/>
          <w:highlight w:val="none"/>
          <w:u w:val="none" w:color="auto"/>
        </w:rPr>
        <w:t>病気の治療を受けている病院などの医療施設において、新たに感染症にり患することをいう</w:t>
      </w:r>
    </w:p>
    <w:p>
      <w:pPr>
        <w:pStyle w:val="0"/>
        <w:spacing w:line="240" w:lineRule="exact"/>
        <w:ind w:firstLine="667" w:firstLineChars="400"/>
        <w:rPr>
          <w:rFonts w:hint="default"/>
          <w:color w:val="000000"/>
          <w:sz w:val="16"/>
          <w:highlight w:val="none"/>
          <w:u w:val="none" w:color="auto"/>
        </w:rPr>
      </w:pPr>
      <w:r>
        <w:rPr>
          <w:rFonts w:hint="eastAsia"/>
          <w:color w:val="000000"/>
          <w:sz w:val="16"/>
          <w:highlight w:val="none"/>
          <w:u w:val="none" w:color="auto"/>
        </w:rPr>
        <w:t>（出典：医学大辞典第２版</w:t>
      </w:r>
      <w:r>
        <w:rPr>
          <w:rFonts w:hint="eastAsia"/>
          <w:color w:val="000000"/>
          <w:sz w:val="16"/>
          <w:highlight w:val="none"/>
          <w:u w:val="none" w:color="auto"/>
        </w:rPr>
        <w:t>/</w:t>
      </w:r>
      <w:r>
        <w:rPr>
          <w:rFonts w:hint="eastAsia"/>
          <w:color w:val="000000"/>
          <w:sz w:val="16"/>
          <w:highlight w:val="none"/>
          <w:u w:val="none" w:color="auto"/>
        </w:rPr>
        <w:t>医歯薬出版㈱）</w:t>
      </w:r>
    </w:p>
    <w:p>
      <w:pPr>
        <w:pStyle w:val="0"/>
        <w:spacing w:line="240" w:lineRule="exact"/>
        <w:ind w:left="0" w:leftChars="100" w:firstLine="0" w:firstLineChars="0"/>
        <w:rPr>
          <w:rFonts w:hint="eastAsia"/>
          <w:color w:val="000000"/>
          <w:sz w:val="16"/>
          <w:highlight w:val="none"/>
          <w:u w:val="none" w:color="auto"/>
        </w:rPr>
      </w:pPr>
      <w:r>
        <w:rPr>
          <w:rFonts w:hint="eastAsia"/>
          <w:color w:val="000000"/>
          <w:sz w:val="16"/>
          <w:highlight w:val="none"/>
          <w:u w:val="none" w:color="auto"/>
        </w:rPr>
        <w:t>（注２）</w:t>
      </w:r>
      <w:r>
        <w:rPr>
          <w:rFonts w:hint="eastAsia"/>
          <w:color w:val="000000"/>
          <w:sz w:val="16"/>
          <w:u w:val="none" w:color="auto"/>
        </w:rPr>
        <w:t>多剤耐性：</w:t>
      </w:r>
      <w:r>
        <w:rPr>
          <w:rFonts w:hint="eastAsia"/>
          <w:color w:val="000000"/>
          <w:sz w:val="16"/>
          <w:highlight w:val="none"/>
          <w:u w:val="none" w:color="auto"/>
        </w:rPr>
        <w:t>ある細菌が</w:t>
      </w:r>
      <w:r>
        <w:rPr>
          <w:rFonts w:hint="default"/>
          <w:color w:val="000000"/>
          <w:sz w:val="16"/>
          <w:highlight w:val="none"/>
          <w:u w:val="none" w:color="auto"/>
        </w:rPr>
        <w:t>複数の抗生物質</w:t>
      </w:r>
      <w:r>
        <w:rPr>
          <w:rFonts w:hint="eastAsia"/>
          <w:color w:val="000000"/>
          <w:sz w:val="16"/>
          <w:highlight w:val="none"/>
          <w:u w:val="none" w:color="auto"/>
        </w:rPr>
        <w:t>に対して耐性を示す場合をいう（出典：医学大辞典第２版</w:t>
      </w:r>
      <w:r>
        <w:rPr>
          <w:rFonts w:hint="eastAsia"/>
          <w:color w:val="000000"/>
          <w:sz w:val="16"/>
          <w:highlight w:val="none"/>
          <w:u w:val="none" w:color="auto"/>
        </w:rPr>
        <w:t>/</w:t>
      </w:r>
      <w:r>
        <w:rPr>
          <w:rFonts w:hint="eastAsia"/>
          <w:color w:val="000000"/>
          <w:sz w:val="16"/>
          <w:highlight w:val="none"/>
          <w:u w:val="none" w:color="auto"/>
        </w:rPr>
        <w:t>医歯薬出版㈱）</w:t>
      </w:r>
    </w:p>
    <w:p>
      <w:pPr>
        <w:pStyle w:val="0"/>
        <w:spacing w:line="240" w:lineRule="exact"/>
        <w:ind w:left="894" w:leftChars="100" w:hanging="667" w:hangingChars="400"/>
        <w:rPr>
          <w:rFonts w:hint="default"/>
          <w:color w:val="000000"/>
          <w:sz w:val="16"/>
          <w:highlight w:val="none"/>
          <w:u w:val="none" w:color="auto"/>
        </w:rPr>
      </w:pPr>
      <w:r>
        <w:rPr>
          <w:rFonts w:hint="eastAsia"/>
          <w:color w:val="000000"/>
          <w:sz w:val="16"/>
          <w:highlight w:val="none"/>
          <w:u w:val="none" w:color="auto"/>
        </w:rPr>
        <w:t>（注３）</w:t>
      </w:r>
      <w:r>
        <w:rPr>
          <w:rFonts w:hint="eastAsia"/>
          <w:color w:val="000000"/>
          <w:sz w:val="16"/>
          <w:u w:val="none" w:color="auto"/>
        </w:rPr>
        <w:t>医療関連感染対策：</w:t>
      </w:r>
      <w:r>
        <w:rPr>
          <w:rFonts w:hint="eastAsia"/>
          <w:color w:val="000000"/>
          <w:sz w:val="16"/>
          <w:highlight w:val="none"/>
          <w:u w:val="none" w:color="auto"/>
        </w:rPr>
        <w:t>病棟や外来に限らず、在宅ケアや老人保健施設など、医療を行うすべての場所での感染に対する対策が重要であることから、「院内感染対策」を「医療関連感染対策」と呼称する（米国疾病情報センター提唱）</w:t>
      </w:r>
    </w:p>
    <w:p>
      <w:pPr>
        <w:pStyle w:val="0"/>
        <w:wordWrap w:val="1"/>
        <w:spacing w:line="240" w:lineRule="auto"/>
        <w:ind w:leftChars="0" w:right="0" w:rightChars="0" w:firstLineChars="0"/>
        <w:rPr>
          <w:rFonts w:hint="default"/>
          <w:sz w:val="16"/>
          <w:highlight w:val="none"/>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本県は、</w:t>
      </w:r>
      <w:r>
        <w:rPr>
          <w:rFonts w:hint="eastAsia"/>
          <w:kern w:val="0"/>
          <w:highlight w:val="none"/>
        </w:rPr>
        <w:t>100</w:t>
      </w:r>
      <w:r>
        <w:rPr>
          <w:rFonts w:hint="eastAsia"/>
          <w:kern w:val="0"/>
          <w:highlight w:val="none"/>
        </w:rPr>
        <w:t>床以下の病院が全病院数の半数を占めていることから、臨床検査部門がない病院が多くあります。また、基本となる標準予防策</w:t>
      </w:r>
      <w:r>
        <w:rPr>
          <w:rFonts w:hint="eastAsia"/>
          <w:kern w:val="0"/>
          <w:sz w:val="16"/>
          <w:highlight w:val="none"/>
          <w:vertAlign w:val="superscript"/>
        </w:rPr>
        <w:t>(</w:t>
      </w:r>
      <w:r>
        <w:rPr>
          <w:rFonts w:hint="eastAsia"/>
          <w:kern w:val="0"/>
          <w:sz w:val="16"/>
          <w:highlight w:val="none"/>
          <w:vertAlign w:val="superscript"/>
        </w:rPr>
        <w:t>注</w:t>
      </w:r>
      <w:r>
        <w:rPr>
          <w:rFonts w:hint="eastAsia"/>
          <w:kern w:val="0"/>
          <w:sz w:val="16"/>
          <w:highlight w:val="none"/>
          <w:vertAlign w:val="superscript"/>
        </w:rPr>
        <w:t>4)</w:t>
      </w:r>
      <w:r>
        <w:rPr>
          <w:rFonts w:hint="eastAsia"/>
          <w:kern w:val="0"/>
          <w:highlight w:val="none"/>
        </w:rPr>
        <w:t>などの院内感染対策が不十分であったり、感染対策の体制が脆弱な医療機関があります。さらに、高知市に医療機関が集中していることから、医療機関のネットワークを構築し、標準化された質の高い感染対策ができるよう取組を進めることが必要です。加えて、南海トラフ地震に備え、災害時の感染管理体制の検討等も必要です。</w:t>
      </w:r>
    </w:p>
    <w:p>
      <w:pPr>
        <w:pStyle w:val="0"/>
        <w:wordWrap w:val="1"/>
        <w:spacing w:line="20" w:lineRule="atLeast"/>
        <w:ind w:left="227" w:leftChars="100" w:right="0" w:rightChars="0" w:firstLine="227" w:firstLineChars="100"/>
        <w:rPr>
          <w:rFonts w:hint="eastAsia"/>
          <w:kern w:val="0"/>
          <w:highlight w:val="none"/>
        </w:rPr>
      </w:pPr>
      <w:r>
        <w:rPr>
          <w:rFonts w:hint="eastAsia"/>
          <w:kern w:val="0"/>
          <w:highlight w:val="none"/>
        </w:rPr>
        <w:t>平成</w:t>
      </w:r>
      <w:r>
        <w:rPr>
          <w:rFonts w:hint="eastAsia"/>
          <w:kern w:val="0"/>
          <w:highlight w:val="none"/>
        </w:rPr>
        <w:t>24</w:t>
      </w:r>
      <w:r>
        <w:rPr>
          <w:rFonts w:hint="eastAsia"/>
          <w:kern w:val="0"/>
          <w:highlight w:val="none"/>
        </w:rPr>
        <w:t>年度より拠点病院の感染管理の専門家（ＩＣＤ・ＩＣＮ</w:t>
      </w:r>
      <w:r>
        <w:rPr>
          <w:rFonts w:hint="default"/>
          <w:kern w:val="0"/>
          <w:highlight w:val="none"/>
        </w:rPr>
        <w:t>）</w:t>
      </w:r>
      <w:r>
        <w:rPr>
          <w:rFonts w:hint="eastAsia"/>
          <w:kern w:val="0"/>
          <w:highlight w:val="none"/>
        </w:rPr>
        <w:t>や関係行政機関をメンバーとした「高知県医療関連感染対策地域支援ネットワーク会議」を立ち上げ、アウトブレイク時の対応を検討するとともに、情報の共有や日常的な相互の協力関係の構築を進めています。</w:t>
      </w:r>
    </w:p>
    <w:p>
      <w:pPr>
        <w:pStyle w:val="0"/>
        <w:wordWrap w:val="1"/>
        <w:spacing w:line="20" w:lineRule="atLeast"/>
        <w:ind w:left="227" w:leftChars="100" w:right="0" w:rightChars="0" w:firstLine="227" w:firstLineChars="100"/>
        <w:rPr>
          <w:rFonts w:hint="eastAsia"/>
          <w:color w:val="auto"/>
          <w:kern w:val="0"/>
          <w:highlight w:val="none"/>
        </w:rPr>
      </w:pPr>
      <w:r>
        <w:rPr>
          <w:rFonts w:hint="eastAsia"/>
          <w:kern w:val="0"/>
          <w:highlight w:val="none"/>
        </w:rPr>
        <w:t>医療機関等への具体的な支援としては、県下を保健所管轄区域の６エリアに区分し検討会を行い、</w:t>
      </w:r>
      <w:r>
        <w:rPr>
          <w:rFonts w:hint="eastAsia"/>
          <w:color w:val="auto"/>
          <w:kern w:val="0"/>
          <w:highlight w:val="none"/>
        </w:rPr>
        <w:t>エリ</w:t>
      </w:r>
      <w:r>
        <w:rPr>
          <w:rFonts w:hint="eastAsia"/>
          <w:kern w:val="0"/>
          <w:highlight w:val="none"/>
        </w:rPr>
        <w:t>ア毎の課題に対応した研修会等を開催し、感染対策の底上げを図るとともに</w:t>
      </w:r>
      <w:r>
        <w:rPr>
          <w:rFonts w:hint="eastAsia"/>
          <w:color w:val="203764" w:themeColor="accent5" w:themeShade="80"/>
          <w:kern w:val="0"/>
          <w:highlight w:val="none"/>
          <w:u w:val="none" w:color="auto"/>
        </w:rPr>
        <w:t>、</w:t>
      </w:r>
      <w:r>
        <w:rPr>
          <w:rFonts w:hint="eastAsia"/>
          <w:color w:val="auto"/>
          <w:kern w:val="0"/>
          <w:highlight w:val="none"/>
        </w:rPr>
        <w:t>感染症のアウトブレイク発生時には、拠点病院等の感染管理の専門家による院内ラウンド等を実施し、院内感染防止対策や感染管理についての助言を行っています。しかし、高知県内のＩＣＮ数は全国で最も少なく、対応できるマンパワーが限られており、ＩＣＮの養成が必要です。</w:t>
      </w:r>
    </w:p>
    <w:p>
      <w:pPr>
        <w:pStyle w:val="0"/>
        <w:wordWrap w:val="1"/>
        <w:spacing w:after="165" w:afterLines="50" w:afterAutospacing="0" w:line="20" w:lineRule="atLeast"/>
        <w:ind w:left="227" w:leftChars="100" w:right="0" w:rightChars="0" w:firstLine="227" w:firstLineChars="100"/>
        <w:rPr>
          <w:rFonts w:hint="eastAsia"/>
          <w:kern w:val="0"/>
          <w:highlight w:val="none"/>
        </w:rPr>
      </w:pPr>
      <w:r>
        <w:rPr>
          <w:rFonts w:hint="eastAsia"/>
          <w:kern w:val="0"/>
          <w:highlight w:val="none"/>
        </w:rPr>
        <w:t>また、南海トラフ地震時等の災害時の感染症対策についても検討が必要です。</w:t>
      </w:r>
    </w:p>
    <w:p>
      <w:pPr>
        <w:pStyle w:val="0"/>
        <w:spacing w:line="240" w:lineRule="exact"/>
        <w:ind w:left="227" w:leftChars="100" w:right="0" w:rightChars="0" w:firstLine="0" w:firstLineChars="0"/>
        <w:rPr>
          <w:rFonts w:hint="eastAsia"/>
          <w:color w:val="000000"/>
          <w:sz w:val="16"/>
          <w:highlight w:val="none"/>
          <w:u w:val="none" w:color="auto"/>
        </w:rPr>
      </w:pPr>
      <w:r>
        <w:rPr>
          <w:rFonts w:hint="eastAsia"/>
          <w:color w:val="000000"/>
          <w:sz w:val="16"/>
          <w:highlight w:val="none"/>
          <w:u w:val="none" w:color="auto"/>
        </w:rPr>
        <w:t>（注</w:t>
      </w:r>
      <w:r>
        <w:rPr>
          <w:rFonts w:hint="eastAsia"/>
          <w:color w:val="000000"/>
          <w:sz w:val="16"/>
          <w:highlight w:val="none"/>
          <w:u w:val="none" w:color="auto"/>
        </w:rPr>
        <w:t>4</w:t>
      </w:r>
      <w:r>
        <w:rPr>
          <w:rFonts w:hint="eastAsia"/>
          <w:color w:val="000000"/>
          <w:sz w:val="16"/>
          <w:highlight w:val="none"/>
          <w:u w:val="none" w:color="auto"/>
        </w:rPr>
        <w:t>）</w:t>
      </w:r>
      <w:r>
        <w:rPr>
          <w:rFonts w:hint="eastAsia"/>
          <w:color w:val="000000"/>
          <w:sz w:val="16"/>
          <w:u w:val="none" w:color="auto"/>
        </w:rPr>
        <w:t>標準予防策：</w:t>
      </w:r>
      <w:r>
        <w:rPr>
          <w:rFonts w:hint="eastAsia"/>
          <w:color w:val="000000"/>
          <w:sz w:val="16"/>
          <w:highlight w:val="none"/>
          <w:u w:val="none" w:color="auto"/>
        </w:rPr>
        <w:t>全ての患者に対して感染予防策のために行う予防策</w:t>
      </w:r>
    </w:p>
    <w:p>
      <w:pPr>
        <w:pStyle w:val="0"/>
        <w:spacing w:line="240" w:lineRule="exact"/>
        <w:ind w:left="0" w:leftChars="0" w:right="0" w:rightChars="0" w:firstLine="667" w:firstLineChars="400"/>
        <w:rPr>
          <w:rFonts w:hint="default"/>
          <w:color w:val="000000"/>
          <w:sz w:val="16"/>
          <w:highlight w:val="none"/>
          <w:u w:val="none" w:color="auto"/>
        </w:rPr>
      </w:pPr>
      <w:r>
        <w:rPr>
          <w:rFonts w:hint="eastAsia"/>
          <w:color w:val="000000"/>
          <w:sz w:val="16"/>
          <w:highlight w:val="none"/>
          <w:u w:val="none" w:color="auto"/>
        </w:rPr>
        <w:t>（</w:t>
      </w:r>
      <w:r>
        <w:rPr>
          <w:rFonts w:hint="eastAsia"/>
          <w:color w:val="000000"/>
          <w:sz w:val="16"/>
          <w:highlight w:val="none"/>
          <w:u w:val="none" w:color="auto"/>
        </w:rPr>
        <w:t xml:space="preserve">H26.12.19 </w:t>
      </w:r>
      <w:r>
        <w:rPr>
          <w:rFonts w:hint="eastAsia"/>
          <w:color w:val="000000"/>
          <w:sz w:val="16"/>
          <w:highlight w:val="none"/>
          <w:u w:val="none" w:color="auto"/>
        </w:rPr>
        <w:t>医療機関における院内感染対策について　厚生労働省医政局地域医療計画課長通知）</w:t>
      </w:r>
    </w:p>
    <w:p>
      <w:pPr>
        <w:pStyle w:val="0"/>
        <w:ind w:leftChars="0" w:firstLine="0" w:firstLineChars="0"/>
        <w:rPr>
          <w:rFonts w:hint="default"/>
          <w:b w:val="1"/>
          <w:color w:val="000000"/>
          <w:highlight w:val="none"/>
          <w:u w:val="none" w:color="auto"/>
        </w:rPr>
      </w:pPr>
    </w:p>
    <w:p>
      <w:pPr>
        <w:pStyle w:val="0"/>
        <w:ind w:left="0" w:leftChars="0" w:right="0" w:rightChars="0" w:firstLine="227" w:firstLineChars="10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県下全域の医療関連感染対策の取り組み方針を決定するために、「高知県医療関連感染対策地域支援ネットワーク会議」において、拠点病院と行政機関の情報の共有や協力関係の構築、医療機関の感染対策への支援体制について検討するとともに、感染症のアウトブレイク発生時には、拠点病院の感染管理専門家による院内ラウンドや、臨時のネットワーク会議を開催するなどの支援を行います。</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医療機関</w:t>
      </w:r>
      <w:r>
        <w:rPr>
          <w:rFonts w:hint="eastAsia"/>
          <w:color w:val="auto"/>
          <w:highlight w:val="none"/>
          <w:u w:val="none" w:color="auto"/>
        </w:rPr>
        <w:t>等からの感染対策に関する</w:t>
      </w:r>
      <w:r>
        <w:rPr>
          <w:rFonts w:hint="eastAsia"/>
          <w:color w:val="000000"/>
          <w:highlight w:val="none"/>
          <w:u w:val="none" w:color="auto"/>
        </w:rPr>
        <w:t>相談内容は、県のホームぺージに「医療関連感染対策Ｑ＆Ａ</w:t>
      </w:r>
      <w:r>
        <w:rPr>
          <w:rFonts w:hint="default"/>
          <w:color w:val="000000"/>
          <w:highlight w:val="none"/>
          <w:u w:val="none" w:color="auto"/>
        </w:rPr>
        <w:t>」</w:t>
      </w:r>
      <w:r>
        <w:rPr>
          <w:rFonts w:hint="eastAsia"/>
          <w:color w:val="000000"/>
          <w:highlight w:val="none"/>
          <w:u w:val="none" w:color="auto"/>
        </w:rPr>
        <w:t>として掲載し、他の医療機関でも活用できるよう情報提供を行います。</w:t>
      </w:r>
    </w:p>
    <w:p>
      <w:pPr>
        <w:pStyle w:val="0"/>
        <w:ind w:left="454" w:leftChars="200" w:firstLine="227" w:firstLineChars="100"/>
        <w:rPr>
          <w:rFonts w:hint="eastAsia"/>
          <w:color w:val="000000"/>
          <w:highlight w:val="none"/>
          <w:u w:val="none" w:color="auto"/>
        </w:rPr>
      </w:pPr>
      <w:r>
        <w:rPr>
          <w:rFonts w:hint="eastAsia"/>
          <w:color w:val="000000"/>
          <w:highlight w:val="none"/>
          <w:u w:val="none" w:color="auto"/>
        </w:rPr>
        <w:t>さらに、県内医療従事者に対する研修会では、最新の感染対策の情報・知識・技術を提供することで、個々のスキルアップを図り、医療機関等の感染対策の全体の底上げにつなげます。</w:t>
      </w:r>
    </w:p>
    <w:p>
      <w:pPr>
        <w:pStyle w:val="0"/>
        <w:ind w:left="440" w:leftChars="100" w:hanging="220" w:hangingChars="100"/>
        <w:rPr>
          <w:rFonts w:hint="eastAsia"/>
          <w:color w:val="000000"/>
          <w:highlight w:val="none"/>
          <w:u w:val="none" w:color="auto"/>
        </w:rPr>
      </w:pPr>
      <w:r>
        <w:rPr>
          <w:rFonts w:hint="eastAsia"/>
          <w:color w:val="000000"/>
          <w:highlight w:val="none"/>
          <w:u w:val="none" w:color="auto"/>
        </w:rPr>
        <w:t>・　保健所管轄区域ごとの支援については、拠点病院と保健所が協働して各エリアの医療機関等に対し、研修会や交流会等、地域の実情に応じた事業を企画し開催します。</w:t>
      </w:r>
    </w:p>
    <w:p>
      <w:pPr>
        <w:pStyle w:val="0"/>
        <w:numPr>
          <w:numId w:val="0"/>
        </w:numPr>
        <w:ind w:left="454" w:leftChars="100" w:hanging="227" w:hangingChars="100"/>
        <w:rPr>
          <w:rFonts w:hint="eastAsia"/>
          <w:color w:val="000000"/>
          <w:highlight w:val="none"/>
          <w:u w:val="none" w:color="auto"/>
        </w:rPr>
      </w:pPr>
      <w:r>
        <w:rPr>
          <w:rFonts w:hint="eastAsia"/>
          <w:color w:val="000000"/>
          <w:highlight w:val="none"/>
          <w:u w:val="none" w:color="auto"/>
        </w:rPr>
        <w:t>・　「高知県医療関連感染対策地域支援ネットワーク会議」を中心とした医療関連感染対策のネットワークを生かし、災害時の感染症対策についても検討します。</w:t>
      </w:r>
    </w:p>
    <w:p>
      <w:pPr>
        <w:pStyle w:val="0"/>
        <w:numPr>
          <w:numId w:val="0"/>
        </w:numPr>
        <w:ind w:left="454" w:leftChars="100" w:hanging="227" w:hangingChars="100"/>
        <w:rPr>
          <w:rFonts w:hint="eastAsia"/>
          <w:color w:val="000000"/>
          <w:highlight w:val="none"/>
          <w:u w:val="none" w:color="auto"/>
        </w:rPr>
      </w:pPr>
      <w:r>
        <w:rPr>
          <w:rFonts w:hint="eastAsia"/>
          <w:color w:val="auto"/>
          <w:highlight w:val="none"/>
          <w:u w:val="none" w:color="auto"/>
        </w:rPr>
        <w:t>・　ＩＣＮの養成については、令和５年度に高知大学医学部附属病院において認定看護師教育課程（感染管理分野）を開講し、ＩＣＮの養成を行います。</w:t>
      </w:r>
    </w:p>
    <w:p>
      <w:pPr>
        <w:pStyle w:val="0"/>
        <w:rPr>
          <w:rFonts w:hint="default"/>
          <w:color w:val="000000"/>
          <w:highlight w:val="none"/>
          <w:u w:val="none" w:color="auto"/>
        </w:rPr>
      </w:pPr>
    </w:p>
    <w:p>
      <w:pPr>
        <w:pStyle w:val="0"/>
        <w:ind w:left="0" w:leftChars="0" w:right="0" w:rightChars="0" w:firstLine="227" w:firstLineChars="10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目標</w:t>
      </w:r>
    </w:p>
    <w:p>
      <w:pPr>
        <w:pStyle w:val="0"/>
        <w:ind w:left="440" w:leftChars="100" w:hanging="220" w:hangingChars="100"/>
        <w:rPr>
          <w:rFonts w:hint="eastAsia"/>
          <w:color w:val="FF0000"/>
          <w:highlight w:val="none"/>
          <w:u w:val="single" w:color="auto"/>
        </w:rPr>
      </w:pPr>
      <w:r>
        <w:rPr>
          <w:rFonts w:hint="eastAsia"/>
          <w:color w:val="000000"/>
          <w:highlight w:val="none"/>
          <w:u w:val="none" w:color="auto"/>
        </w:rPr>
        <w:t>○　各エリアでの医療機関等の医療関連感染対策の取り組み等の情報共有や日常的な相互の協力関係の構築により、県下全域の医療機関の医療関連感染対策を強化します。</w:t>
      </w:r>
      <w:r>
        <w:rPr>
          <w:rFonts w:hint="eastAsia"/>
          <w:highlight w:val="none"/>
        </w:rPr>
        <w:t>（</w:t>
      </w:r>
      <w:r>
        <w:rPr>
          <w:rFonts w:hint="eastAsia"/>
          <w:sz w:val="22"/>
          <w:highlight w:val="none"/>
        </w:rPr>
        <w:t>区分：</w:t>
      </w:r>
      <w:r>
        <w:rPr>
          <w:rFonts w:hint="eastAsia"/>
          <w:sz w:val="22"/>
          <w:highlight w:val="none"/>
        </w:rPr>
        <w:t>S</w:t>
      </w:r>
      <w:r>
        <w:rPr>
          <w:rFonts w:hint="eastAsia"/>
          <w:highlight w:val="none"/>
        </w:rPr>
        <w:t>）</w:t>
      </w:r>
    </w:p>
    <w:p>
      <w:pPr>
        <w:pStyle w:val="0"/>
        <w:rPr>
          <w:rFonts w:hint="default"/>
          <w:b w:val="1"/>
          <w:color w:val="1F497D"/>
          <w:spacing w:val="6"/>
          <w:sz w:val="28"/>
          <w:highlight w:val="none"/>
        </w:rPr>
      </w:pPr>
      <w:r>
        <w:rPr>
          <w:rFonts w:hint="eastAsia"/>
          <w:highlight w:val="none"/>
        </w:rPr>
        <mc:AlternateContent>
          <mc:Choice Requires="wps">
            <w:drawing>
              <wp:anchor distT="0" distB="0" distL="71755" distR="71755" simplePos="0" relativeHeight="4" behindDoc="0" locked="0" layoutInCell="1" hidden="0" allowOverlap="1">
                <wp:simplePos x="0" y="0"/>
                <wp:positionH relativeFrom="column">
                  <wp:posOffset>281940</wp:posOffset>
                </wp:positionH>
                <wp:positionV relativeFrom="paragraph">
                  <wp:posOffset>41275</wp:posOffset>
                </wp:positionV>
                <wp:extent cx="5360670" cy="15176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360670" cy="1517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5pt;mso-position-vertical-relative:text;mso-position-horizontal-relative:text;position:absolute;height:11.95pt;mso-wrap-distance-top:0pt;width:422.1pt;mso-wrap-distance-left:5.65pt;margin-left:22.2pt;z-index:4;" o:spid="_x0000_s10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txbxContent>
                </v:textbox>
                <v:imagedata o:title=""/>
                <w10:wrap type="none" anchorx="text" anchory="text"/>
              </v:shape>
            </w:pict>
          </mc:Fallback>
        </mc:AlternateContent>
      </w:r>
      <w:r>
        <w:rPr>
          <w:rFonts w:hint="eastAsia"/>
          <w:highlight w:val="none"/>
        </w:rPr>
        <w:br w:type="page"/>
      </w:r>
    </w:p>
    <w:p>
      <w:pPr>
        <w:pStyle w:val="0"/>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第３節　薬局の役割</w:t>
      </w:r>
    </w:p>
    <w:p>
      <w:pPr>
        <w:pStyle w:val="0"/>
        <w:ind w:firstLine="220" w:firstLineChars="100"/>
        <w:rPr>
          <w:rFonts w:hint="eastAsia"/>
          <w:color w:val="auto"/>
          <w:kern w:val="0"/>
          <w:highlight w:val="none"/>
          <w:u w:val="none" w:color="auto"/>
        </w:rPr>
      </w:pPr>
      <w:r>
        <w:rPr>
          <w:rFonts w:hint="eastAsia"/>
          <w:color w:val="000000"/>
          <w:kern w:val="0"/>
          <w:highlight w:val="none"/>
          <w:u w:val="none" w:color="auto"/>
        </w:rPr>
        <w:t>高齢化の進展や生活習慣病などの増加に伴い、</w:t>
      </w:r>
      <w:r>
        <w:rPr>
          <w:rFonts w:hint="eastAsia"/>
          <w:color w:val="auto"/>
          <w:kern w:val="0"/>
          <w:highlight w:val="none"/>
          <w:u w:val="none" w:color="auto"/>
        </w:rPr>
        <w:t>ポリファーマシーや患者の自己判断による服薬の中断などが課題となっており、薬物の安全性・有効性の向上による適正な薬物治療の確保や、それに伴う医療費の適正化が図れる医薬分業の意義は大きく、本県の</w:t>
      </w:r>
      <w:r>
        <w:rPr>
          <w:rFonts w:hint="eastAsia"/>
          <w:color w:val="auto"/>
          <w:kern w:val="0"/>
          <w:highlight w:val="none"/>
          <w:u w:val="none" w:color="auto"/>
          <w:shd w:val="clear" w:color="auto" w:fill="auto"/>
        </w:rPr>
        <w:t>処方箋受取率は令和４（</w:t>
      </w:r>
      <w:r>
        <w:rPr>
          <w:rFonts w:hint="eastAsia"/>
          <w:color w:val="auto"/>
          <w:kern w:val="0"/>
          <w:highlight w:val="none"/>
          <w:u w:val="none" w:color="auto"/>
          <w:shd w:val="clear" w:color="auto" w:fill="auto"/>
        </w:rPr>
        <w:t>2022</w:t>
      </w:r>
      <w:r>
        <w:rPr>
          <w:rFonts w:hint="eastAsia"/>
          <w:color w:val="auto"/>
          <w:kern w:val="0"/>
          <w:highlight w:val="none"/>
          <w:u w:val="none" w:color="auto"/>
          <w:shd w:val="clear" w:color="auto" w:fill="auto"/>
        </w:rPr>
        <w:t>）年度において</w:t>
      </w:r>
      <w:r>
        <w:rPr>
          <w:rFonts w:hint="eastAsia"/>
          <w:color w:val="auto"/>
          <w:kern w:val="0"/>
          <w:highlight w:val="none"/>
          <w:u w:val="none" w:color="auto"/>
          <w:shd w:val="clear" w:color="auto" w:fill="auto"/>
        </w:rPr>
        <w:t>73.8</w:t>
      </w:r>
      <w:r>
        <w:rPr>
          <w:rFonts w:hint="eastAsia"/>
          <w:color w:val="auto"/>
          <w:kern w:val="0"/>
          <w:highlight w:val="none"/>
          <w:u w:val="none" w:color="auto"/>
          <w:shd w:val="clear" w:color="auto" w:fill="auto"/>
        </w:rPr>
        <w:t>％（全国</w:t>
      </w:r>
      <w:r>
        <w:rPr>
          <w:rFonts w:hint="eastAsia"/>
          <w:color w:val="auto"/>
          <w:kern w:val="0"/>
          <w:highlight w:val="none"/>
          <w:u w:val="none" w:color="auto"/>
          <w:shd w:val="clear" w:color="auto" w:fill="auto"/>
        </w:rPr>
        <w:t>76.6</w:t>
      </w:r>
      <w:r>
        <w:rPr>
          <w:rFonts w:hint="eastAsia"/>
          <w:color w:val="auto"/>
          <w:kern w:val="0"/>
          <w:highlight w:val="none"/>
          <w:u w:val="none" w:color="auto"/>
          <w:shd w:val="clear" w:color="auto" w:fill="auto"/>
        </w:rPr>
        <w:t>％）に</w:t>
      </w:r>
      <w:r>
        <w:rPr>
          <w:rFonts w:hint="eastAsia"/>
          <w:color w:val="auto"/>
          <w:kern w:val="0"/>
          <w:highlight w:val="none"/>
          <w:u w:val="none" w:color="auto"/>
        </w:rPr>
        <w:t>至っています。</w:t>
      </w:r>
    </w:p>
    <w:p>
      <w:pPr>
        <w:pStyle w:val="0"/>
        <w:ind w:firstLine="220" w:firstLineChars="100"/>
        <w:rPr>
          <w:rFonts w:hint="default"/>
          <w:color w:val="auto"/>
          <w:highlight w:val="none"/>
          <w:u w:val="none" w:color="auto"/>
          <w:shd w:val="clear" w:color="auto" w:fill="auto"/>
        </w:rPr>
      </w:pPr>
      <w:r>
        <w:rPr>
          <w:rFonts w:hint="eastAsia"/>
          <w:color w:val="auto"/>
          <w:kern w:val="0"/>
          <w:highlight w:val="none"/>
          <w:u w:val="none" w:color="auto"/>
          <w:shd w:val="clear" w:color="auto" w:fill="auto"/>
        </w:rPr>
        <w:t>しかしながら</w:t>
      </w:r>
      <w:r>
        <w:rPr>
          <w:rFonts w:hint="eastAsia"/>
          <w:color w:val="auto"/>
          <w:highlight w:val="none"/>
          <w:u w:val="none" w:color="auto"/>
          <w:shd w:val="clear" w:color="auto" w:fill="auto"/>
        </w:rPr>
        <w:t>、患者は受診した医療機関ごとに近くの薬局で調剤を受ける機会も多いことから、医薬分業における薬局の役割が十分に発揮されていないという現状があります。</w:t>
      </w:r>
    </w:p>
    <w:p>
      <w:pPr>
        <w:pStyle w:val="0"/>
        <w:ind w:firstLine="220" w:firstLineChars="100"/>
        <w:rPr>
          <w:rFonts w:hint="default"/>
          <w:color w:val="auto"/>
          <w:highlight w:val="none"/>
          <w:u w:val="none" w:color="auto"/>
          <w:shd w:val="clear" w:color="auto" w:fill="auto"/>
        </w:rPr>
      </w:pPr>
      <w:r>
        <w:rPr>
          <w:rFonts w:hint="eastAsia"/>
          <w:color w:val="auto"/>
          <w:highlight w:val="none"/>
          <w:u w:val="none" w:color="auto"/>
          <w:shd w:val="clear" w:color="auto" w:fill="auto"/>
        </w:rPr>
        <w:t>このような状況を踏まえ、国は医薬分業の原点に立ち返り、薬局を患者本位のかかりつけ薬局に再編するため、平成</w:t>
      </w:r>
      <w:r>
        <w:rPr>
          <w:rFonts w:hint="eastAsia"/>
          <w:color w:val="auto"/>
          <w:highlight w:val="none"/>
          <w:u w:val="none" w:color="auto"/>
          <w:shd w:val="clear" w:color="auto" w:fill="auto"/>
        </w:rPr>
        <w:t>27</w:t>
      </w:r>
      <w:r>
        <w:rPr>
          <w:rFonts w:hint="eastAsia"/>
          <w:color w:val="auto"/>
          <w:highlight w:val="none"/>
          <w:u w:val="none" w:color="auto"/>
          <w:shd w:val="clear" w:color="auto" w:fill="auto"/>
        </w:rPr>
        <w:t>（</w:t>
      </w:r>
      <w:r>
        <w:rPr>
          <w:rFonts w:hint="eastAsia"/>
          <w:color w:val="auto"/>
          <w:highlight w:val="none"/>
          <w:u w:val="none" w:color="auto"/>
          <w:shd w:val="clear" w:color="auto" w:fill="auto"/>
        </w:rPr>
        <w:t>2015</w:t>
      </w:r>
      <w:r>
        <w:rPr>
          <w:rFonts w:hint="eastAsia"/>
          <w:color w:val="auto"/>
          <w:highlight w:val="none"/>
          <w:u w:val="none" w:color="auto"/>
          <w:shd w:val="clear" w:color="auto" w:fill="auto"/>
        </w:rPr>
        <w:t>）年に「患者のための薬局ビジョン」を策定し、地域住民の「健康サポート機能」の強化と、令和７（</w:t>
      </w:r>
      <w:r>
        <w:rPr>
          <w:rFonts w:hint="eastAsia"/>
          <w:color w:val="auto"/>
          <w:highlight w:val="none"/>
          <w:u w:val="none" w:color="auto"/>
          <w:shd w:val="clear" w:color="auto" w:fill="auto"/>
        </w:rPr>
        <w:t>2025</w:t>
      </w:r>
      <w:r>
        <w:rPr>
          <w:rFonts w:hint="eastAsia"/>
          <w:color w:val="auto"/>
          <w:highlight w:val="none"/>
          <w:u w:val="none" w:color="auto"/>
          <w:shd w:val="clear" w:color="auto" w:fill="auto"/>
        </w:rPr>
        <w:t>）年までに全ての薬局が、服薬情報の一元管理や在宅対応等の「かかりつけ機能」を持つことを目標としました。</w:t>
      </w:r>
    </w:p>
    <w:p>
      <w:pPr>
        <w:pStyle w:val="0"/>
        <w:ind w:firstLine="220" w:firstLineChars="100"/>
        <w:rPr>
          <w:rFonts w:hint="default"/>
          <w:color w:val="auto"/>
          <w:highlight w:val="none"/>
          <w:u w:val="none" w:color="auto"/>
          <w:shd w:val="pct15" w:color="auto" w:fill="auto"/>
        </w:rPr>
      </w:pPr>
      <w:r>
        <w:rPr>
          <w:rFonts w:hint="eastAsia"/>
          <w:color w:val="auto"/>
          <w:highlight w:val="none"/>
          <w:u w:val="none" w:color="auto"/>
          <w:shd w:val="clear" w:color="auto" w:fill="auto"/>
        </w:rPr>
        <w:t>さらに、地域医療における薬剤師の役割の拡大、ＩＣＴ等の発展による薬剤師を取り巻く環境の変化等を踏まえ、令和４（</w:t>
      </w:r>
      <w:r>
        <w:rPr>
          <w:rFonts w:hint="eastAsia"/>
          <w:color w:val="auto"/>
          <w:highlight w:val="none"/>
          <w:u w:val="none" w:color="auto"/>
          <w:shd w:val="clear" w:color="auto" w:fill="auto"/>
        </w:rPr>
        <w:t>2022</w:t>
      </w:r>
      <w:r>
        <w:rPr>
          <w:rFonts w:hint="eastAsia"/>
          <w:color w:val="auto"/>
          <w:highlight w:val="none"/>
          <w:u w:val="none" w:color="auto"/>
          <w:shd w:val="clear" w:color="auto" w:fill="auto"/>
        </w:rPr>
        <w:t>）年には「薬剤師が地域で活躍するためのアクションプラン」が公表されました。</w:t>
      </w:r>
    </w:p>
    <w:p>
      <w:pPr>
        <w:pStyle w:val="0"/>
        <w:ind w:firstLine="220" w:firstLineChars="100"/>
        <w:rPr>
          <w:rFonts w:hint="eastAsia"/>
          <w:color w:val="auto"/>
          <w:kern w:val="0"/>
          <w:highlight w:val="none"/>
          <w:u w:val="single" w:color="auto"/>
        </w:rPr>
      </w:pPr>
      <w:r>
        <w:rPr>
          <w:rFonts w:hint="eastAsia"/>
          <w:color w:val="auto"/>
          <w:highlight w:val="none"/>
          <w:u w:val="none" w:color="auto"/>
          <w:shd w:val="clear" w:color="auto" w:fill="auto"/>
        </w:rPr>
        <w:t>本計画では、こうした国の動きを踏まえ、県薬剤師会等の関係団体と協働して、健康サポート機能・かかりつけ機能のさらなる充実や医療ＤＸへの対応等について取組を進めます。</w:t>
      </w:r>
    </w:p>
    <w:p>
      <w:pPr>
        <w:pStyle w:val="0"/>
        <w:ind w:leftChars="0" w:firstLine="0" w:firstLineChars="0"/>
        <w:rPr>
          <w:rFonts w:hint="eastAsia"/>
          <w:color w:val="auto"/>
          <w:kern w:val="0"/>
          <w:highlight w:val="none"/>
        </w:rPr>
      </w:pPr>
    </w:p>
    <w:p>
      <w:pPr>
        <w:pStyle w:val="0"/>
        <w:ind w:firstLine="220" w:firstLineChars="100"/>
        <w:rPr>
          <w:rFonts w:hint="eastAsia"/>
          <w:color w:val="auto"/>
          <w:kern w:val="0"/>
          <w:highlight w:val="none"/>
        </w:rPr>
      </w:pPr>
      <w:r>
        <w:rPr>
          <w:rFonts w:hint="eastAsia"/>
        </w:rPr>
        <mc:AlternateContent>
          <mc:Choice Requires="wpg">
            <w:drawing>
              <wp:anchor simplePos="0" relativeHeight="42" behindDoc="0" locked="0" layoutInCell="1" hidden="0" allowOverlap="1">
                <wp:simplePos x="0" y="0"/>
                <wp:positionH relativeFrom="column">
                  <wp:posOffset>192405</wp:posOffset>
                </wp:positionH>
                <wp:positionV relativeFrom="paragraph">
                  <wp:posOffset>0</wp:posOffset>
                </wp:positionV>
                <wp:extent cx="5429250" cy="3778250"/>
                <wp:effectExtent l="0" t="0" r="0" b="635"/>
                <wp:wrapNone/>
                <wp:docPr id="1048" name="オブジェクト 0"/>
                <a:graphic xmlns:a="http://schemas.openxmlformats.org/drawingml/2006/main">
                  <a:graphicData uri="http://schemas.microsoft.com/office/word/2010/wordprocessingGroup">
                    <wpg:wgp>
                      <wpg:cNvGrpSpPr/>
                      <wpg:grpSpPr>
                        <a:xfrm>
                          <a:off x="0" y="0"/>
                          <a:ext cx="5429250" cy="3778250"/>
                          <a:chOff x="1721" y="8243"/>
                          <a:chExt cx="8550" cy="5950"/>
                        </a:xfrm>
                      </wpg:grpSpPr>
                      <wps:wsp>
                        <wps:cNvPr id="1049" name="オブジェクト 0"/>
                        <wps:cNvSpPr>
                          <a:spLocks noChangeArrowheads="1"/>
                        </wps:cNvSpPr>
                        <wps:spPr>
                          <a:xfrm>
                            <a:off x="3141" y="8243"/>
                            <a:ext cx="5098" cy="537"/>
                          </a:xfrm>
                          <a:prstGeom prst="rect">
                            <a:avLst/>
                          </a:prstGeom>
                          <a:noFill/>
                          <a:ln>
                            <a:miter/>
                          </a:ln>
                        </wps:spPr>
                        <wps:txbx>
                          <w:txbxContent>
                            <w:p>
                              <w:pPr>
                                <w:pStyle w:val="0"/>
                                <w:spacing w:line="240" w:lineRule="exact"/>
                                <w:ind w:left="220" w:leftChars="100" w:firstLine="220" w:firstLineChars="100"/>
                                <w:jc w:val="center"/>
                                <w:rPr>
                                  <w:rFonts w:hint="eastAsia" w:ascii="ＭＳ ゴシック" w:hAnsi="ＭＳ ゴシック" w:eastAsia="ＭＳ ゴシック"/>
                                  <w:color w:val="auto"/>
                                  <w:kern w:val="0"/>
                                  <w:sz w:val="21"/>
                                </w:rPr>
                              </w:pPr>
                              <w:r>
                                <w:rPr>
                                  <w:rFonts w:hint="eastAsia" w:ascii="ＭＳ ゴシック" w:hAnsi="ＭＳ ゴシック" w:eastAsia="ＭＳ ゴシック"/>
                                  <w:color w:val="auto"/>
                                  <w:kern w:val="0"/>
                                  <w:sz w:val="22"/>
                                  <w:highlight w:val="none"/>
                                  <w:shd w:val="clear" w:color="auto" w:fill="auto"/>
                                </w:rPr>
                                <w:t>（図表</w:t>
                              </w:r>
                              <w:r>
                                <w:rPr>
                                  <w:rFonts w:hint="eastAsia" w:ascii="ＭＳ ゴシック" w:hAnsi="ＭＳ ゴシック" w:eastAsia="ＭＳ ゴシック"/>
                                  <w:color w:val="auto"/>
                                  <w:kern w:val="0"/>
                                  <w:sz w:val="22"/>
                                  <w:highlight w:val="none"/>
                                  <w:shd w:val="clear" w:color="auto" w:fill="auto"/>
                                </w:rPr>
                                <w:t>5-3-1</w:t>
                              </w:r>
                              <w:r>
                                <w:rPr>
                                  <w:rFonts w:hint="eastAsia" w:ascii="ＭＳ ゴシック" w:hAnsi="ＭＳ ゴシック" w:eastAsia="ＭＳ ゴシック"/>
                                  <w:color w:val="auto"/>
                                  <w:kern w:val="0"/>
                                  <w:sz w:val="22"/>
                                  <w:highlight w:val="none"/>
                                  <w:shd w:val="clear" w:color="auto" w:fill="auto"/>
                                </w:rPr>
                                <w:t>）院外処方箋受取率の推移</w:t>
                              </w:r>
                            </w:p>
                            <w:p>
                              <w:pPr>
                                <w:pStyle w:val="0"/>
                                <w:jc w:val="center"/>
                                <w:rPr>
                                  <w:rFonts w:hint="default"/>
                                  <w:color w:val="auto"/>
                                </w:rPr>
                              </w:pPr>
                            </w:p>
                          </w:txbxContent>
                        </wps:txbx>
                        <wps:bodyPr vertOverflow="overflow" horzOverflow="overflow" upright="1"/>
                      </wps:wsp>
                      <wpg:graphicFrame>
                        <wpg:cNvPr id="1050" name="オブジェクト 0"/>
                        <wpg:cNvFrPr/>
                        <wpg:xfrm>
                          <a:off x="1721" y="8636"/>
                          <a:ext cx="8550" cy="4735"/>
                        </wpg:xfrm>
                        <a:graphic>
                          <a:graphicData uri="http://schemas.openxmlformats.org/drawingml/2006/chart">
                            <c:chart xmlns:c="http://schemas.openxmlformats.org/drawingml/2006/chart" r:id="rId6"/>
                          </a:graphicData>
                        </a:graphic>
                      </wpg:graphicFrame>
                      <wps:wsp>
                        <wps:cNvPr id="1051" name="オブジェクト 0"/>
                        <wps:cNvSpPr txBox="1">
                          <a:spLocks noChangeArrowheads="1"/>
                        </wps:cNvSpPr>
                        <wps:spPr>
                          <a:xfrm>
                            <a:off x="6875" y="13699"/>
                            <a:ext cx="3279" cy="494"/>
                          </a:xfrm>
                          <a:prstGeom prst="rect">
                            <a:avLst/>
                          </a:prstGeom>
                          <a:noFill/>
                          <a:ln>
                            <a:miter/>
                          </a:ln>
                        </wps:spPr>
                        <wps:txbx>
                          <w:txbxContent>
                            <w:p>
                              <w:pPr>
                                <w:pStyle w:val="0"/>
                                <w:rPr>
                                  <w:rFonts w:hint="default"/>
                                </w:rPr>
                              </w:pPr>
                              <w:r>
                                <w:rPr>
                                  <w:rFonts w:hint="eastAsia"/>
                                  <w:sz w:val="16"/>
                                </w:rPr>
                                <w:t>出典：公益社団法人日本薬剤師会調べ</w:t>
                              </w:r>
                            </w:p>
                          </w:txbxContent>
                        </wps:txbx>
                        <wps:bodyPr vertOverflow="overflow" horzOverflow="overflow" upright="1">
                          <a:spAutoFit/>
                        </wps:bodyPr>
                      </wps:wsp>
                    </wpg:wgp>
                  </a:graphicData>
                </a:graphic>
              </wp:anchor>
            </w:drawing>
          </mc:Choice>
          <mc:Fallback>
            <w:pict>
              <v:group id="オブジェクト 0" style="margin-top:0pt;mso-position-vertical-relative:text;mso-position-horizontal-relative:text;position:absolute;height:297.5pt;width:427.5pt;margin-left:15.15pt;z-index:42;" coordsize="8550,5950" coordorigin="1721,8243" o:spid="_x0000_s1048" o:allowincell="t" o:allowoverlap="t">
                <v:rect id="オブジェクト 0" style="height:537;width:5098;top:8243;left:3141;position:absolute;" o:spid="_x0000_s1049" filled="f" stroked="f" o:spt="1">
                  <v:fill/>
                  <v:textbox style="layout-flow:horizontal;">
                    <w:txbxContent>
                      <w:p>
                        <w:pPr>
                          <w:pStyle w:val="0"/>
                          <w:spacing w:line="240" w:lineRule="exact"/>
                          <w:ind w:left="220" w:leftChars="100" w:firstLine="220" w:firstLineChars="100"/>
                          <w:jc w:val="center"/>
                          <w:rPr>
                            <w:rFonts w:hint="eastAsia" w:ascii="ＭＳ ゴシック" w:hAnsi="ＭＳ ゴシック" w:eastAsia="ＭＳ ゴシック"/>
                            <w:color w:val="auto"/>
                            <w:kern w:val="0"/>
                            <w:sz w:val="21"/>
                          </w:rPr>
                        </w:pPr>
                        <w:r>
                          <w:rPr>
                            <w:rFonts w:hint="eastAsia" w:ascii="ＭＳ ゴシック" w:hAnsi="ＭＳ ゴシック" w:eastAsia="ＭＳ ゴシック"/>
                            <w:color w:val="auto"/>
                            <w:kern w:val="0"/>
                            <w:sz w:val="22"/>
                            <w:highlight w:val="none"/>
                            <w:shd w:val="clear" w:color="auto" w:fill="auto"/>
                          </w:rPr>
                          <w:t>（図表</w:t>
                        </w:r>
                        <w:r>
                          <w:rPr>
                            <w:rFonts w:hint="eastAsia" w:ascii="ＭＳ ゴシック" w:hAnsi="ＭＳ ゴシック" w:eastAsia="ＭＳ ゴシック"/>
                            <w:color w:val="auto"/>
                            <w:kern w:val="0"/>
                            <w:sz w:val="22"/>
                            <w:highlight w:val="none"/>
                            <w:shd w:val="clear" w:color="auto" w:fill="auto"/>
                          </w:rPr>
                          <w:t>5-3-1</w:t>
                        </w:r>
                        <w:r>
                          <w:rPr>
                            <w:rFonts w:hint="eastAsia" w:ascii="ＭＳ ゴシック" w:hAnsi="ＭＳ ゴシック" w:eastAsia="ＭＳ ゴシック"/>
                            <w:color w:val="auto"/>
                            <w:kern w:val="0"/>
                            <w:sz w:val="22"/>
                            <w:highlight w:val="none"/>
                            <w:shd w:val="clear" w:color="auto" w:fill="auto"/>
                          </w:rPr>
                          <w:t>）院外処方箋受取率の推移</w:t>
                        </w:r>
                      </w:p>
                      <w:p>
                        <w:pPr>
                          <w:pStyle w:val="0"/>
                          <w:jc w:val="center"/>
                          <w:rPr>
                            <w:rFonts w:hint="default"/>
                            <w:color w:val="auto"/>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735;width:8550;top:8636;left:1721;position:absolute;" o:spid="_x0000_s1050" filled="f" stroked="f" o:spt="75" type="#_x0000_t75">
                  <v:fill/>
                  <v:imagedata o:title="" r:id="rId7"/>
                  <w10:wrap type="none" anchorx="text" anchory="text"/>
                </v:shape>
                <v:shapetype id="_x0000_t202" coordsize="21600,21600" o:spt="202" path="m,l,21600r21600,l21600,xe">
                  <v:stroke joinstyle="miter"/>
                  <v:path gradientshapeok="t" o:connecttype="rect"/>
                </v:shapetype>
                <v:shape id="オブジェクト 0" style="height:494;width:3279;top:13699;left:6875;position:absolute;" o:spid="_x0000_s1051" filled="f" stroked="f" o:spt="202" type="#_x0000_t202">
                  <v:fill/>
                  <v:textbox style="layout-flow:horizontal;mso-fit-shape-to-text:t;">
                    <w:txbxContent>
                      <w:p>
                        <w:pPr>
                          <w:pStyle w:val="0"/>
                          <w:rPr>
                            <w:rFonts w:hint="default"/>
                          </w:rPr>
                        </w:pPr>
                        <w:r>
                          <w:rPr>
                            <w:rFonts w:hint="eastAsia"/>
                            <w:sz w:val="16"/>
                          </w:rPr>
                          <w:t>出典：公益社団法人日本薬剤師会調べ</w:t>
                        </w:r>
                      </w:p>
                    </w:txbxContent>
                  </v:textbox>
                  <v:imagedata o:title=""/>
                  <w10:wrap type="none" anchorx="text" anchory="text"/>
                </v:shape>
                <w10:wrap type="none" anchorx="text" anchory="text"/>
              </v:group>
            </w:pict>
          </mc:Fallback>
        </mc:AlternateContent>
      </w: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kern w:val="0"/>
          <w:highlight w:val="none"/>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p>
    <w:p>
      <w:pPr>
        <w:pStyle w:val="0"/>
        <w:rPr>
          <w:rFonts w:hint="eastAsia"/>
          <w:b w:val="1"/>
          <w:kern w:val="0"/>
          <w:highlight w:val="none"/>
          <w:bdr w:val="single" w:color="auto" w:sz="4" w:space="0"/>
          <w:shd w:val="clear" w:color="auto" w:fill="E5DFEC"/>
        </w:rPr>
      </w:pPr>
      <w:r>
        <w:rPr>
          <w:rFonts w:hint="eastAsia"/>
          <w:b w:val="1"/>
          <w:kern w:val="0"/>
          <w:highlight w:val="none"/>
          <w:bdr w:val="single" w:color="auto" w:sz="4" w:space="0"/>
          <w:shd w:val="clear" w:color="auto" w:fill="E5DFEC"/>
        </w:rPr>
        <w:t>現状と課題</w:t>
      </w:r>
    </w:p>
    <w:p>
      <w:pPr>
        <w:pStyle w:val="0"/>
        <w:rPr>
          <w:rFonts w:hint="eastAsia"/>
          <w:color w:val="FF0000"/>
          <w:kern w:val="0"/>
          <w:highlight w:val="none"/>
          <w:u w:val="single" w:color="auto"/>
        </w:rPr>
      </w:pPr>
      <w:r>
        <w:rPr>
          <w:rFonts w:hint="eastAsia"/>
          <w:b w:val="1"/>
          <w:color w:val="0070C0"/>
          <w:kern w:val="0"/>
          <w:highlight w:val="none"/>
          <w:u w:val="none" w:color="auto"/>
        </w:rPr>
        <w:t>１　高知家健康づくり支援薬局等</w:t>
      </w:r>
    </w:p>
    <w:p>
      <w:pPr>
        <w:pStyle w:val="0"/>
        <w:rPr>
          <w:rFonts w:hint="eastAsia"/>
          <w:color w:val="auto"/>
          <w:kern w:val="0"/>
          <w:highlight w:val="none"/>
          <w:u w:val="none" w:color="auto"/>
        </w:rPr>
      </w:pPr>
      <w:r>
        <w:rPr>
          <w:rFonts w:hint="eastAsia"/>
          <w:b w:val="1"/>
          <w:color w:val="auto"/>
          <w:kern w:val="0"/>
          <w:highlight w:val="none"/>
          <w:u w:val="none" w:color="auto"/>
        </w:rPr>
        <w:t>（１）健康サポート機能</w:t>
      </w:r>
    </w:p>
    <w:p>
      <w:pPr>
        <w:pStyle w:val="0"/>
        <w:ind w:left="227" w:hanging="227" w:hangingChars="100"/>
        <w:rPr>
          <w:rFonts w:hint="eastAsia"/>
          <w:color w:val="auto"/>
          <w:kern w:val="0"/>
          <w:highlight w:val="none"/>
          <w:u w:val="none" w:color="auto"/>
        </w:rPr>
      </w:pPr>
      <w:r>
        <w:rPr>
          <w:rFonts w:hint="eastAsia"/>
          <w:b w:val="1"/>
          <w:color w:val="auto"/>
          <w:kern w:val="0"/>
          <w:highlight w:val="none"/>
          <w:u w:val="none" w:color="auto"/>
        </w:rPr>
        <w:t>　　</w:t>
      </w:r>
      <w:r>
        <w:rPr>
          <w:rFonts w:hint="eastAsia"/>
          <w:b w:val="0"/>
          <w:color w:val="auto"/>
          <w:kern w:val="0"/>
          <w:highlight w:val="none"/>
          <w:u w:val="none" w:color="auto"/>
        </w:rPr>
        <w:t>本県では、県民にとって身近で気軽に医薬品や健康に関する専門的な相談・支援を受けられる総合的な健康情報拠点として、平成</w:t>
      </w:r>
      <w:r>
        <w:rPr>
          <w:rFonts w:hint="eastAsia"/>
          <w:b w:val="0"/>
          <w:color w:val="auto"/>
          <w:kern w:val="0"/>
          <w:highlight w:val="none"/>
          <w:u w:val="none" w:color="auto"/>
        </w:rPr>
        <w:t>26</w:t>
      </w:r>
      <w:r>
        <w:rPr>
          <w:rFonts w:hint="eastAsia"/>
          <w:b w:val="0"/>
          <w:color w:val="auto"/>
          <w:kern w:val="0"/>
          <w:highlight w:val="none"/>
          <w:u w:val="none" w:color="auto"/>
        </w:rPr>
        <w:t>（</w:t>
      </w:r>
      <w:r>
        <w:rPr>
          <w:rFonts w:hint="eastAsia"/>
          <w:b w:val="0"/>
          <w:color w:val="auto"/>
          <w:kern w:val="0"/>
          <w:highlight w:val="none"/>
          <w:u w:val="none" w:color="auto"/>
        </w:rPr>
        <w:t>2014</w:t>
      </w:r>
      <w:r>
        <w:rPr>
          <w:rFonts w:hint="eastAsia"/>
          <w:b w:val="0"/>
          <w:color w:val="auto"/>
          <w:kern w:val="0"/>
          <w:highlight w:val="none"/>
          <w:u w:val="none" w:color="auto"/>
        </w:rPr>
        <w:t>）年から「高知家健康づくり支援薬局」（以下、「支援薬局」という。）を認定してきました。令和６（</w:t>
      </w:r>
      <w:r>
        <w:rPr>
          <w:rFonts w:hint="eastAsia"/>
          <w:b w:val="0"/>
          <w:color w:val="auto"/>
          <w:kern w:val="0"/>
          <w:highlight w:val="none"/>
          <w:u w:val="none" w:color="auto"/>
        </w:rPr>
        <w:t>2024</w:t>
      </w:r>
      <w:r>
        <w:rPr>
          <w:rFonts w:hint="eastAsia"/>
          <w:b w:val="0"/>
          <w:color w:val="auto"/>
          <w:kern w:val="0"/>
          <w:highlight w:val="none"/>
          <w:u w:val="none" w:color="auto"/>
        </w:rPr>
        <w:t>）年</w:t>
      </w:r>
      <w:r>
        <w:rPr>
          <w:rFonts w:hint="eastAsia"/>
          <w:b w:val="0"/>
          <w:strike w:val="0"/>
          <w:dstrike w:val="0"/>
          <w:color w:val="auto"/>
          <w:kern w:val="0"/>
          <w:highlight w:val="none"/>
          <w:u w:val="none" w:color="auto"/>
        </w:rPr>
        <w:t>１</w:t>
      </w:r>
      <w:r>
        <w:rPr>
          <w:rFonts w:hint="eastAsia"/>
          <w:b w:val="0"/>
          <w:color w:val="auto"/>
          <w:kern w:val="0"/>
          <w:highlight w:val="none"/>
          <w:u w:val="none" w:color="auto"/>
        </w:rPr>
        <w:t>月現在、全薬局の</w:t>
      </w:r>
      <w:r>
        <w:rPr>
          <w:rFonts w:hint="eastAsia"/>
          <w:b w:val="0"/>
          <w:color w:val="auto"/>
          <w:kern w:val="0"/>
          <w:highlight w:val="none"/>
          <w:u w:val="none" w:color="auto"/>
        </w:rPr>
        <w:t>74</w:t>
      </w:r>
      <w:r>
        <w:rPr>
          <w:rFonts w:hint="eastAsia"/>
          <w:b w:val="0"/>
          <w:color w:val="auto"/>
          <w:kern w:val="0"/>
          <w:highlight w:val="none"/>
          <w:u w:val="none" w:color="auto"/>
        </w:rPr>
        <w:t>％にあたる</w:t>
      </w:r>
      <w:r>
        <w:rPr>
          <w:rFonts w:hint="eastAsia"/>
          <w:b w:val="0"/>
          <w:strike w:val="0"/>
          <w:dstrike w:val="0"/>
          <w:color w:val="auto"/>
          <w:kern w:val="0"/>
          <w:highlight w:val="none"/>
          <w:u w:val="none" w:color="auto"/>
        </w:rPr>
        <w:t>301</w:t>
      </w:r>
      <w:r>
        <w:rPr>
          <w:rFonts w:hint="eastAsia"/>
          <w:b w:val="0"/>
          <w:color w:val="auto"/>
          <w:kern w:val="0"/>
          <w:highlight w:val="none"/>
          <w:u w:val="none" w:color="auto"/>
        </w:rPr>
        <w:t>薬局が様々な県民への健康サポート活動を行っています。</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支援薬局の健康サポート活動や相談対応力をさらに強化するため、県薬剤師会と協働し、薬局薬剤師を対象に様々な分野の研修を実施してきました。</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引き続き、本県の少子高齢化や県民の健康志向の高まりへの対応、医療ＤＸ等の新たな動きにも対応するため、薬局薬剤師のさらなる相談対応力の向上が必要です。</w:t>
      </w:r>
    </w:p>
    <w:p>
      <w:pPr>
        <w:pStyle w:val="0"/>
        <w:ind w:left="227" w:leftChars="100" w:firstLine="227" w:firstLineChars="100"/>
        <w:rPr>
          <w:rFonts w:hint="eastAsia"/>
          <w:b w:val="0"/>
          <w:color w:val="auto"/>
          <w:kern w:val="0"/>
          <w:highlight w:val="none"/>
          <w:u w:val="none" w:color="auto"/>
        </w:rPr>
      </w:pPr>
      <w:r>
        <w:rPr>
          <w:rFonts w:hint="eastAsia"/>
          <w:b w:val="0"/>
          <w:color w:val="auto"/>
          <w:kern w:val="0"/>
          <w:highlight w:val="none"/>
          <w:u w:val="none" w:color="auto"/>
        </w:rPr>
        <w:t>また、県民の健康志向を後押しするため、「自分自身の健康に責任を持ち、軽度な身体の不調は自分で手当てすること」と定義されるセルフメディケーションも推進する必要があります。</w:t>
      </w:r>
    </w:p>
    <w:p>
      <w:pPr>
        <w:pStyle w:val="0"/>
        <w:ind w:left="0" w:leftChars="0" w:firstLine="454" w:firstLineChars="200"/>
        <w:rPr>
          <w:rFonts w:hint="eastAsia"/>
          <w:b w:val="0"/>
          <w:color w:val="auto"/>
          <w:kern w:val="0"/>
          <w:highlight w:val="none"/>
          <w:u w:val="none" w:color="auto"/>
        </w:rPr>
      </w:pPr>
    </w:p>
    <w:p>
      <w:pPr>
        <w:pStyle w:val="0"/>
        <w:ind w:left="0" w:leftChars="0" w:firstLine="0" w:firstLineChars="0"/>
        <w:rPr>
          <w:rFonts w:hint="eastAsia"/>
          <w:b w:val="0"/>
          <w:color w:val="auto"/>
          <w:kern w:val="0"/>
          <w:highlight w:val="none"/>
          <w:u w:val="none" w:color="auto"/>
        </w:rPr>
      </w:pPr>
      <w:r>
        <w:rPr>
          <w:rFonts w:hint="eastAsia"/>
          <w:b w:val="1"/>
          <w:color w:val="auto"/>
          <w:kern w:val="0"/>
          <w:highlight w:val="none"/>
          <w:u w:val="none" w:color="auto"/>
        </w:rPr>
        <w:t>（２）かかりつけ薬剤師・薬局機能</w:t>
      </w:r>
    </w:p>
    <w:p>
      <w:pPr>
        <w:pStyle w:val="0"/>
        <w:ind w:left="220" w:leftChars="100" w:firstLine="220" w:firstLineChars="100"/>
        <w:rPr>
          <w:rFonts w:hint="eastAsia"/>
          <w:color w:val="auto"/>
          <w:highlight w:val="none"/>
          <w:u w:val="none" w:color="auto"/>
        </w:rPr>
      </w:pPr>
      <w:r>
        <w:rPr>
          <w:rFonts w:hint="eastAsia"/>
          <w:color w:val="auto"/>
          <w:kern w:val="0"/>
          <w:highlight w:val="none"/>
          <w:u w:val="none" w:color="auto"/>
        </w:rPr>
        <w:t>高齢者を中心に複数の診療科を受診することによるポリファーマシーの問題や重複投薬、飲み残しによる残薬の問題、医薬品の相互作用による副作用など、医薬品による有害事象を未然に防止することが必要です。</w:t>
      </w:r>
      <w:r>
        <w:rPr>
          <w:rFonts w:hint="eastAsia"/>
          <w:color w:val="auto"/>
          <w:kern w:val="0"/>
          <w:sz w:val="22"/>
          <w:highlight w:val="none"/>
          <w:u w:val="none" w:color="auto"/>
        </w:rPr>
        <w:t>そのためには、</w:t>
      </w:r>
      <w:r>
        <w:rPr>
          <w:rFonts w:hint="eastAsia"/>
          <w:color w:val="auto"/>
          <w:kern w:val="0"/>
          <w:highlight w:val="none"/>
          <w:u w:val="none" w:color="auto"/>
        </w:rPr>
        <w:t>患者の服薬情報を一元的・継続的に管理して服薬指導を行う「かかりつけ薬剤師・薬局」を持つことが重要ですが、かかりつけ薬局を決めている県民は</w:t>
      </w:r>
      <w:r>
        <w:rPr>
          <w:rFonts w:hint="eastAsia"/>
          <w:color w:val="auto"/>
          <w:kern w:val="0"/>
          <w:highlight w:val="none"/>
          <w:u w:val="none" w:color="auto"/>
        </w:rPr>
        <w:t>31.8%</w:t>
      </w:r>
      <w:r>
        <w:rPr>
          <w:rFonts w:hint="eastAsia"/>
          <w:color w:val="auto"/>
          <w:kern w:val="0"/>
          <w:highlight w:val="none"/>
          <w:u w:val="none" w:color="auto"/>
        </w:rPr>
        <w:t>に留まっています。</w:t>
      </w:r>
    </w:p>
    <w:p>
      <w:pPr>
        <w:pStyle w:val="0"/>
        <w:ind w:left="220" w:leftChars="100" w:firstLine="220" w:firstLineChars="100"/>
        <w:rPr>
          <w:rFonts w:hint="eastAsia"/>
          <w:color w:val="auto"/>
          <w:highlight w:val="none"/>
          <w:u w:val="none" w:color="auto"/>
        </w:rPr>
      </w:pPr>
      <w:r>
        <w:rPr>
          <w:rFonts w:hint="eastAsia"/>
          <w:color w:val="auto"/>
          <w:kern w:val="0"/>
          <w:highlight w:val="none"/>
          <w:u w:val="none" w:color="auto"/>
        </w:rPr>
        <w:t>県では</w:t>
      </w:r>
      <w:r>
        <w:rPr>
          <w:rFonts w:hint="eastAsia"/>
          <w:color w:val="auto"/>
          <w:highlight w:val="none"/>
          <w:u w:val="none" w:color="auto"/>
        </w:rPr>
        <w:t>、</w:t>
      </w:r>
      <w:r>
        <w:rPr>
          <w:rFonts w:hint="eastAsia"/>
          <w:color w:val="auto"/>
          <w:highlight w:val="none"/>
          <w:u w:val="none" w:color="auto"/>
        </w:rPr>
        <w:t>24</w:t>
      </w:r>
      <w:r>
        <w:rPr>
          <w:rFonts w:hint="eastAsia"/>
          <w:color w:val="auto"/>
          <w:highlight w:val="none"/>
          <w:u w:val="none" w:color="auto"/>
        </w:rPr>
        <w:t>時間対応や在宅対応、医療機関等との連携を含め、かかりつけ機能を強化するため、県薬剤師会と協働して、在宅対応できる人材の育成や多職種との連携による在宅患者の服薬管理体制の整備、重複投薬等の是正に取組んできました。</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引き続き、こうした取組を継続するとともに、ＥＨＲ</w:t>
      </w:r>
      <w:r>
        <w:rPr>
          <w:rFonts w:hint="eastAsia"/>
          <w:color w:val="auto"/>
          <w:sz w:val="22"/>
          <w:highlight w:val="none"/>
          <w:u w:val="none" w:color="auto"/>
        </w:rPr>
        <w:t>などの医療ＤＸ</w:t>
      </w:r>
      <w:r>
        <w:rPr>
          <w:rFonts w:hint="eastAsia"/>
          <w:color w:val="auto"/>
          <w:highlight w:val="none"/>
          <w:u w:val="none" w:color="auto"/>
        </w:rPr>
        <w:t>を有効に活用したかかりつけ機能の強化が必要です。</w:t>
      </w:r>
    </w:p>
    <w:p>
      <w:pPr>
        <w:pStyle w:val="0"/>
        <w:ind w:leftChars="0" w:firstLineChars="0"/>
        <w:rPr>
          <w:rFonts w:hint="eastAsia"/>
          <w:highlight w:val="none"/>
          <w:u w:val="single" w:color="auto"/>
        </w:rPr>
      </w:pPr>
    </w:p>
    <w:p>
      <w:pPr>
        <w:pStyle w:val="0"/>
        <w:ind w:leftChars="0" w:firstLineChars="0"/>
        <w:jc w:val="center"/>
        <w:rPr>
          <w:rFonts w:hint="eastAsia"/>
          <w:highlight w:val="none"/>
        </w:rPr>
      </w:pPr>
      <w:r>
        <w:rPr>
          <w:rFonts w:hint="eastAsia" w:ascii="ＭＳ ゴシック" w:hAnsi="ＭＳ ゴシック" w:eastAsia="ＭＳ ゴシック"/>
          <w:color w:val="auto"/>
          <w:kern w:val="0"/>
          <w:sz w:val="22"/>
          <w:highlight w:val="none"/>
          <w:u w:val="none" w:color="auto"/>
          <w:shd w:val="clear" w:color="auto" w:fill="auto"/>
        </w:rPr>
        <w:t>（図表</w:t>
      </w:r>
      <w:r>
        <w:rPr>
          <w:rFonts w:hint="eastAsia" w:ascii="ＭＳ ゴシック" w:hAnsi="ＭＳ ゴシック" w:eastAsia="ＭＳ ゴシック"/>
          <w:color w:val="auto"/>
          <w:kern w:val="0"/>
          <w:sz w:val="22"/>
          <w:highlight w:val="none"/>
          <w:u w:val="none" w:color="auto"/>
          <w:shd w:val="clear" w:color="auto" w:fill="auto"/>
        </w:rPr>
        <w:t>5-3-2</w:t>
      </w:r>
      <w:r>
        <w:rPr>
          <w:rFonts w:hint="eastAsia" w:ascii="ＭＳ ゴシック" w:hAnsi="ＭＳ ゴシック" w:eastAsia="ＭＳ ゴシック"/>
          <w:color w:val="auto"/>
          <w:kern w:val="0"/>
          <w:sz w:val="22"/>
          <w:highlight w:val="none"/>
          <w:u w:val="none" w:color="auto"/>
          <w:shd w:val="clear" w:color="auto" w:fill="auto"/>
        </w:rPr>
        <w:t>）　かかりつけ薬局を決めている県民の割合</w:t>
      </w:r>
    </w:p>
    <w:p>
      <w:pPr>
        <w:pStyle w:val="0"/>
        <w:ind w:leftChars="0" w:firstLineChars="0"/>
        <w:rPr>
          <w:rFonts w:hint="eastAsia"/>
          <w:highlight w:val="none"/>
        </w:rPr>
      </w:pPr>
      <w:r>
        <w:rPr>
          <w:rFonts w:hint="eastAsia"/>
        </w:rPr>
        <mc:AlternateContent>
          <mc:Choice Requires="wpg">
            <w:drawing>
              <wp:anchor simplePos="0" relativeHeight="46" behindDoc="0" locked="0" layoutInCell="1" hidden="0" allowOverlap="1">
                <wp:simplePos x="0" y="0"/>
                <wp:positionH relativeFrom="column">
                  <wp:posOffset>1638300</wp:posOffset>
                </wp:positionH>
                <wp:positionV relativeFrom="paragraph">
                  <wp:posOffset>20320</wp:posOffset>
                </wp:positionV>
                <wp:extent cx="2486025" cy="2588260"/>
                <wp:effectExtent l="0" t="0" r="0" b="635"/>
                <wp:wrapNone/>
                <wp:docPr id="1052" name="オブジェクト 0"/>
                <a:graphic xmlns:a="http://schemas.openxmlformats.org/drawingml/2006/main">
                  <a:graphicData uri="http://schemas.microsoft.com/office/word/2010/wordprocessingGroup">
                    <wpg:wgp>
                      <wpg:cNvGrpSpPr/>
                      <wpg:grpSpPr>
                        <a:xfrm>
                          <a:off x="0" y="0"/>
                          <a:ext cx="2486025" cy="2588260"/>
                          <a:chOff x="3998" y="11600"/>
                          <a:chExt cx="3915" cy="3632"/>
                        </a:xfrm>
                      </wpg:grpSpPr>
                      <wpg:graphicFrame>
                        <wpg:cNvPr id="1053" name="オブジェクト 0"/>
                        <wpg:cNvFrPr/>
                        <wpg:xfrm>
                          <a:off x="3998" y="11600"/>
                          <a:ext cx="3915" cy="3405"/>
                        </wpg:xfrm>
                        <a:graphic>
                          <a:graphicData uri="http://schemas.openxmlformats.org/drawingml/2006/chart">
                            <c:chart xmlns:c="http://schemas.openxmlformats.org/drawingml/2006/chart" r:id="rId8"/>
                          </a:graphicData>
                        </a:graphic>
                      </wpg:graphicFrame>
                      <wps:wsp>
                        <wps:cNvPr id="1054" name="オブジェクト 0"/>
                        <wps:cNvSpPr txBox="1">
                          <a:spLocks noChangeArrowheads="1"/>
                        </wps:cNvSpPr>
                        <wps:spPr>
                          <a:xfrm>
                            <a:off x="4730" y="14792"/>
                            <a:ext cx="2826" cy="440"/>
                          </a:xfrm>
                          <a:prstGeom prst="rect">
                            <a:avLst/>
                          </a:prstGeom>
                          <a:noFill/>
                          <a:ln>
                            <a:miter/>
                          </a:ln>
                        </wps:spPr>
                        <wps:txbx>
                          <w:txbxContent>
                            <w:p>
                              <w:pPr>
                                <w:pStyle w:val="0"/>
                                <w:rPr>
                                  <w:rFonts w:hint="default"/>
                                </w:rPr>
                              </w:pPr>
                              <w:r>
                                <w:rPr>
                                  <w:rFonts w:hint="eastAsia"/>
                                  <w:sz w:val="16"/>
                                </w:rPr>
                                <w:t>出典：令和５年度県民世論調査</w:t>
                              </w:r>
                            </w:p>
                          </w:txbxContent>
                        </wps:txbx>
                        <wps:bodyPr vertOverflow="overflow" horzOverflow="overflow" wrap="square" upright="1">
                          <a:spAutoFit/>
                        </wps:bodyPr>
                      </wps:wsp>
                    </wpg:wgp>
                  </a:graphicData>
                </a:graphic>
              </wp:anchor>
            </w:drawing>
          </mc:Choice>
          <mc:Fallback>
            <w:pict>
              <v:group id="オブジェクト 0" style="margin-top:1.6pt;mso-position-vertical-relative:text;mso-position-horizontal-relative:text;position:absolute;height:203.8pt;width:195.75pt;margin-left:129pt;z-index:46;" coordsize="3915,3632" coordorigin="3998,11600" o:spid="_x0000_s10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405;width:3915;top:11600;left:3998;position:absolute;" o:spid="_x0000_s1053" filled="f" stroked="f" o:spt="75" type="#_x0000_t75">
                  <v:fill/>
                  <v:imagedata o:title="" r:id="rId9"/>
                  <w10:wrap type="none" anchorx="text" anchory="text"/>
                </v:shape>
                <v:shapetype id="_x0000_t202" coordsize="21600,21600" o:spt="202" path="m,l,21600r21600,l21600,xe">
                  <v:stroke joinstyle="miter"/>
                  <v:path gradientshapeok="t" o:connecttype="rect"/>
                </v:shapetype>
                <v:shape id="オブジェクト 0" style="height:440;width:2826;top:14792;left:4730;position:absolute;" o:spid="_x0000_s1054" filled="f" stroked="f" o:spt="202" type="#_x0000_t202">
                  <v:fill/>
                  <v:textbox style="layout-flow:horizontal;mso-fit-shape-to-text:t;">
                    <w:txbxContent>
                      <w:p>
                        <w:pPr>
                          <w:pStyle w:val="0"/>
                          <w:rPr>
                            <w:rFonts w:hint="default"/>
                          </w:rPr>
                        </w:pPr>
                        <w:r>
                          <w:rPr>
                            <w:rFonts w:hint="eastAsia"/>
                            <w:sz w:val="16"/>
                          </w:rPr>
                          <w:t>出典：令和５年度県民世論調査</w:t>
                        </w:r>
                      </w:p>
                    </w:txbxContent>
                  </v:textbox>
                  <v:imagedata o:title=""/>
                  <w10:wrap type="none" anchorx="text" anchory="text"/>
                </v:shape>
                <w10:wrap type="none" anchorx="text" anchory="text"/>
              </v:group>
            </w:pict>
          </mc:Fallback>
        </mc:AlternateContent>
      </w:r>
    </w:p>
    <w:p>
      <w:pPr>
        <w:pStyle w:val="0"/>
        <w:ind w:leftChars="0" w:firstLineChars="0"/>
        <w:rPr>
          <w:rFonts w:hint="eastAsia"/>
          <w:highlight w:val="none"/>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p>
    <w:p>
      <w:pPr>
        <w:pStyle w:val="0"/>
        <w:ind w:left="228" w:hanging="220" w:hangingChars="100"/>
        <w:rPr>
          <w:rFonts w:hint="eastAsia"/>
          <w:b w:val="1"/>
          <w:color w:val="0070C0"/>
          <w:highlight w:val="none"/>
          <w:u w:val="none" w:color="auto"/>
        </w:rPr>
      </w:pPr>
      <w:r>
        <w:rPr>
          <w:rFonts w:hint="eastAsia"/>
          <w:highlight w:val="none"/>
        </w:rPr>
        <w:br w:type="page"/>
      </w:r>
    </w:p>
    <w:p>
      <w:pPr>
        <w:pStyle w:val="0"/>
        <w:ind w:left="228" w:hanging="220" w:hangingChars="100"/>
        <w:rPr>
          <w:rFonts w:hint="eastAsia"/>
          <w:b w:val="1"/>
          <w:color w:val="FF0000"/>
          <w:highlight w:val="none"/>
          <w:u w:val="single" w:color="auto"/>
        </w:rPr>
      </w:pPr>
      <w:r>
        <w:rPr>
          <w:rFonts w:hint="eastAsia"/>
          <w:b w:val="1"/>
          <w:color w:val="0070C0"/>
          <w:highlight w:val="none"/>
          <w:u w:val="none" w:color="auto"/>
        </w:rPr>
        <w:t>２　医療ＤＸの活用</w:t>
      </w:r>
    </w:p>
    <w:p>
      <w:pPr>
        <w:pStyle w:val="0"/>
        <w:ind w:left="228" w:hanging="220" w:hangingChars="100"/>
        <w:rPr>
          <w:rFonts w:hint="eastAsia"/>
          <w:b w:val="1"/>
          <w:color w:val="auto"/>
          <w:highlight w:val="none"/>
          <w:u w:val="none" w:color="auto"/>
        </w:rPr>
      </w:pPr>
      <w:r>
        <w:rPr>
          <w:rFonts w:hint="eastAsia"/>
          <w:b w:val="1"/>
          <w:color w:val="auto"/>
          <w:highlight w:val="none"/>
          <w:u w:val="none" w:color="auto"/>
        </w:rPr>
        <w:t>　　</w:t>
      </w:r>
      <w:r>
        <w:rPr>
          <w:rFonts w:hint="eastAsia"/>
          <w:b w:val="0"/>
          <w:color w:val="auto"/>
          <w:highlight w:val="none"/>
          <w:u w:val="none" w:color="auto"/>
          <w:shd w:val="clear" w:color="auto" w:fill="auto"/>
        </w:rPr>
        <w:t>高齢化が進む中山間地域では、最寄りの医療機関や薬局へのアクセスが悪いことから距離や移動時間の制約等の課題があります。また、複数の診療科受診や複数の薬局での投薬により多剤傾向にある高齢者を中心に、服薬情報の一元管理といった課題もあり、オンライン服薬指導やＥＨＲをはじめ、マイナポータルや電子版お薬手帳、電子処方箋等の医療ＤＸの有効活用が必要です。</w:t>
      </w:r>
    </w:p>
    <w:p>
      <w:pPr>
        <w:pStyle w:val="0"/>
        <w:ind w:left="227" w:leftChars="100" w:firstLine="227" w:firstLineChars="100"/>
        <w:rPr>
          <w:rFonts w:hint="eastAsia"/>
          <w:b w:val="1"/>
          <w:color w:val="auto"/>
          <w:highlight w:val="none"/>
          <w:u w:val="none" w:color="auto"/>
        </w:rPr>
      </w:pPr>
      <w:r>
        <w:rPr>
          <w:rFonts w:hint="eastAsia"/>
          <w:b w:val="0"/>
          <w:color w:val="auto"/>
          <w:highlight w:val="none"/>
          <w:u w:val="none" w:color="auto"/>
        </w:rPr>
        <w:t>特に、本県では常勤薬剤師が少ない小規模薬局が多いため、オンライン服薬指導等の活用により、中山間地域の住民や高齢者施設入所者等に対するより効果的・効率的な服薬管理・指導の実施が期待されており、今後、対面での服薬指導や服薬フォローアップを補完する手段として、積極的にＩＣＴの活用を進める必要があります。</w:t>
      </w:r>
    </w:p>
    <w:p>
      <w:pPr>
        <w:pStyle w:val="0"/>
        <w:ind w:left="227" w:leftChars="100" w:firstLine="227" w:firstLineChars="100"/>
        <w:rPr>
          <w:rFonts w:hint="eastAsia"/>
          <w:b w:val="1"/>
          <w:color w:val="FF0000"/>
          <w:highlight w:val="none"/>
          <w:u w:val="none" w:color="auto"/>
        </w:rPr>
      </w:pPr>
      <w:r>
        <w:rPr>
          <w:rFonts w:hint="eastAsia"/>
          <w:b w:val="0"/>
          <w:color w:val="auto"/>
          <w:highlight w:val="none"/>
          <w:u w:val="none" w:color="auto"/>
        </w:rPr>
        <w:t>一方、ＩＣＴに関するリテラシーは、薬剤師や患者及びその支援者ごとに個人差があり、ＩＣＴを活用するうえでは使用方法やサイバーセキュリティ面の確保等の知識・技能の習得や支援者の確保が重要です。</w:t>
      </w:r>
    </w:p>
    <w:p>
      <w:pPr>
        <w:pStyle w:val="0"/>
        <w:ind w:left="227" w:leftChars="100" w:firstLine="227" w:firstLineChars="100"/>
        <w:rPr>
          <w:rFonts w:hint="eastAsia"/>
          <w:b w:val="1"/>
          <w:color w:val="0070C0"/>
          <w:highlight w:val="none"/>
          <w:u w:val="none" w:color="auto"/>
        </w:rPr>
      </w:pPr>
    </w:p>
    <w:p>
      <w:pPr>
        <w:pStyle w:val="0"/>
        <w:ind w:left="228" w:hanging="220" w:hangingChars="100"/>
        <w:rPr>
          <w:rFonts w:hint="eastAsia"/>
          <w:color w:val="000000"/>
          <w:kern w:val="0"/>
          <w:highlight w:val="none"/>
          <w:u w:val="none" w:color="auto"/>
        </w:rPr>
      </w:pPr>
      <w:r>
        <w:rPr>
          <w:rFonts w:hint="eastAsia"/>
          <w:b w:val="1"/>
          <w:color w:val="0070C0"/>
          <w:highlight w:val="none"/>
          <w:u w:val="none" w:color="auto"/>
        </w:rPr>
        <w:t>３　お薬手帳の利活用</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お薬手帳は、服薬情報を一元管理するためのツールとして普及を図っており、複数の医療機関に通院している場合は、一冊に集約することが重要です。</w:t>
      </w:r>
    </w:p>
    <w:p>
      <w:pPr>
        <w:pStyle w:val="0"/>
        <w:ind w:left="220" w:leftChars="100" w:firstLine="220" w:firstLineChars="100"/>
        <w:rPr>
          <w:rFonts w:hint="eastAsia"/>
          <w:kern w:val="0"/>
          <w:highlight w:val="none"/>
          <w:u w:val="single" w:color="auto"/>
        </w:rPr>
      </w:pPr>
      <w:r>
        <w:rPr>
          <w:rFonts w:hint="eastAsia"/>
          <w:color w:val="auto"/>
          <w:kern w:val="0"/>
          <w:highlight w:val="none"/>
          <w:u w:val="none" w:color="auto"/>
        </w:rPr>
        <w:t>また、電子版お薬手帳は、新たな機能として、マイナポータルと連携することで、過去３年分の薬剤情報等を取り込むことが可能となることから、服薬情報を管理する手段としての有効活用等について、県民の理解の促進と普及が必要です。</w:t>
      </w:r>
    </w:p>
    <w:p>
      <w:pPr>
        <w:pStyle w:val="0"/>
        <w:ind w:leftChars="0" w:firstLineChars="0"/>
        <w:rPr>
          <w:rFonts w:hint="eastAsia"/>
          <w:color w:val="0070C0"/>
          <w:kern w:val="0"/>
          <w:highlight w:val="none"/>
          <w:u w:val="single" w:color="auto"/>
        </w:rPr>
      </w:pPr>
    </w:p>
    <w:p>
      <w:pPr>
        <w:pStyle w:val="0"/>
        <w:ind w:leftChars="0" w:firstLineChars="0"/>
        <w:rPr>
          <w:rFonts w:hint="eastAsia"/>
          <w:color w:val="FF0000"/>
          <w:kern w:val="0"/>
          <w:highlight w:val="none"/>
          <w:u w:val="single" w:color="auto"/>
        </w:rPr>
      </w:pPr>
      <w:r>
        <w:rPr>
          <w:rFonts w:hint="eastAsia"/>
          <w:b w:val="1"/>
          <w:color w:val="0070C0"/>
          <w:kern w:val="0"/>
          <w:highlight w:val="none"/>
          <w:u w:val="none" w:color="auto"/>
        </w:rPr>
        <w:t>４　薬局間連携の強化</w:t>
      </w:r>
    </w:p>
    <w:p>
      <w:pPr>
        <w:pStyle w:val="0"/>
        <w:ind w:left="220" w:leftChars="100" w:firstLine="220" w:firstLineChars="100"/>
        <w:rPr>
          <w:rFonts w:hint="eastAsia"/>
          <w:kern w:val="0"/>
          <w:highlight w:val="none"/>
          <w:u w:val="single" w:color="auto"/>
        </w:rPr>
      </w:pPr>
      <w:r>
        <w:rPr>
          <w:rFonts w:hint="eastAsia"/>
          <w:color w:val="auto"/>
          <w:kern w:val="0"/>
          <w:highlight w:val="none"/>
          <w:u w:val="none" w:color="auto"/>
        </w:rPr>
        <w:t>本県は、</w:t>
      </w:r>
      <w:r>
        <w:rPr>
          <w:rFonts w:hint="eastAsia"/>
          <w:color w:val="auto"/>
          <w:kern w:val="0"/>
          <w:highlight w:val="none"/>
          <w:u w:val="none" w:color="auto"/>
        </w:rPr>
        <w:t>34</w:t>
      </w:r>
      <w:r>
        <w:rPr>
          <w:rFonts w:hint="eastAsia"/>
          <w:color w:val="auto"/>
          <w:kern w:val="0"/>
          <w:highlight w:val="none"/>
          <w:u w:val="none" w:color="auto"/>
        </w:rPr>
        <w:t>市町村のうち中山間地域を中心に</w:t>
      </w:r>
      <w:r>
        <w:rPr>
          <w:rFonts w:hint="eastAsia"/>
          <w:color w:val="auto"/>
          <w:kern w:val="0"/>
          <w:highlight w:val="none"/>
          <w:u w:val="none" w:color="auto"/>
        </w:rPr>
        <w:t>17</w:t>
      </w:r>
      <w:r>
        <w:rPr>
          <w:rFonts w:hint="eastAsia"/>
          <w:color w:val="auto"/>
          <w:kern w:val="0"/>
          <w:highlight w:val="none"/>
          <w:u w:val="none" w:color="auto"/>
        </w:rPr>
        <w:t>町村で薬局数が２件以下となっており、５町村には薬局がありません。こうした地域では医療資源が不足していることに加え、常勤薬剤師が１、２名の小規模薬局が多く、当該地域全体で健康サポート機能やかかりつけ機能を果たすことは難しいことから、広域での薬局間の連携を強化し、複数の薬局で地域の医療や保健を支える体制の強化が必要です。</w:t>
      </w:r>
    </w:p>
    <w:p>
      <w:pPr>
        <w:pStyle w:val="0"/>
        <w:ind w:left="220" w:leftChars="100" w:firstLine="220" w:firstLineChars="100"/>
        <w:rPr>
          <w:rFonts w:hint="eastAsia"/>
          <w:kern w:val="0"/>
          <w:highlight w:val="none"/>
        </w:rPr>
      </w:pPr>
    </w:p>
    <w:p>
      <w:pPr>
        <w:pStyle w:val="0"/>
        <w:rPr>
          <w:rFonts w:hint="default"/>
          <w:b w:val="1"/>
          <w:color w:val="0070C0"/>
          <w:kern w:val="0"/>
          <w:highlight w:val="none"/>
        </w:rPr>
      </w:pPr>
      <w:r>
        <w:rPr>
          <w:rFonts w:hint="eastAsia"/>
          <w:b w:val="1"/>
          <w:color w:val="0070C0"/>
          <w:kern w:val="0"/>
          <w:highlight w:val="none"/>
          <w:shd w:val="clear" w:color="auto" w:fill="auto"/>
        </w:rPr>
        <w:t>５　薬局機能情報提供制度</w:t>
      </w:r>
    </w:p>
    <w:p>
      <w:pPr>
        <w:pStyle w:val="0"/>
        <w:ind w:left="220" w:leftChars="100" w:firstLine="220" w:firstLineChars="100"/>
        <w:rPr>
          <w:rFonts w:hint="eastAsia"/>
          <w:color w:val="auto"/>
          <w:kern w:val="0"/>
          <w:highlight w:val="none"/>
          <w:u w:val="none" w:color="auto"/>
          <w:shd w:val="clear" w:color="auto" w:fill="auto"/>
        </w:rPr>
      </w:pPr>
      <w:r>
        <w:rPr>
          <w:rFonts w:hint="eastAsia"/>
          <w:color w:val="auto"/>
          <w:kern w:val="0"/>
          <w:highlight w:val="none"/>
          <w:u w:val="none" w:color="auto"/>
          <w:shd w:val="clear" w:color="auto" w:fill="auto"/>
        </w:rPr>
        <w:t>患者が適切に薬局を選択できるよう、薬局は、薬局機能に関する一定の情報について県へ報告することが、医薬品、医療機器等の品質、有効性及び安全性の確保等に関する法律で義務付けられています。</w:t>
      </w:r>
    </w:p>
    <w:p>
      <w:pPr>
        <w:pStyle w:val="0"/>
        <w:ind w:left="220" w:leftChars="100" w:firstLine="220" w:firstLineChars="100"/>
        <w:rPr>
          <w:rFonts w:hint="eastAsia"/>
          <w:kern w:val="0"/>
          <w:highlight w:val="none"/>
        </w:rPr>
      </w:pPr>
      <w:r>
        <w:rPr>
          <w:rFonts w:hint="eastAsia"/>
          <w:color w:val="auto"/>
          <w:kern w:val="0"/>
          <w:highlight w:val="none"/>
          <w:u w:val="none" w:color="auto"/>
          <w:shd w:val="clear" w:color="auto" w:fill="auto"/>
        </w:rPr>
        <w:t>この情報は令和６年から厚生労働省が構築する全国の医療機関を検索可能な医療情報サイト「医療情報ネット」にて閲覧することが可能になります。</w:t>
      </w:r>
    </w:p>
    <w:p>
      <w:pPr>
        <w:pStyle w:val="0"/>
        <w:rPr>
          <w:rFonts w:hint="eastAsia"/>
          <w:b w:val="1"/>
          <w:color w:val="0070C0"/>
          <w:kern w:val="0"/>
          <w:highlight w:val="none"/>
        </w:rPr>
      </w:pPr>
    </w:p>
    <w:p>
      <w:pPr>
        <w:pStyle w:val="0"/>
        <w:rPr>
          <w:rFonts w:hint="eastAsia"/>
          <w:b w:val="1"/>
          <w:color w:val="0070C0"/>
          <w:kern w:val="0"/>
          <w:highlight w:val="none"/>
        </w:rPr>
      </w:pPr>
      <w:r>
        <w:rPr>
          <w:rFonts w:hint="eastAsia"/>
          <w:b w:val="1"/>
          <w:color w:val="0070C0"/>
          <w:kern w:val="0"/>
          <w:highlight w:val="none"/>
          <w:shd w:val="clear" w:color="auto" w:fill="auto"/>
        </w:rPr>
        <w:t>６　災害</w:t>
      </w:r>
      <w:r>
        <w:rPr>
          <w:rFonts w:hint="eastAsia"/>
          <w:b w:val="1"/>
          <w:color w:val="0070C0"/>
          <w:kern w:val="0"/>
          <w:highlight w:val="none"/>
          <w:u w:val="none" w:color="auto"/>
          <w:shd w:val="clear" w:color="auto" w:fill="auto"/>
        </w:rPr>
        <w:t>時の医薬品供給体制等</w:t>
      </w:r>
    </w:p>
    <w:p>
      <w:pPr>
        <w:pStyle w:val="0"/>
        <w:ind w:left="226" w:leftChars="100" w:right="70" w:rightChars="31" w:firstLine="192" w:firstLineChars="85"/>
        <w:rPr>
          <w:rFonts w:hint="eastAsia"/>
          <w:kern w:val="0"/>
          <w:highlight w:val="none"/>
        </w:rPr>
      </w:pPr>
      <w:r>
        <w:rPr>
          <w:rFonts w:hint="eastAsia"/>
          <w:color w:val="000000"/>
          <w:kern w:val="0"/>
          <w:highlight w:val="none"/>
          <w:u w:val="none" w:color="auto"/>
          <w:shd w:val="clear" w:color="auto" w:fill="auto"/>
        </w:rPr>
        <w:t>大規模災害時には、本格的な外部支援が入るまでの間、地域の中で医薬品の供給及び薬剤師の派遣をスムーズに行うための体制整備や、地域外からの支援を円滑に受入れるための受援体制の整備が必要となっています。</w:t>
      </w:r>
    </w:p>
    <w:p>
      <w:pPr>
        <w:pStyle w:val="0"/>
        <w:ind w:left="228" w:hanging="220" w:hangingChars="100"/>
        <w:rPr>
          <w:rFonts w:hint="eastAsia"/>
          <w:kern w:val="0"/>
          <w:highlight w:val="none"/>
        </w:rPr>
      </w:pPr>
    </w:p>
    <w:p>
      <w:pPr>
        <w:pStyle w:val="0"/>
        <w:rPr>
          <w:rFonts w:hint="eastAsia"/>
          <w:b w:val="1"/>
          <w:kern w:val="0"/>
          <w:highlight w:val="none"/>
          <w:bdr w:val="single" w:color="auto" w:sz="4" w:space="0"/>
          <w:shd w:val="clear" w:color="auto" w:fill="E5DFEC"/>
        </w:rPr>
      </w:pPr>
      <w:r>
        <w:rPr>
          <w:rFonts w:hint="eastAsia"/>
          <w:b w:val="1"/>
          <w:kern w:val="0"/>
          <w:highlight w:val="none"/>
          <w:bdr w:val="single" w:color="auto" w:sz="4" w:space="0"/>
          <w:shd w:val="clear" w:color="auto" w:fill="E5DFEC"/>
        </w:rPr>
        <w:t>対策</w:t>
      </w:r>
    </w:p>
    <w:p>
      <w:pPr>
        <w:pStyle w:val="0"/>
        <w:ind w:firstLine="227" w:firstLineChars="100"/>
        <w:rPr>
          <w:rFonts w:hint="eastAsia"/>
          <w:kern w:val="0"/>
          <w:highlight w:val="none"/>
        </w:rPr>
      </w:pPr>
      <w:r>
        <w:rPr>
          <w:rFonts w:hint="eastAsia"/>
          <w:kern w:val="0"/>
          <w:highlight w:val="none"/>
        </w:rPr>
        <w:t>県は、県</w:t>
      </w:r>
      <w:r>
        <w:rPr>
          <w:rFonts w:hint="eastAsia"/>
          <w:color w:val="auto"/>
          <w:kern w:val="0"/>
          <w:highlight w:val="none"/>
          <w:u w:val="none" w:color="auto"/>
        </w:rPr>
        <w:t>薬剤師会等関係団体と協働で</w:t>
      </w:r>
      <w:r>
        <w:rPr>
          <w:rFonts w:hint="eastAsia"/>
          <w:kern w:val="0"/>
          <w:highlight w:val="none"/>
        </w:rPr>
        <w:t>以下の取組を推進します。</w:t>
      </w:r>
    </w:p>
    <w:p>
      <w:pPr>
        <w:pStyle w:val="0"/>
        <w:rPr>
          <w:rFonts w:hint="eastAsia"/>
          <w:kern w:val="0"/>
          <w:highlight w:val="none"/>
        </w:rPr>
      </w:pPr>
    </w:p>
    <w:p>
      <w:pPr>
        <w:pStyle w:val="0"/>
        <w:rPr>
          <w:rFonts w:hint="default"/>
          <w:b w:val="1"/>
          <w:color w:val="FF0000"/>
          <w:kern w:val="0"/>
          <w:highlight w:val="none"/>
          <w:u w:val="single" w:color="auto"/>
        </w:rPr>
      </w:pPr>
      <w:r>
        <w:rPr>
          <w:rFonts w:hint="eastAsia"/>
          <w:b w:val="1"/>
          <w:color w:val="0070C0"/>
          <w:kern w:val="0"/>
          <w:highlight w:val="none"/>
          <w:u w:val="none" w:color="auto"/>
          <w:shd w:val="clear" w:color="auto" w:fill="auto"/>
        </w:rPr>
        <w:t>１　高知家健康づくり支援薬局等</w:t>
      </w:r>
    </w:p>
    <w:p>
      <w:pPr>
        <w:pStyle w:val="0"/>
        <w:rPr>
          <w:rFonts w:hint="default"/>
          <w:b w:val="1"/>
          <w:color w:val="auto"/>
          <w:kern w:val="0"/>
          <w:highlight w:val="none"/>
          <w:u w:val="none" w:color="auto"/>
        </w:rPr>
      </w:pPr>
      <w:r>
        <w:rPr>
          <w:rFonts w:hint="eastAsia"/>
          <w:b w:val="1"/>
          <w:color w:val="auto"/>
          <w:kern w:val="0"/>
          <w:highlight w:val="none"/>
          <w:u w:val="none" w:color="auto"/>
          <w:shd w:val="clear" w:color="auto" w:fill="auto"/>
        </w:rPr>
        <w:t>（１）健康サポート機能</w:t>
      </w:r>
    </w:p>
    <w:p>
      <w:pPr>
        <w:pStyle w:val="0"/>
        <w:ind w:left="227" w:leftChars="100" w:firstLine="227" w:firstLineChars="100"/>
        <w:rPr>
          <w:rFonts w:hint="default"/>
          <w:b w:val="1"/>
          <w:color w:val="auto"/>
          <w:kern w:val="0"/>
          <w:highlight w:val="none"/>
          <w:u w:val="none" w:color="auto"/>
        </w:rPr>
      </w:pPr>
      <w:r>
        <w:rPr>
          <w:rFonts w:hint="eastAsia"/>
          <w:b w:val="0"/>
          <w:color w:val="auto"/>
          <w:kern w:val="0"/>
          <w:highlight w:val="none"/>
          <w:u w:val="none" w:color="auto"/>
          <w:shd w:val="clear" w:color="auto" w:fill="auto"/>
        </w:rPr>
        <w:t>県民の身近な健康情報拠点として、</w:t>
      </w:r>
      <w:r>
        <w:rPr>
          <w:rFonts w:hint="eastAsia"/>
          <w:b w:val="0"/>
          <w:strike w:val="0"/>
          <w:dstrike w:val="0"/>
          <w:color w:val="auto"/>
          <w:kern w:val="0"/>
          <w:highlight w:val="none"/>
          <w:u w:val="none" w:color="auto"/>
          <w:shd w:val="clear" w:color="auto" w:fill="auto"/>
        </w:rPr>
        <w:t>相談対応力</w:t>
      </w:r>
      <w:r>
        <w:rPr>
          <w:rFonts w:hint="eastAsia"/>
          <w:b w:val="0"/>
          <w:color w:val="auto"/>
          <w:kern w:val="0"/>
          <w:highlight w:val="none"/>
          <w:u w:val="none" w:color="auto"/>
          <w:shd w:val="clear" w:color="auto" w:fill="auto"/>
        </w:rPr>
        <w:t>を向上するために、関係団体が実施する研修会の開催等を支援するとともに、地域活動強化システム</w:t>
      </w:r>
      <w:r>
        <w:rPr>
          <w:rFonts w:hint="eastAsia"/>
          <w:b w:val="0"/>
          <w:color w:val="auto"/>
          <w:kern w:val="0"/>
          <w:sz w:val="22"/>
          <w:highlight w:val="none"/>
          <w:u w:val="none" w:color="auto"/>
          <w:shd w:val="clear" w:color="auto" w:fill="auto"/>
          <w:vertAlign w:val="superscript"/>
        </w:rPr>
        <w:t>（注１）</w:t>
      </w:r>
      <w:r>
        <w:rPr>
          <w:rFonts w:hint="eastAsia"/>
          <w:b w:val="0"/>
          <w:color w:val="auto"/>
          <w:kern w:val="0"/>
          <w:sz w:val="22"/>
          <w:highlight w:val="none"/>
          <w:u w:val="none" w:color="auto"/>
          <w:shd w:val="clear" w:color="auto" w:fill="auto"/>
          <w:vertAlign w:val="baseline"/>
        </w:rPr>
        <w:t>等</w:t>
      </w:r>
      <w:r>
        <w:rPr>
          <w:rFonts w:hint="eastAsia"/>
          <w:b w:val="0"/>
          <w:color w:val="auto"/>
          <w:kern w:val="0"/>
          <w:highlight w:val="none"/>
          <w:u w:val="none" w:color="auto"/>
          <w:shd w:val="clear" w:color="auto" w:fill="auto"/>
        </w:rPr>
        <w:t>を活用するなどして、地域ニーズに対応しながら地域活動に参加する薬剤師の裾野を広げます。</w:t>
      </w:r>
    </w:p>
    <w:p>
      <w:pPr>
        <w:pStyle w:val="0"/>
        <w:ind w:left="227" w:leftChars="100" w:firstLine="227" w:firstLineChars="100"/>
        <w:rPr>
          <w:rFonts w:hint="default"/>
          <w:b w:val="1"/>
          <w:color w:val="auto"/>
          <w:kern w:val="0"/>
          <w:highlight w:val="none"/>
          <w:u w:val="none" w:color="auto"/>
        </w:rPr>
      </w:pPr>
      <w:r>
        <w:rPr>
          <w:rFonts w:hint="eastAsia"/>
          <w:b w:val="0"/>
          <w:color w:val="auto"/>
          <w:kern w:val="0"/>
          <w:highlight w:val="none"/>
          <w:u w:val="none" w:color="auto"/>
          <w:shd w:val="clear" w:color="auto" w:fill="auto"/>
        </w:rPr>
        <w:t>また、セルフメディケーションを推進するため、県民がその意義や重要性について理解を深めるための広報や、薬局での要指導医薬品や一般用医薬品の取扱いを進めるとともに、（電子版）お薬手帳を活用し、一般用医薬品や健康食品等の服用履歴の把握に努め、これらの相互作用による有害事象を未然に防止する取組を進めます。</w:t>
      </w:r>
    </w:p>
    <w:p>
      <w:pPr>
        <w:pStyle w:val="0"/>
        <w:ind w:left="227" w:leftChars="100" w:firstLine="227" w:firstLineChars="100"/>
        <w:rPr>
          <w:rFonts w:hint="default"/>
          <w:b w:val="1"/>
          <w:color w:val="auto"/>
          <w:kern w:val="0"/>
          <w:highlight w:val="none"/>
          <w:u w:val="none" w:color="auto"/>
        </w:rPr>
      </w:pPr>
    </w:p>
    <w:p>
      <w:pPr>
        <w:pStyle w:val="0"/>
        <w:spacing w:line="260" w:lineRule="exact"/>
        <w:ind w:left="1116" w:leftChars="200" w:hanging="664" w:hangingChars="400"/>
        <w:rPr>
          <w:rFonts w:hint="default"/>
          <w:b w:val="1"/>
          <w:color w:val="auto"/>
          <w:kern w:val="0"/>
          <w:highlight w:val="none"/>
          <w:u w:val="none" w:color="auto"/>
        </w:rPr>
      </w:pPr>
      <w:r>
        <w:rPr>
          <w:rFonts w:hint="eastAsia"/>
          <w:b w:val="0"/>
          <w:color w:val="auto"/>
          <w:kern w:val="0"/>
          <w:sz w:val="16"/>
          <w:highlight w:val="none"/>
          <w:u w:val="none" w:color="auto"/>
          <w:shd w:val="clear" w:color="auto" w:fill="auto"/>
        </w:rPr>
        <w:t>（注１）地域活動強化システム：地域活動と薬剤師のマッチングを行い、地域包括ケアシステムの一翼を担う存在として積極的に地域と連携するための支援システム。</w:t>
      </w:r>
    </w:p>
    <w:p>
      <w:pPr>
        <w:pStyle w:val="0"/>
        <w:spacing w:line="260" w:lineRule="exact"/>
        <w:ind w:left="227" w:leftChars="100" w:firstLine="907" w:firstLineChars="400"/>
        <w:rPr>
          <w:rFonts w:hint="default"/>
          <w:b w:val="1"/>
          <w:color w:val="auto"/>
          <w:kern w:val="0"/>
          <w:highlight w:val="none"/>
          <w:u w:val="none" w:color="auto"/>
        </w:rPr>
      </w:pPr>
    </w:p>
    <w:p>
      <w:pPr>
        <w:pStyle w:val="0"/>
        <w:rPr>
          <w:rFonts w:hint="default"/>
          <w:b w:val="1"/>
          <w:color w:val="auto"/>
          <w:kern w:val="0"/>
          <w:highlight w:val="none"/>
          <w:u w:val="none" w:color="auto"/>
        </w:rPr>
      </w:pPr>
      <w:r>
        <w:rPr>
          <w:rFonts w:hint="eastAsia"/>
          <w:b w:val="1"/>
          <w:color w:val="auto"/>
          <w:kern w:val="0"/>
          <w:highlight w:val="none"/>
          <w:u w:val="none" w:color="auto"/>
          <w:shd w:val="clear" w:color="auto" w:fill="auto"/>
        </w:rPr>
        <w:t>（２）かかりつけ薬剤師・薬局機能</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かかりつけ薬剤師・薬局が持つ機能や患者のメリット等について、改めて県民に周知し、定着を図るとともに、かかりつけ機能のさらなる強化のため、人材育成や医薬品の適正使用等の取組</w:t>
      </w:r>
      <w:bookmarkStart w:id="0" w:name="_GoBack"/>
      <w:bookmarkEnd w:id="0"/>
      <w:r>
        <w:rPr>
          <w:rFonts w:hint="eastAsia"/>
          <w:color w:val="auto"/>
          <w:kern w:val="0"/>
          <w:highlight w:val="none"/>
          <w:u w:val="none" w:color="auto"/>
        </w:rPr>
        <w:t>を継続して実施します。</w:t>
      </w:r>
    </w:p>
    <w:p>
      <w:pPr>
        <w:pStyle w:val="0"/>
        <w:ind w:left="220" w:leftChars="100" w:firstLine="220" w:firstLineChars="100"/>
        <w:rPr>
          <w:rFonts w:hint="eastAsia"/>
          <w:color w:val="auto"/>
          <w:kern w:val="0"/>
          <w:highlight w:val="none"/>
          <w:u w:val="none" w:color="auto"/>
        </w:rPr>
      </w:pPr>
      <w:r>
        <w:rPr>
          <w:rFonts w:hint="eastAsia"/>
          <w:color w:val="auto"/>
          <w:kern w:val="0"/>
          <w:highlight w:val="none"/>
          <w:u w:val="none" w:color="auto"/>
        </w:rPr>
        <w:t>また、通院から入院、退院から在宅等へ服薬情報等の患者情報を共有し、切れ目のない薬物治療を確保するため、薬局及び病院薬剤師間の連携強化のための研修会を実施するとともに、各地域の入退院時ルールを踏まえた多職種との連携体制の整備を図ります。</w:t>
      </w:r>
    </w:p>
    <w:p>
      <w:pPr>
        <w:pStyle w:val="0"/>
        <w:ind w:left="220" w:leftChars="100" w:firstLine="220" w:firstLineChars="100"/>
        <w:rPr>
          <w:rFonts w:hint="default"/>
          <w:b w:val="1"/>
          <w:color w:val="FF0000"/>
          <w:kern w:val="0"/>
          <w:highlight w:val="none"/>
          <w:u w:val="single" w:color="auto"/>
          <w:shd w:val="pct15" w:color="auto" w:fill="auto"/>
        </w:rPr>
      </w:pPr>
      <w:r>
        <w:rPr>
          <w:rFonts w:hint="eastAsia"/>
          <w:color w:val="auto"/>
          <w:kern w:val="0"/>
          <w:highlight w:val="none"/>
          <w:u w:val="none" w:color="auto"/>
        </w:rPr>
        <w:t>さらに、医療ＤＸ等を活用したかかりつけ機能強化に取組みます。</w:t>
      </w:r>
    </w:p>
    <w:p>
      <w:pPr>
        <w:pStyle w:val="0"/>
        <w:rPr>
          <w:rFonts w:hint="default"/>
          <w:b w:val="1"/>
          <w:color w:val="0070C0"/>
          <w:kern w:val="0"/>
          <w:highlight w:val="none"/>
          <w:u w:val="single" w:color="auto"/>
          <w:shd w:val="pct15" w:color="auto" w:fill="auto"/>
        </w:rPr>
      </w:pPr>
    </w:p>
    <w:p>
      <w:pPr>
        <w:pStyle w:val="0"/>
        <w:rPr>
          <w:rFonts w:hint="default"/>
          <w:b w:val="1"/>
          <w:color w:val="FF0000"/>
          <w:kern w:val="0"/>
          <w:highlight w:val="none"/>
          <w:u w:val="single" w:color="auto"/>
          <w:shd w:val="pct15" w:color="auto" w:fill="auto"/>
        </w:rPr>
      </w:pPr>
      <w:r>
        <w:rPr>
          <w:rFonts w:hint="eastAsia"/>
          <w:b w:val="1"/>
          <w:color w:val="0070C0"/>
          <w:kern w:val="0"/>
          <w:highlight w:val="none"/>
          <w:u w:val="none" w:color="auto"/>
          <w:shd w:val="clear" w:color="auto" w:fill="auto"/>
        </w:rPr>
        <w:t>２　医療</w:t>
      </w:r>
      <w:r>
        <w:rPr>
          <w:rFonts w:hint="eastAsia"/>
          <w:b w:val="1"/>
          <w:color w:val="0070C0"/>
          <w:kern w:val="0"/>
          <w:highlight w:val="none"/>
          <w:u w:val="none" w:color="auto"/>
        </w:rPr>
        <w:t>ＤＸ</w:t>
      </w:r>
      <w:r>
        <w:rPr>
          <w:rFonts w:hint="eastAsia"/>
          <w:b w:val="1"/>
          <w:color w:val="0070C0"/>
          <w:kern w:val="0"/>
          <w:highlight w:val="none"/>
          <w:u w:val="none" w:color="auto"/>
          <w:shd w:val="clear" w:color="auto" w:fill="auto"/>
        </w:rPr>
        <w:t>の活用</w:t>
      </w:r>
    </w:p>
    <w:p>
      <w:pPr>
        <w:pStyle w:val="0"/>
        <w:rPr>
          <w:rFonts w:hint="eastAsia"/>
          <w:b w:val="0"/>
          <w:color w:val="auto"/>
          <w:kern w:val="0"/>
          <w:highlight w:val="none"/>
          <w:u w:val="none" w:color="auto"/>
          <w:shd w:val="clear" w:color="auto" w:fill="auto"/>
        </w:rPr>
      </w:pPr>
      <w:r>
        <w:rPr>
          <w:rFonts w:hint="eastAsia"/>
          <w:b w:val="0"/>
          <w:color w:val="FF0000"/>
          <w:kern w:val="0"/>
          <w:highlight w:val="none"/>
          <w:u w:val="none" w:color="auto"/>
          <w:shd w:val="clear" w:color="auto" w:fill="auto"/>
        </w:rPr>
        <w:t>　　</w:t>
      </w:r>
      <w:r>
        <w:rPr>
          <w:rFonts w:hint="eastAsia"/>
          <w:b w:val="0"/>
          <w:color w:val="auto"/>
          <w:kern w:val="0"/>
          <w:highlight w:val="none"/>
          <w:u w:val="none" w:color="auto"/>
          <w:shd w:val="clear" w:color="auto" w:fill="auto"/>
        </w:rPr>
        <w:t>高齢者施設やあったかふれあいセンター等、高齢者や地域住民、多職種の支援者等が</w:t>
      </w:r>
    </w:p>
    <w:p>
      <w:pPr>
        <w:pStyle w:val="0"/>
        <w:ind w:left="227" w:leftChars="100" w:firstLineChars="0"/>
        <w:rPr>
          <w:rFonts w:hint="eastAsia"/>
          <w:b w:val="0"/>
          <w:color w:val="auto"/>
          <w:kern w:val="0"/>
          <w:highlight w:val="none"/>
          <w:u w:val="none" w:color="auto"/>
          <w:shd w:val="clear" w:color="auto" w:fill="auto"/>
        </w:rPr>
      </w:pPr>
      <w:r>
        <w:rPr>
          <w:rFonts w:hint="eastAsia"/>
          <w:b w:val="0"/>
          <w:color w:val="auto"/>
          <w:kern w:val="0"/>
          <w:highlight w:val="none"/>
          <w:u w:val="none" w:color="auto"/>
          <w:shd w:val="clear" w:color="auto" w:fill="auto"/>
        </w:rPr>
        <w:t>集う場で、服薬管理の一元管理の重要性に関する理解を深めます。加えて、オンラインによる服薬指導やお薬教室・相談会を実施し、高齢者及びその支援者のＩＣＴリテラシーの醸成を図り、対面による服薬指導を補完するためのオンライン服薬指導の普及を図ります。</w:t>
      </w:r>
    </w:p>
    <w:p>
      <w:pPr>
        <w:pStyle w:val="0"/>
        <w:ind w:left="227" w:leftChars="100" w:firstLine="227" w:firstLineChars="100"/>
        <w:rPr>
          <w:rFonts w:hint="default"/>
          <w:b w:val="1"/>
          <w:color w:val="auto"/>
          <w:kern w:val="0"/>
          <w:highlight w:val="none"/>
          <w:u w:val="none" w:color="auto"/>
          <w:shd w:val="pct15" w:color="auto" w:fill="auto"/>
        </w:rPr>
      </w:pPr>
      <w:r>
        <w:rPr>
          <w:rFonts w:hint="eastAsia"/>
          <w:b w:val="0"/>
          <w:color w:val="auto"/>
          <w:kern w:val="0"/>
          <w:highlight w:val="none"/>
          <w:u w:val="none" w:color="auto"/>
          <w:shd w:val="clear" w:color="auto" w:fill="auto"/>
        </w:rPr>
        <w:t>また、服薬情報の一元管理や医薬品の適正使用が期待できるＥＨＲや電子処方箋、マイナポータル等の普及や活用について、関係課や関係団体との検討を進めます。</w:t>
      </w:r>
    </w:p>
    <w:p>
      <w:pPr>
        <w:pStyle w:val="0"/>
        <w:ind w:left="227" w:leftChars="100" w:firstLine="227" w:firstLineChars="100"/>
        <w:rPr>
          <w:rFonts w:hint="default"/>
          <w:b w:val="1"/>
          <w:color w:val="3366FF"/>
          <w:kern w:val="0"/>
          <w:highlight w:val="none"/>
          <w:u w:val="single" w:color="auto"/>
          <w:shd w:val="pct15" w:color="auto" w:fill="auto"/>
        </w:rPr>
      </w:pPr>
      <w:r>
        <w:rPr>
          <w:rFonts w:hint="eastAsia"/>
          <w:b w:val="0"/>
          <w:color w:val="auto"/>
          <w:kern w:val="0"/>
          <w:highlight w:val="none"/>
          <w:u w:val="none" w:color="auto"/>
          <w:shd w:val="clear" w:color="auto" w:fill="auto"/>
        </w:rPr>
        <w:t>医療ＤＸについては、引き続き、マイナンバーカードの普及状況をはじめ国の動向を注視するとともに、県内の普及状況を踏まえながら、県民の理解の促進と薬局における活用を支援します。</w:t>
      </w: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ind w:left="227" w:leftChars="100" w:firstLine="227" w:firstLineChars="100"/>
        <w:rPr>
          <w:rFonts w:hint="default"/>
          <w:b w:val="1"/>
          <w:color w:val="3366FF"/>
          <w:kern w:val="0"/>
          <w:highlight w:val="none"/>
          <w:u w:val="none" w:color="auto"/>
          <w:shd w:val="pct15" w:color="auto" w:fill="auto"/>
        </w:rPr>
      </w:pPr>
    </w:p>
    <w:p>
      <w:pPr>
        <w:pStyle w:val="0"/>
        <w:rPr>
          <w:rFonts w:hint="default"/>
          <w:b w:val="1"/>
          <w:color w:val="3366FF"/>
          <w:kern w:val="0"/>
          <w:highlight w:val="none"/>
          <w:u w:val="none" w:color="auto"/>
          <w:shd w:val="pct15" w:color="auto" w:fill="auto"/>
        </w:rPr>
      </w:pPr>
      <w:r>
        <w:rPr>
          <w:rFonts w:hint="eastAsia"/>
          <w:b w:val="1"/>
          <w:color w:val="0070C0"/>
          <w:kern w:val="0"/>
          <w:highlight w:val="none"/>
          <w:u w:val="none" w:color="auto"/>
          <w:shd w:val="clear" w:color="auto" w:fill="auto"/>
        </w:rPr>
        <w:t>３　お薬手帳の利活用</w:t>
      </w:r>
    </w:p>
    <w:p>
      <w:pPr>
        <w:pStyle w:val="0"/>
        <w:rPr>
          <w:rFonts w:hint="eastAsia"/>
          <w:color w:val="000000"/>
          <w:kern w:val="0"/>
          <w:highlight w:val="none"/>
          <w:u w:val="none" w:color="auto"/>
          <w:shd w:val="clear" w:color="auto" w:fill="auto"/>
        </w:rPr>
      </w:pPr>
      <w:r>
        <w:rPr>
          <w:rFonts w:hint="eastAsia"/>
          <w:b w:val="1"/>
          <w:color w:val="0070C0"/>
          <w:kern w:val="0"/>
          <w:highlight w:val="none"/>
          <w:u w:val="none" w:color="auto"/>
          <w:shd w:val="clear" w:color="auto" w:fill="auto"/>
        </w:rPr>
        <w:t>　　</w:t>
      </w:r>
      <w:r>
        <w:rPr>
          <w:rFonts w:hint="eastAsia"/>
          <w:color w:val="000000"/>
          <w:kern w:val="0"/>
          <w:highlight w:val="none"/>
          <w:u w:val="none" w:color="auto"/>
          <w:shd w:val="clear" w:color="auto" w:fill="auto"/>
        </w:rPr>
        <w:t>お薬手帳の活用により、服薬情報の一元的・継続的管理が可能となり、重複投薬の防</w:t>
      </w:r>
    </w:p>
    <w:p>
      <w:pPr>
        <w:pStyle w:val="0"/>
        <w:ind w:left="227" w:leftChars="100" w:firstLine="0" w:firstLineChars="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止や災害時のスムーズな投薬治療等につながることから、その有用性やお薬手帳の一冊化について、改めて県民に周知します。</w:t>
      </w:r>
    </w:p>
    <w:p>
      <w:pPr>
        <w:pStyle w:val="0"/>
        <w:ind w:left="227" w:leftChars="100" w:firstLine="227" w:firstLineChars="100"/>
        <w:rPr>
          <w:rFonts w:hint="eastAsia"/>
          <w:b w:val="1"/>
          <w:color w:val="0070C0"/>
          <w:kern w:val="0"/>
          <w:highlight w:val="none"/>
        </w:rPr>
      </w:pPr>
      <w:r>
        <w:rPr>
          <w:rFonts w:hint="eastAsia"/>
          <w:color w:val="auto"/>
          <w:kern w:val="0"/>
          <w:highlight w:val="none"/>
          <w:u w:val="none" w:color="auto"/>
          <w:shd w:val="clear" w:color="auto" w:fill="auto"/>
        </w:rPr>
        <w:t>また、電子版お薬手帳は、マイナポータルの服薬情報に加え、一般用医薬品等の情報を登録することが可能なことや、こうした服薬情報を薬剤師等が把握することにより、適正な薬物治療の確保につながることなどについて、県民の理解の促進と普及を図ります。</w:t>
      </w:r>
    </w:p>
    <w:p>
      <w:pPr>
        <w:pStyle w:val="0"/>
        <w:ind w:left="227" w:leftChars="100" w:firstLine="227" w:firstLineChars="100"/>
        <w:rPr>
          <w:rFonts w:hint="eastAsia"/>
          <w:b w:val="1"/>
          <w:color w:val="0070C0"/>
          <w:kern w:val="0"/>
          <w:highlight w:val="none"/>
        </w:rPr>
      </w:pPr>
    </w:p>
    <w:p>
      <w:pPr>
        <w:pStyle w:val="0"/>
        <w:ind w:leftChars="0" w:firstLineChars="0"/>
        <w:rPr>
          <w:rFonts w:hint="eastAsia"/>
          <w:b w:val="1"/>
          <w:color w:val="FF0000"/>
          <w:kern w:val="0"/>
          <w:highlight w:val="none"/>
          <w:u w:val="single" w:color="auto"/>
        </w:rPr>
      </w:pPr>
      <w:r>
        <w:rPr>
          <w:rFonts w:hint="eastAsia"/>
          <w:b w:val="1"/>
          <w:color w:val="0070C0"/>
          <w:kern w:val="0"/>
          <w:highlight w:val="none"/>
          <w:u w:val="none" w:color="auto"/>
          <w:shd w:val="clear" w:color="auto" w:fill="auto"/>
        </w:rPr>
        <w:t>４　薬局間連携の強化</w:t>
      </w:r>
    </w:p>
    <w:p>
      <w:pPr>
        <w:pStyle w:val="0"/>
        <w:ind w:left="227" w:leftChars="100" w:firstLine="227" w:firstLineChars="100"/>
        <w:rPr>
          <w:rFonts w:hint="eastAsia"/>
          <w:b w:val="1"/>
          <w:color w:val="0070C0"/>
          <w:kern w:val="0"/>
          <w:highlight w:val="none"/>
        </w:rPr>
      </w:pPr>
      <w:r>
        <w:rPr>
          <w:rFonts w:hint="eastAsia"/>
          <w:b w:val="0"/>
          <w:color w:val="auto"/>
          <w:kern w:val="0"/>
          <w:highlight w:val="none"/>
          <w:u w:val="none" w:color="auto"/>
          <w:shd w:val="clear" w:color="auto" w:fill="auto"/>
        </w:rPr>
        <w:t>薬局間の医薬品の融通はもとより、地域での健康サポート活動や、在宅訪問、</w:t>
      </w:r>
      <w:r>
        <w:rPr>
          <w:rFonts w:hint="eastAsia"/>
          <w:b w:val="0"/>
          <w:color w:val="auto"/>
          <w:kern w:val="0"/>
          <w:highlight w:val="none"/>
          <w:u w:val="none" w:color="auto"/>
          <w:shd w:val="clear" w:color="auto" w:fill="auto"/>
        </w:rPr>
        <w:t>24</w:t>
      </w:r>
      <w:r>
        <w:rPr>
          <w:rFonts w:hint="eastAsia"/>
          <w:b w:val="0"/>
          <w:color w:val="auto"/>
          <w:kern w:val="0"/>
          <w:highlight w:val="none"/>
          <w:u w:val="none" w:color="auto"/>
          <w:shd w:val="clear" w:color="auto" w:fill="auto"/>
        </w:rPr>
        <w:t>時間対応等のかかりつけ機能について、その対応可能な範囲等を薬局間等で共有し、患者やその家族、また地域住民の様々なニーズに対応できる薬局連携体制を整備するとともに、多職種</w:t>
      </w:r>
      <w:r>
        <w:rPr>
          <w:rFonts w:hint="eastAsia"/>
          <w:b w:val="0"/>
          <w:strike w:val="0"/>
          <w:dstrike w:val="0"/>
          <w:color w:val="auto"/>
          <w:kern w:val="0"/>
          <w:highlight w:val="none"/>
          <w:u w:val="none" w:color="auto"/>
          <w:shd w:val="clear" w:color="auto" w:fill="auto"/>
        </w:rPr>
        <w:t>連携</w:t>
      </w:r>
      <w:r>
        <w:rPr>
          <w:rFonts w:hint="eastAsia"/>
          <w:b w:val="0"/>
          <w:color w:val="auto"/>
          <w:kern w:val="0"/>
          <w:highlight w:val="none"/>
          <w:u w:val="none" w:color="auto"/>
          <w:shd w:val="clear" w:color="auto" w:fill="auto"/>
        </w:rPr>
        <w:t>を強化します。</w:t>
      </w:r>
    </w:p>
    <w:p>
      <w:pPr>
        <w:pStyle w:val="0"/>
        <w:ind w:left="227" w:leftChars="100" w:firstLine="227" w:firstLineChars="100"/>
        <w:rPr>
          <w:rFonts w:hint="eastAsia"/>
          <w:b w:val="1"/>
          <w:color w:val="0070C0"/>
          <w:kern w:val="0"/>
          <w:highlight w:val="none"/>
        </w:rPr>
      </w:pPr>
    </w:p>
    <w:p>
      <w:pPr>
        <w:pStyle w:val="0"/>
        <w:rPr>
          <w:rFonts w:hint="default"/>
          <w:b w:val="1"/>
          <w:color w:val="0070C0"/>
          <w:kern w:val="0"/>
          <w:highlight w:val="none"/>
          <w:shd w:val="clear" w:color="auto" w:fill="auto"/>
        </w:rPr>
      </w:pPr>
      <w:r>
        <w:rPr>
          <w:rFonts w:hint="eastAsia"/>
          <w:b w:val="1"/>
          <w:color w:val="0070C0"/>
          <w:kern w:val="0"/>
          <w:highlight w:val="none"/>
          <w:shd w:val="clear" w:color="auto" w:fill="auto"/>
        </w:rPr>
        <w:t>５　薬局機能情報の提供</w:t>
      </w:r>
    </w:p>
    <w:p>
      <w:pPr>
        <w:pStyle w:val="0"/>
        <w:ind w:left="220" w:leftChars="100" w:firstLine="220" w:firstLineChars="100"/>
        <w:rPr>
          <w:rFonts w:hint="eastAsia"/>
          <w:kern w:val="0"/>
          <w:highlight w:val="none"/>
          <w:shd w:val="clear" w:color="auto" w:fill="auto"/>
        </w:rPr>
      </w:pPr>
      <w:r>
        <w:rPr>
          <w:rFonts w:hint="eastAsia"/>
          <w:color w:val="000000"/>
          <w:kern w:val="0"/>
          <w:highlight w:val="none"/>
          <w:u w:val="none" w:color="auto"/>
          <w:shd w:val="clear" w:color="auto" w:fill="auto"/>
        </w:rPr>
        <w:t>薬局機能情報提供制度により登録された情報について、薬局開設者に対して定期的に情報を確認するとともに、情報の更新が必要となった場合には速やかに対応するよう徹底して、情報の精度を高めます。</w:t>
      </w:r>
    </w:p>
    <w:p>
      <w:pPr>
        <w:pStyle w:val="0"/>
        <w:ind w:left="220" w:leftChars="100" w:firstLine="220" w:firstLineChars="100"/>
        <w:rPr>
          <w:rFonts w:hint="eastAsia"/>
          <w:kern w:val="0"/>
          <w:highlight w:val="none"/>
          <w:shd w:val="clear" w:color="auto" w:fill="auto"/>
        </w:rPr>
      </w:pPr>
    </w:p>
    <w:p>
      <w:pPr>
        <w:pStyle w:val="0"/>
        <w:rPr>
          <w:rFonts w:hint="eastAsia"/>
          <w:b w:val="1"/>
          <w:color w:val="0070C0"/>
          <w:kern w:val="0"/>
          <w:highlight w:val="none"/>
          <w:u w:val="none" w:color="auto"/>
          <w:shd w:val="clear" w:color="auto" w:fill="auto"/>
        </w:rPr>
      </w:pPr>
      <w:r>
        <w:rPr>
          <w:rFonts w:hint="eastAsia"/>
          <w:b w:val="1"/>
          <w:color w:val="0070C0"/>
          <w:kern w:val="0"/>
          <w:highlight w:val="none"/>
          <w:u w:val="none" w:color="auto"/>
          <w:shd w:val="clear" w:color="auto" w:fill="auto"/>
        </w:rPr>
        <w:t>６　災害時の医薬品供給体制等</w:t>
      </w:r>
    </w:p>
    <w:p>
      <w:pPr>
        <w:pStyle w:val="0"/>
        <w:ind w:left="220" w:leftChars="100" w:firstLine="220" w:firstLineChars="10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市町村や地域の医師会、歯科医師会、薬剤師会、看護協会等の関係機関や薬業団体と連携し、</w:t>
      </w:r>
      <w:r>
        <w:rPr>
          <w:rFonts w:hint="eastAsia"/>
          <w:color w:val="auto"/>
          <w:kern w:val="0"/>
          <w:highlight w:val="none"/>
          <w:u w:val="none" w:color="auto"/>
        </w:rPr>
        <w:t>医療救護活動</w:t>
      </w:r>
      <w:r>
        <w:rPr>
          <w:rFonts w:hint="eastAsia"/>
          <w:color w:val="000000"/>
          <w:kern w:val="0"/>
          <w:highlight w:val="none"/>
          <w:u w:val="none" w:color="auto"/>
          <w:shd w:val="clear" w:color="auto" w:fill="auto"/>
        </w:rPr>
        <w:t>に必要となる医薬品等の確保対策や薬剤師の配置等を進めるとともに、</w:t>
      </w:r>
      <w:r>
        <w:rPr>
          <w:rFonts w:hint="eastAsia"/>
          <w:color w:val="000000"/>
          <w:highlight w:val="none"/>
          <w:u w:val="none" w:color="auto"/>
          <w:shd w:val="clear" w:color="auto" w:fill="auto"/>
        </w:rPr>
        <w:t>地域の</w:t>
      </w:r>
      <w:r>
        <w:rPr>
          <w:rFonts w:hint="eastAsia"/>
          <w:color w:val="000000"/>
          <w:kern w:val="0"/>
          <w:highlight w:val="none"/>
          <w:u w:val="none" w:color="auto"/>
          <w:shd w:val="clear" w:color="auto" w:fill="auto"/>
        </w:rPr>
        <w:t>薬局が保有する医薬品等の供給や薬剤師派遣がスムーズにできるよう、地域の行動計画の策定を進めます。</w:t>
      </w:r>
    </w:p>
    <w:p>
      <w:pPr>
        <w:pStyle w:val="0"/>
        <w:spacing w:after="165" w:afterLines="50" w:afterAutospacing="0"/>
        <w:ind w:left="220" w:leftChars="100" w:firstLine="220" w:firstLineChars="100"/>
        <w:rPr>
          <w:rFonts w:hint="eastAsia"/>
          <w:color w:val="000000"/>
          <w:kern w:val="0"/>
          <w:highlight w:val="none"/>
          <w:u w:val="none" w:color="auto"/>
          <w:shd w:val="clear" w:color="auto" w:fill="auto"/>
        </w:rPr>
      </w:pPr>
      <w:r>
        <w:rPr>
          <w:rFonts w:hint="eastAsia"/>
          <w:color w:val="000000"/>
          <w:kern w:val="0"/>
          <w:highlight w:val="none"/>
          <w:u w:val="none" w:color="auto"/>
          <w:shd w:val="clear" w:color="auto" w:fill="auto"/>
        </w:rPr>
        <w:t>また、災害薬事コーディネーター</w:t>
      </w:r>
      <w:r>
        <w:rPr>
          <w:rFonts w:hint="eastAsia"/>
          <w:color w:val="000000"/>
          <w:kern w:val="0"/>
          <w:sz w:val="22"/>
          <w:highlight w:val="none"/>
          <w:u w:val="none" w:color="auto"/>
          <w:shd w:val="clear" w:color="auto" w:fill="auto"/>
          <w:vertAlign w:val="superscript"/>
        </w:rPr>
        <w:t>（注２</w:t>
      </w:r>
      <w:r>
        <w:rPr>
          <w:rFonts w:hint="default"/>
          <w:color w:val="000000"/>
          <w:kern w:val="0"/>
          <w:sz w:val="22"/>
          <w:highlight w:val="none"/>
          <w:u w:val="none" w:color="auto"/>
          <w:shd w:val="clear" w:color="auto" w:fill="auto"/>
          <w:vertAlign w:val="superscript"/>
        </w:rPr>
        <w:t>）</w:t>
      </w:r>
      <w:r>
        <w:rPr>
          <w:rFonts w:hint="eastAsia"/>
          <w:color w:val="000000"/>
          <w:kern w:val="0"/>
          <w:highlight w:val="none"/>
          <w:u w:val="none" w:color="auto"/>
          <w:shd w:val="clear" w:color="auto" w:fill="auto"/>
        </w:rPr>
        <w:t>のスキルアップを図るとともに、地域の医療救護活動に参加する薬剤師のリーダーとなる人材を育成するための研修会や訓練を実施します。</w:t>
      </w:r>
    </w:p>
    <w:p>
      <w:pPr>
        <w:pStyle w:val="0"/>
        <w:autoSpaceDE w:val="0"/>
        <w:autoSpaceDN w:val="0"/>
        <w:adjustRightInd w:val="0"/>
        <w:spacing w:line="240" w:lineRule="exact"/>
        <w:ind w:left="890" w:leftChars="100" w:right="41" w:rightChars="18" w:hanging="664" w:hangingChars="400"/>
        <w:jc w:val="left"/>
        <w:rPr>
          <w:rFonts w:hint="eastAsia"/>
          <w:kern w:val="0"/>
          <w:sz w:val="16"/>
          <w:highlight w:val="none"/>
          <w:shd w:val="clear" w:color="auto" w:fill="auto"/>
        </w:rPr>
      </w:pPr>
      <w:r>
        <w:rPr>
          <w:rFonts w:hint="eastAsia"/>
          <w:kern w:val="0"/>
          <w:sz w:val="16"/>
          <w:highlight w:val="none"/>
          <w:shd w:val="clear" w:color="auto" w:fill="auto"/>
        </w:rPr>
        <w:t>（注２）大規模災害の発生時に、高知県災害医療対策本部及び支部において医薬品などの供給及び薬剤師派遣についての調整を行う。コーディネーターは、薬局薬剤師や病院薬剤師等の中から知事（高知市においては高知市長）があらかじめ委嘱する。</w:t>
      </w:r>
    </w:p>
    <w:p>
      <w:pPr>
        <w:pStyle w:val="0"/>
        <w:autoSpaceDE w:val="0"/>
        <w:autoSpaceDN w:val="0"/>
        <w:adjustRightInd w:val="0"/>
        <w:ind w:leftChars="0" w:firstLineChars="0"/>
        <w:jc w:val="left"/>
        <w:rPr>
          <w:rFonts w:hint="eastAsia"/>
          <w:kern w:val="0"/>
          <w:highlight w:val="none"/>
        </w:rPr>
      </w:pPr>
    </w:p>
    <w:p>
      <w:pPr>
        <w:pStyle w:val="0"/>
        <w:autoSpaceDE w:val="0"/>
        <w:autoSpaceDN w:val="0"/>
        <w:adjustRightInd w:val="0"/>
        <w:jc w:val="left"/>
        <w:rPr>
          <w:rFonts w:hint="default"/>
          <w:highlight w:val="none"/>
        </w:rPr>
      </w:pPr>
      <w:r>
        <w:rPr>
          <w:rFonts w:hint="eastAsia"/>
          <w:b w:val="1"/>
          <w:kern w:val="0"/>
          <w:highlight w:val="none"/>
          <w:bdr w:val="single" w:color="auto" w:sz="4" w:space="0"/>
          <w:shd w:val="clear" w:color="auto" w:fill="E5DFEC"/>
        </w:rPr>
        <w:t>目標</w:t>
      </w:r>
    </w:p>
    <w:p>
      <w:pPr>
        <w:pStyle w:val="0"/>
        <w:ind w:left="227" w:leftChars="100" w:firstLine="0" w:firstLineChars="0"/>
        <w:rPr>
          <w:rFonts w:hint="eastAsia"/>
          <w:color w:val="FF0000"/>
          <w:highlight w:val="none"/>
        </w:rPr>
      </w:pPr>
      <w:r>
        <w:rPr>
          <w:rFonts w:hint="eastAsia"/>
          <w:color w:val="auto"/>
          <w:highlight w:val="none"/>
        </w:rPr>
        <w:t>○</w:t>
      </w:r>
      <w:r>
        <w:rPr>
          <w:rFonts w:hint="eastAsia"/>
          <w:color w:val="FF0000"/>
          <w:highlight w:val="none"/>
        </w:rPr>
        <w:t xml:space="preserve"> </w:t>
      </w:r>
      <w:r>
        <w:rPr>
          <w:rFonts w:hint="eastAsia"/>
          <w:color w:val="auto"/>
          <w:highlight w:val="none"/>
          <w:u w:val="none" w:color="auto"/>
        </w:rPr>
        <w:t>オンライン服薬指導に対応可能な薬局数を増やします。　（区分：</w:t>
      </w:r>
      <w:r>
        <w:rPr>
          <w:rFonts w:hint="eastAsia"/>
          <w:color w:val="auto"/>
          <w:highlight w:val="none"/>
          <w:u w:val="none" w:color="auto"/>
        </w:rPr>
        <w:t>P</w:t>
      </w:r>
      <w:r>
        <w:rPr>
          <w:rFonts w:hint="eastAsia"/>
          <w:color w:val="auto"/>
          <w:highlight w:val="none"/>
          <w:u w:val="none" w:color="auto"/>
        </w:rPr>
        <w:t>）</w:t>
      </w:r>
    </w:p>
    <w:p>
      <w:pPr>
        <w:pStyle w:val="0"/>
        <w:rPr>
          <w:rFonts w:hint="default"/>
          <w:dstrike w:val="1"/>
          <w:color w:val="000000"/>
          <w:highlight w:val="none"/>
          <w:u w:val="none" w:color="auto"/>
        </w:rPr>
      </w:pPr>
      <w:r>
        <w:rPr>
          <w:rFonts w:hint="eastAsia"/>
          <w:highlight w:val="none"/>
        </w:rPr>
        <mc:AlternateContent>
          <mc:Choice Requires="wps">
            <w:drawing>
              <wp:anchor distT="0" distB="0" distL="71755" distR="71755" simplePos="0" relativeHeight="5" behindDoc="0" locked="0" layoutInCell="1" hidden="0" allowOverlap="1">
                <wp:simplePos x="0" y="0"/>
                <wp:positionH relativeFrom="column">
                  <wp:posOffset>86360</wp:posOffset>
                </wp:positionH>
                <wp:positionV relativeFrom="paragraph">
                  <wp:posOffset>40640</wp:posOffset>
                </wp:positionV>
                <wp:extent cx="5646420" cy="21082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5646420" cy="21082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pt;mso-position-vertical-relative:text;mso-position-horizontal-relative:text;position:absolute;height:16.600000000000001pt;mso-wrap-distance-top:0pt;width:444.6pt;mso-wrap-distance-left:5.65pt;margin-left:6.8pt;z-index:5;" o:spid="_x0000_s105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rPr>
          <w:rFonts w:hint="default"/>
          <w:b w:val="1"/>
          <w:color w:val="1F497D"/>
          <w:spacing w:val="6"/>
          <w:sz w:val="28"/>
          <w:highlight w:val="none"/>
        </w:rPr>
      </w:pPr>
    </w:p>
    <w:p>
      <w:pPr>
        <w:pStyle w:val="0"/>
        <w:rPr>
          <w:rFonts w:hint="default"/>
          <w:b w:val="1"/>
          <w:color w:val="1F497D"/>
          <w:spacing w:val="6"/>
          <w:sz w:val="28"/>
          <w:highlight w:val="none"/>
        </w:rPr>
      </w:pPr>
    </w:p>
    <w:p>
      <w:pPr>
        <w:pStyle w:val="0"/>
        <w:rPr>
          <w:rFonts w:hint="default"/>
          <w:b w:val="1"/>
          <w:color w:val="1F497D"/>
          <w:spacing w:val="6"/>
          <w:sz w:val="28"/>
          <w:highlight w:val="none"/>
        </w:rPr>
      </w:pPr>
      <w:r>
        <w:rPr>
          <w:rFonts w:hint="eastAsia"/>
          <w:b w:val="1"/>
          <w:color w:val="1F497D"/>
          <w:sz w:val="28"/>
          <w:highlight w:val="none"/>
        </w:rPr>
        <w:t>第４節　</w:t>
      </w:r>
      <w:r>
        <w:rPr>
          <w:rFonts w:hint="eastAsia"/>
          <w:b w:val="1"/>
          <w:color w:val="203764" w:themeColor="accent5" w:themeShade="80"/>
          <w:sz w:val="28"/>
          <w:highlight w:val="none"/>
        </w:rPr>
        <w:t>公立・公的病院等及び社会医療法人、地域医療支援病院の役割</w:t>
      </w:r>
    </w:p>
    <w:p>
      <w:pPr>
        <w:pStyle w:val="0"/>
        <w:rPr>
          <w:rFonts w:hint="default"/>
          <w:highlight w:val="none"/>
        </w:rPr>
      </w:pPr>
    </w:p>
    <w:p>
      <w:pPr>
        <w:pStyle w:val="0"/>
        <w:spacing w:after="165" w:afterLines="50" w:afterAutospacing="0"/>
        <w:ind w:right="70" w:rightChars="31" w:firstLine="226" w:firstLineChars="100"/>
        <w:rPr>
          <w:rFonts w:hint="default"/>
          <w:color w:val="000000" w:themeColor="text1"/>
          <w:highlight w:val="none"/>
        </w:rPr>
      </w:pPr>
      <w:r>
        <w:rPr>
          <w:rFonts w:hint="eastAsia"/>
          <w:color w:val="auto"/>
          <w:highlight w:val="none"/>
          <w:u w:val="none" w:color="auto"/>
        </w:rPr>
        <w:t>公立病院をはじめとする公的病院等</w:t>
      </w:r>
      <w:r>
        <w:rPr>
          <w:rFonts w:hint="eastAsia"/>
          <w:color w:val="auto"/>
          <w:sz w:val="16"/>
          <w:highlight w:val="none"/>
          <w:u w:val="none" w:color="auto"/>
          <w:vertAlign w:val="superscript"/>
        </w:rPr>
        <w:t>（注</w:t>
      </w:r>
      <w:r>
        <w:rPr>
          <w:rFonts w:hint="eastAsia"/>
          <w:color w:val="auto"/>
          <w:sz w:val="16"/>
          <w:highlight w:val="none"/>
          <w:u w:val="none" w:color="auto"/>
          <w:vertAlign w:val="superscript"/>
        </w:rPr>
        <w:t>1</w:t>
      </w:r>
      <w:r>
        <w:rPr>
          <w:rFonts w:hint="eastAsia"/>
          <w:color w:val="auto"/>
          <w:sz w:val="16"/>
          <w:highlight w:val="none"/>
          <w:u w:val="none" w:color="auto"/>
          <w:vertAlign w:val="superscript"/>
        </w:rPr>
        <w:t>）</w:t>
      </w:r>
      <w:r>
        <w:rPr>
          <w:rFonts w:hint="eastAsia"/>
          <w:color w:val="auto"/>
          <w:highlight w:val="none"/>
          <w:u w:val="none" w:color="auto"/>
        </w:rPr>
        <w:t>や社会医療法人、地域医療支援病院等については、地域で求められる医療を提供する体制を確保するため、５疾病６事業及び在宅医療などの政策医療において、大きな役割を担っており、引き続き、医療機関ごとの機能分担の整理や円滑な医療連携</w:t>
      </w:r>
      <w:r>
        <w:rPr>
          <w:rFonts w:hint="eastAsia"/>
          <w:strike w:val="0"/>
          <w:dstrike w:val="0"/>
          <w:color w:val="auto"/>
          <w:highlight w:val="none"/>
          <w:u w:val="none" w:color="auto"/>
        </w:rPr>
        <w:t>の構築</w:t>
      </w:r>
      <w:r>
        <w:rPr>
          <w:rFonts w:hint="eastAsia"/>
          <w:color w:val="auto"/>
          <w:highlight w:val="none"/>
          <w:u w:val="none" w:color="auto"/>
        </w:rPr>
        <w:t>を進めていく必要があります</w:t>
      </w:r>
      <w:r>
        <w:rPr>
          <w:rFonts w:hint="eastAsia"/>
          <w:color w:val="000000" w:themeColor="text1"/>
          <w:highlight w:val="none"/>
        </w:rPr>
        <w:t>。</w:t>
      </w:r>
    </w:p>
    <w:p>
      <w:pPr>
        <w:pStyle w:val="0"/>
        <w:snapToGrid w:val="0"/>
        <w:ind w:leftChars="0" w:right="41" w:rightChars="18" w:hanging="627" w:hangingChars="376"/>
        <w:rPr>
          <w:rFonts w:hint="default"/>
          <w:sz w:val="16"/>
          <w:highlight w:val="none"/>
        </w:rPr>
      </w:pPr>
      <w:r>
        <w:rPr>
          <w:rFonts w:hint="eastAsia"/>
          <w:color w:val="auto"/>
          <w:sz w:val="16"/>
          <w:highlight w:val="none"/>
        </w:rPr>
        <w:t>（注</w:t>
      </w:r>
      <w:r>
        <w:rPr>
          <w:rFonts w:hint="eastAsia"/>
          <w:color w:val="auto"/>
          <w:sz w:val="16"/>
          <w:highlight w:val="none"/>
        </w:rPr>
        <w:t>1</w:t>
      </w:r>
      <w:r>
        <w:rPr>
          <w:rFonts w:hint="eastAsia"/>
          <w:color w:val="auto"/>
          <w:sz w:val="16"/>
          <w:highlight w:val="none"/>
        </w:rPr>
        <w:t>）医療法に規定される公的医療機関等は、都道府県や市町村、地方公共団体の組合、日本赤十字社、厚生農業協同組合連合会、独立行政法人地域医療機能推進機構などが設立する病院ですが、本計画では、平成</w:t>
      </w:r>
      <w:r>
        <w:rPr>
          <w:rFonts w:hint="eastAsia"/>
          <w:color w:val="auto"/>
          <w:sz w:val="16"/>
          <w:highlight w:val="none"/>
        </w:rPr>
        <w:t>29</w:t>
      </w:r>
      <w:r>
        <w:rPr>
          <w:rFonts w:hint="eastAsia"/>
          <w:color w:val="auto"/>
          <w:sz w:val="16"/>
          <w:highlight w:val="none"/>
        </w:rPr>
        <w:t>年</w:t>
      </w:r>
      <w:r>
        <w:rPr>
          <w:rFonts w:hint="eastAsia"/>
          <w:color w:val="auto"/>
          <w:sz w:val="16"/>
          <w:highlight w:val="none"/>
        </w:rPr>
        <w:t>8</w:t>
      </w:r>
      <w:r>
        <w:rPr>
          <w:rFonts w:hint="eastAsia"/>
          <w:color w:val="auto"/>
          <w:sz w:val="16"/>
          <w:highlight w:val="none"/>
        </w:rPr>
        <w:t>月</w:t>
      </w:r>
      <w:r>
        <w:rPr>
          <w:rFonts w:hint="eastAsia"/>
          <w:color w:val="auto"/>
          <w:sz w:val="16"/>
          <w:highlight w:val="none"/>
        </w:rPr>
        <w:t>4</w:t>
      </w:r>
      <w:r>
        <w:rPr>
          <w:rFonts w:hint="eastAsia"/>
          <w:color w:val="auto"/>
          <w:sz w:val="16"/>
          <w:highlight w:val="none"/>
        </w:rPr>
        <w:t>日医政局長通知「地域医療構想を踏まえた「公的医療機関等</w:t>
      </w:r>
      <w:r>
        <w:rPr>
          <w:rFonts w:hint="eastAsia"/>
          <w:color w:val="auto"/>
          <w:sz w:val="16"/>
          <w:highlight w:val="none"/>
        </w:rPr>
        <w:t>2025</w:t>
      </w:r>
      <w:r>
        <w:rPr>
          <w:rFonts w:hint="eastAsia"/>
          <w:color w:val="auto"/>
          <w:sz w:val="16"/>
          <w:highlight w:val="none"/>
        </w:rPr>
        <w:t>プラン」の策定について」に基づき、独立行政法人国立病院機構、地域医療支援病院、特定機能病院が開設する病院を含めて記載。</w:t>
      </w:r>
    </w:p>
    <w:p>
      <w:pPr>
        <w:pStyle w:val="0"/>
        <w:spacing w:line="0" w:lineRule="atLeast"/>
        <w:rPr>
          <w:rFonts w:hint="default"/>
          <w:sz w:val="22"/>
          <w:highlight w:val="none"/>
        </w:rPr>
      </w:pPr>
    </w:p>
    <w:p>
      <w:pPr>
        <w:pStyle w:val="0"/>
        <w:rPr>
          <w:rFonts w:hint="default"/>
          <w:b w:val="1"/>
          <w:color w:val="0070C0"/>
          <w:highlight w:val="none"/>
        </w:rPr>
      </w:pPr>
      <w:r>
        <w:rPr>
          <w:rFonts w:hint="eastAsia"/>
          <w:b w:val="1"/>
          <w:color w:val="0070C0"/>
          <w:highlight w:val="none"/>
        </w:rPr>
        <w:t>１　公立・公的病院等の現状と役割</w:t>
      </w:r>
    </w:p>
    <w:p>
      <w:pPr>
        <w:pStyle w:val="0"/>
        <w:ind w:left="227" w:leftChars="100" w:firstLine="227" w:firstLineChars="100"/>
        <w:rPr>
          <w:rFonts w:hint="default"/>
          <w:sz w:val="16"/>
          <w:highlight w:val="none"/>
        </w:rPr>
      </w:pPr>
      <w:r>
        <w:rPr>
          <w:rFonts w:hint="eastAsia"/>
          <w:color w:val="000000"/>
          <w:highlight w:val="none"/>
          <w:u w:val="none" w:color="auto"/>
        </w:rPr>
        <w:t>県内には、県や市町村、日本赤十字社、厚生農業協同組合連合会などが開設する</w:t>
      </w:r>
      <w:r>
        <w:rPr>
          <w:rFonts w:hint="eastAsia"/>
          <w:color w:val="auto"/>
          <w:highlight w:val="none"/>
          <w:u w:val="none" w:color="auto"/>
        </w:rPr>
        <w:t>16</w:t>
      </w:r>
      <w:r>
        <w:rPr>
          <w:rFonts w:hint="eastAsia"/>
          <w:color w:val="auto"/>
          <w:highlight w:val="none"/>
          <w:u w:val="none" w:color="auto"/>
        </w:rPr>
        <w:t>の公立・公的病院等があります。病床数は合計で</w:t>
      </w:r>
      <w:r>
        <w:rPr>
          <w:rFonts w:hint="eastAsia"/>
          <w:color w:val="auto"/>
          <w:highlight w:val="none"/>
          <w:u w:val="none" w:color="auto"/>
        </w:rPr>
        <w:t>4,096</w:t>
      </w:r>
      <w:r>
        <w:rPr>
          <w:rFonts w:hint="eastAsia"/>
          <w:color w:val="auto"/>
          <w:highlight w:val="none"/>
          <w:u w:val="none" w:color="auto"/>
        </w:rPr>
        <w:t>床で県下全体の</w:t>
      </w:r>
      <w:r>
        <w:rPr>
          <w:rFonts w:hint="eastAsia"/>
          <w:color w:val="auto"/>
          <w:highlight w:val="none"/>
          <w:u w:val="none" w:color="auto"/>
        </w:rPr>
        <w:t>24.5</w:t>
      </w:r>
      <w:r>
        <w:rPr>
          <w:rFonts w:hint="eastAsia"/>
          <w:color w:val="000000"/>
          <w:highlight w:val="none"/>
          <w:u w:val="none" w:color="auto"/>
        </w:rPr>
        <w:t>％を占めています。</w:t>
      </w:r>
    </w:p>
    <w:p>
      <w:pPr>
        <w:pStyle w:val="0"/>
        <w:widowControl w:val="1"/>
        <w:spacing w:before="165" w:beforeLines="50" w:beforeAutospacing="0" w:after="24" w:afterLines="0" w:afterAutospacing="0" w:line="240" w:lineRule="exact"/>
        <w:ind w:left="7" w:leftChars="3" w:firstLine="2601" w:firstLineChars="1200"/>
        <w:jc w:val="left"/>
        <w:rPr>
          <w:rFonts w:hint="eastAsia"/>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5-4-1</w:t>
      </w:r>
      <w:r>
        <w:rPr>
          <w:rFonts w:hint="eastAsia" w:ascii="ＭＳ ゴシック" w:hAnsi="ＭＳ ゴシック" w:eastAsia="ＭＳ ゴシック"/>
          <w:sz w:val="22"/>
          <w:highlight w:val="none"/>
        </w:rPr>
        <w:t>）公的病院の設置状況</w:t>
      </w:r>
      <w:r>
        <w:rPr>
          <w:rFonts w:hint="eastAsia"/>
          <w:sz w:val="16"/>
          <w:highlight w:val="none"/>
        </w:rPr>
        <w:t>　　　　　</w:t>
      </w:r>
      <w:r>
        <w:rPr>
          <w:rFonts w:hint="eastAsia"/>
          <w:color w:val="auto"/>
          <w:sz w:val="16"/>
          <w:highlight w:val="none"/>
          <w:u w:val="none" w:color="auto"/>
        </w:rPr>
        <w:t>令和</w:t>
      </w:r>
      <w:r>
        <w:rPr>
          <w:rFonts w:hint="eastAsia"/>
          <w:color w:val="auto"/>
          <w:sz w:val="16"/>
          <w:highlight w:val="none"/>
          <w:u w:val="none" w:color="auto"/>
        </w:rPr>
        <w:t>5</w:t>
      </w:r>
      <w:r>
        <w:rPr>
          <w:rFonts w:hint="eastAsia"/>
          <w:color w:val="auto"/>
          <w:sz w:val="16"/>
          <w:highlight w:val="none"/>
          <w:u w:val="none" w:color="auto"/>
        </w:rPr>
        <w:t>年</w:t>
      </w:r>
      <w:r>
        <w:rPr>
          <w:rFonts w:hint="eastAsia"/>
          <w:color w:val="auto"/>
          <w:sz w:val="16"/>
          <w:highlight w:val="none"/>
          <w:u w:val="none" w:color="auto"/>
        </w:rPr>
        <w:t>12</w:t>
      </w:r>
      <w:r>
        <w:rPr>
          <w:rFonts w:hint="eastAsia"/>
          <w:color w:val="auto"/>
          <w:sz w:val="16"/>
          <w:highlight w:val="none"/>
          <w:u w:val="none" w:color="auto"/>
        </w:rPr>
        <w:t>月</w:t>
      </w:r>
      <w:r>
        <w:rPr>
          <w:rFonts w:hint="eastAsia"/>
          <w:color w:val="auto"/>
          <w:sz w:val="16"/>
          <w:highlight w:val="none"/>
          <w:u w:val="none" w:color="auto"/>
        </w:rPr>
        <w:t>31</w:t>
      </w:r>
      <w:r>
        <w:rPr>
          <w:rFonts w:hint="eastAsia"/>
          <w:color w:val="auto"/>
          <w:sz w:val="16"/>
          <w:highlight w:val="none"/>
          <w:u w:val="none" w:color="auto"/>
        </w:rPr>
        <w:t>日</w:t>
      </w:r>
      <w:r>
        <w:rPr>
          <w:rFonts w:hint="eastAsia"/>
          <w:sz w:val="16"/>
          <w:highlight w:val="none"/>
        </w:rPr>
        <w:t>現在</w:t>
      </w:r>
    </w:p>
    <w:p>
      <w:pPr>
        <w:pStyle w:val="0"/>
        <w:ind w:left="0" w:leftChars="0" w:hanging="438" w:hangingChars="199"/>
        <w:rPr>
          <w:rFonts w:hint="eastAsia"/>
          <w:highlight w:val="none"/>
        </w:rPr>
      </w:pPr>
      <w:r>
        <w:rPr>
          <w:rFonts w:hint="eastAsia"/>
          <w:highlight w:val="none"/>
        </w:rPr>
        <w:drawing>
          <wp:inline distT="0" distB="0" distL="203200" distR="203200">
            <wp:extent cx="5759450" cy="461962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10"/>
                    <a:stretch>
                      <a:fillRect/>
                    </a:stretch>
                  </pic:blipFill>
                  <pic:spPr>
                    <a:xfrm>
                      <a:off x="0" y="0"/>
                      <a:ext cx="5759450" cy="4619625"/>
                    </a:xfrm>
                    <a:prstGeom prst="rect">
                      <a:avLst/>
                    </a:prstGeom>
                  </pic:spPr>
                </pic:pic>
              </a:graphicData>
            </a:graphic>
          </wp:inline>
        </w:drawing>
      </w:r>
    </w:p>
    <w:p>
      <w:pPr>
        <w:pStyle w:val="0"/>
        <w:ind w:left="227" w:leftChars="100" w:right="0" w:rightChars="0" w:firstLine="227" w:firstLineChars="100"/>
        <w:rPr>
          <w:rFonts w:hint="eastAsia"/>
          <w:color w:val="000000"/>
          <w:highlight w:val="none"/>
          <w:u w:val="none" w:color="auto"/>
        </w:rPr>
      </w:pPr>
    </w:p>
    <w:p>
      <w:pPr>
        <w:pStyle w:val="0"/>
        <w:ind w:left="227" w:leftChars="100" w:right="0" w:rightChars="0" w:firstLine="227" w:firstLineChars="100"/>
        <w:rPr>
          <w:rFonts w:hint="eastAsia"/>
          <w:color w:val="000000"/>
          <w:highlight w:val="none"/>
          <w:u w:val="none" w:color="auto"/>
        </w:rPr>
      </w:pPr>
    </w:p>
    <w:p>
      <w:pPr>
        <w:pStyle w:val="0"/>
        <w:ind w:left="227" w:leftChars="100" w:right="0" w:rightChars="0" w:firstLine="227" w:firstLineChars="100"/>
        <w:rPr>
          <w:rFonts w:hint="eastAsia"/>
          <w:color w:val="000000"/>
          <w:highlight w:val="none"/>
          <w:u w:val="none" w:color="auto"/>
        </w:rPr>
      </w:pPr>
    </w:p>
    <w:p>
      <w:pPr>
        <w:pStyle w:val="0"/>
        <w:ind w:left="226" w:leftChars="100" w:right="70" w:rightChars="31" w:firstLine="226" w:firstLineChars="100"/>
        <w:rPr>
          <w:rFonts w:hint="eastAsia"/>
          <w:color w:val="auto"/>
          <w:highlight w:val="none"/>
          <w:u w:val="none" w:color="auto"/>
        </w:rPr>
      </w:pPr>
      <w:r>
        <w:rPr>
          <w:rFonts w:hint="eastAsia"/>
          <w:color w:val="auto"/>
          <w:highlight w:val="none"/>
          <w:u w:val="none" w:color="auto"/>
        </w:rPr>
        <w:t>公立・公的病院等には、地域に必要な医療のうち、救急・小児・周産期・災害・精神などの政策医療や、へき地・離島など民間医療機関の立地が困難な過疎地などにおける一般医療など、採算性や技術的な面から民間医療機関による提供が困難な医療を提供するとともに、地域において中核的な医療を行う基幹病院として、地域の病院や診療所等との連携強化や支援を積極的に行うことが求められています。</w:t>
      </w:r>
    </w:p>
    <w:p>
      <w:pPr>
        <w:pStyle w:val="0"/>
        <w:ind w:left="227" w:leftChars="100" w:right="0" w:rightChars="0" w:firstLine="227" w:firstLineChars="100"/>
        <w:rPr>
          <w:rFonts w:hint="eastAsia"/>
          <w:color w:val="000000"/>
          <w:highlight w:val="none"/>
          <w:u w:val="none" w:color="auto"/>
        </w:rPr>
      </w:pPr>
      <w:r>
        <w:rPr>
          <w:rFonts w:hint="eastAsia"/>
          <w:color w:val="auto"/>
          <w:highlight w:val="none"/>
          <w:u w:val="none" w:color="auto"/>
        </w:rPr>
        <w:t>本県の公立・公的病院等の機能については、次表のとおりです。</w:t>
      </w:r>
    </w:p>
    <w:p>
      <w:pPr>
        <w:pStyle w:val="0"/>
        <w:ind w:leftChars="0" w:firstLineChars="0"/>
        <w:rPr>
          <w:rFonts w:hint="eastAsia"/>
          <w:highlight w:val="none"/>
        </w:rPr>
      </w:pPr>
    </w:p>
    <w:p>
      <w:pPr>
        <w:pStyle w:val="0"/>
        <w:widowControl w:val="1"/>
        <w:spacing w:line="240" w:lineRule="exact"/>
        <w:ind w:rightChars="0"/>
        <w:jc w:val="center"/>
        <w:rPr>
          <w:rFonts w:hint="eastAsia"/>
          <w:sz w:val="16"/>
          <w:highlight w:val="none"/>
        </w:rPr>
      </w:pPr>
      <w:r>
        <w:rPr>
          <w:rFonts w:hint="eastAsia" w:ascii="ＭＳ ゴシック" w:hAnsi="ＭＳ ゴシック" w:eastAsia="ＭＳ ゴシック"/>
          <w:sz w:val="21"/>
          <w:highlight w:val="none"/>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5-4-2</w:t>
      </w:r>
      <w:r>
        <w:rPr>
          <w:rFonts w:hint="eastAsia" w:ascii="ＭＳ ゴシック" w:hAnsi="ＭＳ ゴシック" w:eastAsia="ＭＳ ゴシック"/>
          <w:color w:val="auto"/>
          <w:sz w:val="22"/>
          <w:highlight w:val="none"/>
          <w:u w:val="none" w:color="auto"/>
        </w:rPr>
        <w:t>）公立・公的病院等の機能</w:t>
      </w:r>
      <w:r>
        <w:rPr>
          <w:rFonts w:hint="eastAsia"/>
          <w:sz w:val="16"/>
          <w:highlight w:val="none"/>
        </w:rPr>
        <w:t>　　　　　</w:t>
      </w:r>
      <w:r>
        <w:rPr>
          <w:rFonts w:hint="eastAsia"/>
          <w:color w:val="auto"/>
          <w:sz w:val="16"/>
          <w:highlight w:val="none"/>
          <w:u w:val="none" w:color="auto"/>
        </w:rPr>
        <w:t>令和</w:t>
      </w:r>
      <w:r>
        <w:rPr>
          <w:rFonts w:hint="eastAsia"/>
          <w:color w:val="auto"/>
          <w:sz w:val="16"/>
          <w:highlight w:val="none"/>
          <w:u w:val="none" w:color="auto"/>
        </w:rPr>
        <w:t>5</w:t>
      </w:r>
      <w:r>
        <w:rPr>
          <w:rFonts w:hint="eastAsia"/>
          <w:color w:val="auto"/>
          <w:sz w:val="16"/>
          <w:highlight w:val="none"/>
          <w:u w:val="none" w:color="auto"/>
        </w:rPr>
        <w:t>年</w:t>
      </w:r>
      <w:r>
        <w:rPr>
          <w:rFonts w:hint="eastAsia"/>
          <w:color w:val="auto"/>
          <w:sz w:val="16"/>
          <w:highlight w:val="none"/>
          <w:u w:val="none" w:color="auto"/>
        </w:rPr>
        <w:t>7</w:t>
      </w:r>
      <w:r>
        <w:rPr>
          <w:rFonts w:hint="eastAsia"/>
          <w:color w:val="auto"/>
          <w:sz w:val="16"/>
          <w:highlight w:val="none"/>
          <w:u w:val="none" w:color="auto"/>
        </w:rPr>
        <w:t>月</w:t>
      </w:r>
      <w:r>
        <w:rPr>
          <w:rFonts w:hint="eastAsia"/>
          <w:color w:val="auto"/>
          <w:sz w:val="16"/>
          <w:highlight w:val="none"/>
          <w:u w:val="none" w:color="auto"/>
        </w:rPr>
        <w:t>31</w:t>
      </w:r>
      <w:r>
        <w:rPr>
          <w:rFonts w:hint="eastAsia"/>
          <w:color w:val="auto"/>
          <w:sz w:val="16"/>
          <w:highlight w:val="none"/>
          <w:u w:val="none" w:color="auto"/>
        </w:rPr>
        <w:t>日</w:t>
      </w:r>
      <w:r>
        <w:rPr>
          <w:rFonts w:hint="eastAsia"/>
          <w:sz w:val="16"/>
          <w:highlight w:val="none"/>
        </w:rPr>
        <w:t>時点</w:t>
      </w:r>
    </w:p>
    <w:p>
      <w:pPr>
        <w:pStyle w:val="0"/>
        <w:widowControl w:val="1"/>
        <w:spacing w:before="165" w:beforeLines="50" w:beforeAutospacing="0" w:line="0" w:lineRule="atLeast"/>
        <w:rPr>
          <w:rFonts w:hint="eastAsia"/>
          <w:sz w:val="16"/>
          <w:highlight w:val="none"/>
        </w:rPr>
      </w:pPr>
      <w:r>
        <w:rPr>
          <w:rFonts w:hint="eastAsia"/>
          <w:highlight w:val="none"/>
        </w:rPr>
        <w:drawing>
          <wp:inline distT="0" distB="0" distL="203200" distR="203200">
            <wp:extent cx="5759450" cy="536511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11"/>
                    <a:stretch>
                      <a:fillRect/>
                    </a:stretch>
                  </pic:blipFill>
                  <pic:spPr>
                    <a:xfrm>
                      <a:off x="0" y="0"/>
                      <a:ext cx="5759450" cy="5365115"/>
                    </a:xfrm>
                    <a:prstGeom prst="rect">
                      <a:avLst/>
                    </a:prstGeom>
                  </pic:spPr>
                </pic:pic>
              </a:graphicData>
            </a:graphic>
          </wp:inline>
        </w:drawing>
      </w:r>
    </w:p>
    <w:p>
      <w:pPr>
        <w:pStyle w:val="0"/>
        <w:jc w:val="right"/>
        <w:rPr>
          <w:rFonts w:hint="eastAsia"/>
          <w:color w:val="000000"/>
          <w:highlight w:val="none"/>
        </w:rPr>
      </w:pPr>
      <w:r>
        <w:rPr>
          <w:rFonts w:hint="eastAsia"/>
          <w:color w:val="000000"/>
          <w:sz w:val="16"/>
          <w:highlight w:val="none"/>
        </w:rPr>
        <w:t>※◎は輪番を行っている病院</w:t>
      </w:r>
    </w:p>
    <w:p>
      <w:pPr>
        <w:pStyle w:val="0"/>
        <w:widowControl w:val="1"/>
        <w:spacing w:line="240" w:lineRule="exact"/>
        <w:ind w:rightChars="0"/>
        <w:jc w:val="center"/>
        <w:rPr>
          <w:rFonts w:hint="eastAsia"/>
          <w:color w:val="000000"/>
          <w:highlight w:val="none"/>
        </w:rPr>
      </w:pPr>
    </w:p>
    <w:p>
      <w:pPr>
        <w:pStyle w:val="0"/>
        <w:ind w:right="907" w:rightChars="400"/>
        <w:rPr>
          <w:rFonts w:hint="default"/>
          <w:color w:val="000000"/>
          <w:highlight w:val="none"/>
        </w:rPr>
      </w:pPr>
    </w:p>
    <w:p>
      <w:pPr>
        <w:pStyle w:val="0"/>
        <w:ind w:left="225" w:leftChars="99" w:firstLine="227" w:firstLineChars="100"/>
        <w:rPr>
          <w:rFonts w:hint="eastAsia"/>
          <w:color w:val="auto"/>
          <w:highlight w:val="none"/>
          <w:u w:val="none" w:color="auto"/>
        </w:rPr>
      </w:pPr>
      <w:r>
        <w:rPr>
          <w:rFonts w:hint="eastAsia"/>
          <w:color w:val="auto"/>
          <w:highlight w:val="none"/>
          <w:u w:val="none" w:color="auto"/>
        </w:rPr>
        <w:t>また、病床機能報告において、病床機能の把握が可能となる中、これらの公立・公的病院等が地域において果たしている役割等を考えると、他医療機関に率先して、地域医療構想の達成に向け、役割・機能などの将来の方向性について示すことが重要です。</w:t>
      </w:r>
    </w:p>
    <w:p>
      <w:pPr>
        <w:pStyle w:val="0"/>
        <w:ind w:left="225" w:leftChars="99" w:firstLine="227" w:firstLineChars="100"/>
        <w:rPr>
          <w:rFonts w:hint="eastAsia"/>
          <w:color w:val="000000"/>
          <w:highlight w:val="none"/>
          <w:u w:val="none" w:color="auto"/>
        </w:rPr>
      </w:pPr>
      <w:r>
        <w:rPr>
          <w:rFonts w:hint="eastAsia"/>
          <w:color w:val="auto"/>
          <w:highlight w:val="none"/>
          <w:u w:val="none" w:color="auto"/>
        </w:rPr>
        <w:t>本県の公立・公的病院等の病床機能については、次表のとおりです。</w:t>
      </w:r>
    </w:p>
    <w:p>
      <w:pPr>
        <w:pStyle w:val="0"/>
        <w:ind w:left="225" w:leftChars="99" w:firstLine="227" w:firstLineChars="100"/>
        <w:rPr>
          <w:rFonts w:hint="eastAsia"/>
          <w:color w:val="000000"/>
          <w:highlight w:val="none"/>
          <w:u w:val="none" w:color="auto"/>
        </w:rPr>
      </w:pPr>
    </w:p>
    <w:p>
      <w:pPr>
        <w:pStyle w:val="0"/>
        <w:rPr>
          <w:rFonts w:hint="eastAsia"/>
          <w:sz w:val="16"/>
          <w:highlight w:val="none"/>
        </w:rPr>
      </w:pPr>
      <w:r>
        <w:rPr>
          <w:rFonts w:hint="eastAsia" w:ascii="ＭＳ ゴシック" w:hAnsi="ＭＳ ゴシック" w:eastAsia="ＭＳ ゴシック"/>
          <w:color w:val="000000"/>
          <w:sz w:val="21"/>
          <w:highlight w:val="none"/>
          <w:u w:val="none" w:color="auto"/>
        </w:rPr>
        <w:t>　　　　</w:t>
      </w:r>
      <w:r>
        <w:rPr>
          <w:rFonts w:hint="eastAsia" w:ascii="ＭＳ ゴシック" w:hAnsi="ＭＳ ゴシック" w:eastAsia="ＭＳ ゴシック"/>
          <w:color w:val="000000"/>
          <w:sz w:val="22"/>
          <w:highlight w:val="none"/>
          <w:u w:val="none" w:color="auto"/>
        </w:rPr>
        <w:t>（図表</w:t>
      </w:r>
      <w:r>
        <w:rPr>
          <w:rFonts w:hint="eastAsia" w:ascii="ＭＳ ゴシック" w:hAnsi="ＭＳ ゴシック" w:eastAsia="ＭＳ ゴシック"/>
          <w:color w:val="000000"/>
          <w:sz w:val="22"/>
          <w:highlight w:val="none"/>
          <w:u w:val="none" w:color="auto"/>
        </w:rPr>
        <w:t>5-4-3</w:t>
      </w:r>
      <w:r>
        <w:rPr>
          <w:rFonts w:hint="eastAsia" w:ascii="ＭＳ ゴシック" w:hAnsi="ＭＳ ゴシック" w:eastAsia="ＭＳ ゴシック"/>
          <w:color w:val="auto"/>
          <w:sz w:val="22"/>
          <w:highlight w:val="none"/>
          <w:u w:val="none" w:color="auto"/>
        </w:rPr>
        <w:t>）公立・公的病院等の病床機能報告の状況</w:t>
      </w:r>
      <w:r>
        <w:rPr>
          <w:rFonts w:hint="eastAsia" w:ascii="ＭＳ ゴシック" w:hAnsi="ＭＳ ゴシック" w:eastAsia="ＭＳ ゴシック"/>
          <w:color w:val="auto"/>
          <w:sz w:val="21"/>
          <w:highlight w:val="none"/>
          <w:u w:val="none" w:color="auto"/>
        </w:rPr>
        <w:t>　　　　</w:t>
      </w:r>
      <w:r>
        <w:rPr>
          <w:rFonts w:hint="eastAsia"/>
          <w:color w:val="auto"/>
          <w:sz w:val="16"/>
          <w:highlight w:val="none"/>
          <w:u w:val="none" w:color="auto"/>
        </w:rPr>
        <w:t>令和４</w:t>
      </w:r>
      <w:r>
        <w:rPr>
          <w:rFonts w:hint="eastAsia"/>
          <w:color w:val="000000"/>
          <w:sz w:val="16"/>
          <w:highlight w:val="none"/>
        </w:rPr>
        <w:t>年</w:t>
      </w:r>
      <w:r>
        <w:rPr>
          <w:rFonts w:hint="eastAsia"/>
          <w:color w:val="000000"/>
          <w:sz w:val="16"/>
          <w:highlight w:val="none"/>
        </w:rPr>
        <w:t>7</w:t>
      </w:r>
      <w:r>
        <w:rPr>
          <w:rFonts w:hint="eastAsia"/>
          <w:color w:val="000000"/>
          <w:sz w:val="16"/>
          <w:highlight w:val="none"/>
        </w:rPr>
        <w:t>月</w:t>
      </w:r>
      <w:r>
        <w:rPr>
          <w:rFonts w:hint="eastAsia"/>
          <w:color w:val="000000"/>
          <w:sz w:val="16"/>
          <w:highlight w:val="none"/>
        </w:rPr>
        <w:t>1</w:t>
      </w:r>
      <w:r>
        <w:rPr>
          <w:rFonts w:hint="eastAsia"/>
          <w:color w:val="000000"/>
          <w:sz w:val="16"/>
          <w:highlight w:val="none"/>
        </w:rPr>
        <w:t>日</w:t>
      </w:r>
      <w:r>
        <w:rPr>
          <w:rFonts w:hint="eastAsia"/>
          <w:sz w:val="16"/>
          <w:highlight w:val="none"/>
        </w:rPr>
        <w:t>現在</w:t>
      </w:r>
    </w:p>
    <w:p>
      <w:pPr>
        <w:pStyle w:val="0"/>
        <w:rPr>
          <w:rFonts w:hint="eastAsia"/>
          <w:color w:val="000000"/>
          <w:highlight w:val="none"/>
        </w:rPr>
      </w:pPr>
      <w:r>
        <w:rPr>
          <w:rFonts w:hint="eastAsia"/>
          <w:highlight w:val="none"/>
        </w:rPr>
        <w:drawing>
          <wp:inline distT="0" distB="0" distL="203200" distR="203200">
            <wp:extent cx="5759450" cy="6311265"/>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12"/>
                    <a:stretch>
                      <a:fillRect/>
                    </a:stretch>
                  </pic:blipFill>
                  <pic:spPr>
                    <a:xfrm>
                      <a:off x="0" y="0"/>
                      <a:ext cx="5759450" cy="6311265"/>
                    </a:xfrm>
                    <a:prstGeom prst="rect">
                      <a:avLst/>
                    </a:prstGeom>
                  </pic:spPr>
                </pic:pic>
              </a:graphicData>
            </a:graphic>
          </wp:inline>
        </w:drawing>
      </w:r>
    </w:p>
    <w:p>
      <w:pPr>
        <w:pStyle w:val="0"/>
        <w:rPr>
          <w:rFonts w:hint="default"/>
          <w:b w:val="1"/>
          <w:color w:val="FF0000"/>
          <w:highlight w:val="none"/>
          <w:u w:val="single" w:color="auto"/>
        </w:rPr>
      </w:pPr>
    </w:p>
    <w:p>
      <w:pPr>
        <w:pStyle w:val="0"/>
        <w:rPr>
          <w:rFonts w:hint="default"/>
          <w:b w:val="1"/>
          <w:color w:val="FF0000"/>
          <w:highlight w:val="none"/>
          <w:u w:val="single" w:color="auto"/>
        </w:rPr>
      </w:pPr>
      <w:r>
        <w:rPr>
          <w:rFonts w:hint="eastAsia"/>
          <w:b w:val="1"/>
          <w:color w:val="0070C0"/>
          <w:highlight w:val="none"/>
          <w:u w:val="none" w:color="auto"/>
        </w:rPr>
        <w:t>２　公立・公的病院等の取組</w:t>
      </w:r>
    </w:p>
    <w:p>
      <w:pPr>
        <w:pStyle w:val="0"/>
        <w:rPr>
          <w:rFonts w:hint="default"/>
          <w:b w:val="1"/>
          <w:color w:val="auto"/>
          <w:highlight w:val="none"/>
          <w:u w:val="none" w:color="auto"/>
        </w:rPr>
      </w:pPr>
      <w:r>
        <w:rPr>
          <w:rFonts w:hint="eastAsia"/>
          <w:b w:val="1"/>
          <w:color w:val="auto"/>
          <w:highlight w:val="none"/>
          <w:u w:val="none" w:color="auto"/>
        </w:rPr>
        <w:t>　（１）公立病院の取組</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公立病院では、経営の悪化や</w:t>
      </w:r>
      <w:r>
        <w:rPr>
          <w:rFonts w:hint="default"/>
          <w:color w:val="auto"/>
          <w:highlight w:val="none"/>
          <w:u w:val="none" w:color="auto"/>
        </w:rPr>
        <w:t>医師不足</w:t>
      </w:r>
      <w:r>
        <w:rPr>
          <w:rFonts w:hint="eastAsia"/>
          <w:color w:val="auto"/>
          <w:highlight w:val="none"/>
          <w:u w:val="none" w:color="auto"/>
        </w:rPr>
        <w:t>による</w:t>
      </w:r>
      <w:r>
        <w:rPr>
          <w:rFonts w:hint="default"/>
          <w:color w:val="auto"/>
          <w:highlight w:val="none"/>
          <w:u w:val="none" w:color="auto"/>
        </w:rPr>
        <w:t>診療体制の縮小など</w:t>
      </w:r>
      <w:r>
        <w:rPr>
          <w:rFonts w:hint="eastAsia"/>
          <w:color w:val="auto"/>
          <w:highlight w:val="none"/>
          <w:u w:val="none" w:color="auto"/>
        </w:rPr>
        <w:t>、本来期待されている</w:t>
      </w:r>
      <w:r>
        <w:rPr>
          <w:rFonts w:hint="default"/>
          <w:color w:val="auto"/>
          <w:highlight w:val="none"/>
          <w:u w:val="none" w:color="auto"/>
        </w:rPr>
        <w:t>医療提供体制</w:t>
      </w:r>
      <w:r>
        <w:rPr>
          <w:rFonts w:hint="eastAsia"/>
          <w:color w:val="auto"/>
          <w:highlight w:val="none"/>
          <w:u w:val="none" w:color="auto"/>
        </w:rPr>
        <w:t>を維持することが困難な</w:t>
      </w:r>
      <w:r>
        <w:rPr>
          <w:rFonts w:hint="default"/>
          <w:color w:val="auto"/>
          <w:highlight w:val="none"/>
          <w:u w:val="none" w:color="auto"/>
        </w:rPr>
        <w:t>状況</w:t>
      </w:r>
      <w:r>
        <w:rPr>
          <w:rFonts w:hint="eastAsia"/>
          <w:color w:val="auto"/>
          <w:highlight w:val="none"/>
          <w:u w:val="none" w:color="auto"/>
        </w:rPr>
        <w:t>もみられるようになってきたことから、公立病院を設置する地方公共団体では、平成</w:t>
      </w:r>
      <w:r>
        <w:rPr>
          <w:rFonts w:hint="eastAsia"/>
          <w:color w:val="auto"/>
          <w:highlight w:val="none"/>
          <w:u w:val="none" w:color="auto"/>
        </w:rPr>
        <w:t>19</w:t>
      </w:r>
      <w:r>
        <w:rPr>
          <w:rFonts w:hint="eastAsia"/>
          <w:color w:val="auto"/>
          <w:highlight w:val="none"/>
          <w:u w:val="none" w:color="auto"/>
        </w:rPr>
        <w:t>年度に総務省が示した公立病院改革ガイドラインに基づく「公立病院改革プラン」を策定し、改革の取組を進めてきました。</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また、</w:t>
      </w:r>
      <w:r>
        <w:rPr>
          <w:rFonts w:hint="eastAsia"/>
          <w:color w:val="000000"/>
          <w:highlight w:val="none"/>
          <w:u w:val="none" w:color="auto"/>
        </w:rPr>
        <w:t>平成</w:t>
      </w:r>
      <w:r>
        <w:rPr>
          <w:rFonts w:hint="eastAsia"/>
          <w:color w:val="000000"/>
          <w:highlight w:val="none"/>
          <w:u w:val="none" w:color="auto"/>
        </w:rPr>
        <w:t>26</w:t>
      </w:r>
      <w:r>
        <w:rPr>
          <w:rFonts w:hint="eastAsia"/>
          <w:color w:val="000000"/>
          <w:highlight w:val="none"/>
          <w:u w:val="none" w:color="auto"/>
        </w:rPr>
        <w:t>年度には総務省から「新公立病院改革ガイドライン」が示され、地域医療構想により示された各地域の医療提供体制の将来の目指す姿を踏まえ「新公立病院改革プラン」を策定し、病院機能の見直しや病院事業経営に総合的に取り組んできました。</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さらに、令和３年度には総務省から「持続可能な地域医療提供体制を確保するための公立病院経営強化ガイドライン」が示され、持続可能な地域医療提供体制を確保するため、限られた医師・看護師等の医療資源を地域全体で最大限効率的に活用するという視点を最も重視しつつ、新興感染症等への対応も踏まえ、令和</w:t>
      </w:r>
      <w:r>
        <w:rPr>
          <w:rFonts w:hint="eastAsia"/>
          <w:color w:val="auto"/>
          <w:highlight w:val="none"/>
          <w:u w:val="none" w:color="auto"/>
        </w:rPr>
        <w:t>5</w:t>
      </w:r>
      <w:r>
        <w:rPr>
          <w:rFonts w:hint="eastAsia"/>
          <w:color w:val="auto"/>
          <w:highlight w:val="none"/>
          <w:u w:val="none" w:color="auto"/>
        </w:rPr>
        <w:t>年度内に「公立病院経営強化プラン」を策定し、公立病院の経営強化に取り組む必要があります。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本県では、人口減少が進む中、郡部等において、どのように医療提供体制を維持していくかが課題となっており、公立病院には各地域における医療連携体制の構築等において、中核的な役割が期待されています。</w:t>
      </w:r>
    </w:p>
    <w:p>
      <w:pPr>
        <w:pStyle w:val="0"/>
        <w:spacing w:line="180" w:lineRule="exact"/>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（２）公的病院等の取組</w:t>
      </w:r>
    </w:p>
    <w:p>
      <w:pPr>
        <w:pStyle w:val="0"/>
        <w:ind w:left="225" w:leftChars="99" w:firstLine="227" w:firstLineChars="100"/>
        <w:rPr>
          <w:rFonts w:hint="eastAsia" w:ascii="ＭＳ 明朝" w:hAnsi="ＭＳ 明朝" w:eastAsia="ＭＳ 明朝"/>
          <w:color w:val="auto"/>
          <w:sz w:val="22"/>
          <w:highlight w:val="none"/>
          <w:u w:val="none" w:color="auto"/>
        </w:rPr>
      </w:pPr>
      <w:r>
        <w:rPr>
          <w:rFonts w:hint="eastAsia"/>
          <w:color w:val="auto"/>
          <w:highlight w:val="none"/>
          <w:u w:val="none" w:color="auto"/>
        </w:rPr>
        <w:t>公立病院を除く公的病関等については、平成</w:t>
      </w:r>
      <w:r>
        <w:rPr>
          <w:rFonts w:hint="eastAsia"/>
          <w:color w:val="auto"/>
          <w:highlight w:val="none"/>
          <w:u w:val="none" w:color="auto"/>
        </w:rPr>
        <w:t>29</w:t>
      </w:r>
      <w:r>
        <w:rPr>
          <w:rFonts w:hint="eastAsia"/>
          <w:color w:val="auto"/>
          <w:highlight w:val="none"/>
          <w:u w:val="none" w:color="auto"/>
        </w:rPr>
        <w:t>年度に厚生労働省から、</w:t>
      </w:r>
      <w:r>
        <w:rPr>
          <w:rFonts w:hint="eastAsia" w:ascii="ＭＳ 明朝" w:hAnsi="ＭＳ 明朝" w:eastAsia="ＭＳ 明朝"/>
          <w:b w:val="0"/>
          <w:color w:val="auto"/>
          <w:sz w:val="22"/>
          <w:highlight w:val="none"/>
          <w:u w:val="none" w:color="auto"/>
        </w:rPr>
        <w:t>「地域医療構想を踏まえた「公的医療機関等２０２５プラン」策定について」の通知が示され、地域医療構想を踏まえ今後担うべき役割や機能などについて整理した、「公的医療機関等２０２５プラン」を策定した上で、地域医療構想調整会議において、協議することを要請されました。</w:t>
      </w:r>
    </w:p>
    <w:p>
      <w:pPr>
        <w:pStyle w:val="0"/>
        <w:ind w:left="225" w:leftChars="99" w:firstLine="227" w:firstLineChars="100"/>
        <w:rPr>
          <w:rFonts w:hint="eastAsia"/>
          <w:strike w:val="0"/>
          <w:dstrike w:val="1"/>
          <w:color w:val="FF0000"/>
          <w:sz w:val="22"/>
          <w:highlight w:val="none"/>
          <w:u w:val="none" w:color="auto"/>
        </w:rPr>
      </w:pPr>
      <w:r>
        <w:rPr>
          <w:rFonts w:hint="eastAsia" w:ascii="ＭＳ 明朝" w:hAnsi="ＭＳ 明朝" w:eastAsia="ＭＳ 明朝"/>
          <w:b w:val="0"/>
          <w:color w:val="auto"/>
          <w:sz w:val="22"/>
          <w:highlight w:val="none"/>
          <w:u w:val="none" w:color="auto"/>
        </w:rPr>
        <w:t>本県においても、対象病院である６つの公的病院等が同プランの策定のうえ、各区域別の地域医療構想調整会議での協議を行い、</w:t>
      </w:r>
      <w:r>
        <w:rPr>
          <w:rFonts w:hint="eastAsia"/>
          <w:color w:val="auto"/>
          <w:highlight w:val="none"/>
          <w:u w:val="none" w:color="auto"/>
        </w:rPr>
        <w:t>役割・機能などの将来の方向性について示すことが重要です。</w:t>
      </w:r>
    </w:p>
    <w:p>
      <w:pPr>
        <w:pStyle w:val="0"/>
        <w:spacing w:line="120" w:lineRule="exact"/>
        <w:rPr>
          <w:rFonts w:hint="default"/>
          <w:color w:val="000000"/>
          <w:highlight w:val="none"/>
        </w:rPr>
      </w:pPr>
    </w:p>
    <w:p>
      <w:pPr>
        <w:pStyle w:val="0"/>
        <w:rPr>
          <w:rFonts w:hint="default"/>
          <w:b w:val="1"/>
          <w:color w:val="000000"/>
          <w:kern w:val="0"/>
          <w:highlight w:val="none"/>
        </w:rPr>
      </w:pPr>
      <w:r>
        <w:rPr>
          <w:rFonts w:hint="eastAsia"/>
          <w:b w:val="1"/>
          <w:color w:val="0070C0"/>
          <w:highlight w:val="none"/>
          <w:u w:val="none" w:color="auto"/>
        </w:rPr>
        <w:t>３　社会医療法人の現状と役割</w:t>
      </w:r>
    </w:p>
    <w:p>
      <w:pPr>
        <w:pStyle w:val="0"/>
        <w:autoSpaceDE w:val="0"/>
        <w:autoSpaceDN w:val="0"/>
        <w:adjustRightInd w:val="0"/>
        <w:ind w:left="220" w:leftChars="100" w:firstLine="220" w:firstLineChars="100"/>
        <w:jc w:val="both"/>
        <w:rPr>
          <w:rFonts w:hint="default"/>
          <w:color w:val="FF0000"/>
          <w:kern w:val="0"/>
          <w:highlight w:val="none"/>
          <w:u w:val="single" w:color="auto"/>
        </w:rPr>
      </w:pPr>
      <w:r>
        <w:rPr>
          <w:rFonts w:hint="eastAsia"/>
          <w:color w:val="000000"/>
          <w:kern w:val="0"/>
          <w:highlight w:val="none"/>
        </w:rPr>
        <w:t>社会医療法人は、救急医療や災害医療など地域で特に必要な医療の提供を担う医療法人で、救急医療等確保事業</w:t>
      </w:r>
      <w:r>
        <w:rPr>
          <w:rFonts w:hint="eastAsia"/>
          <w:color w:val="000000"/>
          <w:kern w:val="0"/>
          <w:sz w:val="16"/>
          <w:highlight w:val="none"/>
          <w:vertAlign w:val="superscript"/>
        </w:rPr>
        <w:t>（注２）</w:t>
      </w:r>
      <w:r>
        <w:rPr>
          <w:rFonts w:hint="eastAsia"/>
          <w:color w:val="000000"/>
          <w:kern w:val="0"/>
          <w:highlight w:val="none"/>
        </w:rPr>
        <w:t>を行うために必要な設備や体制を有するものとして、</w:t>
      </w:r>
      <w:r>
        <w:rPr>
          <w:rFonts w:hint="eastAsia"/>
          <w:kern w:val="0"/>
          <w:highlight w:val="none"/>
        </w:rPr>
        <w:t>知事の</w:t>
      </w:r>
      <w:r>
        <w:rPr>
          <w:rFonts w:hint="eastAsia"/>
          <w:color w:val="000000"/>
          <w:kern w:val="0"/>
          <w:highlight w:val="none"/>
        </w:rPr>
        <w:t>認定を受けた法人です。こうした法人が地域医療の担い手として救急医療等確保事業に積極的に参加することにより、良質かつ適切な医療を効率的に提供する体制の確保を図っており</w:t>
      </w:r>
      <w:r>
        <w:rPr>
          <w:rFonts w:hint="eastAsia"/>
          <w:color w:val="000000" w:themeColor="text1"/>
          <w:kern w:val="0"/>
          <w:highlight w:val="none"/>
        </w:rPr>
        <w:t>、</w:t>
      </w:r>
      <w:r>
        <w:rPr>
          <w:rFonts w:hint="eastAsia"/>
          <w:color w:val="auto"/>
          <w:kern w:val="0"/>
          <w:highlight w:val="none"/>
          <w:u w:val="none" w:color="auto"/>
        </w:rPr>
        <w:t>本県について２つの法人が認定を受けています。</w:t>
      </w:r>
    </w:p>
    <w:p>
      <w:pPr>
        <w:pStyle w:val="0"/>
        <w:autoSpaceDE w:val="0"/>
        <w:autoSpaceDN w:val="0"/>
        <w:adjustRightInd w:val="0"/>
        <w:spacing w:before="165" w:beforeLines="50" w:beforeAutospacing="0" w:line="0" w:lineRule="atLeast"/>
        <w:ind w:left="894" w:leftChars="100" w:hanging="667" w:hangingChars="400"/>
        <w:jc w:val="left"/>
        <w:rPr>
          <w:rFonts w:hint="default"/>
          <w:color w:val="000000"/>
          <w:kern w:val="0"/>
          <w:sz w:val="16"/>
          <w:highlight w:val="none"/>
        </w:rPr>
      </w:pPr>
      <w:r>
        <w:rPr>
          <w:rFonts w:hint="eastAsia"/>
          <w:color w:val="000000"/>
          <w:kern w:val="0"/>
          <w:sz w:val="16"/>
          <w:highlight w:val="none"/>
        </w:rPr>
        <w:t>（注２）</w:t>
      </w:r>
      <w:r>
        <w:rPr>
          <w:rFonts w:hint="eastAsia"/>
          <w:color w:val="000000"/>
          <w:kern w:val="0"/>
          <w:sz w:val="16"/>
        </w:rPr>
        <w:t>救急医療等確保事業：</w:t>
      </w:r>
      <w:r>
        <w:rPr>
          <w:rFonts w:hint="eastAsia"/>
          <w:color w:val="000000"/>
          <w:kern w:val="0"/>
          <w:sz w:val="16"/>
          <w:highlight w:val="none"/>
        </w:rPr>
        <w:t>公益性の高い医療であって、救急医療、災害時における医療、へき地の医療、周産期医療、小児医療（小児救急医療を含む。）、その他知事が本県での疾病の発生状況などに照らして特に必要と認める医療</w:t>
      </w:r>
    </w:p>
    <w:p>
      <w:pPr>
        <w:pStyle w:val="0"/>
        <w:spacing w:line="120" w:lineRule="exact"/>
        <w:rPr>
          <w:rFonts w:hint="default"/>
          <w:color w:val="000000"/>
          <w:kern w:val="0"/>
          <w:highlight w:val="none"/>
        </w:rPr>
      </w:pPr>
    </w:p>
    <w:p>
      <w:pPr>
        <w:pStyle w:val="0"/>
        <w:jc w:val="center"/>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 xml:space="preserve">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5-4-4</w:t>
      </w:r>
      <w:r>
        <w:rPr>
          <w:rFonts w:hint="eastAsia" w:ascii="ＭＳ ゴシック" w:hAnsi="ＭＳ ゴシック" w:eastAsia="ＭＳ ゴシック"/>
          <w:sz w:val="22"/>
          <w:highlight w:val="none"/>
        </w:rPr>
        <w:t>）高知県における社会医療法人</w:t>
      </w:r>
      <w:r>
        <w:rPr>
          <w:rFonts w:hint="eastAsia" w:ascii="ＭＳ ゴシック" w:hAnsi="ＭＳ ゴシック" w:eastAsia="ＭＳ ゴシック"/>
          <w:sz w:val="21"/>
          <w:highlight w:val="none"/>
        </w:rPr>
        <w:t>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12</w:t>
      </w:r>
      <w:r>
        <w:rPr>
          <w:rFonts w:hint="eastAsia" w:ascii="ＭＳ 明朝" w:hAnsi="ＭＳ 明朝" w:eastAsia="ＭＳ 明朝"/>
          <w:sz w:val="16"/>
          <w:highlight w:val="none"/>
        </w:rPr>
        <w:t>月</w:t>
      </w:r>
      <w:r>
        <w:rPr>
          <w:rFonts w:hint="eastAsia" w:ascii="ＭＳ 明朝" w:hAnsi="ＭＳ 明朝" w:eastAsia="ＭＳ 明朝"/>
          <w:sz w:val="16"/>
          <w:highlight w:val="none"/>
        </w:rPr>
        <w:t>31</w:t>
      </w:r>
      <w:r>
        <w:rPr>
          <w:rFonts w:hint="eastAsia" w:ascii="ＭＳ 明朝" w:hAnsi="ＭＳ 明朝" w:eastAsia="ＭＳ 明朝"/>
          <w:sz w:val="16"/>
          <w:highlight w:val="none"/>
        </w:rPr>
        <w:t>日現在</w:t>
      </w:r>
    </w:p>
    <w:p>
      <w:pPr>
        <w:pStyle w:val="0"/>
        <w:autoSpaceDE w:val="0"/>
        <w:autoSpaceDN w:val="0"/>
        <w:adjustRightInd w:val="0"/>
        <w:jc w:val="left"/>
        <w:rPr>
          <w:rFonts w:hint="eastAsia"/>
          <w:highlight w:val="none"/>
        </w:rPr>
      </w:pPr>
      <w:r>
        <w:rPr>
          <w:rFonts w:hint="eastAsia"/>
          <w:highlight w:val="none"/>
        </w:rPr>
        <w:drawing>
          <wp:inline distT="0" distB="0" distL="203200" distR="203200">
            <wp:extent cx="5759450" cy="1373505"/>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13"/>
                    <a:stretch>
                      <a:fillRect/>
                    </a:stretch>
                  </pic:blipFill>
                  <pic:spPr>
                    <a:xfrm>
                      <a:off x="0" y="0"/>
                      <a:ext cx="5759450" cy="1373505"/>
                    </a:xfrm>
                    <a:prstGeom prst="rect">
                      <a:avLst/>
                    </a:prstGeom>
                    <a:noFill/>
                    <a:ln>
                      <a:miter/>
                    </a:ln>
                  </pic:spPr>
                </pic:pic>
              </a:graphicData>
            </a:graphic>
          </wp:inline>
        </w:drawing>
      </w:r>
    </w:p>
    <w:p>
      <w:pPr>
        <w:pStyle w:val="0"/>
        <w:widowControl w:val="1"/>
        <w:spacing w:line="120" w:lineRule="exact"/>
        <w:jc w:val="left"/>
        <w:rPr>
          <w:rFonts w:hint="default"/>
          <w:b w:val="1"/>
          <w:color w:val="0070C0"/>
          <w:kern w:val="0"/>
          <w:highlight w:val="none"/>
        </w:rPr>
      </w:pPr>
    </w:p>
    <w:p>
      <w:pPr>
        <w:pStyle w:val="0"/>
        <w:widowControl w:val="1"/>
        <w:jc w:val="left"/>
        <w:rPr>
          <w:rFonts w:hint="default"/>
          <w:b w:val="1"/>
          <w:color w:val="0070C0"/>
          <w:kern w:val="0"/>
          <w:highlight w:val="none"/>
        </w:rPr>
      </w:pPr>
      <w:r>
        <w:rPr>
          <w:rFonts w:hint="eastAsia"/>
          <w:b w:val="1"/>
          <w:color w:val="0070C0"/>
          <w:kern w:val="0"/>
          <w:highlight w:val="none"/>
          <w:u w:val="none" w:color="auto"/>
        </w:rPr>
        <w:t>４　地域医療支援病院の現状と役割</w:t>
      </w:r>
    </w:p>
    <w:p>
      <w:pPr>
        <w:pStyle w:val="0"/>
        <w:ind w:left="220" w:leftChars="100" w:firstLine="220" w:firstLineChars="100"/>
        <w:rPr>
          <w:rFonts w:hint="default"/>
          <w:highlight w:val="none"/>
        </w:rPr>
      </w:pPr>
      <w:r>
        <w:rPr>
          <w:rFonts w:hint="eastAsia"/>
          <w:highlight w:val="none"/>
        </w:rPr>
        <w:t>地域医療支援病院は、かかりつけ医・かかりつけ歯科医からの紹介患者への医療の提供、医療機器などの共同利用、救急医療の実施、地域の医療従事者の資質向上の研修などを行うなど、かかりつけ医への支援を行う能力や設備を有する病院として知事が承認する病院です。</w:t>
      </w:r>
    </w:p>
    <w:p>
      <w:pPr>
        <w:pStyle w:val="0"/>
        <w:ind w:left="227" w:leftChars="100" w:firstLine="227" w:firstLineChars="100"/>
        <w:rPr>
          <w:rFonts w:hint="default"/>
          <w:color w:val="auto"/>
          <w:highlight w:val="none"/>
          <w:u w:val="none" w:color="auto"/>
        </w:rPr>
      </w:pPr>
      <w:r>
        <w:rPr>
          <w:rFonts w:hint="eastAsia"/>
          <w:highlight w:val="none"/>
        </w:rPr>
        <w:t>地域の病院、診療所などの後方支援により医療機関の機能の分担と連携を推進することを目的に、平成９年</w:t>
      </w:r>
      <w:r>
        <w:rPr>
          <w:rFonts w:hint="eastAsia"/>
          <w:highlight w:val="none"/>
        </w:rPr>
        <w:t>12</w:t>
      </w:r>
      <w:r>
        <w:rPr>
          <w:rFonts w:hint="eastAsia"/>
          <w:highlight w:val="none"/>
        </w:rPr>
        <w:t>月の第３次医療法改正により創設されました。また、平成</w:t>
      </w:r>
      <w:r>
        <w:rPr>
          <w:rFonts w:hint="eastAsia"/>
          <w:highlight w:val="none"/>
        </w:rPr>
        <w:t>18</w:t>
      </w:r>
      <w:r>
        <w:rPr>
          <w:rFonts w:hint="eastAsia"/>
          <w:highlight w:val="none"/>
        </w:rPr>
        <w:t>年の第５次医療法改正により、在宅医療の提供の推進についても地域の医療機関を支援すること</w:t>
      </w:r>
      <w:r>
        <w:rPr>
          <w:rFonts w:hint="eastAsia"/>
          <w:color w:val="auto"/>
          <w:highlight w:val="none"/>
          <w:u w:val="none" w:color="auto"/>
        </w:rPr>
        <w:t>。さらに、令和５年５月の医療法改正により、研修の実施によるかかりつけ医機能の確保について支援することが求められています。</w:t>
      </w:r>
    </w:p>
    <w:p>
      <w:pPr>
        <w:pStyle w:val="0"/>
        <w:ind w:left="227" w:leftChars="100" w:firstLine="227" w:firstLineChars="100"/>
        <w:rPr>
          <w:rFonts w:hint="default"/>
          <w:highlight w:val="none"/>
        </w:rPr>
      </w:pPr>
      <w:r>
        <w:rPr>
          <w:rFonts w:hint="eastAsia"/>
          <w:color w:val="auto"/>
          <w:highlight w:val="none"/>
          <w:u w:val="none" w:color="auto"/>
        </w:rPr>
        <w:t>なお、</w:t>
      </w:r>
      <w:r>
        <w:rPr>
          <w:rFonts w:hint="eastAsia"/>
          <w:color w:val="auto"/>
          <w:kern w:val="0"/>
          <w:highlight w:val="none"/>
          <w:u w:val="none" w:color="auto"/>
        </w:rPr>
        <w:t>本県においては、３つの医療機関が承認を受けています。</w:t>
      </w:r>
    </w:p>
    <w:p>
      <w:pPr>
        <w:pStyle w:val="0"/>
        <w:ind w:leftChars="0" w:firstLine="0" w:firstLineChars="0"/>
        <w:rPr>
          <w:rFonts w:hint="default"/>
          <w:highlight w:val="none"/>
        </w:rPr>
      </w:pPr>
    </w:p>
    <w:p>
      <w:pPr>
        <w:pStyle w:val="0"/>
        <w:ind w:firstLine="440" w:firstLineChars="200"/>
        <w:jc w:val="center"/>
        <w:rPr>
          <w:rFonts w:hint="default" w:ascii="ＭＳ ゴシック" w:hAnsi="ＭＳ ゴシック" w:eastAsia="ＭＳ ゴシック"/>
          <w:sz w:val="21"/>
          <w:highlight w:val="none"/>
        </w:rPr>
      </w:pPr>
      <w:r>
        <w:rPr>
          <w:rFonts w:hint="eastAsia" w:ascii="ＭＳ ゴシック" w:hAnsi="ＭＳ ゴシック" w:eastAsia="ＭＳ ゴシック"/>
          <w:kern w:val="0"/>
          <w:sz w:val="22"/>
          <w:highlight w:val="none"/>
        </w:rPr>
        <w:t>（図表</w:t>
      </w:r>
      <w:r>
        <w:rPr>
          <w:rFonts w:hint="eastAsia" w:ascii="ＭＳ ゴシック" w:hAnsi="ＭＳ ゴシック" w:eastAsia="ＭＳ ゴシック"/>
          <w:kern w:val="0"/>
          <w:sz w:val="22"/>
          <w:highlight w:val="none"/>
        </w:rPr>
        <w:t>5-</w:t>
      </w:r>
      <w:r>
        <w:rPr>
          <w:rFonts w:hint="eastAsia" w:ascii="ＭＳ ゴシック" w:hAnsi="ＭＳ ゴシック" w:eastAsia="ＭＳ ゴシック"/>
          <w:color w:val="auto"/>
          <w:kern w:val="0"/>
          <w:sz w:val="22"/>
          <w:highlight w:val="none"/>
          <w:u w:val="none" w:color="auto"/>
        </w:rPr>
        <w:t>4-5</w:t>
      </w:r>
      <w:r>
        <w:rPr>
          <w:rFonts w:hint="eastAsia" w:ascii="ＭＳ ゴシック" w:hAnsi="ＭＳ ゴシック" w:eastAsia="ＭＳ ゴシック"/>
          <w:kern w:val="0"/>
          <w:sz w:val="22"/>
          <w:highlight w:val="none"/>
        </w:rPr>
        <w:t>）地域医療支援病院のイメージ</w:t>
      </w: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r>
        <w:rPr>
          <w:rFonts w:hint="eastAsia"/>
        </w:rPr>
        <mc:AlternateContent>
          <mc:Choice Requires="wpg">
            <w:drawing>
              <wp:anchor simplePos="0" relativeHeight="6" behindDoc="0" locked="0" layoutInCell="1" hidden="0" allowOverlap="1">
                <wp:simplePos x="0" y="0"/>
                <wp:positionH relativeFrom="column">
                  <wp:posOffset>558165</wp:posOffset>
                </wp:positionH>
                <wp:positionV relativeFrom="paragraph">
                  <wp:posOffset>44450</wp:posOffset>
                </wp:positionV>
                <wp:extent cx="4846320" cy="1509395"/>
                <wp:effectExtent l="635" t="635" r="29845" b="635"/>
                <wp:wrapNone/>
                <wp:docPr id="1060" name="オブジェクト 0"/>
                <a:graphic xmlns:a="http://schemas.openxmlformats.org/drawingml/2006/main">
                  <a:graphicData uri="http://schemas.microsoft.com/office/word/2010/wordprocessingGroup">
                    <wpg:wgp>
                      <wpg:cNvGrpSpPr/>
                      <wpg:grpSpPr>
                        <a:xfrm>
                          <a:off x="0" y="0"/>
                          <a:ext cx="4846320" cy="1509395"/>
                          <a:chOff x="2297" y="4638"/>
                          <a:chExt cx="7632" cy="2377"/>
                        </a:xfrm>
                      </wpg:grpSpPr>
                      <wps:wsp>
                        <wps:cNvPr id="1061" name="オブジェクト 0"/>
                        <wps:cNvSpPr>
                          <a:spLocks noChangeArrowheads="1"/>
                        </wps:cNvSpPr>
                        <wps:spPr>
                          <a:xfrm>
                            <a:off x="2297" y="4943"/>
                            <a:ext cx="600" cy="1635"/>
                          </a:xfrm>
                          <a:prstGeom prst="rect">
                            <a:avLst/>
                          </a:prstGeom>
                          <a:solidFill>
                            <a:srgbClr val="DAEEF3"/>
                          </a:solidFill>
                          <a:ln w="9525">
                            <a:solidFill>
                              <a:sysClr val="windowText" lastClr="000000"/>
                            </a:solidFill>
                            <a:miter/>
                          </a:ln>
                        </wps:spPr>
                        <wps:txbx>
                          <w:txbxContent>
                            <w:p>
                              <w:pPr>
                                <w:pStyle w:val="0"/>
                                <w:jc w:val="center"/>
                                <w:rPr>
                                  <w:rFonts w:hint="default"/>
                                </w:rPr>
                              </w:pPr>
                              <w:r>
                                <w:rPr>
                                  <w:rFonts w:hint="eastAsia"/>
                                </w:rPr>
                                <w:t>患　者</w:t>
                              </w:r>
                            </w:p>
                          </w:txbxContent>
                        </wps:txbx>
                        <wps:bodyPr vertOverflow="overflow" horzOverflow="overflow" vert="eaVert" lIns="74295" tIns="8890" rIns="74295" bIns="8890" upright="1"/>
                      </wps:wsp>
                      <wps:wsp>
                        <wps:cNvPr id="1062" name="オブジェクト 0"/>
                        <wps:cNvSpPr>
                          <a:spLocks noChangeArrowheads="1"/>
                        </wps:cNvSpPr>
                        <wps:spPr>
                          <a:xfrm>
                            <a:off x="3542" y="4638"/>
                            <a:ext cx="778" cy="1978"/>
                          </a:xfrm>
                          <a:prstGeom prst="rect">
                            <a:avLst/>
                          </a:prstGeom>
                          <a:solidFill>
                            <a:srgbClr val="E5DFEC"/>
                          </a:solidFill>
                          <a:ln w="9525">
                            <a:solidFill>
                              <a:sysClr val="windowText" lastClr="000000"/>
                            </a:solidFill>
                            <a:miter/>
                          </a:ln>
                        </wps:spPr>
                        <wps:txbx>
                          <w:txbxContent>
                            <w:p>
                              <w:pPr>
                                <w:pStyle w:val="0"/>
                                <w:spacing w:line="240" w:lineRule="exact"/>
                                <w:rPr>
                                  <w:rFonts w:hint="default"/>
                                </w:rPr>
                              </w:pPr>
                              <w:r>
                                <w:rPr>
                                  <w:rFonts w:hint="eastAsia"/>
                                </w:rPr>
                                <w:t>かかりつけ医・</w:t>
                              </w:r>
                            </w:p>
                            <w:p>
                              <w:pPr>
                                <w:pStyle w:val="0"/>
                                <w:spacing w:line="240" w:lineRule="exact"/>
                                <w:jc w:val="center"/>
                                <w:rPr>
                                  <w:rFonts w:hint="default"/>
                                </w:rPr>
                              </w:pPr>
                              <w:r>
                                <w:rPr>
                                  <w:rFonts w:hint="eastAsia"/>
                                </w:rPr>
                                <w:t>かかりつけ歯科医</w:t>
                              </w:r>
                            </w:p>
                          </w:txbxContent>
                        </wps:txbx>
                        <wps:bodyPr vertOverflow="overflow" horzOverflow="overflow" vert="eaVert" lIns="74295" tIns="8890" rIns="74295" bIns="8890" upright="1"/>
                      </wps:wsp>
                      <wps:wsp>
                        <wps:cNvPr id="1063" name="オブジェクト 0"/>
                        <wps:cNvSpPr>
                          <a:spLocks noChangeArrowheads="1"/>
                        </wps:cNvSpPr>
                        <wps:spPr>
                          <a:xfrm>
                            <a:off x="6497" y="4638"/>
                            <a:ext cx="630" cy="2190"/>
                          </a:xfrm>
                          <a:prstGeom prst="rect">
                            <a:avLst/>
                          </a:prstGeom>
                          <a:solidFill>
                            <a:srgbClr val="FDE9D9"/>
                          </a:solidFill>
                          <a:ln w="9525">
                            <a:solidFill>
                              <a:sysClr val="windowText" lastClr="000000"/>
                            </a:solidFill>
                            <a:miter/>
                          </a:ln>
                        </wps:spPr>
                        <wps:txbx>
                          <w:txbxContent>
                            <w:p>
                              <w:pPr>
                                <w:pStyle w:val="0"/>
                                <w:jc w:val="center"/>
                                <w:rPr>
                                  <w:rFonts w:hint="default"/>
                                  <w:b w:val="1"/>
                                  <w:shd w:val="clear" w:color="auto" w:fill="FDE9D9"/>
                                </w:rPr>
                              </w:pPr>
                              <w:r>
                                <w:rPr>
                                  <w:rFonts w:hint="eastAsia"/>
                                  <w:b w:val="1"/>
                                  <w:shd w:val="clear" w:color="auto" w:fill="FDE9D9"/>
                                </w:rPr>
                                <w:t>地域医療支援病院</w:t>
                              </w:r>
                            </w:p>
                          </w:txbxContent>
                        </wps:txbx>
                        <wps:bodyPr vertOverflow="overflow" horzOverflow="overflow" vert="eaVert" lIns="74295" tIns="8890" rIns="74295" bIns="8890" upright="1"/>
                      </wps:wsp>
                      <wps:wsp>
                        <wps:cNvPr id="1064" name="オブジェクト 0"/>
                        <wps:cNvSpPr>
                          <a:spLocks noChangeArrowheads="1"/>
                        </wps:cNvSpPr>
                        <wps:spPr>
                          <a:xfrm>
                            <a:off x="9299" y="4818"/>
                            <a:ext cx="630" cy="1798"/>
                          </a:xfrm>
                          <a:prstGeom prst="rect">
                            <a:avLst/>
                          </a:prstGeom>
                          <a:solidFill>
                            <a:srgbClr val="EAF1DD"/>
                          </a:solidFill>
                          <a:ln w="9525">
                            <a:solidFill>
                              <a:sysClr val="windowText" lastClr="000000"/>
                            </a:solidFill>
                            <a:miter/>
                          </a:ln>
                        </wps:spPr>
                        <wps:txbx>
                          <w:txbxContent>
                            <w:p>
                              <w:pPr>
                                <w:pStyle w:val="0"/>
                                <w:jc w:val="center"/>
                                <w:rPr>
                                  <w:rFonts w:hint="default"/>
                                </w:rPr>
                              </w:pPr>
                              <w:r>
                                <w:rPr>
                                  <w:rFonts w:hint="eastAsia"/>
                                </w:rPr>
                                <w:t>知　事</w:t>
                              </w:r>
                            </w:p>
                          </w:txbxContent>
                        </wps:txbx>
                        <wps:bodyPr vertOverflow="overflow" horzOverflow="overflow" vert="eaVert" lIns="74295" tIns="8890" rIns="74295" bIns="8890" upright="1"/>
                      </wps:wsp>
                      <wps:wsp>
                        <wps:cNvPr id="1065" name="オブジェクト 0"/>
                        <wps:cNvSpPr>
                          <a:spLocks noChangeArrowheads="1"/>
                        </wps:cNvSpPr>
                        <wps:spPr>
                          <a:xfrm>
                            <a:off x="2897" y="5293"/>
                            <a:ext cx="645" cy="345"/>
                          </a:xfrm>
                          <a:prstGeom prst="rect">
                            <a:avLst/>
                          </a:prstGeom>
                          <a:noFill/>
                          <a:ln>
                            <a:miter/>
                          </a:ln>
                        </wps:spPr>
                        <wps:txbx>
                          <w:txbxContent>
                            <w:p>
                              <w:pPr>
                                <w:pStyle w:val="0"/>
                                <w:rPr>
                                  <w:rFonts w:hint="default"/>
                                  <w:sz w:val="18"/>
                                </w:rPr>
                              </w:pPr>
                              <w:r>
                                <w:rPr>
                                  <w:rFonts w:hint="eastAsia"/>
                                  <w:sz w:val="18"/>
                                </w:rPr>
                                <w:t>受診</w:t>
                              </w:r>
                            </w:p>
                          </w:txbxContent>
                        </wps:txbx>
                        <wps:bodyPr vertOverflow="overflow" horzOverflow="overflow" lIns="74295" tIns="8890" rIns="74295" bIns="8890" upright="1"/>
                      </wps:wsp>
                      <wps:wsp>
                        <wps:cNvPr id="1066" name="オブジェクト 0"/>
                        <wps:cNvSpPr>
                          <a:spLocks noChangeArrowheads="1"/>
                        </wps:cNvSpPr>
                        <wps:spPr>
                          <a:xfrm>
                            <a:off x="7682" y="4638"/>
                            <a:ext cx="1230" cy="450"/>
                          </a:xfrm>
                          <a:prstGeom prst="rect">
                            <a:avLst/>
                          </a:prstGeom>
                          <a:solidFill>
                            <a:srgbClr val="FFFFFF"/>
                          </a:solidFill>
                          <a:ln>
                            <a:miter/>
                          </a:ln>
                        </wps:spPr>
                        <wps:txbx>
                          <w:txbxContent>
                            <w:p>
                              <w:pPr>
                                <w:pStyle w:val="0"/>
                                <w:rPr>
                                  <w:rFonts w:hint="default"/>
                                  <w:sz w:val="18"/>
                                </w:rPr>
                              </w:pPr>
                              <w:r>
                                <w:rPr>
                                  <w:rFonts w:hint="eastAsia"/>
                                  <w:sz w:val="18"/>
                                </w:rPr>
                                <w:t>承認申請</w:t>
                              </w:r>
                            </w:p>
                          </w:txbxContent>
                        </wps:txbx>
                        <wps:bodyPr vertOverflow="overflow" horzOverflow="overflow" lIns="74295" tIns="8890" rIns="74295" bIns="8890" upright="1"/>
                      </wps:wsp>
                      <wps:wsp>
                        <wps:cNvPr id="1067" name="オブジェクト 0"/>
                        <wps:cNvSpPr>
                          <a:spLocks noChangeArrowheads="1"/>
                        </wps:cNvSpPr>
                        <wps:spPr>
                          <a:xfrm>
                            <a:off x="4592" y="5293"/>
                            <a:ext cx="1830" cy="1722"/>
                          </a:xfrm>
                          <a:prstGeom prst="rect">
                            <a:avLst/>
                          </a:prstGeom>
                          <a:solidFill>
                            <a:srgbClr val="FFFFFF"/>
                          </a:solidFill>
                          <a:ln>
                            <a:miter/>
                          </a:ln>
                        </wps:spPr>
                        <wps:txbx>
                          <w:txbxContent>
                            <w:p>
                              <w:pPr>
                                <w:pStyle w:val="0"/>
                                <w:rPr>
                                  <w:rFonts w:hint="default"/>
                                  <w:sz w:val="18"/>
                                </w:rPr>
                              </w:pPr>
                              <w:r>
                                <w:rPr>
                                  <w:rFonts w:hint="eastAsia"/>
                                  <w:sz w:val="18"/>
                                </w:rPr>
                                <w:t>●患者の逆紹介</w:t>
                              </w:r>
                            </w:p>
                            <w:p>
                              <w:pPr>
                                <w:pStyle w:val="0"/>
                                <w:spacing w:line="240" w:lineRule="exact"/>
                                <w:rPr>
                                  <w:rFonts w:hint="default"/>
                                  <w:sz w:val="18"/>
                                </w:rPr>
                              </w:pPr>
                              <w:r>
                                <w:rPr>
                                  <w:rFonts w:hint="eastAsia"/>
                                  <w:sz w:val="18"/>
                                </w:rPr>
                                <w:t>●医療機器などの</w:t>
                              </w:r>
                            </w:p>
                            <w:p>
                              <w:pPr>
                                <w:pStyle w:val="0"/>
                                <w:ind w:firstLine="220" w:firstLineChars="100"/>
                                <w:rPr>
                                  <w:rFonts w:hint="default"/>
                                  <w:sz w:val="18"/>
                                </w:rPr>
                              </w:pPr>
                              <w:r>
                                <w:rPr>
                                  <w:rFonts w:hint="eastAsia"/>
                                  <w:sz w:val="18"/>
                                </w:rPr>
                                <w:t>共同利用</w:t>
                              </w:r>
                            </w:p>
                            <w:p>
                              <w:pPr>
                                <w:pStyle w:val="0"/>
                                <w:rPr>
                                  <w:rFonts w:hint="default"/>
                                  <w:sz w:val="18"/>
                                </w:rPr>
                              </w:pPr>
                              <w:r>
                                <w:rPr>
                                  <w:rFonts w:hint="eastAsia"/>
                                  <w:sz w:val="18"/>
                                </w:rPr>
                                <w:t>●研修会などの</w:t>
                              </w:r>
                            </w:p>
                            <w:p>
                              <w:pPr>
                                <w:pStyle w:val="0"/>
                                <w:spacing w:line="240" w:lineRule="exact"/>
                                <w:ind w:firstLine="220" w:firstLineChars="100"/>
                                <w:rPr>
                                  <w:rFonts w:hint="default"/>
                                  <w:sz w:val="18"/>
                                </w:rPr>
                              </w:pPr>
                              <w:r>
                                <w:rPr>
                                  <w:rFonts w:hint="eastAsia"/>
                                  <w:sz w:val="18"/>
                                </w:rPr>
                                <w:t>実施</w:t>
                              </w:r>
                            </w:p>
                          </w:txbxContent>
                        </wps:txbx>
                        <wps:bodyPr vertOverflow="overflow" horzOverflow="overflow" lIns="74295" tIns="8890" rIns="74295" bIns="8890" upright="1"/>
                      </wps:wsp>
                      <wps:wsp>
                        <wps:cNvPr id="1068" name="オブジェクト 0"/>
                        <wps:cNvSpPr>
                          <a:spLocks noChangeArrowheads="1"/>
                        </wps:cNvSpPr>
                        <wps:spPr>
                          <a:xfrm>
                            <a:off x="4810" y="4638"/>
                            <a:ext cx="1245" cy="450"/>
                          </a:xfrm>
                          <a:prstGeom prst="rect">
                            <a:avLst/>
                          </a:prstGeom>
                          <a:solidFill>
                            <a:srgbClr val="FFFFFF"/>
                          </a:solidFill>
                          <a:ln>
                            <a:miter/>
                          </a:ln>
                        </wps:spPr>
                        <wps:txbx>
                          <w:txbxContent>
                            <w:p>
                              <w:pPr>
                                <w:pStyle w:val="0"/>
                                <w:rPr>
                                  <w:rFonts w:hint="default"/>
                                  <w:sz w:val="18"/>
                                </w:rPr>
                              </w:pPr>
                              <w:r>
                                <w:rPr>
                                  <w:rFonts w:hint="eastAsia"/>
                                  <w:sz w:val="18"/>
                                </w:rPr>
                                <w:t>患者の紹介</w:t>
                              </w:r>
                            </w:p>
                          </w:txbxContent>
                        </wps:txbx>
                        <wps:bodyPr vertOverflow="overflow" horzOverflow="overflow" lIns="74295" tIns="8890" rIns="74295" bIns="8890" upright="1"/>
                      </wps:wsp>
                      <wps:wsp>
                        <wps:cNvPr id="1069" name="オブジェクト 0"/>
                        <wps:cNvSpPr>
                          <a:spLocks noChangeArrowheads="1"/>
                        </wps:cNvSpPr>
                        <wps:spPr>
                          <a:xfrm>
                            <a:off x="7277" y="5293"/>
                            <a:ext cx="1845" cy="450"/>
                          </a:xfrm>
                          <a:prstGeom prst="rect">
                            <a:avLst/>
                          </a:prstGeom>
                          <a:solidFill>
                            <a:srgbClr val="FFFFFF"/>
                          </a:solidFill>
                          <a:ln>
                            <a:miter/>
                          </a:ln>
                        </wps:spPr>
                        <wps:txbx>
                          <w:txbxContent>
                            <w:p>
                              <w:pPr>
                                <w:pStyle w:val="0"/>
                                <w:rPr>
                                  <w:rFonts w:hint="default"/>
                                  <w:sz w:val="18"/>
                                </w:rPr>
                              </w:pPr>
                              <w:r>
                                <w:rPr>
                                  <w:rFonts w:hint="eastAsia"/>
                                  <w:sz w:val="18"/>
                                </w:rPr>
                                <w:t>審査・承認・監督</w:t>
                              </w:r>
                            </w:p>
                          </w:txbxContent>
                        </wps:txbx>
                        <wps:bodyPr vertOverflow="overflow" horzOverflow="overflow" lIns="74295" tIns="8890" rIns="74295" bIns="8890" upright="1"/>
                      </wps:wsp>
                      <wps:wsp>
                        <wps:cNvPr id="1070" name="オブジェクト 0"/>
                        <wps:cNvSpPr>
                          <a:spLocks noChangeArrowheads="1"/>
                        </wps:cNvSpPr>
                        <wps:spPr>
                          <a:xfrm>
                            <a:off x="7338" y="6145"/>
                            <a:ext cx="1484" cy="450"/>
                          </a:xfrm>
                          <a:prstGeom prst="rect">
                            <a:avLst/>
                          </a:prstGeom>
                          <a:solidFill>
                            <a:srgbClr val="FFFFFF"/>
                          </a:solidFill>
                          <a:ln>
                            <a:miter/>
                          </a:ln>
                        </wps:spPr>
                        <wps:txbx>
                          <w:txbxContent>
                            <w:p>
                              <w:pPr>
                                <w:pStyle w:val="0"/>
                                <w:ind w:firstLine="220" w:firstLineChars="100"/>
                                <w:rPr>
                                  <w:rFonts w:hint="default"/>
                                  <w:sz w:val="18"/>
                                </w:rPr>
                              </w:pPr>
                              <w:r>
                                <w:rPr>
                                  <w:rFonts w:hint="eastAsia"/>
                                  <w:sz w:val="18"/>
                                </w:rPr>
                                <w:t>報告（毎年）</w:t>
                              </w:r>
                            </w:p>
                          </w:txbxContent>
                        </wps:txbx>
                        <wps:bodyPr vertOverflow="overflow" horzOverflow="overflow" lIns="74295" tIns="8890" rIns="74295" bIns="8890" upright="1"/>
                      </wps:wsp>
                      <wps:wsp>
                        <wps:cNvPr id="1071" name="オブジェクト 0"/>
                        <wps:cNvCnPr/>
                        <wps:spPr>
                          <a:xfrm>
                            <a:off x="2897" y="5658"/>
                            <a:ext cx="645" cy="0"/>
                          </a:xfrm>
                          <a:prstGeom prst="straightConnector1">
                            <a:avLst/>
                          </a:prstGeom>
                          <a:solidFill>
                            <a:srgbClr val="FFFFFF"/>
                          </a:solidFill>
                          <a:ln w="9525">
                            <a:solidFill>
                              <a:sysClr val="windowText" lastClr="000000"/>
                            </a:solidFill>
                            <a:miter/>
                            <a:tailEnd type="triangle"/>
                          </a:ln>
                        </wps:spPr>
                        <wps:bodyPr/>
                      </wps:wsp>
                      <wps:wsp>
                        <wps:cNvPr id="1072" name="オブジェクト 0"/>
                        <wps:cNvCnPr/>
                        <wps:spPr>
                          <a:xfrm>
                            <a:off x="4320" y="5022"/>
                            <a:ext cx="2102" cy="1"/>
                          </a:xfrm>
                          <a:prstGeom prst="straightConnector1">
                            <a:avLst/>
                          </a:prstGeom>
                          <a:solidFill>
                            <a:srgbClr val="FFFFFF"/>
                          </a:solidFill>
                          <a:ln w="9525">
                            <a:solidFill>
                              <a:sysClr val="windowText" lastClr="000000"/>
                            </a:solidFill>
                            <a:miter/>
                            <a:tailEnd type="triangle"/>
                          </a:ln>
                        </wps:spPr>
                        <wps:bodyPr/>
                      </wps:wsp>
                      <wps:wsp>
                        <wps:cNvPr id="1073" name="オブジェクト 0"/>
                        <wps:cNvCnPr/>
                        <wps:spPr>
                          <a:xfrm>
                            <a:off x="7127" y="5050"/>
                            <a:ext cx="2175" cy="0"/>
                          </a:xfrm>
                          <a:prstGeom prst="straightConnector1">
                            <a:avLst/>
                          </a:prstGeom>
                          <a:solidFill>
                            <a:srgbClr val="FFFFFF"/>
                          </a:solidFill>
                          <a:ln w="9525">
                            <a:solidFill>
                              <a:sysClr val="windowText" lastClr="000000"/>
                            </a:solidFill>
                            <a:miter/>
                            <a:tailEnd type="triangle"/>
                          </a:ln>
                        </wps:spPr>
                        <wps:bodyPr/>
                      </wps:wsp>
                      <wps:wsp>
                        <wps:cNvPr id="1074" name="オブジェクト 0"/>
                        <wps:cNvCnPr/>
                        <wps:spPr>
                          <a:xfrm>
                            <a:off x="7124" y="6145"/>
                            <a:ext cx="2175" cy="0"/>
                          </a:xfrm>
                          <a:prstGeom prst="straightConnector1">
                            <a:avLst/>
                          </a:prstGeom>
                          <a:solidFill>
                            <a:srgbClr val="FFFFFF"/>
                          </a:solidFill>
                          <a:ln w="9525">
                            <a:solidFill>
                              <a:sysClr val="windowText" lastClr="000000"/>
                            </a:solidFill>
                            <a:miter/>
                            <a:tailEnd type="triangle"/>
                          </a:ln>
                        </wps:spPr>
                        <wps:bodyPr/>
                      </wps:wsp>
                      <wps:wsp>
                        <wps:cNvPr id="1075" name="オブジェクト 0"/>
                        <wps:cNvCnPr/>
                        <wps:spPr>
                          <a:xfrm flipH="1">
                            <a:off x="7127" y="5643"/>
                            <a:ext cx="2175" cy="0"/>
                          </a:xfrm>
                          <a:prstGeom prst="straightConnector1">
                            <a:avLst/>
                          </a:prstGeom>
                          <a:solidFill>
                            <a:srgbClr val="FFFFFF"/>
                          </a:solidFill>
                          <a:ln w="9525">
                            <a:solidFill>
                              <a:sysClr val="windowText" lastClr="000000"/>
                            </a:solidFill>
                            <a:miter/>
                            <a:tailEnd type="triangle"/>
                          </a:ln>
                        </wps:spPr>
                        <wps:bodyPr/>
                      </wps:wsp>
                      <wps:wsp>
                        <wps:cNvPr id="1076" name="オブジェクト 0"/>
                        <wps:cNvCnPr/>
                        <wps:spPr>
                          <a:xfrm flipH="1">
                            <a:off x="4487" y="5294"/>
                            <a:ext cx="1935" cy="0"/>
                          </a:xfrm>
                          <a:prstGeom prst="straightConnector1">
                            <a:avLst/>
                          </a:prstGeom>
                          <a:solidFill>
                            <a:srgbClr val="FFFFFF"/>
                          </a:solidFill>
                          <a:ln w="9525">
                            <a:solidFill>
                              <a:sysClr val="windowText" lastClr="000000"/>
                            </a:solidFill>
                            <a:miter/>
                            <a:tailEnd type="triangle"/>
                          </a:ln>
                        </wps:spPr>
                        <wps:bodyPr/>
                      </wps:wsp>
                    </wpg:wgp>
                  </a:graphicData>
                </a:graphic>
              </wp:anchor>
            </w:drawing>
          </mc:Choice>
          <mc:Fallback>
            <w:pict>
              <v:group id="オブジェクト 0" style="margin-top:3.5pt;mso-position-vertical-relative:text;mso-position-horizontal-relative:text;position:absolute;height:118.85pt;width:381.6pt;margin-left:43.95pt;z-index:6;" coordsize="7632,2377" coordorigin="2297,4638" o:spid="_x0000_s1060" o:allowincell="t" o:allowoverlap="t">
                <v:rect id="オブジェクト 0" style="height:1635;width:600;top:4943;left:2297;position:absolute;" o:spid="_x0000_s1061" filled="t" fillcolor="#daeef3"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rPr>
                        </w:pPr>
                        <w:r>
                          <w:rPr>
                            <w:rFonts w:hint="eastAsia"/>
                          </w:rPr>
                          <w:t>患　者</w:t>
                        </w:r>
                      </w:p>
                    </w:txbxContent>
                  </v:textbox>
                  <v:imagedata o:title=""/>
                  <w10:wrap type="none" anchorx="text" anchory="text"/>
                </v:rect>
                <v:rect id="オブジェクト 0" style="height:1978;width:778;top:4638;left:3542;position:absolute;" o:spid="_x0000_s1062" filled="t" fillcolor="#e5dfec" stroked="t" strokecolor="#000000" strokeweight="0.75pt" o:spt="1">
                  <v:fill/>
                  <v:stroke filltype="solid"/>
                  <v:textbox style="layout-flow:vertical-ideographic;" inset="2.0637499999999998mm,0.24694444444444438mm,2.0637499999999998mm,0.24694444444444438mm">
                    <w:txbxContent>
                      <w:p>
                        <w:pPr>
                          <w:pStyle w:val="0"/>
                          <w:spacing w:line="240" w:lineRule="exact"/>
                          <w:rPr>
                            <w:rFonts w:hint="default"/>
                          </w:rPr>
                        </w:pPr>
                        <w:r>
                          <w:rPr>
                            <w:rFonts w:hint="eastAsia"/>
                          </w:rPr>
                          <w:t>かかりつけ医・</w:t>
                        </w:r>
                      </w:p>
                      <w:p>
                        <w:pPr>
                          <w:pStyle w:val="0"/>
                          <w:spacing w:line="240" w:lineRule="exact"/>
                          <w:jc w:val="center"/>
                          <w:rPr>
                            <w:rFonts w:hint="default"/>
                          </w:rPr>
                        </w:pPr>
                        <w:r>
                          <w:rPr>
                            <w:rFonts w:hint="eastAsia"/>
                          </w:rPr>
                          <w:t>かかりつけ歯科医</w:t>
                        </w:r>
                      </w:p>
                    </w:txbxContent>
                  </v:textbox>
                  <v:imagedata o:title=""/>
                  <w10:wrap type="none" anchorx="text" anchory="text"/>
                </v:rect>
                <v:rect id="オブジェクト 0" style="height:2190;width:630;top:4638;left:6497;position:absolute;" o:spid="_x0000_s1063" filled="t" fillcolor="#fde9d9"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b w:val="1"/>
                            <w:shd w:val="clear" w:color="auto" w:fill="FDE9D9"/>
                          </w:rPr>
                        </w:pPr>
                        <w:r>
                          <w:rPr>
                            <w:rFonts w:hint="eastAsia"/>
                            <w:b w:val="1"/>
                            <w:shd w:val="clear" w:color="auto" w:fill="FDE9D9"/>
                          </w:rPr>
                          <w:t>地域医療支援病院</w:t>
                        </w:r>
                      </w:p>
                    </w:txbxContent>
                  </v:textbox>
                  <v:imagedata o:title=""/>
                  <w10:wrap type="none" anchorx="text" anchory="text"/>
                </v:rect>
                <v:rect id="オブジェクト 0" style="height:1798;width:630;top:4818;left:9299;position:absolute;" o:spid="_x0000_s1064" filled="t" fillcolor="#eaf1dd" stroked="t" strokecolor="#000000" strokeweight="0.75pt" o:spt="1">
                  <v:fill/>
                  <v:stroke filltype="solid"/>
                  <v:textbox style="layout-flow:vertical-ideographic;" inset="2.0637499999999998mm,0.24694444444444438mm,2.0637499999999998mm,0.24694444444444438mm">
                    <w:txbxContent>
                      <w:p>
                        <w:pPr>
                          <w:pStyle w:val="0"/>
                          <w:jc w:val="center"/>
                          <w:rPr>
                            <w:rFonts w:hint="default"/>
                          </w:rPr>
                        </w:pPr>
                        <w:r>
                          <w:rPr>
                            <w:rFonts w:hint="eastAsia"/>
                          </w:rPr>
                          <w:t>知　事</w:t>
                        </w:r>
                      </w:p>
                    </w:txbxContent>
                  </v:textbox>
                  <v:imagedata o:title=""/>
                  <w10:wrap type="none" anchorx="text" anchory="text"/>
                </v:rect>
                <v:rect id="オブジェクト 0" style="height:345;width:645;top:5293;left:2897;position:absolute;" o:spid="_x0000_s1065" filled="f" stroked="f" o:spt="1">
                  <v:fill/>
                  <v:textbox style="layout-flow:horizontal;" inset="2.0637499999999998mm,0.24694444444444438mm,2.0637499999999998mm,0.24694444444444438mm">
                    <w:txbxContent>
                      <w:p>
                        <w:pPr>
                          <w:pStyle w:val="0"/>
                          <w:rPr>
                            <w:rFonts w:hint="default"/>
                            <w:sz w:val="18"/>
                          </w:rPr>
                        </w:pPr>
                        <w:r>
                          <w:rPr>
                            <w:rFonts w:hint="eastAsia"/>
                            <w:sz w:val="18"/>
                          </w:rPr>
                          <w:t>受診</w:t>
                        </w:r>
                      </w:p>
                    </w:txbxContent>
                  </v:textbox>
                  <v:imagedata o:title=""/>
                  <w10:wrap type="none" anchorx="text" anchory="text"/>
                </v:rect>
                <v:rect id="オブジェクト 0" style="height:450;width:1230;top:4638;left:7682;position:absolute;" o:spid="_x0000_s1066"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承認申請</w:t>
                        </w:r>
                      </w:p>
                    </w:txbxContent>
                  </v:textbox>
                  <v:imagedata o:title=""/>
                  <w10:wrap type="none" anchorx="text" anchory="text"/>
                </v:rect>
                <v:rect id="オブジェクト 0" style="height:1722;width:1830;top:5293;left:4592;position:absolute;" o:spid="_x0000_s1067"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●患者の逆紹介</w:t>
                        </w:r>
                      </w:p>
                      <w:p>
                        <w:pPr>
                          <w:pStyle w:val="0"/>
                          <w:spacing w:line="240" w:lineRule="exact"/>
                          <w:rPr>
                            <w:rFonts w:hint="default"/>
                            <w:sz w:val="18"/>
                          </w:rPr>
                        </w:pPr>
                        <w:r>
                          <w:rPr>
                            <w:rFonts w:hint="eastAsia"/>
                            <w:sz w:val="18"/>
                          </w:rPr>
                          <w:t>●医療機器などの</w:t>
                        </w:r>
                      </w:p>
                      <w:p>
                        <w:pPr>
                          <w:pStyle w:val="0"/>
                          <w:ind w:firstLine="220" w:firstLineChars="100"/>
                          <w:rPr>
                            <w:rFonts w:hint="default"/>
                            <w:sz w:val="18"/>
                          </w:rPr>
                        </w:pPr>
                        <w:r>
                          <w:rPr>
                            <w:rFonts w:hint="eastAsia"/>
                            <w:sz w:val="18"/>
                          </w:rPr>
                          <w:t>共同利用</w:t>
                        </w:r>
                      </w:p>
                      <w:p>
                        <w:pPr>
                          <w:pStyle w:val="0"/>
                          <w:rPr>
                            <w:rFonts w:hint="default"/>
                            <w:sz w:val="18"/>
                          </w:rPr>
                        </w:pPr>
                        <w:r>
                          <w:rPr>
                            <w:rFonts w:hint="eastAsia"/>
                            <w:sz w:val="18"/>
                          </w:rPr>
                          <w:t>●研修会などの</w:t>
                        </w:r>
                      </w:p>
                      <w:p>
                        <w:pPr>
                          <w:pStyle w:val="0"/>
                          <w:spacing w:line="240" w:lineRule="exact"/>
                          <w:ind w:firstLine="220" w:firstLineChars="100"/>
                          <w:rPr>
                            <w:rFonts w:hint="default"/>
                            <w:sz w:val="18"/>
                          </w:rPr>
                        </w:pPr>
                        <w:r>
                          <w:rPr>
                            <w:rFonts w:hint="eastAsia"/>
                            <w:sz w:val="18"/>
                          </w:rPr>
                          <w:t>実施</w:t>
                        </w:r>
                      </w:p>
                    </w:txbxContent>
                  </v:textbox>
                  <v:imagedata o:title=""/>
                  <w10:wrap type="none" anchorx="text" anchory="text"/>
                </v:rect>
                <v:rect id="オブジェクト 0" style="height:450;width:1245;top:4638;left:4810;position:absolute;" o:spid="_x0000_s1068"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患者の紹介</w:t>
                        </w:r>
                      </w:p>
                    </w:txbxContent>
                  </v:textbox>
                  <v:imagedata o:title=""/>
                  <w10:wrap type="none" anchorx="text" anchory="text"/>
                </v:rect>
                <v:rect id="オブジェクト 0" style="height:450;width:1845;top:5293;left:7277;position:absolute;" o:spid="_x0000_s1069"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審査・承認・監督</w:t>
                        </w:r>
                      </w:p>
                    </w:txbxContent>
                  </v:textbox>
                  <v:imagedata o:title=""/>
                  <w10:wrap type="none" anchorx="text" anchory="text"/>
                </v:rect>
                <v:rect id="オブジェクト 0" style="height:450;width:1484;top:6145;left:7338;position:absolute;" o:spid="_x0000_s1070" filled="t" fillcolor="#ffffff" stroked="f" o:spt="1">
                  <v:fill/>
                  <v:textbox style="layout-flow:horizontal;" inset="2.0637499999999998mm,0.24694444444444438mm,2.0637499999999998mm,0.24694444444444438mm">
                    <w:txbxContent>
                      <w:p>
                        <w:pPr>
                          <w:pStyle w:val="0"/>
                          <w:ind w:firstLine="220" w:firstLineChars="100"/>
                          <w:rPr>
                            <w:rFonts w:hint="default"/>
                            <w:sz w:val="18"/>
                          </w:rPr>
                        </w:pPr>
                        <w:r>
                          <w:rPr>
                            <w:rFonts w:hint="eastAsia"/>
                            <w:sz w:val="18"/>
                          </w:rPr>
                          <w:t>報告（毎年）</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0;width:645;top:5658;left:2897;position:absolute;" o:spid="_x0000_s1071" filled="t" fillcolor="#ffffff" stroked="t" strokecolor="#000000" strokeweight="0.75pt" o:spt="32" type="#_x0000_t32">
                  <v:fill/>
                  <v:stroke filltype="solid" endarrow="block"/>
                  <v:imagedata o:title=""/>
                  <w10:wrap type="none" anchorx="text" anchory="text"/>
                </v:shape>
                <v:shape id="オブジェクト 0" style="height:1;width:2102;top:5022;left:4320;position:absolute;" o:spid="_x0000_s1072" filled="t" fillcolor="#ffffff" stroked="t" strokecolor="#000000" strokeweight="0.75pt" o:spt="32" type="#_x0000_t32">
                  <v:fill/>
                  <v:stroke filltype="solid" endarrow="block"/>
                  <v:imagedata o:title=""/>
                  <w10:wrap type="none" anchorx="text" anchory="text"/>
                </v:shape>
                <v:shape id="オブジェクト 0" style="height:0;width:2175;top:5050;left:7127;position:absolute;" o:spid="_x0000_s1073" filled="t" fillcolor="#ffffff" stroked="t" strokecolor="#000000" strokeweight="0.75pt" o:spt="32" type="#_x0000_t32">
                  <v:fill/>
                  <v:stroke filltype="solid" endarrow="block"/>
                  <v:imagedata o:title=""/>
                  <w10:wrap type="none" anchorx="text" anchory="text"/>
                </v:shape>
                <v:shape id="オブジェクト 0" style="height:0;width:2175;top:6145;left:7124;position:absolute;" o:spid="_x0000_s1074" filled="t" fillcolor="#ffffff" stroked="t" strokecolor="#000000" strokeweight="0.75pt" o:spt="32" type="#_x0000_t32">
                  <v:fill/>
                  <v:stroke filltype="solid" endarrow="block"/>
                  <v:imagedata o:title=""/>
                  <w10:wrap type="none" anchorx="text" anchory="text"/>
                </v:shape>
                <v:shape id="オブジェクト 0" style="height:0;width:2175;flip:x;top:5643;left:7127;position:absolute;" o:spid="_x0000_s1075" filled="t" fillcolor="#ffffff" stroked="t" strokecolor="#000000" strokeweight="0.75pt" o:spt="32" type="#_x0000_t32">
                  <v:fill/>
                  <v:stroke filltype="solid" endarrow="block"/>
                  <v:imagedata o:title=""/>
                  <w10:wrap type="none" anchorx="text" anchory="text"/>
                </v:shape>
                <v:shape id="オブジェクト 0" style="height:0;width:1935;flip:x;top:5294;left:4487;position:absolute;" o:spid="_x0000_s1076" filled="t" fillcolor="#ffffff" stroked="t" strokecolor="#000000" strokeweight="0.75pt" o:spt="32" type="#_x0000_t32">
                  <v:fill/>
                  <v:stroke filltype="solid" endarrow="block"/>
                  <v:imagedata o:title=""/>
                  <w10:wrap type="none" anchorx="text" anchory="text"/>
                </v:shape>
                <w10:wrap type="none" anchorx="text" anchory="text"/>
              </v:group>
            </w:pict>
          </mc:Fallback>
        </mc:AlternateContent>
      </w: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Chars="0" w:firstLine="0" w:firstLineChars="0"/>
        <w:jc w:val="left"/>
        <w:rPr>
          <w:rFonts w:hint="default"/>
          <w:kern w:val="0"/>
          <w:highlight w:val="none"/>
        </w:rPr>
      </w:pPr>
    </w:p>
    <w:p>
      <w:pPr>
        <w:pStyle w:val="0"/>
        <w:widowControl w:val="1"/>
        <w:ind w:left="0" w:leftChars="300" w:firstLine="0" w:firstLineChars="0"/>
        <w:jc w:val="left"/>
        <w:rPr>
          <w:rFonts w:hint="default"/>
          <w:kern w:val="0"/>
          <w:sz w:val="22"/>
          <w:highlight w:val="none"/>
        </w:rPr>
      </w:pPr>
      <w:r>
        <w:rPr>
          <w:rFonts w:hint="eastAsia"/>
          <w:kern w:val="0"/>
          <w:sz w:val="22"/>
          <w:highlight w:val="none"/>
        </w:rPr>
        <w:t>＜参考＞　地域医療支援病院の主な承認要件</w:t>
      </w:r>
    </w:p>
    <w:p>
      <w:pPr>
        <w:pStyle w:val="0"/>
        <w:ind w:left="1587" w:leftChars="400" w:hanging="680" w:hangingChars="300"/>
        <w:rPr>
          <w:rFonts w:hint="default"/>
          <w:color w:val="000000"/>
          <w:sz w:val="22"/>
          <w:highlight w:val="none"/>
          <w:u w:val="none" w:color="auto"/>
        </w:rPr>
      </w:pPr>
      <w:r>
        <w:rPr>
          <w:rFonts w:hint="eastAsia"/>
          <w:sz w:val="22"/>
          <w:highlight w:val="none"/>
        </w:rPr>
        <w:t>（１）他の病院または診療所から紹介された患者に対し医療を提供する紹介外来制を</w:t>
      </w:r>
      <w:r>
        <w:rPr>
          <w:rFonts w:hint="eastAsia"/>
          <w:color w:val="000000"/>
          <w:sz w:val="22"/>
          <w:highlight w:val="none"/>
          <w:u w:val="none" w:color="auto"/>
        </w:rPr>
        <w:t>原則とし、次のいずれかに該当する。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ア　他の医療機関からの紹介患者数の割合が</w:t>
      </w:r>
      <w:r>
        <w:rPr>
          <w:rFonts w:hint="eastAsia"/>
          <w:color w:val="000000"/>
          <w:sz w:val="22"/>
          <w:highlight w:val="none"/>
          <w:u w:val="none" w:color="auto"/>
        </w:rPr>
        <w:t>80</w:t>
      </w:r>
      <w:r>
        <w:rPr>
          <w:rFonts w:hint="eastAsia"/>
          <w:color w:val="000000"/>
          <w:sz w:val="22"/>
          <w:highlight w:val="none"/>
          <w:u w:val="none" w:color="auto"/>
        </w:rPr>
        <w:t>％を上回る。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イ　他の医療機関からの紹介患者数の割合が</w:t>
      </w:r>
      <w:r>
        <w:rPr>
          <w:rFonts w:hint="eastAsia"/>
          <w:color w:val="000000"/>
          <w:sz w:val="22"/>
          <w:highlight w:val="none"/>
          <w:u w:val="none" w:color="auto"/>
        </w:rPr>
        <w:t>65</w:t>
      </w:r>
      <w:r>
        <w:rPr>
          <w:rFonts w:hint="eastAsia"/>
          <w:color w:val="000000"/>
          <w:sz w:val="22"/>
          <w:highlight w:val="none"/>
          <w:u w:val="none" w:color="auto"/>
        </w:rPr>
        <w:t>％を上回り、かつ、逆紹介率が</w:t>
      </w:r>
      <w:r>
        <w:rPr>
          <w:rFonts w:hint="eastAsia"/>
          <w:color w:val="000000"/>
          <w:sz w:val="22"/>
          <w:highlight w:val="none"/>
          <w:u w:val="none" w:color="auto"/>
        </w:rPr>
        <w:t>40</w:t>
      </w:r>
      <w:r>
        <w:rPr>
          <w:rFonts w:hint="eastAsia"/>
          <w:color w:val="000000"/>
          <w:sz w:val="22"/>
          <w:highlight w:val="none"/>
          <w:u w:val="none" w:color="auto"/>
        </w:rPr>
        <w:t>％を上回る。</w:t>
      </w:r>
    </w:p>
    <w:p>
      <w:pPr>
        <w:pStyle w:val="0"/>
        <w:ind w:left="1815" w:leftChars="600" w:right="0" w:rightChars="0" w:hanging="454" w:hangingChars="200"/>
        <w:rPr>
          <w:rFonts w:hint="default"/>
          <w:color w:val="000000"/>
          <w:sz w:val="22"/>
          <w:highlight w:val="none"/>
          <w:u w:val="none" w:color="auto"/>
        </w:rPr>
      </w:pPr>
      <w:r>
        <w:rPr>
          <w:rFonts w:hint="eastAsia"/>
          <w:color w:val="000000"/>
          <w:sz w:val="22"/>
          <w:highlight w:val="none"/>
          <w:u w:val="none" w:color="auto"/>
        </w:rPr>
        <w:t>ウ　他の医療機関からの紹介患者数の割合が</w:t>
      </w:r>
      <w:r>
        <w:rPr>
          <w:rFonts w:hint="eastAsia"/>
          <w:color w:val="000000"/>
          <w:sz w:val="22"/>
          <w:highlight w:val="none"/>
          <w:u w:val="none" w:color="auto"/>
        </w:rPr>
        <w:t>50</w:t>
      </w:r>
      <w:r>
        <w:rPr>
          <w:rFonts w:hint="eastAsia"/>
          <w:color w:val="000000"/>
          <w:sz w:val="22"/>
          <w:highlight w:val="none"/>
          <w:u w:val="none" w:color="auto"/>
        </w:rPr>
        <w:t>％を上回り、かつ、逆紹介率が</w:t>
      </w:r>
      <w:r>
        <w:rPr>
          <w:rFonts w:hint="eastAsia"/>
          <w:color w:val="000000"/>
          <w:sz w:val="22"/>
          <w:highlight w:val="none"/>
          <w:u w:val="none" w:color="auto"/>
        </w:rPr>
        <w:t>70</w:t>
      </w:r>
      <w:r>
        <w:rPr>
          <w:rFonts w:hint="eastAsia"/>
          <w:color w:val="000000"/>
          <w:sz w:val="22"/>
          <w:highlight w:val="none"/>
          <w:u w:val="none" w:color="auto"/>
        </w:rPr>
        <w:t>％を上回る。</w:t>
      </w:r>
    </w:p>
    <w:p>
      <w:pPr>
        <w:pStyle w:val="0"/>
        <w:ind w:left="1587" w:leftChars="400" w:right="0" w:rightChars="0" w:hanging="680" w:hangingChars="300"/>
        <w:rPr>
          <w:rFonts w:hint="default"/>
          <w:sz w:val="22"/>
          <w:highlight w:val="none"/>
        </w:rPr>
      </w:pPr>
      <w:r>
        <w:rPr>
          <w:rFonts w:hint="eastAsia"/>
          <w:sz w:val="22"/>
          <w:highlight w:val="none"/>
        </w:rPr>
        <w:t>（２）他の医療機関に対し、医療施設や医療機器などを提供し共同利用のための体制が整備されている。</w:t>
      </w:r>
    </w:p>
    <w:p>
      <w:pPr>
        <w:pStyle w:val="0"/>
        <w:ind w:left="1587" w:leftChars="400" w:right="0" w:rightChars="0" w:hanging="680" w:hangingChars="300"/>
        <w:rPr>
          <w:rFonts w:hint="default"/>
          <w:sz w:val="22"/>
          <w:highlight w:val="none"/>
        </w:rPr>
      </w:pPr>
      <w:r>
        <w:rPr>
          <w:rFonts w:hint="eastAsia"/>
          <w:sz w:val="22"/>
          <w:highlight w:val="none"/>
        </w:rPr>
        <w:t>（３）救急医療を提供する能力を有している。</w:t>
      </w:r>
    </w:p>
    <w:p>
      <w:pPr>
        <w:pStyle w:val="0"/>
        <w:ind w:left="1587" w:leftChars="400" w:right="0" w:rightChars="0" w:hanging="680" w:hangingChars="300"/>
        <w:rPr>
          <w:rFonts w:hint="default"/>
          <w:sz w:val="22"/>
          <w:highlight w:val="none"/>
        </w:rPr>
      </w:pPr>
      <w:r>
        <w:rPr>
          <w:rFonts w:hint="eastAsia"/>
          <w:sz w:val="22"/>
          <w:highlight w:val="none"/>
        </w:rPr>
        <w:t>（４）地域の医療従事者の資質の向上を図るための研修などを実施している。</w:t>
      </w:r>
    </w:p>
    <w:p>
      <w:pPr>
        <w:pStyle w:val="0"/>
        <w:ind w:left="1587" w:leftChars="400" w:right="0" w:rightChars="0" w:hanging="680" w:hangingChars="300"/>
        <w:rPr>
          <w:rFonts w:hint="default"/>
          <w:sz w:val="22"/>
          <w:highlight w:val="none"/>
        </w:rPr>
      </w:pPr>
      <w:r>
        <w:rPr>
          <w:rFonts w:hint="eastAsia"/>
          <w:sz w:val="22"/>
          <w:highlight w:val="none"/>
        </w:rPr>
        <w:t>（５）原則として</w:t>
      </w:r>
      <w:r>
        <w:rPr>
          <w:rFonts w:hint="eastAsia"/>
          <w:sz w:val="22"/>
          <w:highlight w:val="none"/>
        </w:rPr>
        <w:t>200</w:t>
      </w:r>
      <w:r>
        <w:rPr>
          <w:rFonts w:hint="eastAsia"/>
          <w:sz w:val="22"/>
          <w:highlight w:val="none"/>
        </w:rPr>
        <w:t>床以上の病床を有する。</w:t>
      </w:r>
    </w:p>
    <w:p>
      <w:pPr>
        <w:pStyle w:val="0"/>
        <w:rPr>
          <w:rFonts w:hint="default"/>
          <w:highlight w:val="none"/>
        </w:rPr>
      </w:pPr>
    </w:p>
    <w:p>
      <w:pPr>
        <w:pStyle w:val="0"/>
        <w:spacing w:line="240" w:lineRule="exact"/>
        <w:ind w:right="-7" w:rightChars="-3"/>
        <w:jc w:val="right"/>
        <w:rPr>
          <w:rFonts w:hint="default" w:ascii="ＭＳ ゴシック" w:hAnsi="ＭＳ ゴシック" w:eastAsia="ＭＳ ゴシック"/>
          <w:color w:val="000000"/>
          <w:sz w:val="16"/>
          <w:highlight w:val="none"/>
          <w:u w:val="non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5-</w:t>
      </w:r>
      <w:r>
        <w:rPr>
          <w:rFonts w:hint="eastAsia" w:ascii="ＭＳ ゴシック" w:hAnsi="ＭＳ ゴシック" w:eastAsia="ＭＳ ゴシック"/>
          <w:color w:val="auto"/>
          <w:sz w:val="22"/>
          <w:highlight w:val="none"/>
          <w:u w:val="none" w:color="auto"/>
        </w:rPr>
        <w:t>4-6</w:t>
      </w:r>
      <w:r>
        <w:rPr>
          <w:rFonts w:hint="eastAsia" w:ascii="ＭＳ ゴシック" w:hAnsi="ＭＳ ゴシック" w:eastAsia="ＭＳ ゴシック"/>
          <w:color w:val="auto"/>
          <w:sz w:val="22"/>
          <w:highlight w:val="none"/>
          <w:u w:val="none" w:color="auto"/>
        </w:rPr>
        <w:t>）高知県における地域医療支援病院承認状況</w:t>
      </w:r>
      <w:r>
        <w:rPr>
          <w:rFonts w:hint="eastAsia" w:ascii="ＭＳ ゴシック" w:hAnsi="ＭＳ ゴシック" w:eastAsia="ＭＳ ゴシック"/>
          <w:color w:val="auto"/>
          <w:sz w:val="21"/>
          <w:highlight w:val="none"/>
          <w:u w:val="none" w:color="auto"/>
        </w:rPr>
        <w:t>　　</w:t>
      </w:r>
      <w:r>
        <w:rPr>
          <w:rFonts w:hint="eastAsia" w:ascii="ＭＳ 明朝" w:hAnsi="ＭＳ 明朝" w:eastAsia="ＭＳ 明朝"/>
          <w:color w:val="auto"/>
          <w:sz w:val="16"/>
          <w:highlight w:val="none"/>
          <w:u w:val="none" w:color="auto"/>
        </w:rPr>
        <w:t>令和５年</w:t>
      </w:r>
      <w:r>
        <w:rPr>
          <w:rFonts w:hint="eastAsia" w:ascii="ＭＳ 明朝" w:hAnsi="ＭＳ 明朝" w:eastAsia="ＭＳ 明朝"/>
          <w:color w:val="auto"/>
          <w:sz w:val="16"/>
          <w:highlight w:val="none"/>
          <w:u w:val="none" w:color="auto"/>
        </w:rPr>
        <w:t>12</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31</w:t>
      </w:r>
      <w:r>
        <w:rPr>
          <w:rFonts w:hint="eastAsia" w:ascii="ＭＳ 明朝" w:hAnsi="ＭＳ 明朝" w:eastAsia="ＭＳ 明朝"/>
          <w:color w:val="auto"/>
          <w:sz w:val="16"/>
          <w:highlight w:val="none"/>
          <w:u w:val="none" w:color="auto"/>
        </w:rPr>
        <w:t>日</w:t>
      </w:r>
      <w:r>
        <w:rPr>
          <w:rFonts w:hint="eastAsia" w:ascii="ＭＳ 明朝" w:hAnsi="ＭＳ 明朝" w:eastAsia="ＭＳ 明朝"/>
          <w:color w:val="000000"/>
          <w:sz w:val="16"/>
          <w:highlight w:val="none"/>
          <w:u w:val="none" w:color="auto"/>
        </w:rPr>
        <w:t>現在</w:t>
      </w:r>
    </w:p>
    <w:tbl>
      <w:tblPr>
        <w:tblStyle w:val="11"/>
        <w:tblpPr w:leftFromText="142" w:rightFromText="142" w:topFromText="0" w:bottomFromText="0" w:vertAnchor="text" w:horzAnchor="page" w:tblpX="1586" w:tblpY="120"/>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967"/>
        <w:gridCol w:w="1253"/>
        <w:gridCol w:w="1550"/>
        <w:gridCol w:w="2402"/>
        <w:gridCol w:w="1816"/>
      </w:tblGrid>
      <w:tr>
        <w:trPr>
          <w:trHeight w:val="74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医療機関名</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w w:val="70"/>
                <w:kern w:val="2"/>
                <w:sz w:val="20"/>
                <w:highlight w:val="none"/>
                <w:u w:val="none" w:color="auto"/>
              </w:rPr>
            </w:pPr>
            <w:r>
              <w:rPr>
                <w:rFonts w:hint="eastAsia" w:ascii="ＭＳ 明朝" w:hAnsi="ＭＳ 明朝"/>
                <w:color w:val="000000"/>
                <w:kern w:val="2"/>
                <w:sz w:val="20"/>
                <w:highlight w:val="none"/>
                <w:u w:val="none" w:color="auto"/>
              </w:rPr>
              <w:t>保健医療圏</w:t>
            </w:r>
          </w:p>
        </w:tc>
        <w:tc>
          <w:tcPr>
            <w:tcW w:w="1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所在地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承認年月日</w:t>
            </w:r>
          </w:p>
        </w:tc>
        <w:tc>
          <w:tcPr>
            <w:tcW w:w="1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spacing w:line="240" w:lineRule="exact"/>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病床数</w:t>
            </w:r>
          </w:p>
        </w:tc>
      </w:tr>
      <w:tr>
        <w:trPr>
          <w:trHeight w:val="434" w:hRule="atLeast"/>
        </w:trPr>
        <w:tc>
          <w:tcPr>
            <w:tcW w:w="196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近森病院</w:t>
            </w:r>
          </w:p>
        </w:tc>
        <w:tc>
          <w:tcPr>
            <w:tcW w:w="12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高知市大川筋</w:t>
            </w:r>
          </w:p>
        </w:tc>
        <w:tc>
          <w:tcPr>
            <w:tcW w:w="240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15</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2</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25</w:t>
            </w:r>
            <w:r>
              <w:rPr>
                <w:rFonts w:hint="eastAsia" w:ascii="ＭＳ 明朝" w:hAnsi="ＭＳ 明朝"/>
                <w:color w:val="000000"/>
                <w:kern w:val="2"/>
                <w:sz w:val="20"/>
                <w:highlight w:val="none"/>
                <w:u w:val="none" w:color="auto"/>
              </w:rPr>
              <w:t>日</w:t>
            </w:r>
          </w:p>
        </w:tc>
        <w:tc>
          <w:tcPr>
            <w:tcW w:w="18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sz w:val="20"/>
                <w:highlight w:val="none"/>
              </w:rPr>
              <w:t>512</w:t>
            </w:r>
          </w:p>
        </w:tc>
      </w:tr>
      <w:tr>
        <w:trPr>
          <w:trHeight w:val="428" w:hRule="atLeast"/>
        </w:trPr>
        <w:tc>
          <w:tcPr>
            <w:tcW w:w="19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高知赤十字病院</w:t>
            </w:r>
          </w:p>
        </w:tc>
        <w:tc>
          <w:tcPr>
            <w:tcW w:w="12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高知市秦南町</w:t>
            </w:r>
          </w:p>
        </w:tc>
        <w:tc>
          <w:tcPr>
            <w:tcW w:w="240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17</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8</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16</w:t>
            </w:r>
            <w:r>
              <w:rPr>
                <w:rFonts w:hint="eastAsia" w:ascii="ＭＳ 明朝" w:hAnsi="ＭＳ 明朝"/>
                <w:color w:val="000000"/>
                <w:kern w:val="2"/>
                <w:sz w:val="20"/>
                <w:highlight w:val="none"/>
                <w:u w:val="none" w:color="auto"/>
              </w:rPr>
              <w:t>日</w:t>
            </w:r>
          </w:p>
        </w:tc>
        <w:tc>
          <w:tcPr>
            <w:tcW w:w="18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402</w:t>
            </w:r>
          </w:p>
        </w:tc>
      </w:tr>
      <w:tr>
        <w:trPr>
          <w:trHeight w:val="433" w:hRule="atLeast"/>
        </w:trPr>
        <w:tc>
          <w:tcPr>
            <w:tcW w:w="196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高知医療センター</w:t>
            </w:r>
          </w:p>
        </w:tc>
        <w:tc>
          <w:tcPr>
            <w:tcW w:w="125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中央</w:t>
            </w:r>
          </w:p>
        </w:tc>
        <w:tc>
          <w:tcPr>
            <w:tcW w:w="15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高知市池</w:t>
            </w:r>
          </w:p>
        </w:tc>
        <w:tc>
          <w:tcPr>
            <w:tcW w:w="240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108"/>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平成</w:t>
            </w:r>
            <w:r>
              <w:rPr>
                <w:rFonts w:hint="eastAsia" w:ascii="ＭＳ 明朝" w:hAnsi="ＭＳ 明朝"/>
                <w:color w:val="000000"/>
                <w:kern w:val="2"/>
                <w:sz w:val="20"/>
                <w:highlight w:val="none"/>
                <w:u w:val="none" w:color="auto"/>
              </w:rPr>
              <w:t>19</w:t>
            </w:r>
            <w:r>
              <w:rPr>
                <w:rFonts w:hint="eastAsia" w:ascii="ＭＳ 明朝" w:hAnsi="ＭＳ 明朝"/>
                <w:color w:val="000000"/>
                <w:kern w:val="2"/>
                <w:sz w:val="20"/>
                <w:highlight w:val="none"/>
                <w:u w:val="none" w:color="auto"/>
              </w:rPr>
              <w:t>年</w:t>
            </w:r>
            <w:r>
              <w:rPr>
                <w:rFonts w:hint="eastAsia" w:ascii="ＭＳ 明朝" w:hAnsi="ＭＳ 明朝"/>
                <w:color w:val="000000"/>
                <w:kern w:val="2"/>
                <w:sz w:val="20"/>
                <w:highlight w:val="none"/>
                <w:u w:val="none" w:color="auto"/>
              </w:rPr>
              <w:t>4</w:t>
            </w:r>
            <w:r>
              <w:rPr>
                <w:rFonts w:hint="eastAsia" w:ascii="ＭＳ 明朝" w:hAnsi="ＭＳ 明朝"/>
                <w:color w:val="000000"/>
                <w:kern w:val="2"/>
                <w:sz w:val="20"/>
                <w:highlight w:val="none"/>
                <w:u w:val="none" w:color="auto"/>
              </w:rPr>
              <w:t>月</w:t>
            </w:r>
            <w:r>
              <w:rPr>
                <w:rFonts w:hint="eastAsia" w:ascii="ＭＳ 明朝" w:hAnsi="ＭＳ 明朝"/>
                <w:color w:val="000000"/>
                <w:kern w:val="2"/>
                <w:sz w:val="20"/>
                <w:highlight w:val="none"/>
                <w:u w:val="none" w:color="auto"/>
              </w:rPr>
              <w:t>25</w:t>
            </w:r>
            <w:r>
              <w:rPr>
                <w:rFonts w:hint="eastAsia" w:ascii="ＭＳ 明朝" w:hAnsi="ＭＳ 明朝"/>
                <w:color w:val="000000"/>
                <w:kern w:val="2"/>
                <w:sz w:val="20"/>
                <w:highlight w:val="none"/>
                <w:u w:val="none" w:color="auto"/>
              </w:rPr>
              <w:t>日</w:t>
            </w:r>
          </w:p>
        </w:tc>
        <w:tc>
          <w:tcPr>
            <w:tcW w:w="18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620</w:t>
            </w:r>
          </w:p>
        </w:tc>
      </w:tr>
    </w:tbl>
    <w:p>
      <w:pPr>
        <w:pStyle w:val="0"/>
        <w:rPr>
          <w:rFonts w:hint="default"/>
          <w:dstrike w:val="1"/>
          <w:color w:val="000000"/>
          <w:highlight w:val="none"/>
          <w:u w:val="none" w:color="auto"/>
        </w:rPr>
      </w:pPr>
    </w:p>
    <w:p>
      <w:pPr>
        <w:pStyle w:val="0"/>
        <w:spacing w:after="165" w:afterLines="50" w:afterAutospacing="0" w:line="180" w:lineRule="exact"/>
        <w:rPr>
          <w:rFonts w:hint="eastAsia"/>
          <w:highlight w:val="none"/>
        </w:rPr>
      </w:pPr>
    </w:p>
    <w:sectPr>
      <w:footerReference r:id="rId5" w:type="default"/>
      <w:pgSz w:w="11906" w:h="16838"/>
      <w:pgMar w:top="1418" w:right="1418" w:bottom="1418" w:left="1418" w:header="567" w:footer="720" w:gutter="0"/>
      <w:pgNumType w:fmt="numberInDash" w:start="8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- 98 -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74">
          <o:proxy start="" idref="#_x0000_s0" connectloc="-1"/>
          <o:proxy end="" idref="#_x0000_s0" connectloc="-1"/>
        </o:r>
        <o:r id="V:Rule14" type="connector" idref="#_x0000_s1071">
          <o:proxy start="" idref="#_x0000_s0" connectloc="-1"/>
          <o:proxy end="" idref="#_x0000_s0" connectloc="-1"/>
        </o:r>
        <o:r id="V:Rule38" type="connector" idref="#_x0000_s1076">
          <o:proxy start="" idref="#_x0000_s0" connectloc="-1"/>
          <o:proxy end="" idref="#_x0000_s0" connectloc="-1"/>
        </o:r>
        <o:r id="V:Rule44" type="connector" idref="#_x0000_s1073">
          <o:proxy start="" idref="#_x0000_s0" connectloc="-1"/>
          <o:proxy end="" idref="#_x0000_s0" connectloc="-1"/>
        </o:r>
        <o:r id="V:Rule74" type="connector" idref="#_x0000_s1075">
          <o:proxy start="" idref="#_x0000_s0" connectloc="-1"/>
          <o:proxy end="" idref="#_x0000_s0" connectloc="-1"/>
        </o:r>
        <o:r id="V:Rule80" type="connector" idref="#_x0000_s107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image" Target="media/image1.png" /><Relationship Id="rId8" Type="http://schemas.openxmlformats.org/officeDocument/2006/relationships/chart" Target="charts/chart2.xml" /><Relationship Id="rId9" Type="http://schemas.openxmlformats.org/officeDocument/2006/relationships/image" Target="media/image2.png"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10.11.76.152\&#21307;&#34220;&#36899;&#25658;&#12288;&#20849;&#26377;\&#20445;&#20581;&#21307;&#30274;&#35336;&#30011;&#65288;&#21307;&#34220;&#36899;&#25658;&#20849;&#26377;&#65420;&#65387;&#65433;&#65408;&#65438;&#65289;\&#31532;8&#26399;&#65288;R5&#20316;&#25104;&#65289;\&#34220;&#23616;&#12398;&#24441;&#21106;\&#38498;&#22806;&#20966;&#26041;&#31627;&#30330;&#34892;&#29575;&#12398;&#25512;&#31227;\&#65288;&#22259;&#34920;&#65289;&#38498;&#22806;&#20966;&#26041;&#12379;&#12435;&#30330;&#34892;&#29575;&#12398;&#25512;&#31227;.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10.11.76.152\&#21307;&#34220;&#36899;&#25658;&#12288;&#20849;&#26377;\&#20445;&#20581;&#21307;&#30274;&#35336;&#30011;&#65288;&#21307;&#34220;&#36899;&#25658;&#20849;&#26377;&#65420;&#65387;&#65433;&#65408;&#65438;&#65289;\&#31532;8&#26399;&#65288;R5&#20316;&#25104;&#65289;\&#34220;&#23616;&#12398;&#24441;&#21106;\&#38498;&#22806;&#20966;&#26041;&#31627;&#30330;&#34892;&#29575;&#12398;&#25512;&#31227;\&#65288;&#22259;&#34920;&#65289;&#38498;&#22806;&#20966;&#26041;&#12379;&#12435;&#30330;&#34892;&#29575;&#12398;&#25512;&#31227;.xlsx" TargetMode="External" /><Relationship Id="rId2" Type="http://schemas.microsoft.com/office/2011/relationships/chartColorStyle" Target="colors2.xml" /><Relationship Id="rId3" Type="http://schemas.microsoft.com/office/2011/relationships/chartStyle" Target="style2.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
          <c:y val="0.14792899408284024"/>
          <c:w val="0.77962962962962945"/>
          <c:h val="0.66272189349112431"/>
        </c:manualLayout>
      </c:layout>
      <c:lineChart>
        <c:grouping val="standard"/>
        <c:varyColors val="0"/>
        <c:ser>
          <c:idx val="0"/>
          <c:order val="0"/>
          <c:tx>
            <c:strRef>
              <c:f>Sheet1!$B$1</c:f>
              <c:strCache>
                <c:ptCount val="1"/>
                <c:pt idx="0">
                  <c:v>分業率（全国）</c:v>
                </c:pt>
              </c:strCache>
            </c:strRef>
          </c:tx>
          <c:spPr>
            <a:noFill/>
            <a:ln w="28575" cap="rnd">
              <a:solidFill>
                <a:schemeClr val="accent1"/>
              </a:solidFill>
              <a:round/>
            </a:ln>
            <a:effectLst/>
          </c:spPr>
          <c:marker>
            <c:symbol val="diamond"/>
            <c:size val="5"/>
            <c:spPr>
              <a:solidFill>
                <a:schemeClr val="accent1"/>
              </a:solidFill>
              <a:ln w="9525">
                <a:solidFill>
                  <a:schemeClr val="accent1"/>
                </a:solidFill>
              </a:ln>
              <a:effectLst/>
            </c:spPr>
          </c:marker>
          <c:dPt>
            <c:idx val="1"/>
            <c:invertIfNegative val="0"/>
            <c:marker>
              <c:symbol val="diamond"/>
              <c:size val="5"/>
              <c:spPr>
                <a:solidFill>
                  <a:schemeClr val="accent1"/>
                </a:solidFill>
                <a:ln w="9525">
                  <a:solidFill>
                    <a:schemeClr val="accent1"/>
                  </a:solidFill>
                </a:ln>
                <a:effectLst/>
              </c:spPr>
            </c:marker>
            <c:bubble3D val="0"/>
            <c:spPr>
              <a:noFill/>
              <a:ln w="28575" cap="rnd">
                <a:solidFill>
                  <a:schemeClr val="accent1"/>
                </a:solidFill>
                <a:round/>
              </a:ln>
              <a:effectLst/>
            </c:spPr>
          </c:dPt>
          <c:dLbls>
            <c:dLbl>
              <c:idx val="1"/>
              <c:layout/>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H9年度</c:v>
                </c:pt>
                <c:pt idx="1">
                  <c:v>H14年度</c:v>
                </c:pt>
                <c:pt idx="2">
                  <c:v>H19年度</c:v>
                </c:pt>
                <c:pt idx="3">
                  <c:v>H24年度</c:v>
                </c:pt>
                <c:pt idx="4">
                  <c:v>H29年度</c:v>
                </c:pt>
                <c:pt idx="5">
                  <c:v>R4年度</c:v>
                </c:pt>
              </c:strCache>
            </c:strRef>
          </c:cat>
          <c:val>
            <c:numRef>
              <c:f>'[（図表）院外処方せん発行率の推移.xlsx]Sheet1'!$B$2:$B$7</c:f>
              <c:numCache>
                <c:formatCode>General</c:formatCode>
                <c:ptCount val="6"/>
                <c:pt idx="0" formatCode="0.0_ ">
                  <c:v>26</c:v>
                </c:pt>
                <c:pt idx="1">
                  <c:v>48.8</c:v>
                </c:pt>
                <c:pt idx="2">
                  <c:v>57.2</c:v>
                </c:pt>
                <c:pt idx="3">
                  <c:v>66.099999999999994</c:v>
                </c:pt>
                <c:pt idx="4">
                  <c:v>72.8</c:v>
                </c:pt>
                <c:pt idx="5">
                  <c:v>76.599999999999994</c:v>
                </c:pt>
              </c:numCache>
            </c:numRef>
          </c:val>
          <c:smooth val="0"/>
        </c:ser>
        <c:ser>
          <c:idx val="1"/>
          <c:order val="1"/>
          <c:tx>
            <c:strRef>
              <c:f>Sheet1!$C$1</c:f>
              <c:strCache>
                <c:ptCount val="1"/>
                <c:pt idx="0">
                  <c:v>分業率（高知）</c:v>
                </c:pt>
              </c:strCache>
            </c:strRef>
          </c:tx>
          <c:spPr>
            <a:noFill/>
            <a:ln w="28575" cap="rnd">
              <a:solidFill>
                <a:schemeClr val="accent2"/>
              </a:solidFill>
              <a:round/>
            </a:ln>
            <a:effectLst/>
          </c:spPr>
          <c:marker>
            <c:symbol val="square"/>
            <c:size val="5"/>
            <c:spPr>
              <a:solidFill>
                <a:schemeClr val="accent2"/>
              </a:solidFill>
              <a:ln w="9525">
                <a:solidFill>
                  <a:schemeClr val="accent2"/>
                </a:solidFill>
              </a:ln>
              <a:effectLst/>
            </c:spPr>
          </c:marker>
          <c:dPt>
            <c:idx val="5"/>
            <c:invertIfNegative val="0"/>
            <c:marker>
              <c:symbol val="square"/>
              <c:size val="5"/>
              <c:spPr>
                <a:solidFill>
                  <a:schemeClr val="accent2"/>
                </a:solidFill>
                <a:ln w="9525">
                  <a:solidFill>
                    <a:schemeClr val="accent2"/>
                  </a:solidFill>
                </a:ln>
                <a:effectLst/>
              </c:spPr>
            </c:marker>
            <c:bubble3D val="0"/>
            <c:spPr>
              <a:noFill/>
              <a:ln w="28575" cap="rnd">
                <a:solidFill>
                  <a:schemeClr val="accent2"/>
                </a:solidFill>
                <a:round/>
              </a:ln>
              <a:effectLst/>
            </c:spPr>
          </c:dPt>
          <c:dLbls>
            <c:dLbl>
              <c:idx val="5"/>
              <c:layout/>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b"/>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a:latin typeface="ＭＳ ゴシック"/>
                  <a:ea typeface="ＭＳ ゴシック"/>
                </a:endParaRPr>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H9年度</c:v>
                </c:pt>
                <c:pt idx="1">
                  <c:v>H14年度</c:v>
                </c:pt>
                <c:pt idx="2">
                  <c:v>H19年度</c:v>
                </c:pt>
                <c:pt idx="3">
                  <c:v>H24年度</c:v>
                </c:pt>
                <c:pt idx="4">
                  <c:v>H29年度</c:v>
                </c:pt>
                <c:pt idx="5">
                  <c:v>R4年度</c:v>
                </c:pt>
              </c:strCache>
            </c:strRef>
          </c:cat>
          <c:val>
            <c:numRef>
              <c:f>'[（図表）院外処方せん発行率の推移.xlsx]Sheet1'!$C$2:$C$7</c:f>
              <c:numCache>
                <c:formatCode>General</c:formatCode>
                <c:ptCount val="6"/>
                <c:pt idx="0">
                  <c:v>8.3000000000000007</c:v>
                </c:pt>
                <c:pt idx="1">
                  <c:v>41.2</c:v>
                </c:pt>
                <c:pt idx="2">
                  <c:v>49.4</c:v>
                </c:pt>
                <c:pt idx="3">
                  <c:v>61.3</c:v>
                </c:pt>
                <c:pt idx="4">
                  <c:v>70.400000000000006</c:v>
                </c:pt>
                <c:pt idx="5">
                  <c:v>73.8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200" kern="1200">
                  <a:solidFill>
                    <a:schemeClr val="tx1">
                      <a:lumMod val="75000"/>
                      <a:lumOff val="25000"/>
                    </a:schemeClr>
                  </a:solidFill>
                  <a:latin typeface="ＭＳ ゴシック"/>
                  <a:ea typeface="ＭＳ ゴシック"/>
                  <a:cs typeface="+mn-cs"/>
                </a:defRPr>
              </a:pPr>
              <a:endParaRPr lang="ja-JP" altLang="en-US" sz="12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1200" kern="1200">
                <a:solidFill>
                  <a:schemeClr val="tx1">
                    <a:lumMod val="65000"/>
                    <a:lumOff val="35000"/>
                  </a:schemeClr>
                </a:solidFill>
                <a:latin typeface="ＭＳ ゴシック"/>
                <a:ea typeface="ＭＳ ゴシック"/>
                <a:cs typeface="+mn-cs"/>
              </a:defRPr>
            </a:pPr>
            <a:endParaRPr lang="ja-JP" altLang="en-US" sz="1200">
              <a:latin typeface="ＭＳ ゴシック"/>
              <a:ea typeface="ＭＳ ゴシック"/>
            </a:endParaRPr>
          </a:p>
        </c:txPr>
        <c:crossAx val="2"/>
        <c:crossesAt val="0"/>
        <c:auto val="1"/>
        <c:lblAlgn val="ctr"/>
        <c:lblOffset val="100"/>
        <c:tickLblSkip val="1"/>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title>
          <c:tx>
            <c:rich>
              <a:bodyPr rot="-5400000" spcFirstLastPara="1" vertOverflow="ellipsis" horzOverflow="overflow" vert="eaVert" wrap="square" anchor="t" anchorCtr="1"/>
              <a:lstStyle/>
              <a:p>
                <a:pPr algn="r" rtl="0">
                  <a:defRPr kumimoji="0" lang="ja-JP" altLang="en-US" sz="1200" b="0" i="0" u="none" strike="noStrike" kern="1200" baseline="0">
                    <a:solidFill>
                      <a:schemeClr val="tx1">
                        <a:lumMod val="65000"/>
                        <a:lumOff val="35000"/>
                      </a:schemeClr>
                    </a:solidFill>
                    <a:latin typeface="ＭＳ ゴシック"/>
                    <a:ea typeface="ＭＳ ゴシック"/>
                    <a:cs typeface="+mn-cs"/>
                  </a:defRPr>
                </a:pPr>
                <a:r>
                  <a:rPr kumimoji="0" lang="ja-JP" altLang="en-US" sz="1200" b="0" i="0" u="none" strike="noStrike" kern="1200" baseline="0">
                    <a:solidFill>
                      <a:schemeClr val="tx1">
                        <a:lumMod val="65000"/>
                        <a:lumOff val="35000"/>
                      </a:schemeClr>
                    </a:solidFill>
                    <a:latin typeface="ＭＳ ゴシック"/>
                    <a:ea typeface="ＭＳ ゴシック"/>
                    <a:cs typeface="+mn-cs"/>
                  </a:rPr>
                  <a:t>受取率（％）</a:t>
                </a:r>
                <a:endParaRPr kumimoji="0" lang="ja-JP" altLang="en-US" sz="1200" b="0" i="0" u="none" strike="noStrike" kern="1200" baseline="0">
                  <a:solidFill>
                    <a:schemeClr val="tx1">
                      <a:lumMod val="65000"/>
                      <a:lumOff val="35000"/>
                    </a:schemeClr>
                  </a:solidFill>
                  <a:latin typeface="ＭＳ ゴシック"/>
                  <a:ea typeface="ＭＳ ゴシック"/>
                  <a:cs typeface="+mn-cs"/>
                </a:endParaRPr>
              </a:p>
            </c:rich>
          </c:tx>
          <c:layout>
            <c:manualLayout>
              <c:xMode val="edge"/>
              <c:yMode val="edge"/>
              <c:x val="2.2309895473592117e-002"/>
              <c:y val="0.3373205065311925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1200" kern="1200">
                <a:solidFill>
                  <a:schemeClr val="tx1">
                    <a:lumMod val="65000"/>
                    <a:lumOff val="35000"/>
                  </a:schemeClr>
                </a:solidFill>
                <a:latin typeface="ＭＳ ゴシック"/>
                <a:ea typeface="ＭＳ ゴシック"/>
                <a:cs typeface="+mn-cs"/>
              </a:defRPr>
            </a:pPr>
            <a:endParaRPr lang="ja-JP" altLang="en-US" sz="1200" kern="1200">
              <a:solidFill>
                <a:schemeClr val="tx1">
                  <a:lumMod val="65000"/>
                  <a:lumOff val="35000"/>
                </a:schemeClr>
              </a:solidFill>
              <a:latin typeface="ＭＳ ゴシック"/>
              <a:ea typeface="ＭＳ ゴシック"/>
              <a:cs typeface="+mn-cs"/>
            </a:endParaRPr>
          </a:p>
        </c:txPr>
        <c:crossAx val="1"/>
        <c:crosses val="autoZero"/>
        <c:crossBetween val="between"/>
        <c:minorUnit val="2"/>
      </c:valAx>
      <c:spPr>
        <a:noFill/>
        <a:ln>
          <a:noFill/>
        </a:ln>
        <a:effectLst/>
      </c:spPr>
    </c:plotArea>
    <c:legend>
      <c:legendPos val="b"/>
      <c:layout>
        <c:manualLayout>
          <c:xMode val="edge"/>
          <c:yMode val="edge"/>
          <c:x val="0.19298245614035087"/>
          <c:y val="5.730659025787966e-002"/>
          <c:w val="0.65789473684210531"/>
          <c:h val="6.5902578796561598e-002"/>
        </c:manualLayout>
      </c:layout>
      <c:overlay val="0"/>
      <c:spPr>
        <a:noFill/>
        <a:ln>
          <a:noFill/>
        </a:ln>
        <a:effectLst/>
      </c:spPr>
      <c:txPr>
        <a:bodyPr rot="0" spcFirstLastPara="1" vertOverflow="ellipsis" horzOverflow="overflow" wrap="square" anchor="ctr" anchorCtr="1"/>
        <a:lstStyle/>
        <a:p>
          <a:pPr algn="l" rtl="0">
            <a:defRPr lang="ja-JP" altLang="en-US" sz="1200" kern="1200">
              <a:solidFill>
                <a:schemeClr val="tx1">
                  <a:lumMod val="65000"/>
                  <a:lumOff val="35000"/>
                </a:schemeClr>
              </a:solidFill>
              <a:latin typeface="ＭＳ ゴシック"/>
              <a:ea typeface="ＭＳ ゴシック"/>
              <a:cs typeface="+mn-cs"/>
            </a:defRPr>
          </a:pPr>
          <a:endParaRPr lang="ja-JP" altLang="en-US" sz="1200" kern="1200">
            <a:solidFill>
              <a:schemeClr val="tx1">
                <a:lumMod val="65000"/>
                <a:lumOff val="35000"/>
              </a:schemeClr>
            </a:solidFill>
            <a:latin typeface="ＭＳ ゴシック"/>
            <a:ea typeface="ＭＳ ゴシック"/>
            <a:cs typeface="+mn-cs"/>
          </a:endParaRPr>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vertOverflow="overflow" horzOverflow="overflow" anchor="ctr" anchorCtr="1"/>
    <a:lstStyle/>
    <a:p>
      <a:pPr algn="ctr" rtl="0">
        <a:defRPr lang="ja-JP" altLang="en-US" sz="1200">
          <a:latin typeface="ＭＳ ゴシック"/>
          <a:ea typeface="ＭＳ ゴシック"/>
        </a:defRPr>
      </a:pPr>
      <a:endParaRPr lang="ja-JP" altLang="en-US" sz="1200">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22222222222221"/>
          <c:y val="0.20704845814977968"/>
          <c:w val="0.6015325670498084"/>
          <c:h val="0.69162995594713661"/>
        </c:manualLayout>
      </c:layout>
      <c:pieChart>
        <c:varyColors val="1"/>
        <c:ser>
          <c:idx val="0"/>
          <c:order val="0"/>
          <c:spPr>
            <a:noFill/>
            <a:ln w="3175">
              <a:solidFill>
                <a:schemeClr val="tx1"/>
              </a:solidFill>
            </a:ln>
            <a:effectLst/>
          </c:spPr>
          <c:dPt>
            <c:idx val="0"/>
            <c:invertIfNegative val="0"/>
            <c:bubble3D val="0"/>
            <c:spPr>
              <a:solidFill>
                <a:schemeClr val="accent2"/>
              </a:solidFill>
              <a:ln w="3175">
                <a:solidFill>
                  <a:schemeClr val="tx1"/>
                </a:solidFill>
              </a:ln>
              <a:effectLst/>
            </c:spPr>
          </c:dPt>
          <c:dPt>
            <c:idx val="1"/>
            <c:invertIfNegative val="0"/>
            <c:bubble3D val="0"/>
            <c:spPr>
              <a:pattFill prst="pct90">
                <a:fgClr>
                  <a:srgbClr val="FFFFFF"/>
                </a:fgClr>
                <a:bgClr>
                  <a:srgbClr val="000000"/>
                </a:bgClr>
              </a:pattFill>
              <a:ln w="3175">
                <a:solidFill>
                  <a:schemeClr val="tx1"/>
                </a:solidFill>
              </a:ln>
              <a:effectLst/>
            </c:spPr>
          </c:dPt>
          <c:dPt>
            <c:idx val="2"/>
            <c:invertIfNegative val="0"/>
            <c:bubble3D val="0"/>
            <c:spPr>
              <a:solidFill>
                <a:schemeClr val="accent3"/>
              </a:solidFill>
              <a:ln w="3175">
                <a:solidFill>
                  <a:schemeClr val="tx1"/>
                </a:solidFill>
              </a:ln>
              <a:effectLst/>
            </c:spPr>
          </c:dPt>
          <c:dLbls>
            <c:dLbl>
              <c:idx val="0"/>
              <c:layout>
                <c:manualLayout>
                  <c:x val="-0.1532567049808429"/>
                  <c:y val="0.16208863759871425"/>
                </c:manualLayout>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5632183908045978"/>
                      <c:h val="0.20704845814977968"/>
                    </c:manualLayout>
                  </c15:layout>
                </c:ext>
              </c:extLst>
            </c:dLbl>
            <c:dLbl>
              <c:idx val="1"/>
              <c:layout>
                <c:manualLayout>
                  <c:x val="0.21900826446280991"/>
                  <c:y val="-0.10275664140113328"/>
                </c:manualLayout>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925619834710744"/>
                      <c:h val="0.14018691588785046"/>
                    </c:manualLayout>
                  </c15:layout>
                </c:ext>
              </c:extLst>
            </c:dLbl>
            <c:dLbl>
              <c:idx val="2"/>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sz="900" b="1">
                    <a:latin typeface="ＭＳ ゴシック"/>
                    <a:ea typeface="ＭＳ ゴシック"/>
                  </a:endParaRPr>
                </a:p>
              </c:txPr>
              <c:showLegendKey val="0"/>
              <c:showVal val="1"/>
              <c:showCatName val="1"/>
              <c:showSerName val="0"/>
              <c:showPercent val="0"/>
              <c:showBubbleSize val="0"/>
              <c:extLst>
                <c:ext xmlns:c15="http://schemas.microsoft.com/office/drawing/2012/chart" uri="{CE6537A1-D6FC-4f65-9D91-7224C49458BB}">
                  <c15:layout>
                    <c:manualLayout>
                      <c:w val="0.35522388059701493"/>
                      <c:h val="0.1388888888888889"/>
                    </c:manualLayout>
                  </c15:layout>
                </c:ext>
              </c:extLst>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1"/>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'[0]R5世論調査'!$A$4:$A$6</c:f>
              <c:strCache>
                <c:ptCount val="3"/>
                <c:pt idx="0">
                  <c:v>決めている</c:v>
                </c:pt>
                <c:pt idx="1">
                  <c:v>決めていない</c:v>
                </c:pt>
                <c:pt idx="2">
                  <c:v>無回答</c:v>
                </c:pt>
              </c:strCache>
            </c:strRef>
          </c:cat>
          <c:val>
            <c:numRef>
              <c:f>'[（図表）院外処方せん発行率の推移.xlsx]R5世論調査'!$B$4:$B$6</c:f>
              <c:numCache>
                <c:formatCode>0.0%</c:formatCode>
                <c:ptCount val="3"/>
                <c:pt idx="0">
                  <c:v>0.318</c:v>
                </c:pt>
                <c:pt idx="1">
                  <c:v>0.66600000000000004</c:v>
                </c:pt>
                <c:pt idx="2">
                  <c:v>1.6e-002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5531</TotalTime>
  <Pages>18</Pages>
  <Words>200</Words>
  <Characters>14994</Characters>
  <Application>Microsoft Office Word</Application>
  <Lines>1876</Lines>
  <Paragraphs>320</Paragraphs>
  <CharactersWithSpaces>15112</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2024-06-28T07:25:54Z</cp:lastPrinted>
  <dcterms:created xsi:type="dcterms:W3CDTF">2013-01-07T04:42:00Z</dcterms:created>
  <dcterms:modified xsi:type="dcterms:W3CDTF">2024-06-28T06:59:42Z</dcterms:modified>
  <cp:revision>383</cp:revision>
</cp:coreProperties>
</file>