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olors1.xml" ContentType="application/vnd.ms-office.chartcolorstyle+xml"/>
  <Override PartName="/word/charts/style1.xml" ContentType="application/vnd.ms-office.chartstyle+xml"/>
  <Override PartName="/word/charts/chart3.xml" ContentType="application/vnd.openxmlformats-officedocument.drawingml.chart+xml"/>
  <Override PartName="/word/theme/themeOverride3.xml" ContentType="application/vnd.openxmlformats-officedocument.themeOverride+xml"/>
  <Override PartName="/word/charts/colors2.xml" ContentType="application/vnd.ms-office.chartcolorstyle+xml"/>
  <Override PartName="/word/charts/style2.xml" ContentType="application/vnd.ms-office.chartstyle+xml"/>
  <Override PartName="/word/charts/chart4.xml" ContentType="application/vnd.openxmlformats-officedocument.drawingml.chart+xml"/>
  <Override PartName="/word/charts/colors3.xml" ContentType="application/vnd.ms-office.chartcolorstyle+xml"/>
  <Override PartName="/word/charts/style3.xml" ContentType="application/vnd.ms-office.chartstyle+xml"/>
  <Override PartName="/word/charts/chart5.xml" ContentType="application/vnd.openxmlformats-officedocument.drawingml.chart+xml"/>
  <Override PartName="/word/theme/themeOverride4.xml" ContentType="application/vnd.openxmlformats-officedocument.themeOverride+xml"/>
  <Override PartName="/word/charts/colors4.xml" ContentType="application/vnd.ms-office.chartcolorstyle+xml"/>
  <Override PartName="/word/charts/style4.xml" ContentType="application/vnd.ms-office.chartstyle+xml"/>
  <Override PartName="/word/charts/chart6.xml" ContentType="application/vnd.openxmlformats-officedocument.drawingml.chart+xml"/>
  <Override PartName="/word/theme/themeOverride5.xml" ContentType="application/vnd.openxmlformats-officedocument.themeOverride+xml"/>
  <Override PartName="/word/charts/colors5.xml" ContentType="application/vnd.ms-office.chartcolorstyle+xml"/>
  <Override PartName="/word/charts/style5.xml" ContentType="application/vnd.ms-office.chartstyle+xml"/>
  <Override PartName="/word/charts/chart7.xml" ContentType="application/vnd.openxmlformats-officedocument.drawingml.chart+xml"/>
  <Override PartName="/word/charts/colors6.xml" ContentType="application/vnd.ms-office.chartcolorstyle+xml"/>
  <Override PartName="/word/charts/style6.xml" ContentType="application/vnd.ms-office.chartstyle+xml"/>
  <Override PartName="/word/charts/chart8.xml" ContentType="application/vnd.openxmlformats-officedocument.drawingml.chart+xml"/>
  <Override PartName="/word/theme/themeOverride6.xml" ContentType="application/vnd.openxmlformats-officedocument.themeOverride+xml"/>
  <Override PartName="/word/charts/colors7.xml" ContentType="application/vnd.ms-office.chartcolorstyle+xml"/>
  <Override PartName="/word/charts/style7.xml" ContentType="application/vnd.ms-office.chartstyle+xml"/>
  <Override PartName="/word/charts/chart9.xml" ContentType="application/vnd.openxmlformats-officedocument.drawingml.chart+xml"/>
  <Override PartName="/word/theme/themeOverride7.xml" ContentType="application/vnd.openxmlformats-officedocument.themeOverride+xml"/>
  <Override PartName="/word/charts/colors8.xml" ContentType="application/vnd.ms-office.chartcolorstyle+xml"/>
  <Override PartName="/word/charts/style8.xml" ContentType="application/vnd.ms-office.chartstyle+xml"/>
  <Override PartName="/word/charts/chart10.xml" ContentType="application/vnd.openxmlformats-officedocument.drawingml.chart+xml"/>
  <Override PartName="/word/theme/themeOverride8.xml" ContentType="application/vnd.openxmlformats-officedocument.themeOverride+xml"/>
  <Override PartName="/word/charts/colors9.xml" ContentType="application/vnd.ms-office.chartcolorstyle+xml"/>
  <Override PartName="/word/charts/style9.xml" ContentType="application/vnd.ms-office.chartstyl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napToGrid w:val="0"/>
        <w:spacing w:after="165" w:afterLines="50" w:afterAutospacing="0"/>
        <w:rPr>
          <w:rFonts w:hint="eastAsia" w:ascii="ＭＳ 明朝" w:hAnsi="ＭＳ 明朝" w:eastAsia="ＭＳ 明朝"/>
          <w:color w:val="44546A"/>
          <w:sz w:val="20"/>
          <w:highlight w:val="none"/>
          <w:u w:val="none" w:color="auto"/>
        </w:rPr>
      </w:pPr>
      <w:r>
        <w:rPr>
          <w:rFonts w:hint="eastAsia" w:ascii="ＭＳ 明朝" w:hAnsi="ＭＳ 明朝"/>
          <w:b w:val="1"/>
          <w:color w:val="1F497D"/>
          <w:kern w:val="0"/>
          <w:sz w:val="28"/>
          <w:highlight w:val="none"/>
        </w:rPr>
        <w:t>第３節　心筋梗塞等の心血管疾患</w:t>
      </w:r>
    </w:p>
    <w:p>
      <w:pPr>
        <w:pStyle w:val="0"/>
        <w:spacing w:line="340" w:lineRule="exact"/>
        <w:ind w:rightChars="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心血管疾患には、心臓の筋肉（心筋）に必要な酸素や栄養を供給する血管である冠動脈が閉塞する心筋梗塞や狭くなる狭心症、大動脈の壁が裂ける大動脈解離などがあります。死に至る可能性が高く、突然死の原因の多くを占めています。</w:t>
      </w:r>
    </w:p>
    <w:p>
      <w:pPr>
        <w:pStyle w:val="0"/>
        <w:spacing w:line="340" w:lineRule="exact"/>
        <w:ind w:rightChars="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急性心血管疾患による死亡者を減少させ、予後を向上させるためには、発症後早期に治療を開始する必要があるため、医療提供体制の構築には、時間的制約を考慮することが重要となります。そのため、救急隊や医療機関内のオペレーションを改善することに加え、急性心血管疾患を発症した患者のそばに居合わせた者は、速やかに救急要請を行うとともに、心肺蘇生や電気的除細動を行うなど県民の協力も不可欠です。</w:t>
      </w:r>
    </w:p>
    <w:p>
      <w:pPr>
        <w:pStyle w:val="0"/>
        <w:spacing w:line="340" w:lineRule="exact"/>
        <w:ind w:rightChars="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また、心血管疾患の回復期～維持期にかけては、再発や増悪を繰り返しやすく、特に慢性心不全患者の約３割が、</w:t>
      </w:r>
      <w:r>
        <w:rPr>
          <w:rFonts w:hint="eastAsia" w:ascii="ＭＳ 明朝" w:hAnsi="ＭＳ 明朝" w:eastAsia="ＭＳ 明朝"/>
          <w:color w:val="auto"/>
          <w:sz w:val="22"/>
          <w:highlight w:val="none"/>
          <w:u w:val="none" w:color="auto"/>
        </w:rPr>
        <w:t>1</w:t>
      </w:r>
      <w:r>
        <w:rPr>
          <w:rFonts w:hint="eastAsia" w:ascii="ＭＳ 明朝" w:hAnsi="ＭＳ 明朝" w:eastAsia="ＭＳ 明朝"/>
          <w:color w:val="auto"/>
          <w:sz w:val="22"/>
          <w:highlight w:val="none"/>
          <w:u w:val="none" w:color="auto"/>
        </w:rPr>
        <w:t>年以内に再入院する等の現状があることから、</w:t>
      </w:r>
      <w:r>
        <w:rPr>
          <w:rFonts w:hint="eastAsia" w:ascii="ＭＳ 明朝" w:hAnsi="ＭＳ 明朝" w:eastAsia="ＭＳ 明朝"/>
          <w:b w:val="0"/>
          <w:color w:val="auto"/>
          <w:sz w:val="22"/>
          <w:highlight w:val="none"/>
          <w:u w:val="none" w:color="auto"/>
        </w:rPr>
        <w:t>在宅等の場における再発・再入院予防が重要となります。</w:t>
      </w:r>
    </w:p>
    <w:p>
      <w:pPr>
        <w:pStyle w:val="0"/>
        <w:spacing w:line="340" w:lineRule="exact"/>
        <w:ind w:rightChars="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color w:val="auto"/>
          <w:sz w:val="22"/>
          <w:highlight w:val="none"/>
          <w:u w:val="none" w:color="auto"/>
        </w:rPr>
        <w:t>このように、患者の予後やＱＯＬを高めるためには、各関係機関が連携し、予防から急性期、回復期、維持期にかけての切れ目ない医療提供体制や、心血管疾患患者を中心とした包括的な支援体制の強化が必要になります。</w:t>
      </w:r>
    </w:p>
    <w:p>
      <w:pPr>
        <w:pStyle w:val="0"/>
        <w:spacing w:line="340" w:lineRule="exact"/>
        <w:ind w:rightChars="0" w:firstLine="217" w:firstLineChars="100"/>
        <w:rPr>
          <w:rFonts w:hint="eastAsia" w:ascii="ＭＳ 明朝" w:hAnsi="ＭＳ 明朝" w:eastAsia="ＭＳ 明朝"/>
          <w:color w:val="000000" w:themeColor="text1"/>
          <w:sz w:val="20"/>
          <w:highlight w:val="none"/>
          <w:u w:val="none" w:color="auto"/>
        </w:rPr>
      </w:pPr>
    </w:p>
    <w:p>
      <w:pPr>
        <w:pStyle w:val="0"/>
        <w:spacing w:line="340" w:lineRule="exact"/>
        <w:ind w:rightChars="0" w:firstLine="217" w:firstLineChars="100"/>
        <w:rPr>
          <w:rFonts w:hint="eastAsia" w:ascii="ＭＳ 明朝" w:hAnsi="ＭＳ 明朝" w:eastAsia="ＭＳ 明朝"/>
          <w:color w:val="000000" w:themeColor="text1"/>
          <w:sz w:val="20"/>
          <w:highlight w:val="none"/>
          <w:u w:val="none" w:color="auto"/>
        </w:rPr>
      </w:pPr>
    </w:p>
    <w:p>
      <w:pPr>
        <w:pStyle w:val="0"/>
        <w:rPr>
          <w:rFonts w:hint="eastAsia" w:ascii="ＭＳ 明朝" w:hAnsi="ＭＳ 明朝" w:eastAsia="ＭＳ 明朝"/>
          <w:b w:val="1"/>
          <w:color w:val="000000" w:themeColor="text1"/>
          <w:sz w:val="22"/>
          <w:highlight w:val="none"/>
          <w:u w:val="none" w:color="auto"/>
          <w:bdr w:val="single" w:color="auto" w:sz="4" w:space="0"/>
          <w:shd w:val="clear" w:color="auto" w:themeFill="accent4" w:themeFillTint="33" w:themeFillShade="FF"/>
        </w:rPr>
      </w:pPr>
      <w:r>
        <w:rPr>
          <w:rFonts w:hint="eastAsia" w:ascii="ＭＳ 明朝" w:hAnsi="ＭＳ 明朝" w:eastAsia="ＭＳ 明朝"/>
          <w:b w:val="1"/>
          <w:color w:val="auto"/>
          <w:kern w:val="2"/>
          <w:sz w:val="22"/>
          <w:highlight w:val="none"/>
          <w:bdr w:val="single" w:color="auto" w:sz="4" w:space="0"/>
          <w:shd w:val="clear" w:color="auto" w:fill="E5DFEC"/>
        </w:rPr>
        <w:t>現状</w:t>
      </w:r>
    </w:p>
    <w:p>
      <w:pPr>
        <w:pStyle w:val="0"/>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2"/>
          <w:highlight w:val="none"/>
        </w:rPr>
        <w:t>１　予防の状況</w:t>
      </w:r>
    </w:p>
    <w:p>
      <w:pPr>
        <w:pStyle w:val="0"/>
        <w:rPr>
          <w:rFonts w:hint="eastAsia" w:ascii="ＭＳ 明朝" w:hAnsi="ＭＳ 明朝" w:eastAsia="ＭＳ 明朝"/>
          <w:b w:val="1"/>
          <w:color w:val="auto"/>
          <w:sz w:val="22"/>
          <w:highlight w:val="none"/>
          <w:u w:val="none" w:color="auto"/>
        </w:rPr>
      </w:pPr>
      <w:r>
        <w:rPr>
          <w:rFonts w:hint="eastAsia" w:ascii="ＭＳ 明朝" w:hAnsi="ＭＳ 明朝" w:eastAsia="ＭＳ 明朝"/>
          <w:b w:val="1"/>
          <w:color w:val="000000" w:themeColor="text1"/>
          <w:sz w:val="22"/>
          <w:highlight w:val="none"/>
          <w:u w:val="none" w:color="auto"/>
        </w:rPr>
        <w:t>（１）生活習慣の状況</w:t>
      </w:r>
      <w:r>
        <w:rPr>
          <w:rFonts w:hint="eastAsia" w:ascii="ＭＳ 明朝" w:hAnsi="ＭＳ 明朝" w:eastAsia="ＭＳ 明朝"/>
          <w:b w:val="1"/>
          <w:color w:val="auto"/>
          <w:sz w:val="22"/>
          <w:highlight w:val="none"/>
          <w:u w:val="none" w:color="auto"/>
        </w:rPr>
        <w:t>、特定健診結果の状況</w:t>
      </w:r>
    </w:p>
    <w:p>
      <w:pPr>
        <w:pStyle w:val="0"/>
        <w:spacing w:line="340" w:lineRule="exact"/>
        <w:ind w:left="227" w:leftChars="10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color w:val="auto"/>
          <w:sz w:val="22"/>
          <w:highlight w:val="none"/>
          <w:u w:val="none" w:color="auto"/>
        </w:rPr>
        <w:t>急性心筋梗塞の危険因子として、高血圧、脂質異常症、喫煙、糖尿病、メタボリックシンドローム、ストレスなどの影響が大きいといわれています。それら危険因子に係る生活習慣や特定健診等の状況については、概ね「第６章第２節</w:t>
      </w:r>
      <w:r>
        <w:rPr>
          <w:rFonts w:hint="eastAsia" w:ascii="ＭＳ 明朝" w:hAnsi="ＭＳ 明朝" w:eastAsia="ＭＳ 明朝"/>
          <w:color w:val="auto"/>
          <w:sz w:val="22"/>
          <w:highlight w:val="none"/>
          <w:u w:val="none" w:color="auto"/>
        </w:rPr>
        <w:t xml:space="preserve"> </w:t>
      </w:r>
      <w:r>
        <w:rPr>
          <w:rFonts w:hint="eastAsia" w:ascii="ＭＳ 明朝" w:hAnsi="ＭＳ 明朝" w:eastAsia="ＭＳ 明朝"/>
          <w:color w:val="auto"/>
          <w:sz w:val="22"/>
          <w:highlight w:val="none"/>
          <w:u w:val="none" w:color="auto"/>
        </w:rPr>
        <w:t>脳卒中」と同様です。なお、内臓脂肪症候群（メタボリックシンドローム）</w:t>
      </w:r>
      <w:r>
        <w:rPr>
          <w:rFonts w:hint="eastAsia" w:ascii="ＭＳ 明朝" w:hAnsi="ＭＳ 明朝" w:eastAsia="ＭＳ 明朝"/>
          <w:color w:val="auto"/>
          <w:sz w:val="22"/>
          <w:highlight w:val="none"/>
          <w:u w:val="none" w:color="auto"/>
          <w:vertAlign w:val="superscript"/>
        </w:rPr>
        <w:t>（注</w:t>
      </w:r>
      <w:r>
        <w:rPr>
          <w:rFonts w:hint="eastAsia" w:ascii="ＭＳ 明朝" w:hAnsi="ＭＳ 明朝" w:eastAsia="ＭＳ 明朝"/>
          <w:color w:val="auto"/>
          <w:sz w:val="22"/>
          <w:highlight w:val="none"/>
          <w:u w:val="none" w:color="auto"/>
          <w:vertAlign w:val="superscript"/>
        </w:rPr>
        <w:t>1</w:t>
      </w:r>
      <w:r>
        <w:rPr>
          <w:rFonts w:hint="eastAsia" w:ascii="ＭＳ 明朝" w:hAnsi="ＭＳ 明朝" w:eastAsia="ＭＳ 明朝"/>
          <w:color w:val="auto"/>
          <w:sz w:val="22"/>
          <w:highlight w:val="none"/>
          <w:u w:val="none" w:color="auto"/>
          <w:vertAlign w:val="superscript"/>
        </w:rPr>
        <w:t>）</w:t>
      </w:r>
      <w:r>
        <w:rPr>
          <w:rFonts w:hint="eastAsia" w:ascii="ＭＳ 明朝" w:hAnsi="ＭＳ 明朝" w:eastAsia="ＭＳ 明朝"/>
          <w:color w:val="auto"/>
          <w:sz w:val="22"/>
          <w:highlight w:val="none"/>
          <w:u w:val="none" w:color="auto"/>
        </w:rPr>
        <w:t>該当者の割合については、全国よりも高く、増加傾向にあります（図表</w:t>
      </w:r>
      <w:r>
        <w:rPr>
          <w:rFonts w:hint="eastAsia" w:ascii="ＭＳ 明朝" w:hAnsi="ＭＳ 明朝" w:eastAsia="ＭＳ 明朝"/>
          <w:color w:val="auto"/>
          <w:sz w:val="22"/>
          <w:highlight w:val="none"/>
          <w:u w:val="none" w:color="auto"/>
        </w:rPr>
        <w:t>6-3-1</w:t>
      </w:r>
      <w:r>
        <w:rPr>
          <w:rFonts w:hint="eastAsia" w:ascii="ＭＳ 明朝" w:hAnsi="ＭＳ 明朝" w:eastAsia="ＭＳ 明朝"/>
          <w:color w:val="auto"/>
          <w:sz w:val="22"/>
          <w:highlight w:val="none"/>
          <w:u w:val="none" w:color="auto"/>
        </w:rPr>
        <w:t>）。</w:t>
      </w:r>
    </w:p>
    <w:p>
      <w:pPr>
        <w:pStyle w:val="15"/>
        <w:ind w:left="759" w:leftChars="100" w:hanging="532" w:hangingChars="301"/>
        <w:rPr>
          <w:rFonts w:hint="eastAsia" w:ascii="ＭＳ 明朝" w:hAnsi="ＭＳ 明朝" w:eastAsia="ＭＳ 明朝"/>
          <w:color w:val="000000" w:themeColor="text1"/>
          <w:sz w:val="16"/>
          <w:highlight w:val="none"/>
          <w:u w:val="none" w:color="auto"/>
        </w:rPr>
      </w:pPr>
    </w:p>
    <w:p>
      <w:pPr>
        <w:pStyle w:val="15"/>
        <w:ind w:left="825" w:leftChars="100" w:hanging="599" w:hangingChars="361"/>
        <w:rPr>
          <w:rFonts w:hint="eastAsia" w:ascii="ＭＳ 明朝" w:hAnsi="ＭＳ 明朝" w:eastAsia="ＭＳ 明朝"/>
          <w:color w:val="000000" w:themeColor="text1"/>
          <w:sz w:val="16"/>
          <w:highlight w:val="none"/>
          <w:u w:val="none" w:color="auto"/>
        </w:rPr>
      </w:pPr>
      <w:r>
        <w:rPr>
          <w:rFonts w:hint="eastAsia" w:ascii="ＭＳ 明朝" w:hAnsi="ＭＳ 明朝" w:eastAsia="ＭＳ 明朝"/>
          <w:color w:val="000000" w:themeColor="text1"/>
          <w:sz w:val="16"/>
          <w:highlight w:val="none"/>
          <w:u w:val="none" w:color="auto"/>
        </w:rPr>
        <w:t>（注</w:t>
      </w:r>
      <w:r>
        <w:rPr>
          <w:rFonts w:hint="eastAsia" w:ascii="ＭＳ 明朝" w:hAnsi="ＭＳ 明朝" w:eastAsia="ＭＳ 明朝"/>
          <w:color w:val="000000" w:themeColor="text1"/>
          <w:sz w:val="16"/>
          <w:highlight w:val="none"/>
          <w:u w:val="none" w:color="auto"/>
        </w:rPr>
        <w:t>1</w:t>
      </w:r>
      <w:r>
        <w:rPr>
          <w:rFonts w:hint="eastAsia" w:ascii="ＭＳ 明朝" w:hAnsi="ＭＳ 明朝" w:eastAsia="ＭＳ 明朝"/>
          <w:color w:val="000000" w:themeColor="text1"/>
          <w:sz w:val="16"/>
          <w:highlight w:val="none"/>
          <w:u w:val="none" w:color="auto"/>
        </w:rPr>
        <w:t>）内臓脂肪症候群（メタボリックシンドローム）：ウエスト周囲径（男性</w:t>
      </w:r>
      <w:r>
        <w:rPr>
          <w:rFonts w:hint="eastAsia" w:ascii="ＭＳ 明朝" w:hAnsi="ＭＳ 明朝" w:eastAsia="ＭＳ 明朝"/>
          <w:color w:val="000000" w:themeColor="text1"/>
          <w:sz w:val="16"/>
          <w:highlight w:val="none"/>
          <w:u w:val="none" w:color="auto"/>
        </w:rPr>
        <w:t>85cm</w:t>
      </w:r>
      <w:r>
        <w:rPr>
          <w:rFonts w:hint="eastAsia" w:ascii="ＭＳ 明朝" w:hAnsi="ＭＳ 明朝" w:eastAsia="ＭＳ 明朝"/>
          <w:color w:val="000000" w:themeColor="text1"/>
          <w:sz w:val="16"/>
          <w:highlight w:val="none"/>
          <w:u w:val="none" w:color="auto"/>
        </w:rPr>
        <w:t>以上、女性</w:t>
      </w:r>
      <w:r>
        <w:rPr>
          <w:rFonts w:hint="eastAsia" w:ascii="ＭＳ 明朝" w:hAnsi="ＭＳ 明朝" w:eastAsia="ＭＳ 明朝"/>
          <w:color w:val="000000" w:themeColor="text1"/>
          <w:sz w:val="16"/>
          <w:highlight w:val="none"/>
          <w:u w:val="none" w:color="auto"/>
        </w:rPr>
        <w:t>90cm</w:t>
      </w:r>
      <w:r>
        <w:rPr>
          <w:rFonts w:hint="eastAsia" w:ascii="ＭＳ 明朝" w:hAnsi="ＭＳ 明朝" w:eastAsia="ＭＳ 明朝"/>
          <w:color w:val="000000" w:themeColor="text1"/>
          <w:sz w:val="16"/>
          <w:highlight w:val="none"/>
          <w:u w:val="none" w:color="auto"/>
        </w:rPr>
        <w:t>以上）で、次の</w:t>
      </w:r>
      <w:r>
        <w:rPr>
          <w:rFonts w:hint="eastAsia" w:ascii="ＭＳ 明朝" w:hAnsi="ＭＳ 明朝" w:eastAsia="ＭＳ 明朝"/>
          <w:color w:val="000000" w:themeColor="text1"/>
          <w:sz w:val="16"/>
          <w:highlight w:val="none"/>
          <w:u w:val="none" w:color="auto"/>
        </w:rPr>
        <w:t>3</w:t>
      </w:r>
      <w:r>
        <w:rPr>
          <w:rFonts w:hint="eastAsia" w:ascii="ＭＳ 明朝" w:hAnsi="ＭＳ 明朝" w:eastAsia="ＭＳ 明朝"/>
          <w:color w:val="000000" w:themeColor="text1"/>
          <w:sz w:val="16"/>
          <w:highlight w:val="none"/>
          <w:u w:val="none" w:color="auto"/>
        </w:rPr>
        <w:t>項目のうち</w:t>
      </w:r>
      <w:r>
        <w:rPr>
          <w:rFonts w:hint="eastAsia" w:ascii="ＭＳ 明朝" w:hAnsi="ＭＳ 明朝" w:eastAsia="ＭＳ 明朝"/>
          <w:color w:val="000000" w:themeColor="text1"/>
          <w:sz w:val="16"/>
          <w:highlight w:val="none"/>
          <w:u w:val="none" w:color="auto"/>
        </w:rPr>
        <w:t>2</w:t>
      </w:r>
      <w:r>
        <w:rPr>
          <w:rFonts w:hint="eastAsia" w:ascii="ＭＳ 明朝" w:hAnsi="ＭＳ 明朝" w:eastAsia="ＭＳ 明朝"/>
          <w:color w:val="000000" w:themeColor="text1"/>
          <w:sz w:val="16"/>
          <w:highlight w:val="none"/>
          <w:u w:val="none" w:color="auto"/>
        </w:rPr>
        <w:t>つ以上該当者をメタボリックシンドローム該当者、</w:t>
      </w:r>
      <w:r>
        <w:rPr>
          <w:rFonts w:hint="eastAsia" w:ascii="ＭＳ 明朝" w:hAnsi="ＭＳ 明朝" w:eastAsia="ＭＳ 明朝"/>
          <w:color w:val="000000" w:themeColor="text1"/>
          <w:sz w:val="16"/>
          <w:highlight w:val="none"/>
          <w:u w:val="none" w:color="auto"/>
        </w:rPr>
        <w:t>1</w:t>
      </w:r>
      <w:r>
        <w:rPr>
          <w:rFonts w:hint="eastAsia" w:ascii="ＭＳ 明朝" w:hAnsi="ＭＳ 明朝" w:eastAsia="ＭＳ 明朝"/>
          <w:color w:val="000000" w:themeColor="text1"/>
          <w:sz w:val="16"/>
          <w:highlight w:val="none"/>
          <w:u w:val="none" w:color="auto"/>
        </w:rPr>
        <w:t>つ該当者を予備群という。</w:t>
      </w:r>
    </w:p>
    <w:p>
      <w:pPr>
        <w:pStyle w:val="15"/>
        <w:ind w:left="0" w:leftChars="0" w:firstLine="884" w:firstLineChars="500"/>
        <w:rPr>
          <w:rFonts w:hint="eastAsia" w:ascii="ＭＳ 明朝" w:hAnsi="ＭＳ 明朝" w:eastAsia="ＭＳ 明朝"/>
          <w:color w:val="000000" w:themeColor="text1"/>
          <w:sz w:val="16"/>
          <w:highlight w:val="none"/>
          <w:u w:val="none" w:color="auto"/>
        </w:rPr>
      </w:pPr>
      <w:r>
        <w:rPr>
          <w:rFonts w:hint="eastAsia" w:ascii="ＭＳ 明朝" w:hAnsi="ＭＳ 明朝" w:eastAsia="ＭＳ 明朝"/>
          <w:color w:val="000000" w:themeColor="text1"/>
          <w:sz w:val="16"/>
          <w:highlight w:val="none"/>
          <w:u w:val="none" w:color="auto"/>
        </w:rPr>
        <w:t>①中性脂肪</w:t>
      </w:r>
      <w:r>
        <w:rPr>
          <w:rFonts w:hint="eastAsia" w:ascii="ＭＳ 明朝" w:hAnsi="ＭＳ 明朝" w:eastAsia="ＭＳ 明朝"/>
          <w:color w:val="000000" w:themeColor="text1"/>
          <w:sz w:val="16"/>
          <w:highlight w:val="none"/>
          <w:u w:val="none" w:color="auto"/>
        </w:rPr>
        <w:t>150mg/dL</w:t>
      </w:r>
      <w:r>
        <w:rPr>
          <w:rFonts w:hint="eastAsia" w:ascii="ＭＳ 明朝" w:hAnsi="ＭＳ 明朝" w:eastAsia="ＭＳ 明朝"/>
          <w:color w:val="000000" w:themeColor="text1"/>
          <w:sz w:val="16"/>
          <w:highlight w:val="none"/>
          <w:u w:val="none" w:color="auto"/>
        </w:rPr>
        <w:t>以上かつ又は</w:t>
      </w:r>
      <w:r>
        <w:rPr>
          <w:rFonts w:hint="eastAsia" w:ascii="ＭＳ 明朝" w:hAnsi="ＭＳ 明朝" w:eastAsia="ＭＳ 明朝"/>
          <w:color w:val="000000" w:themeColor="text1"/>
          <w:sz w:val="16"/>
          <w:highlight w:val="none"/>
          <w:u w:val="none" w:color="auto"/>
        </w:rPr>
        <w:t>HDL</w:t>
      </w:r>
      <w:r>
        <w:rPr>
          <w:rFonts w:hint="eastAsia" w:ascii="ＭＳ 明朝" w:hAnsi="ＭＳ 明朝" w:eastAsia="ＭＳ 明朝"/>
          <w:color w:val="000000" w:themeColor="text1"/>
          <w:sz w:val="16"/>
          <w:highlight w:val="none"/>
          <w:u w:val="none" w:color="auto"/>
        </w:rPr>
        <w:t>コレステロール</w:t>
      </w:r>
      <w:r>
        <w:rPr>
          <w:rFonts w:hint="eastAsia" w:ascii="ＭＳ 明朝" w:hAnsi="ＭＳ 明朝" w:eastAsia="ＭＳ 明朝"/>
          <w:color w:val="000000" w:themeColor="text1"/>
          <w:sz w:val="16"/>
          <w:highlight w:val="none"/>
          <w:u w:val="none" w:color="auto"/>
        </w:rPr>
        <w:t>40mg/dL</w:t>
      </w:r>
      <w:r>
        <w:rPr>
          <w:rFonts w:hint="eastAsia" w:ascii="ＭＳ 明朝" w:hAnsi="ＭＳ 明朝" w:eastAsia="ＭＳ 明朝"/>
          <w:color w:val="000000" w:themeColor="text1"/>
          <w:sz w:val="16"/>
          <w:highlight w:val="none"/>
          <w:u w:val="none" w:color="auto"/>
        </w:rPr>
        <w:t>未満。</w:t>
      </w:r>
    </w:p>
    <w:p>
      <w:pPr>
        <w:pStyle w:val="15"/>
        <w:ind w:left="0" w:leftChars="0" w:firstLine="884" w:firstLineChars="500"/>
        <w:rPr>
          <w:rFonts w:hint="eastAsia" w:ascii="ＭＳ 明朝" w:hAnsi="ＭＳ 明朝" w:eastAsia="ＭＳ 明朝"/>
          <w:color w:val="000000" w:themeColor="text1"/>
          <w:sz w:val="16"/>
          <w:highlight w:val="none"/>
          <w:u w:val="none" w:color="auto"/>
        </w:rPr>
      </w:pPr>
      <w:r>
        <w:rPr>
          <w:rFonts w:hint="eastAsia" w:ascii="ＭＳ 明朝" w:hAnsi="ＭＳ 明朝" w:eastAsia="ＭＳ 明朝"/>
          <w:color w:val="000000" w:themeColor="text1"/>
          <w:sz w:val="16"/>
          <w:highlight w:val="none"/>
          <w:u w:val="none" w:color="auto"/>
        </w:rPr>
        <w:t>②収縮期血圧</w:t>
      </w:r>
      <w:r>
        <w:rPr>
          <w:rFonts w:hint="eastAsia" w:ascii="ＭＳ 明朝" w:hAnsi="ＭＳ 明朝" w:eastAsia="ＭＳ 明朝"/>
          <w:color w:val="000000" w:themeColor="text1"/>
          <w:sz w:val="16"/>
          <w:highlight w:val="none"/>
          <w:u w:val="none" w:color="auto"/>
        </w:rPr>
        <w:t>130mmHg</w:t>
      </w:r>
      <w:r>
        <w:rPr>
          <w:rFonts w:hint="eastAsia" w:ascii="ＭＳ 明朝" w:hAnsi="ＭＳ 明朝" w:eastAsia="ＭＳ 明朝"/>
          <w:color w:val="000000" w:themeColor="text1"/>
          <w:sz w:val="16"/>
          <w:highlight w:val="none"/>
          <w:u w:val="none" w:color="auto"/>
        </w:rPr>
        <w:t>以上かつ又は拡張期血圧</w:t>
      </w:r>
      <w:r>
        <w:rPr>
          <w:rFonts w:hint="eastAsia" w:ascii="ＭＳ 明朝" w:hAnsi="ＭＳ 明朝" w:eastAsia="ＭＳ 明朝"/>
          <w:color w:val="000000" w:themeColor="text1"/>
          <w:sz w:val="16"/>
          <w:highlight w:val="none"/>
          <w:u w:val="none" w:color="auto"/>
        </w:rPr>
        <w:t>85mmHg</w:t>
      </w:r>
      <w:r>
        <w:rPr>
          <w:rFonts w:hint="eastAsia" w:ascii="ＭＳ 明朝" w:hAnsi="ＭＳ 明朝" w:eastAsia="ＭＳ 明朝"/>
          <w:color w:val="000000" w:themeColor="text1"/>
          <w:sz w:val="16"/>
          <w:highlight w:val="none"/>
          <w:u w:val="none" w:color="auto"/>
        </w:rPr>
        <w:t>以上。</w:t>
      </w:r>
    </w:p>
    <w:p>
      <w:pPr>
        <w:pStyle w:val="15"/>
        <w:ind w:left="1068" w:leftChars="372" w:hanging="227" w:hangingChars="137"/>
        <w:rPr>
          <w:rFonts w:hint="eastAsia" w:ascii="ＭＳ 明朝" w:hAnsi="ＭＳ 明朝" w:eastAsia="ＭＳ 明朝"/>
          <w:color w:val="000000" w:themeColor="text1"/>
          <w:sz w:val="16"/>
          <w:highlight w:val="none"/>
          <w:u w:val="none" w:color="auto"/>
        </w:rPr>
      </w:pPr>
      <w:r>
        <w:rPr>
          <w:rFonts w:hint="eastAsia" w:ascii="ＭＳ 明朝" w:hAnsi="ＭＳ 明朝" w:eastAsia="ＭＳ 明朝"/>
          <w:color w:val="000000" w:themeColor="text1"/>
          <w:sz w:val="16"/>
          <w:highlight w:val="none"/>
          <w:u w:val="none" w:color="auto"/>
        </w:rPr>
        <w:t>③空腹時血糖</w:t>
      </w:r>
      <w:r>
        <w:rPr>
          <w:rFonts w:hint="eastAsia" w:ascii="ＭＳ 明朝" w:hAnsi="ＭＳ 明朝" w:eastAsia="ＭＳ 明朝"/>
          <w:color w:val="000000" w:themeColor="text1"/>
          <w:sz w:val="16"/>
          <w:highlight w:val="none"/>
          <w:u w:val="none" w:color="auto"/>
        </w:rPr>
        <w:t>110mg/dL</w:t>
      </w:r>
      <w:r>
        <w:rPr>
          <w:rFonts w:hint="eastAsia" w:ascii="ＭＳ 明朝" w:hAnsi="ＭＳ 明朝" w:eastAsia="ＭＳ 明朝"/>
          <w:color w:val="000000" w:themeColor="text1"/>
          <w:sz w:val="16"/>
          <w:highlight w:val="none"/>
          <w:u w:val="none" w:color="auto"/>
        </w:rPr>
        <w:t>以上。ただし、空腹時血糖の値が適切に得られない場合は、</w:t>
      </w:r>
      <w:r>
        <w:rPr>
          <w:rFonts w:hint="eastAsia" w:ascii="ＭＳ 明朝" w:hAnsi="ＭＳ 明朝" w:eastAsia="ＭＳ 明朝"/>
          <w:color w:val="000000" w:themeColor="text1"/>
          <w:sz w:val="16"/>
          <w:highlight w:val="none"/>
          <w:u w:val="none" w:color="auto"/>
        </w:rPr>
        <w:t>HbA1c(NGSP</w:t>
      </w:r>
      <w:r>
        <w:rPr>
          <w:rFonts w:hint="eastAsia" w:ascii="ＭＳ 明朝" w:hAnsi="ＭＳ 明朝" w:eastAsia="ＭＳ 明朝"/>
          <w:color w:val="000000" w:themeColor="text1"/>
          <w:sz w:val="16"/>
          <w:highlight w:val="none"/>
          <w:u w:val="none" w:color="auto"/>
        </w:rPr>
        <w:t>値</w:t>
      </w:r>
      <w:r>
        <w:rPr>
          <w:rFonts w:hint="eastAsia" w:ascii="ＭＳ 明朝" w:hAnsi="ＭＳ 明朝" w:eastAsia="ＭＳ 明朝"/>
          <w:color w:val="000000" w:themeColor="text1"/>
          <w:sz w:val="16"/>
          <w:highlight w:val="none"/>
          <w:u w:val="none" w:color="auto"/>
        </w:rPr>
        <w:t>)6.0</w:t>
      </w:r>
      <w:r>
        <w:rPr>
          <w:rFonts w:hint="eastAsia" w:ascii="ＭＳ 明朝" w:hAnsi="ＭＳ 明朝" w:eastAsia="ＭＳ 明朝"/>
          <w:color w:val="000000" w:themeColor="text1"/>
          <w:sz w:val="16"/>
          <w:highlight w:val="none"/>
          <w:u w:val="none" w:color="auto"/>
        </w:rPr>
        <w:t>％</w:t>
      </w:r>
      <w:r>
        <w:rPr>
          <w:rFonts w:hint="eastAsia" w:ascii="ＭＳ 明朝" w:hAnsi="ＭＳ 明朝" w:eastAsia="ＭＳ 明朝"/>
          <w:color w:val="000000" w:themeColor="text1"/>
          <w:sz w:val="16"/>
          <w:highlight w:val="none"/>
          <w:u w:val="none" w:color="auto"/>
        </w:rPr>
        <w:t>(</w:t>
      </w:r>
      <w:r>
        <w:rPr>
          <w:rFonts w:hint="eastAsia" w:ascii="ＭＳ 明朝" w:hAnsi="ＭＳ 明朝" w:eastAsia="ＭＳ 明朝"/>
          <w:color w:val="000000" w:themeColor="text1"/>
          <w:sz w:val="16"/>
          <w:highlight w:val="none"/>
          <w:u w:val="none" w:color="auto"/>
        </w:rPr>
        <w:t>空腹時血糖</w:t>
      </w:r>
      <w:r>
        <w:rPr>
          <w:rFonts w:hint="eastAsia" w:ascii="ＭＳ 明朝" w:hAnsi="ＭＳ 明朝" w:eastAsia="ＭＳ 明朝"/>
          <w:color w:val="000000" w:themeColor="text1"/>
          <w:sz w:val="16"/>
          <w:highlight w:val="none"/>
          <w:u w:val="none" w:color="auto"/>
        </w:rPr>
        <w:t>110mg/dL</w:t>
      </w:r>
      <w:r>
        <w:rPr>
          <w:rFonts w:hint="eastAsia" w:ascii="ＭＳ 明朝" w:hAnsi="ＭＳ 明朝" w:eastAsia="ＭＳ 明朝"/>
          <w:color w:val="000000" w:themeColor="text1"/>
          <w:sz w:val="16"/>
          <w:highlight w:val="none"/>
          <w:u w:val="none" w:color="auto"/>
        </w:rPr>
        <w:t>に相当する値</w:t>
      </w:r>
      <w:r>
        <w:rPr>
          <w:rFonts w:hint="eastAsia" w:ascii="ＭＳ 明朝" w:hAnsi="ＭＳ 明朝" w:eastAsia="ＭＳ 明朝"/>
          <w:color w:val="000000" w:themeColor="text1"/>
          <w:sz w:val="16"/>
          <w:highlight w:val="none"/>
          <w:u w:val="none" w:color="auto"/>
        </w:rPr>
        <w:t>)</w:t>
      </w:r>
      <w:r>
        <w:rPr>
          <w:rFonts w:hint="eastAsia" w:ascii="ＭＳ 明朝" w:hAnsi="ＭＳ 明朝" w:eastAsia="ＭＳ 明朝"/>
          <w:color w:val="000000" w:themeColor="text1"/>
          <w:sz w:val="16"/>
          <w:highlight w:val="none"/>
          <w:u w:val="none" w:color="auto"/>
        </w:rPr>
        <w:t>以上。</w:t>
      </w:r>
    </w:p>
    <w:p>
      <w:pPr>
        <w:pStyle w:val="0"/>
        <w:widowControl w:val="1"/>
        <w:ind w:right="-2"/>
        <w:rPr>
          <w:rFonts w:hint="eastAsia" w:ascii="ＭＳ 明朝" w:hAnsi="ＭＳ 明朝" w:eastAsia="ＭＳ 明朝"/>
          <w:highlight w:val="none"/>
        </w:rPr>
      </w:pPr>
      <w:r>
        <w:rPr>
          <w:rFonts w:hint="eastAsia"/>
        </w:rPr>
        <mc:AlternateContent>
          <mc:Choice Requires="wpg">
            <w:drawing>
              <wp:anchor simplePos="0" relativeHeight="12" behindDoc="0" locked="0" layoutInCell="1" hidden="0" allowOverlap="1">
                <wp:simplePos x="0" y="0"/>
                <wp:positionH relativeFrom="column">
                  <wp:posOffset>447675</wp:posOffset>
                </wp:positionH>
                <wp:positionV relativeFrom="paragraph">
                  <wp:posOffset>125730</wp:posOffset>
                </wp:positionV>
                <wp:extent cx="5461635" cy="2332990"/>
                <wp:effectExtent l="0" t="0" r="635" b="635"/>
                <wp:wrapNone/>
                <wp:docPr id="1026" name="オブジェクト 0"/>
                <a:graphic xmlns:a="http://schemas.openxmlformats.org/drawingml/2006/main">
                  <a:graphicData uri="http://schemas.microsoft.com/office/word/2010/wordprocessingGroup">
                    <wpg:wgp>
                      <wpg:cNvGrpSpPr/>
                      <wpg:grpSpPr>
                        <a:xfrm>
                          <a:off x="0" y="0"/>
                          <a:ext cx="5461635" cy="2332990"/>
                          <a:chOff x="2123" y="11797"/>
                          <a:chExt cx="8601" cy="3674"/>
                        </a:xfrm>
                      </wpg:grpSpPr>
                      <wps:wsp>
                        <wps:cNvPr id="1027" name="テキスト ボックス 46"/>
                        <wps:cNvSpPr txBox="1"/>
                        <wps:spPr>
                          <a:xfrm>
                            <a:off x="4204" y="15119"/>
                            <a:ext cx="6520" cy="352"/>
                          </a:xfrm>
                          <a:prstGeom prst="rect">
                            <a:avLst/>
                          </a:prstGeom>
                          <a:noFill/>
                        </wps:spPr>
                        <wps:txbx>
                          <w:txbxContent>
                            <w:p>
                              <w:pPr>
                                <w:pStyle w:val="0"/>
                                <w:wordWrap w:val="0"/>
                                <w:overflowPunct w:val="1"/>
                                <w:snapToGrid w:val="0"/>
                                <w:ind w:left="0"/>
                                <w:jc w:val="left"/>
                                <w:rPr>
                                  <w:rFonts w:hint="eastAsia" w:ascii="ＭＳ 明朝" w:hAnsi="ＭＳ 明朝" w:eastAsia="ＭＳ 明朝"/>
                                  <w:sz w:val="28"/>
                                </w:rPr>
                              </w:pPr>
                              <w:r>
                                <w:rPr>
                                  <w:rFonts w:hint="eastAsia" w:ascii="ＭＳ 明朝" w:hAnsi="ＭＳ 明朝" w:eastAsia="ＭＳ 明朝"/>
                                  <w:color w:val="000000" w:themeColor="text1"/>
                                  <w:kern w:val="1200"/>
                                  <w:sz w:val="16"/>
                                </w:rPr>
                                <w:t>出典：厚生労働省「特定健康診査・特定保健指導の実施状況に関するデータ」</w:t>
                              </w:r>
                            </w:p>
                          </w:txbxContent>
                        </wps:txbx>
                        <wps:bodyPr vertOverflow="overflow" horzOverflow="overflow" wrap="square" rtlCol="0">
                          <a:spAutoFit/>
                        </wps:bodyPr>
                      </wps:wsp>
                      <wps:wsp>
                        <wps:cNvPr id="1028" name="テキスト ボックス 45"/>
                        <wps:cNvSpPr txBox="1"/>
                        <wps:spPr>
                          <a:xfrm>
                            <a:off x="2123" y="11797"/>
                            <a:ext cx="7775" cy="453"/>
                          </a:xfrm>
                          <a:prstGeom prst="rect">
                            <a:avLst/>
                          </a:prstGeom>
                          <a:noFill/>
                        </wps:spPr>
                        <wps:txbx>
                          <w:txbxContent>
                            <w:p>
                              <w:pPr>
                                <w:pStyle w:val="0"/>
                                <w:wordWrap w:val="0"/>
                                <w:overflowPunct w:val="1"/>
                                <w:snapToGrid w:val="0"/>
                                <w:ind w:left="0"/>
                                <w:jc w:val="center"/>
                                <w:rPr>
                                  <w:rFonts w:hint="eastAsia" w:ascii="ＭＳ ゴシック" w:hAnsi="ＭＳ ゴシック" w:eastAsia="ＭＳ ゴシック"/>
                                  <w:color w:val="auto"/>
                                  <w:sz w:val="22"/>
                                </w:rPr>
                              </w:pPr>
                              <w:r>
                                <w:rPr>
                                  <w:rFonts w:hint="eastAsia" w:ascii="ＭＳ ゴシック" w:hAnsi="ＭＳ ゴシック" w:eastAsia="ＭＳ ゴシック"/>
                                  <w:color w:val="auto"/>
                                  <w:kern w:val="1200"/>
                                  <w:sz w:val="22"/>
                                </w:rPr>
                                <w:t>（図表</w:t>
                              </w:r>
                              <w:r>
                                <w:rPr>
                                  <w:rFonts w:hint="eastAsia" w:ascii="ＭＳ ゴシック" w:hAnsi="ＭＳ ゴシック" w:eastAsia="ＭＳ ゴシック"/>
                                  <w:color w:val="auto"/>
                                  <w:kern w:val="1200"/>
                                  <w:sz w:val="22"/>
                                </w:rPr>
                                <w:t>6-3-1</w:t>
                              </w:r>
                              <w:r>
                                <w:rPr>
                                  <w:rFonts w:hint="eastAsia" w:ascii="ＭＳ ゴシック" w:hAnsi="ＭＳ ゴシック" w:eastAsia="ＭＳ ゴシック"/>
                                  <w:color w:val="auto"/>
                                  <w:kern w:val="1200"/>
                                  <w:sz w:val="22"/>
                                </w:rPr>
                                <w:t>）メタボリックシンドローム該当者の割合の推移</w:t>
                              </w:r>
                            </w:p>
                          </w:txbxContent>
                        </wps:txbx>
                        <wps:bodyPr vertOverflow="overflow" horzOverflow="overflow" wrap="square" rtlCol="0"/>
                      </wps:wsp>
                      <wpg:grpSp>
                        <wpg:cNvGrpSpPr/>
                        <wpg:grpSpPr>
                          <a:xfrm>
                            <a:off x="2221" y="12025"/>
                            <a:ext cx="7640" cy="3056"/>
                            <a:chOff x="2221" y="12025"/>
                            <a:chExt cx="7640" cy="3056"/>
                          </a:xfrm>
                        </wpg:grpSpPr>
                        <wpg:graphicFrame>
                          <wpg:cNvPr id="1030" name="オブジェクト 0"/>
                          <wpg:cNvFrPr/>
                          <wpg:xfrm>
                            <a:off x="2221" y="12129"/>
                            <a:ext cx="7640" cy="2952"/>
                          </wpg:xfrm>
                          <a:graphic>
                            <a:graphicData uri="http://schemas.openxmlformats.org/drawingml/2006/chart">
                              <c:chart xmlns:c="http://schemas.openxmlformats.org/drawingml/2006/chart" r:id="rId6"/>
                            </a:graphicData>
                          </a:graphic>
                        </wpg:graphicFrame>
                        <wps:wsp>
                          <wps:cNvPr id="1031" name="テキスト 8"/>
                          <wps:cNvSpPr txBox="1"/>
                          <wps:spPr>
                            <a:xfrm>
                              <a:off x="2300" y="12025"/>
                              <a:ext cx="795" cy="52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rPr>
                                </w:pPr>
                                <w:r>
                                  <w:rPr>
                                    <w:rFonts w:hint="default"/>
                                    <w:sz w:val="16"/>
                                  </w:rPr>
                                  <w:t>（</w:t>
                                </w:r>
                                <w:r>
                                  <w:rPr>
                                    <w:rFonts w:hint="eastAsia"/>
                                    <w:sz w:val="16"/>
                                  </w:rPr>
                                  <w:t>％</w:t>
                                </w:r>
                                <w:r>
                                  <w:rPr>
                                    <w:rFonts w:hint="default"/>
                                    <w:sz w:val="16"/>
                                  </w:rPr>
                                  <w:t>）</w:t>
                                </w:r>
                              </w:p>
                            </w:txbxContent>
                          </wps:txbx>
                          <wps:bodyPr vertOverflow="clip" horzOverflow="clip"/>
                        </wps:wsp>
                      </wpg:grpSp>
                    </wpg:wgp>
                  </a:graphicData>
                </a:graphic>
              </wp:anchor>
            </w:drawing>
          </mc:Choice>
          <mc:Fallback>
            <w:pict>
              <v:group id="オブジェクト 0" style="margin-top:9.9pt;mso-position-vertical-relative:text;mso-position-horizontal-relative:text;position:absolute;height:183.7pt;width:430.05pt;margin-left:35.25pt;z-index:12;" coordsize="8601,3674" coordorigin="2123,11797" o:spid="_x0000_s1026" o:allowincell="t" o:allowoverlap="t">
                <v:shapetype id="_x0000_t202" coordsize="21600,21600" o:spt="202" path="m,l,21600r21600,l21600,xe">
                  <v:stroke joinstyle="miter"/>
                  <v:path gradientshapeok="t" o:connecttype="rect"/>
                </v:shapetype>
                <v:shape id="テキスト ボックス 46" style="height:352;width:6520;top:15119;left:4204;position:absolute;" o:spid="_x0000_s1027" filled="f" stroked="f" o:spt="202" type="#_x0000_t202">
                  <v:fill/>
                  <v:textbox style="layout-flow:horizontal;mso-fit-shape-to-text:t;">
                    <w:txbxContent>
                      <w:p>
                        <w:pPr>
                          <w:pStyle w:val="0"/>
                          <w:wordWrap w:val="0"/>
                          <w:overflowPunct w:val="1"/>
                          <w:snapToGrid w:val="0"/>
                          <w:ind w:left="0"/>
                          <w:jc w:val="left"/>
                          <w:rPr>
                            <w:rFonts w:hint="eastAsia" w:ascii="ＭＳ 明朝" w:hAnsi="ＭＳ 明朝" w:eastAsia="ＭＳ 明朝"/>
                            <w:sz w:val="28"/>
                          </w:rPr>
                        </w:pPr>
                        <w:r>
                          <w:rPr>
                            <w:rFonts w:hint="eastAsia" w:ascii="ＭＳ 明朝" w:hAnsi="ＭＳ 明朝" w:eastAsia="ＭＳ 明朝"/>
                            <w:color w:val="000000" w:themeColor="text1"/>
                            <w:kern w:val="1200"/>
                            <w:sz w:val="16"/>
                          </w:rPr>
                          <w:t>出典：厚生労働省「特定健康診査・特定保健指導の実施状況に関するデータ」</w:t>
                        </w:r>
                      </w:p>
                    </w:txbxContent>
                  </v:textbox>
                  <v:imagedata o:title=""/>
                  <w10:wrap type="none" anchorx="text" anchory="text"/>
                </v:shape>
                <v:shape id="テキスト ボックス 45" style="height:453;width:7775;top:11797;left:2123;position:absolute;" o:spid="_x0000_s1028" filled="f" stroked="f" o:spt="202" type="#_x0000_t202">
                  <v:fill/>
                  <v:textbox style="layout-flow:horizontal;">
                    <w:txbxContent>
                      <w:p>
                        <w:pPr>
                          <w:pStyle w:val="0"/>
                          <w:wordWrap w:val="0"/>
                          <w:overflowPunct w:val="1"/>
                          <w:snapToGrid w:val="0"/>
                          <w:ind w:left="0"/>
                          <w:jc w:val="center"/>
                          <w:rPr>
                            <w:rFonts w:hint="eastAsia" w:ascii="ＭＳ ゴシック" w:hAnsi="ＭＳ ゴシック" w:eastAsia="ＭＳ ゴシック"/>
                            <w:color w:val="auto"/>
                            <w:sz w:val="22"/>
                          </w:rPr>
                        </w:pPr>
                        <w:r>
                          <w:rPr>
                            <w:rFonts w:hint="eastAsia" w:ascii="ＭＳ ゴシック" w:hAnsi="ＭＳ ゴシック" w:eastAsia="ＭＳ ゴシック"/>
                            <w:color w:val="auto"/>
                            <w:kern w:val="1200"/>
                            <w:sz w:val="22"/>
                          </w:rPr>
                          <w:t>（図表</w:t>
                        </w:r>
                        <w:r>
                          <w:rPr>
                            <w:rFonts w:hint="eastAsia" w:ascii="ＭＳ ゴシック" w:hAnsi="ＭＳ ゴシック" w:eastAsia="ＭＳ ゴシック"/>
                            <w:color w:val="auto"/>
                            <w:kern w:val="1200"/>
                            <w:sz w:val="22"/>
                          </w:rPr>
                          <w:t>6-3-1</w:t>
                        </w:r>
                        <w:r>
                          <w:rPr>
                            <w:rFonts w:hint="eastAsia" w:ascii="ＭＳ ゴシック" w:hAnsi="ＭＳ ゴシック" w:eastAsia="ＭＳ ゴシック"/>
                            <w:color w:val="auto"/>
                            <w:kern w:val="1200"/>
                            <w:sz w:val="22"/>
                          </w:rPr>
                          <w:t>）メタボリックシンドローム該当者の割合の推移</w:t>
                        </w:r>
                      </w:p>
                    </w:txbxContent>
                  </v:textbox>
                  <v:imagedata o:title=""/>
                  <w10:wrap type="none" anchorx="text" anchory="text"/>
                </v:shape>
                <v:group id="_x0000_s1029" style="height:3056;width:7640;top:12025;left:2221;position:absolute;" coordsize="7640,3056" coordorigin="2221,1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952;width:7640;top:12129;left:2221;position:absolute;" o:spid="_x0000_s1030" filled="f" stroked="f" o:spt="75" type="#_x0000_t75">
                    <v:fill/>
                    <v:imagedata o:title="" r:id="rId7"/>
                    <w10:wrap type="none" anchorx="text" anchory="text"/>
                  </v:shape>
                  <v:shape id="テキスト 8" style="height:525;width:795;top:12025;left:2300;position:absolute;" o:spid="_x0000_s1031" filled="f" stroked="f" strokeweight="0.75pt" o:spt="202" type="#_x0000_t202">
                    <v:fill/>
                    <v:stroke linestyle="single"/>
                    <v:textbox style="layout-flow:horizontal;">
                      <w:txbxContent>
                        <w:p>
                          <w:pPr>
                            <w:pStyle w:val="0"/>
                            <w:snapToGrid w:val="0"/>
                            <w:rPr>
                              <w:rFonts w:hint="eastAsia"/>
                            </w:rPr>
                          </w:pPr>
                          <w:r>
                            <w:rPr>
                              <w:rFonts w:hint="default"/>
                              <w:sz w:val="16"/>
                            </w:rPr>
                            <w:t>（</w:t>
                          </w:r>
                          <w:r>
                            <w:rPr>
                              <w:rFonts w:hint="eastAsia"/>
                              <w:sz w:val="16"/>
                            </w:rPr>
                            <w:t>％</w:t>
                          </w:r>
                          <w:r>
                            <w:rPr>
                              <w:rFonts w:hint="default"/>
                              <w:sz w:val="16"/>
                            </w:rPr>
                            <w:t>）</w:t>
                          </w:r>
                        </w:p>
                      </w:txbxContent>
                    </v:textbox>
                    <v:imagedata o:title=""/>
                    <w10:wrap type="none" anchorx="text" anchory="text"/>
                  </v:shape>
                  <w10:wrap type="none" anchorx="text" anchory="text"/>
                </v:group>
                <w10:wrap type="none" anchorx="text" anchory="text"/>
              </v:group>
            </w:pict>
          </mc:Fallback>
        </mc:AlternateContent>
      </w:r>
      <w:r>
        <w:rPr>
          <w:rFonts w:hint="eastAsia" w:ascii="ＭＳ 明朝" w:hAnsi="ＭＳ 明朝" w:eastAsia="ＭＳ 明朝"/>
          <w:highlight w:val="none"/>
        </w:rPr>
        <w:br w:type="page"/>
      </w:r>
    </w:p>
    <w:p>
      <w:pPr>
        <w:pStyle w:val="0"/>
        <w:ind w:left="227" w:leftChars="100" w:firstLine="227" w:firstLineChars="100"/>
        <w:rPr>
          <w:rFonts w:hint="eastAsia" w:ascii="ＭＳ 明朝" w:hAnsi="ＭＳ 明朝" w:eastAsia="ＭＳ 明朝"/>
          <w:b w:val="0"/>
          <w:color w:val="auto"/>
          <w:spacing w:val="0"/>
          <w:sz w:val="22"/>
          <w:highlight w:val="none"/>
          <w:u w:val="none" w:color="auto"/>
        </w:rPr>
      </w:pPr>
      <w:r>
        <w:rPr>
          <w:rFonts w:hint="eastAsia" w:ascii="ＭＳ 明朝" w:hAnsi="ＭＳ 明朝" w:eastAsia="ＭＳ 明朝"/>
          <w:color w:val="auto"/>
          <w:sz w:val="22"/>
          <w:highlight w:val="none"/>
          <w:u w:val="none" w:color="auto"/>
        </w:rPr>
        <w:t>また、本県の急性心筋梗塞の死亡率が全国に比べて高い実態を踏まえ、令和３年度から、テレビＣＭ、ＹｏｕＴｕｂｅ、新聞広告等を用いた啓発活動を産官学連携により実施しています。その啓発効果をインターネット調査により検証したところ、本県の心筋梗塞の死亡率が高いことや、発症のリスク因子等についての認知度は上昇傾向にあります。</w:t>
      </w:r>
    </w:p>
    <w:p>
      <w:pPr>
        <w:pStyle w:val="0"/>
        <w:ind w:left="227" w:leftChars="100" w:firstLine="237" w:firstLineChars="100"/>
        <w:rPr>
          <w:rFonts w:hint="eastAsia" w:ascii="ＭＳ 明朝" w:hAnsi="ＭＳ 明朝" w:eastAsia="ＭＳ 明朝"/>
          <w:b w:val="0"/>
          <w:color w:val="auto"/>
          <w:spacing w:val="0"/>
          <w:sz w:val="22"/>
          <w:highlight w:val="none"/>
          <w:u w:val="none" w:color="auto"/>
        </w:rPr>
      </w:pPr>
    </w:p>
    <w:p>
      <w:pPr>
        <w:pStyle w:val="0"/>
        <w:rPr>
          <w:rFonts w:hint="eastAsia" w:ascii="ＭＳ 明朝" w:hAnsi="ＭＳ 明朝" w:eastAsia="ＭＳ 明朝"/>
          <w:b w:val="0"/>
          <w:color w:val="auto"/>
          <w:spacing w:val="0"/>
          <w:sz w:val="22"/>
          <w:highlight w:val="none"/>
          <w:u w:val="none" w:color="auto"/>
        </w:rPr>
      </w:pPr>
      <w:r>
        <w:rPr>
          <w:rFonts w:hint="eastAsia" w:ascii="ＭＳ 明朝" w:hAnsi="ＭＳ 明朝" w:eastAsia="ＭＳ 明朝"/>
          <w:b w:val="1"/>
          <w:color w:val="auto"/>
          <w:sz w:val="22"/>
          <w:highlight w:val="none"/>
          <w:u w:val="none" w:color="auto"/>
        </w:rPr>
        <w:t>（２）虚血性心疾患の危険因子の管理</w:t>
      </w:r>
    </w:p>
    <w:p>
      <w:pPr>
        <w:pStyle w:val="0"/>
        <w:ind w:left="227" w:leftChars="100" w:firstLine="227" w:firstLineChars="100"/>
        <w:rPr>
          <w:rFonts w:hint="eastAsia" w:ascii="ＭＳ 明朝" w:hAnsi="ＭＳ 明朝" w:eastAsia="ＭＳ 明朝"/>
          <w:color w:val="FF0000"/>
          <w:sz w:val="22"/>
          <w:highlight w:val="none"/>
          <w:u w:val="single" w:color="auto"/>
        </w:rPr>
      </w:pPr>
      <w:r>
        <w:rPr>
          <w:rFonts w:hint="eastAsia" w:ascii="ＭＳ 明朝" w:hAnsi="ＭＳ 明朝" w:eastAsia="ＭＳ 明朝"/>
          <w:b w:val="0"/>
          <w:color w:val="auto"/>
          <w:sz w:val="22"/>
          <w:highlight w:val="none"/>
          <w:u w:val="none" w:color="auto"/>
        </w:rPr>
        <w:t>虚血性心疾患重症化予防対策として、モデル保険者の過去５年間の健診及びレセプトデータをもとに、動脈硬化性疾患の発症リスクを分析した結果、全体に占めるリスクの高い者の割合は、冠動脈疾患またはアテローム血栓性脳梗塞の既往がある「再発リスク」群が</w:t>
      </w:r>
      <w:r>
        <w:rPr>
          <w:rFonts w:hint="eastAsia" w:ascii="ＭＳ 明朝" w:hAnsi="ＭＳ 明朝" w:eastAsia="ＭＳ 明朝"/>
          <w:b w:val="0"/>
          <w:color w:val="auto"/>
          <w:sz w:val="22"/>
          <w:highlight w:val="none"/>
          <w:u w:val="none" w:color="auto"/>
        </w:rPr>
        <w:t>14.9%</w:t>
      </w:r>
      <w:r>
        <w:rPr>
          <w:rFonts w:hint="eastAsia" w:ascii="ＭＳ 明朝" w:hAnsi="ＭＳ 明朝" w:eastAsia="ＭＳ 明朝"/>
          <w:b w:val="0"/>
          <w:color w:val="auto"/>
          <w:sz w:val="22"/>
          <w:highlight w:val="none"/>
          <w:u w:val="none" w:color="auto"/>
        </w:rPr>
        <w:t>、既往歴はないが糖尿病等のリスク因子をもつ「発症リスク高」群が</w:t>
      </w:r>
      <w:r>
        <w:rPr>
          <w:rFonts w:hint="eastAsia" w:ascii="ＭＳ 明朝" w:hAnsi="ＭＳ 明朝" w:eastAsia="ＭＳ 明朝"/>
          <w:b w:val="0"/>
          <w:color w:val="auto"/>
          <w:sz w:val="22"/>
          <w:highlight w:val="none"/>
          <w:u w:val="none" w:color="auto"/>
        </w:rPr>
        <w:t>37.2%</w:t>
      </w:r>
      <w:r>
        <w:rPr>
          <w:rFonts w:hint="eastAsia" w:ascii="ＭＳ 明朝" w:hAnsi="ＭＳ 明朝" w:eastAsia="ＭＳ 明朝"/>
          <w:b w:val="0"/>
          <w:color w:val="auto"/>
          <w:sz w:val="22"/>
          <w:highlight w:val="none"/>
          <w:u w:val="none" w:color="auto"/>
        </w:rPr>
        <w:t>となっています（図表</w:t>
      </w:r>
      <w:r>
        <w:rPr>
          <w:rFonts w:hint="eastAsia" w:ascii="ＭＳ 明朝" w:hAnsi="ＭＳ 明朝" w:eastAsia="ＭＳ 明朝"/>
          <w:b w:val="0"/>
          <w:color w:val="auto"/>
          <w:sz w:val="22"/>
          <w:highlight w:val="none"/>
          <w:u w:val="none" w:color="auto"/>
        </w:rPr>
        <w:t>6-3-2</w:t>
      </w:r>
      <w:r>
        <w:rPr>
          <w:rFonts w:hint="eastAsia" w:ascii="ＭＳ 明朝" w:hAnsi="ＭＳ 明朝" w:eastAsia="ＭＳ 明朝"/>
          <w:b w:val="0"/>
          <w:color w:val="auto"/>
          <w:sz w:val="22"/>
          <w:highlight w:val="none"/>
          <w:u w:val="none" w:color="auto"/>
        </w:rPr>
        <w:t>）。</w:t>
      </w:r>
    </w:p>
    <w:p>
      <w:pPr>
        <w:pStyle w:val="0"/>
        <w:ind w:left="227" w:leftChars="100" w:firstLine="227" w:firstLineChars="100"/>
        <w:rPr>
          <w:rFonts w:hint="eastAsia" w:ascii="ＭＳ 明朝" w:hAnsi="ＭＳ 明朝" w:eastAsia="ＭＳ 明朝"/>
          <w:color w:val="FF0000"/>
          <w:sz w:val="22"/>
          <w:highlight w:val="none"/>
          <w:u w:val="single" w:color="auto"/>
        </w:rPr>
      </w:pPr>
      <w:r>
        <w:rPr>
          <w:rFonts w:hint="eastAsia" w:ascii="ＭＳ 明朝" w:hAnsi="ＭＳ 明朝" w:eastAsia="ＭＳ 明朝"/>
          <w:b w:val="0"/>
          <w:color w:val="auto"/>
          <w:sz w:val="22"/>
          <w:highlight w:val="none"/>
          <w:u w:val="none" w:color="auto"/>
        </w:rPr>
        <w:t>また、「再発リスク」群のうち、「動脈硬化性疾患予防ガイドライン」に基づく脂質管理基準値を達成している者の割合は</w:t>
      </w:r>
      <w:r>
        <w:rPr>
          <w:rFonts w:hint="eastAsia" w:ascii="ＭＳ 明朝" w:hAnsi="ＭＳ 明朝" w:eastAsia="ＭＳ 明朝"/>
          <w:b w:val="0"/>
          <w:color w:val="auto"/>
          <w:sz w:val="22"/>
          <w:highlight w:val="none"/>
          <w:u w:val="none" w:color="auto"/>
        </w:rPr>
        <w:t>13.0%</w:t>
      </w:r>
      <w:r>
        <w:rPr>
          <w:rFonts w:hint="eastAsia" w:ascii="ＭＳ 明朝" w:hAnsi="ＭＳ 明朝" w:eastAsia="ＭＳ 明朝"/>
          <w:b w:val="0"/>
          <w:color w:val="auto"/>
          <w:sz w:val="22"/>
          <w:highlight w:val="none"/>
          <w:u w:val="none" w:color="auto"/>
        </w:rPr>
        <w:t>と低くなっており、適切な治療が重要です。</w:t>
      </w:r>
    </w:p>
    <w:p>
      <w:pPr>
        <w:pStyle w:val="0"/>
        <w:ind w:left="227" w:leftChars="100" w:firstLine="227" w:firstLineChars="100"/>
        <w:rPr>
          <w:rFonts w:hint="eastAsia" w:ascii="ＭＳ 明朝" w:hAnsi="ＭＳ 明朝" w:eastAsia="ＭＳ 明朝"/>
          <w:highlight w:val="none"/>
        </w:rPr>
      </w:pPr>
      <w:r>
        <w:rPr>
          <w:rFonts w:hint="eastAsia"/>
          <w:highlight w:val="none"/>
        </w:rPr>
        <mc:AlternateContent>
          <mc:Choice Requires="wps">
            <w:drawing>
              <wp:anchor simplePos="0" relativeHeight="2" behindDoc="0" locked="0" layoutInCell="1" hidden="0" allowOverlap="1">
                <wp:simplePos x="0" y="0"/>
                <wp:positionH relativeFrom="page">
                  <wp:posOffset>1211580</wp:posOffset>
                </wp:positionH>
                <wp:positionV relativeFrom="page">
                  <wp:posOffset>4106545</wp:posOffset>
                </wp:positionV>
                <wp:extent cx="5153025" cy="333375"/>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5153025" cy="333375"/>
                        </a:xfrm>
                        <a:prstGeom prst="rect">
                          <a:avLst/>
                        </a:prstGeom>
                        <a:noFill/>
                        <a:ln w="9525">
                          <a:noFill/>
                          <a:miter lim="800000"/>
                          <a:headEnd/>
                          <a:tailEnd/>
                        </a:ln>
                      </wps:spPr>
                      <wps:txbx>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6-3-2</w:t>
                            </w:r>
                            <w:r>
                              <w:rPr>
                                <w:rFonts w:hint="eastAsia" w:ascii="ＭＳ ゴシック" w:hAnsi="ＭＳ ゴシック" w:eastAsia="ＭＳ ゴシック"/>
                                <w:color w:val="auto"/>
                                <w:sz w:val="22"/>
                                <w:u w:val="none" w:color="auto"/>
                              </w:rPr>
                              <w:t>）母集団における動脈硬化性疾患の発症リスク別の割合</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ボックス 2" style="margin-top:323.35000000000002pt;mso-position-vertical-relative:page;mso-position-horizontal-relative:page;position:absolute;height:26.25pt;width:405.75pt;margin-left:95.4pt;z-index:2;" o:spid="_x0000_s1032" o:allowincell="t" o:allowoverlap="t" filled="f" stroked="f" strokeweight="0.75pt" o:spt="202" type="#_x0000_t202">
                <v:fill/>
                <v:stroke miterlimit="8"/>
                <v:textbox style="layout-flow:horizontal;">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6-3-2</w:t>
                      </w:r>
                      <w:r>
                        <w:rPr>
                          <w:rFonts w:hint="eastAsia" w:ascii="ＭＳ ゴシック" w:hAnsi="ＭＳ ゴシック" w:eastAsia="ＭＳ ゴシック"/>
                          <w:color w:val="auto"/>
                          <w:sz w:val="22"/>
                          <w:u w:val="none" w:color="auto"/>
                        </w:rPr>
                        <w:t>）母集団における動脈硬化性疾患の発症リスク別の割合</w:t>
                      </w:r>
                    </w:p>
                  </w:txbxContent>
                </v:textbox>
                <v:imagedata o:title=""/>
                <w10:wrap type="none" anchorx="page" anchory="page"/>
              </v:shape>
            </w:pict>
          </mc:Fallback>
        </mc:AlternateContent>
      </w:r>
    </w:p>
    <w:tbl>
      <w:tblPr>
        <w:tblStyle w:val="45"/>
        <w:tblpPr w:leftFromText="142" w:rightFromText="142" w:topFromText="0" w:bottomFromText="0" w:vertAnchor="text" w:horzAnchor="text" w:tblpX="332" w:tblpY="283"/>
        <w:tblW w:w="0" w:type="auto"/>
        <w:tblLayout w:type="fixed"/>
        <w:tblLook w:firstRow="1" w:lastRow="0" w:firstColumn="1" w:lastColumn="0" w:noHBand="0" w:noVBand="1" w:val="04A0"/>
      </w:tblPr>
      <w:tblGrid>
        <w:gridCol w:w="2252"/>
        <w:gridCol w:w="1562"/>
        <w:gridCol w:w="1562"/>
        <w:gridCol w:w="1562"/>
        <w:gridCol w:w="1562"/>
      </w:tblGrid>
      <w:tr>
        <w:trPr>
          <w:trHeight w:val="486" w:hRule="atLeast"/>
        </w:trPr>
        <w:tc>
          <w:tcPr>
            <w:tcW w:w="2252" w:type="dxa"/>
            <w:shd w:val="clear" w:color="auto" w:fill="DAEEF3"/>
            <w:vAlign w:val="top"/>
          </w:tcPr>
          <w:p>
            <w:pPr>
              <w:pStyle w:val="0"/>
              <w:rPr>
                <w:rFonts w:hint="eastAsia" w:ascii="ＭＳ 明朝" w:hAnsi="ＭＳ 明朝" w:eastAsia="ＭＳ 明朝"/>
                <w:b w:val="0"/>
                <w:color w:val="auto"/>
                <w:sz w:val="20"/>
                <w:highlight w:val="none"/>
              </w:rPr>
            </w:pPr>
          </w:p>
        </w:tc>
        <w:tc>
          <w:tcPr>
            <w:tcW w:w="1562" w:type="dxa"/>
            <w:shd w:val="clear" w:color="auto" w:fill="DAEEF3"/>
            <w:vAlign w:val="center"/>
          </w:tcPr>
          <w:p>
            <w:pPr>
              <w:pStyle w:val="0"/>
              <w:jc w:val="center"/>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再発リスク</w:t>
            </w:r>
          </w:p>
        </w:tc>
        <w:tc>
          <w:tcPr>
            <w:tcW w:w="1562" w:type="dxa"/>
            <w:shd w:val="clear" w:color="auto" w:fill="DAEEF3"/>
            <w:vAlign w:val="center"/>
          </w:tcPr>
          <w:p>
            <w:pPr>
              <w:pStyle w:val="0"/>
              <w:jc w:val="center"/>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発症リスク高</w:t>
            </w:r>
          </w:p>
        </w:tc>
        <w:tc>
          <w:tcPr>
            <w:tcW w:w="1562" w:type="dxa"/>
            <w:shd w:val="clear" w:color="auto" w:fill="DAEEF3"/>
            <w:vAlign w:val="center"/>
          </w:tcPr>
          <w:p>
            <w:pPr>
              <w:pStyle w:val="0"/>
              <w:jc w:val="center"/>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発症リスク中</w:t>
            </w:r>
          </w:p>
        </w:tc>
        <w:tc>
          <w:tcPr>
            <w:tcW w:w="1562" w:type="dxa"/>
            <w:shd w:val="clear" w:color="auto" w:fill="DAEEF3"/>
            <w:vAlign w:val="center"/>
          </w:tcPr>
          <w:p>
            <w:pPr>
              <w:pStyle w:val="0"/>
              <w:jc w:val="center"/>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発症リスク低</w:t>
            </w:r>
          </w:p>
        </w:tc>
      </w:tr>
      <w:tr>
        <w:trPr>
          <w:trHeight w:val="515" w:hRule="atLeast"/>
        </w:trPr>
        <w:tc>
          <w:tcPr>
            <w:tcW w:w="2252" w:type="dxa"/>
            <w:shd w:val="clear" w:color="auto" w:fill="DAEEF3"/>
            <w:vAlign w:val="center"/>
          </w:tcPr>
          <w:p>
            <w:pPr>
              <w:pStyle w:val="0"/>
              <w:jc w:val="distribute"/>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該当割合</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14.9%</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37.2%</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35.4%</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12.5%</w:t>
            </w:r>
          </w:p>
        </w:tc>
      </w:tr>
      <w:tr>
        <w:trPr/>
        <w:tc>
          <w:tcPr>
            <w:tcW w:w="2252" w:type="dxa"/>
            <w:shd w:val="clear" w:color="auto" w:fill="DAEEF3"/>
            <w:vAlign w:val="top"/>
          </w:tcPr>
          <w:p>
            <w:pPr>
              <w:pStyle w:val="0"/>
              <w:spacing w:line="280" w:lineRule="exact"/>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該当者のうち</w:t>
            </w:r>
            <w:r>
              <w:rPr>
                <w:rFonts w:hint="eastAsia" w:ascii="ＭＳ 明朝" w:hAnsi="ＭＳ 明朝" w:eastAsia="ＭＳ 明朝"/>
                <w:b w:val="0"/>
                <w:color w:val="auto"/>
                <w:sz w:val="20"/>
                <w:highlight w:val="none"/>
              </w:rPr>
              <w:t>LDL</w:t>
            </w:r>
            <w:r>
              <w:rPr>
                <w:rFonts w:hint="eastAsia" w:ascii="ＭＳ 明朝" w:hAnsi="ＭＳ 明朝" w:eastAsia="ＭＳ 明朝"/>
                <w:b w:val="0"/>
                <w:color w:val="auto"/>
                <w:sz w:val="20"/>
                <w:highlight w:val="none"/>
              </w:rPr>
              <w:t>コレステロールの管理基準値達成者の割合</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13.0%</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40.2%</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69.0%</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93.8%</w:t>
            </w:r>
          </w:p>
        </w:tc>
      </w:tr>
    </w:tbl>
    <w:p>
      <w:pPr>
        <w:pStyle w:val="0"/>
        <w:ind w:left="227" w:leftChars="100" w:firstLine="227" w:firstLineChars="100"/>
        <w:rPr>
          <w:rFonts w:hint="eastAsia" w:ascii="ＭＳ 明朝" w:hAnsi="ＭＳ 明朝" w:eastAsia="ＭＳ 明朝"/>
          <w:highlight w:val="none"/>
        </w:rPr>
      </w:pPr>
      <w:r>
        <w:rPr>
          <w:rFonts w:hint="eastAsia"/>
          <w:highlight w:val="none"/>
        </w:rPr>
        <mc:AlternateContent>
          <mc:Choice Requires="wps">
            <w:drawing>
              <wp:anchor simplePos="0" relativeHeight="11" behindDoc="0" locked="0" layoutInCell="1" hidden="0" allowOverlap="1">
                <wp:simplePos x="0" y="0"/>
                <wp:positionH relativeFrom="column">
                  <wp:posOffset>2840990</wp:posOffset>
                </wp:positionH>
                <wp:positionV relativeFrom="paragraph">
                  <wp:posOffset>1374140</wp:posOffset>
                </wp:positionV>
                <wp:extent cx="2836545" cy="256540"/>
                <wp:effectExtent l="0" t="0" r="635" b="635"/>
                <wp:wrapNone/>
                <wp:docPr id="1033" name="オブジェクト 0"/>
                <a:graphic xmlns:a="http://schemas.openxmlformats.org/drawingml/2006/main">
                  <a:graphicData uri="http://schemas.microsoft.com/office/word/2010/wordprocessingShape">
                    <wps:wsp>
                      <wps:cNvPr id="1033" name="オブジェクト 0"/>
                      <wps:cNvSpPr txBox="1">
                        <a:spLocks noChangeArrowheads="1"/>
                      </wps:cNvSpPr>
                      <wps:spPr>
                        <a:xfrm>
                          <a:off x="0" y="0"/>
                          <a:ext cx="2836545" cy="256540"/>
                        </a:xfrm>
                        <a:prstGeom prst="rect">
                          <a:avLst/>
                        </a:prstGeom>
                        <a:noFill/>
                        <a:ln>
                          <a:miter/>
                        </a:ln>
                      </wps:spPr>
                      <wps:txbx>
                        <w:txbxContent>
                          <w:p>
                            <w:pPr>
                              <w:pStyle w:val="0"/>
                              <w:rPr>
                                <w:rFonts w:hint="eastAsia"/>
                              </w:rPr>
                            </w:pPr>
                            <w:r>
                              <w:rPr>
                                <w:rFonts w:hint="eastAsia"/>
                                <w:color w:val="auto"/>
                                <w:sz w:val="16"/>
                              </w:rPr>
                              <w:t>出典：</w:t>
                            </w:r>
                            <w:r>
                              <w:rPr>
                                <w:rFonts w:hint="eastAsia" w:ascii="ＭＳ 明朝" w:hAnsi="ＭＳ 明朝" w:eastAsia="ＭＳ 明朝"/>
                                <w:color w:val="auto"/>
                                <w:sz w:val="16"/>
                              </w:rPr>
                              <w:t>令和５年度</w:t>
                            </w:r>
                            <w:r>
                              <w:rPr>
                                <w:rFonts w:hint="eastAsia"/>
                                <w:color w:val="auto"/>
                                <w:sz w:val="16"/>
                              </w:rPr>
                              <w:t>高知県循環器病重症化予防事業より</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08.2pt;mso-position-vertical-relative:text;mso-position-horizontal-relative:text;position:absolute;height:20.2pt;width:223.35pt;margin-left:223.7pt;z-index:11;" o:spid="_x0000_s1033" o:allowincell="t" o:allowoverlap="t" filled="f" stroked="f" o:spt="202" type="#_x0000_t202">
                <v:fill/>
                <v:textbox style="layout-flow:horizontal;" inset="2.0637499999999998mm,0.24694444444444438mm,2.0637499999999998mm,0.24694444444444438mm">
                  <w:txbxContent>
                    <w:p>
                      <w:pPr>
                        <w:pStyle w:val="0"/>
                        <w:rPr>
                          <w:rFonts w:hint="eastAsia"/>
                        </w:rPr>
                      </w:pPr>
                      <w:r>
                        <w:rPr>
                          <w:rFonts w:hint="eastAsia"/>
                          <w:color w:val="auto"/>
                          <w:sz w:val="16"/>
                        </w:rPr>
                        <w:t>出典：</w:t>
                      </w:r>
                      <w:r>
                        <w:rPr>
                          <w:rFonts w:hint="eastAsia" w:ascii="ＭＳ 明朝" w:hAnsi="ＭＳ 明朝" w:eastAsia="ＭＳ 明朝"/>
                          <w:color w:val="auto"/>
                          <w:sz w:val="16"/>
                        </w:rPr>
                        <w:t>令和５年度</w:t>
                      </w:r>
                      <w:r>
                        <w:rPr>
                          <w:rFonts w:hint="eastAsia"/>
                          <w:color w:val="auto"/>
                          <w:sz w:val="16"/>
                        </w:rPr>
                        <w:t>高知県循環器病重症化予防事業より</w:t>
                      </w:r>
                    </w:p>
                  </w:txbxContent>
                </v:textbox>
                <v:imagedata o:title=""/>
                <w10:wrap type="none" anchorx="text" anchory="text"/>
              </v:shape>
            </w:pict>
          </mc:Fallback>
        </mc:AlternateContent>
      </w:r>
    </w:p>
    <w:p>
      <w:pPr>
        <w:pStyle w:val="0"/>
        <w:tabs>
          <w:tab w:val="left" w:leader="none" w:pos="7704"/>
        </w:tabs>
        <w:rPr>
          <w:rFonts w:hint="eastAsia"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２　心血管疾患の発症と死亡</w:t>
      </w:r>
    </w:p>
    <w:p>
      <w:pPr>
        <w:pStyle w:val="0"/>
        <w:tabs>
          <w:tab w:val="left" w:leader="none" w:pos="7704"/>
        </w:tabs>
        <w:ind w:left="238" w:hanging="238" w:hangingChars="100"/>
        <w:rPr>
          <w:rFonts w:hint="eastAsia" w:ascii="ＭＳ 明朝" w:hAnsi="ＭＳ 明朝" w:eastAsia="ＭＳ 明朝"/>
          <w:color w:val="auto"/>
          <w:kern w:val="0"/>
          <w:sz w:val="22"/>
          <w:highlight w:val="none"/>
          <w:u w:val="none" w:color="auto"/>
        </w:rPr>
      </w:pPr>
      <w:r>
        <w:rPr>
          <w:rFonts w:hint="eastAsia" w:ascii="ＭＳ 明朝" w:hAnsi="ＭＳ 明朝" w:eastAsia="ＭＳ 明朝"/>
          <w:b w:val="1"/>
          <w:color w:val="auto"/>
          <w:sz w:val="22"/>
          <w:highlight w:val="none"/>
          <w:u w:val="none" w:color="auto"/>
        </w:rPr>
        <w:t>（１）患者数及び死亡の状況</w:t>
      </w:r>
    </w:p>
    <w:p>
      <w:pPr>
        <w:pStyle w:val="0"/>
        <w:tabs>
          <w:tab w:val="left" w:leader="none" w:pos="7704"/>
        </w:tabs>
        <w:ind w:left="238" w:hanging="238" w:hangingChars="100"/>
        <w:rPr>
          <w:rFonts w:hint="eastAsia" w:ascii="ＭＳ 明朝" w:hAnsi="ＭＳ 明朝" w:eastAsia="ＭＳ 明朝"/>
          <w:color w:val="000000" w:themeColor="text1"/>
          <w:kern w:val="0"/>
          <w:sz w:val="22"/>
          <w:highlight w:val="none"/>
          <w:u w:val="none" w:color="auto"/>
        </w:rPr>
      </w:pPr>
      <w:r>
        <w:rPr>
          <w:rFonts w:hint="eastAsia" w:ascii="ＭＳ 明朝" w:hAnsi="ＭＳ 明朝" w:eastAsia="ＭＳ 明朝"/>
          <w:b w:val="1"/>
          <w:color w:val="auto"/>
          <w:sz w:val="22"/>
          <w:highlight w:val="none"/>
          <w:u w:val="none" w:color="auto"/>
        </w:rPr>
        <w:t>　　</w:t>
      </w:r>
      <w:r>
        <w:rPr>
          <w:rFonts w:hint="eastAsia" w:ascii="ＭＳ 明朝" w:hAnsi="ＭＳ 明朝" w:eastAsia="ＭＳ 明朝"/>
          <w:color w:val="auto"/>
          <w:sz w:val="22"/>
          <w:highlight w:val="none"/>
          <w:u w:val="none" w:color="auto"/>
        </w:rPr>
        <w:t>循環器疾患診療実態調査（ＪＲＯＡＤ）によると、高知県の急性心筋梗塞患者数、急性大動脈解離患者数は横ばいですが、心不全入院患者数は減少傾向の後、令和３年に増加しました</w:t>
      </w:r>
      <w:r>
        <w:rPr>
          <w:rFonts w:hint="eastAsia" w:ascii="ＭＳ 明朝" w:hAnsi="ＭＳ 明朝" w:eastAsia="ＭＳ 明朝"/>
          <w:color w:val="auto"/>
          <w:sz w:val="22"/>
          <w:highlight w:val="none"/>
        </w:rPr>
        <w:t>（図表</w:t>
      </w:r>
      <w:r>
        <w:rPr>
          <w:rFonts w:hint="eastAsia" w:ascii="ＭＳ 明朝" w:hAnsi="ＭＳ 明朝" w:eastAsia="ＭＳ 明朝"/>
          <w:color w:val="auto"/>
          <w:sz w:val="22"/>
          <w:highlight w:val="none"/>
        </w:rPr>
        <w:t>6-3-3</w:t>
      </w:r>
      <w:r>
        <w:rPr>
          <w:rFonts w:hint="eastAsia" w:ascii="ＭＳ 明朝" w:hAnsi="ＭＳ 明朝" w:eastAsia="ＭＳ 明朝"/>
          <w:color w:val="auto"/>
          <w:sz w:val="22"/>
          <w:highlight w:val="none"/>
        </w:rPr>
        <w:t>）。</w:t>
      </w:r>
    </w:p>
    <w:p>
      <w:pPr>
        <w:pStyle w:val="0"/>
        <w:tabs>
          <w:tab w:val="left" w:leader="none" w:pos="7704"/>
        </w:tabs>
        <w:ind w:left="238" w:hanging="238" w:hangingChars="100"/>
        <w:rPr>
          <w:rFonts w:hint="eastAsia" w:ascii="ＭＳ 明朝" w:hAnsi="ＭＳ 明朝" w:eastAsia="ＭＳ 明朝"/>
          <w:color w:val="000000" w:themeColor="text1"/>
          <w:kern w:val="0"/>
          <w:sz w:val="22"/>
          <w:highlight w:val="none"/>
          <w:u w:val="none" w:color="auto"/>
        </w:rPr>
      </w:pPr>
      <w:r>
        <w:rPr>
          <w:rFonts w:hint="eastAsia"/>
        </w:rPr>
        <mc:AlternateContent>
          <mc:Choice Requires="wpg">
            <w:drawing>
              <wp:anchor simplePos="0" relativeHeight="73" behindDoc="0" locked="0" layoutInCell="1" hidden="0" allowOverlap="1">
                <wp:simplePos x="0" y="0"/>
                <wp:positionH relativeFrom="column">
                  <wp:posOffset>0</wp:posOffset>
                </wp:positionH>
                <wp:positionV relativeFrom="paragraph">
                  <wp:posOffset>41275</wp:posOffset>
                </wp:positionV>
                <wp:extent cx="5825490" cy="2822575"/>
                <wp:effectExtent l="0" t="0" r="635" b="635"/>
                <wp:wrapNone/>
                <wp:docPr id="1034" name="オブジェクト 0"/>
                <a:graphic xmlns:a="http://schemas.openxmlformats.org/drawingml/2006/main">
                  <a:graphicData uri="http://schemas.microsoft.com/office/word/2010/wordprocessingGroup">
                    <wpg:wgp>
                      <wpg:cNvGrpSpPr/>
                      <wpg:grpSpPr>
                        <a:xfrm>
                          <a:off x="0" y="0"/>
                          <a:ext cx="5825490" cy="2822575"/>
                          <a:chOff x="1372" y="11099"/>
                          <a:chExt cx="9174" cy="4445"/>
                        </a:xfrm>
                      </wpg:grpSpPr>
                      <wps:wsp>
                        <wps:cNvPr id="1035" name="オブジェクト 0"/>
                        <wps:cNvSpPr txBox="1"/>
                        <wps:spPr>
                          <a:xfrm>
                            <a:off x="1372" y="11099"/>
                            <a:ext cx="9015" cy="42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6-3-3</w:t>
                              </w:r>
                              <w:r>
                                <w:rPr>
                                  <w:rFonts w:hint="eastAsia" w:ascii="ＭＳ ゴシック" w:hAnsi="ＭＳ ゴシック" w:eastAsia="ＭＳ ゴシック"/>
                                  <w:color w:val="auto"/>
                                  <w:sz w:val="22"/>
                                  <w:u w:val="none" w:color="auto"/>
                                </w:rPr>
                                <w:t>）心血管疾患患者数の推移</w:t>
                              </w:r>
                            </w:p>
                          </w:txbxContent>
                        </wps:txbx>
                        <wps:bodyPr vertOverflow="overflow" horzOverflow="overflow" wrap="square" lIns="74295" tIns="8890" rIns="74295" bIns="8890"/>
                      </wps:wsp>
                      <wpg:graphicFrame>
                        <wpg:cNvPr id="1036" name="オブジェクト 0"/>
                        <wpg:cNvFrPr/>
                        <wpg:xfrm>
                          <a:off x="1492" y="11471"/>
                          <a:ext cx="8727" cy="3558"/>
                        </wpg:xfrm>
                        <a:graphic>
                          <a:graphicData uri="http://schemas.openxmlformats.org/drawingml/2006/chart">
                            <c:chart xmlns:c="http://schemas.openxmlformats.org/drawingml/2006/chart" r:id="rId8"/>
                          </a:graphicData>
                        </a:graphic>
                      </wpg:graphicFrame>
                      <wps:wsp>
                        <wps:cNvPr id="1037" name="テキスト 8"/>
                        <wps:cNvSpPr txBox="1"/>
                        <wps:spPr>
                          <a:xfrm>
                            <a:off x="1711" y="11367"/>
                            <a:ext cx="795" cy="34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rPr>
                              </w:pPr>
                              <w:r>
                                <w:rPr>
                                  <w:rFonts w:hint="default"/>
                                  <w:sz w:val="16"/>
                                </w:rPr>
                                <w:t>（人）</w:t>
                              </w:r>
                            </w:p>
                          </w:txbxContent>
                        </wps:txbx>
                        <wps:bodyPr vertOverflow="clip" horzOverflow="clip"/>
                      </wps:wsp>
                      <wps:wsp>
                        <wps:cNvPr id="1038" name="オブジェクト 0"/>
                        <wps:cNvSpPr txBox="1">
                          <a:spLocks noChangeArrowheads="1"/>
                        </wps:cNvSpPr>
                        <wps:spPr>
                          <a:xfrm>
                            <a:off x="4696" y="14990"/>
                            <a:ext cx="5850" cy="554"/>
                          </a:xfrm>
                          <a:prstGeom prst="rect">
                            <a:avLst/>
                          </a:prstGeom>
                          <a:noFill/>
                          <a:ln>
                            <a:miter/>
                          </a:ln>
                        </wps:spPr>
                        <wps:txbx>
                          <w:txbxContent>
                            <w:p>
                              <w:pPr>
                                <w:pStyle w:val="0"/>
                                <w:spacing w:line="240" w:lineRule="exact"/>
                                <w:rPr>
                                  <w:rFonts w:hint="default"/>
                                  <w:color w:val="auto"/>
                                  <w:sz w:val="16"/>
                                </w:rPr>
                              </w:pPr>
                              <w:r>
                                <w:rPr>
                                  <w:rFonts w:hint="eastAsia"/>
                                  <w:color w:val="auto"/>
                                  <w:sz w:val="16"/>
                                </w:rPr>
                                <w:t>出典：日本循環器学会　循環器疾患診療実態調査</w:t>
                              </w:r>
                              <w:r>
                                <w:rPr>
                                  <w:rFonts w:hint="eastAsia" w:ascii="ＭＳ 明朝" w:hAnsi="ＭＳ 明朝" w:eastAsia="ＭＳ 明朝"/>
                                  <w:color w:val="auto"/>
                                  <w:sz w:val="16"/>
                                </w:rPr>
                                <w:t>（</w:t>
                              </w:r>
                              <w:r>
                                <w:rPr>
                                  <w:rFonts w:hint="eastAsia" w:ascii="ＭＳ 明朝" w:hAnsi="ＭＳ 明朝" w:eastAsia="ＭＳ 明朝"/>
                                  <w:color w:val="auto"/>
                                  <w:sz w:val="16"/>
                                </w:rPr>
                                <w:t>JROAD</w:t>
                              </w:r>
                              <w:r>
                                <w:rPr>
                                  <w:rFonts w:hint="eastAsia" w:ascii="ＭＳ 明朝" w:hAnsi="ＭＳ 明朝" w:eastAsia="ＭＳ 明朝"/>
                                  <w:color w:val="auto"/>
                                  <w:sz w:val="16"/>
                                </w:rPr>
                                <w:t>）</w:t>
                              </w:r>
                            </w:p>
                            <w:p>
                              <w:pPr>
                                <w:pStyle w:val="0"/>
                                <w:spacing w:line="240" w:lineRule="exact"/>
                                <w:ind w:firstLine="480" w:firstLineChars="300"/>
                                <w:rPr>
                                  <w:rFonts w:hint="eastAsia"/>
                                </w:rPr>
                              </w:pPr>
                              <w:r>
                                <w:rPr>
                                  <w:rFonts w:hint="eastAsia"/>
                                  <w:color w:val="auto"/>
                                  <w:sz w:val="16"/>
                                </w:rPr>
                                <w:t>ただし、循環器研修・関連施設からのみ集計されたデータである。</w:t>
                              </w:r>
                            </w:p>
                          </w:txbxContent>
                        </wps:txbx>
                        <wps:bodyPr vertOverflow="overflow" horzOverflow="overflow" wrap="square" lIns="74295" tIns="8890" rIns="74295" bIns="8890" upright="1"/>
                      </wps:wsp>
                    </wpg:wgp>
                  </a:graphicData>
                </a:graphic>
              </wp:anchor>
            </w:drawing>
          </mc:Choice>
          <mc:Fallback>
            <w:pict>
              <v:group id="オブジェクト 0" style="margin-top:3.25pt;mso-position-vertical-relative:text;mso-position-horizontal-relative:text;position:absolute;height:222.25pt;width:458.7pt;margin-left:0pt;z-index:73;" coordsize="9174,4445" coordorigin="1372,11099" o:spid="_x0000_s1034" o:allowincell="t" o:allowoverlap="t">
                <v:shapetype id="_x0000_t202" coordsize="21600,21600" o:spt="202" path="m,l,21600r21600,l21600,xe">
                  <v:stroke joinstyle="miter"/>
                  <v:path gradientshapeok="t" o:connecttype="rect"/>
                </v:shapetype>
                <v:shape id="オブジェクト 0" style="height:420;width:9015;top:11099;left:1372;position:absolute;" o:spid="_x0000_s1035"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6-3-3</w:t>
                        </w:r>
                        <w:r>
                          <w:rPr>
                            <w:rFonts w:hint="eastAsia" w:ascii="ＭＳ ゴシック" w:hAnsi="ＭＳ ゴシック" w:eastAsia="ＭＳ ゴシック"/>
                            <w:color w:val="auto"/>
                            <w:sz w:val="22"/>
                            <w:u w:val="none" w:color="auto"/>
                          </w:rPr>
                          <w:t>）心血管疾患患者数の推移</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558;width:8727;top:11471;left:1492;position:absolute;" o:spid="_x0000_s1036" filled="f" stroked="f" o:spt="75" type="#_x0000_t75">
                  <v:fill/>
                  <v:imagedata o:title="" r:id="rId9"/>
                  <w10:wrap type="none" anchorx="text" anchory="text"/>
                </v:shape>
                <v:shape id="テキスト 8" style="height:340;width:795;top:11367;left:1711;position:absolute;" o:spid="_x0000_s1037" filled="f" stroked="f" strokeweight="0.75pt" o:spt="202" type="#_x0000_t202">
                  <v:fill/>
                  <v:stroke linestyle="single"/>
                  <v:textbox style="layout-flow:horizontal;">
                    <w:txbxContent>
                      <w:p>
                        <w:pPr>
                          <w:pStyle w:val="0"/>
                          <w:snapToGrid w:val="0"/>
                          <w:rPr>
                            <w:rFonts w:hint="eastAsia"/>
                          </w:rPr>
                        </w:pPr>
                        <w:r>
                          <w:rPr>
                            <w:rFonts w:hint="default"/>
                            <w:sz w:val="16"/>
                          </w:rPr>
                          <w:t>（人）</w:t>
                        </w:r>
                      </w:p>
                    </w:txbxContent>
                  </v:textbox>
                  <v:imagedata o:title=""/>
                  <w10:wrap type="none" anchorx="text" anchory="text"/>
                </v:shape>
                <v:shape id="オブジェクト 0" style="height:554;width:5850;top:14990;left:4696;position:absolute;" o:spid="_x0000_s1038" filled="f" stroked="f" o:spt="202" type="#_x0000_t202">
                  <v:fill/>
                  <v:textbox style="layout-flow:horizontal;" inset="2.0637499999999998mm,0.24694444444444438mm,2.0637499999999998mm,0.24694444444444438mm">
                    <w:txbxContent>
                      <w:p>
                        <w:pPr>
                          <w:pStyle w:val="0"/>
                          <w:spacing w:line="240" w:lineRule="exact"/>
                          <w:rPr>
                            <w:rFonts w:hint="default"/>
                            <w:color w:val="auto"/>
                            <w:sz w:val="16"/>
                          </w:rPr>
                        </w:pPr>
                        <w:r>
                          <w:rPr>
                            <w:rFonts w:hint="eastAsia"/>
                            <w:color w:val="auto"/>
                            <w:sz w:val="16"/>
                          </w:rPr>
                          <w:t>出典：日本循環器学会　循環器疾患診療実態調査</w:t>
                        </w:r>
                        <w:r>
                          <w:rPr>
                            <w:rFonts w:hint="eastAsia" w:ascii="ＭＳ 明朝" w:hAnsi="ＭＳ 明朝" w:eastAsia="ＭＳ 明朝"/>
                            <w:color w:val="auto"/>
                            <w:sz w:val="16"/>
                          </w:rPr>
                          <w:t>（</w:t>
                        </w:r>
                        <w:r>
                          <w:rPr>
                            <w:rFonts w:hint="eastAsia" w:ascii="ＭＳ 明朝" w:hAnsi="ＭＳ 明朝" w:eastAsia="ＭＳ 明朝"/>
                            <w:color w:val="auto"/>
                            <w:sz w:val="16"/>
                          </w:rPr>
                          <w:t>JROAD</w:t>
                        </w:r>
                        <w:r>
                          <w:rPr>
                            <w:rFonts w:hint="eastAsia" w:ascii="ＭＳ 明朝" w:hAnsi="ＭＳ 明朝" w:eastAsia="ＭＳ 明朝"/>
                            <w:color w:val="auto"/>
                            <w:sz w:val="16"/>
                          </w:rPr>
                          <w:t>）</w:t>
                        </w:r>
                      </w:p>
                      <w:p>
                        <w:pPr>
                          <w:pStyle w:val="0"/>
                          <w:spacing w:line="240" w:lineRule="exact"/>
                          <w:ind w:firstLine="480" w:firstLineChars="300"/>
                          <w:rPr>
                            <w:rFonts w:hint="eastAsia"/>
                          </w:rPr>
                        </w:pPr>
                        <w:r>
                          <w:rPr>
                            <w:rFonts w:hint="eastAsia"/>
                            <w:color w:val="auto"/>
                            <w:sz w:val="16"/>
                          </w:rPr>
                          <w:t>ただし、循環器研修・関連施設からのみ集計されたデータである。</w:t>
                        </w:r>
                      </w:p>
                    </w:txbxContent>
                  </v:textbox>
                  <v:imagedata o:title=""/>
                  <w10:wrap type="none" anchorx="text" anchory="text"/>
                </v:shape>
                <w10:wrap type="none" anchorx="text" anchory="text"/>
              </v:group>
            </w:pict>
          </mc:Fallback>
        </mc:AlternateContent>
      </w:r>
    </w:p>
    <w:p>
      <w:pPr>
        <w:pStyle w:val="0"/>
        <w:tabs>
          <w:tab w:val="left" w:leader="none" w:pos="7704"/>
        </w:tabs>
        <w:ind w:left="238" w:hanging="238" w:hangingChars="100"/>
        <w:rPr>
          <w:rFonts w:hint="eastAsia" w:ascii="ＭＳ 明朝" w:hAnsi="ＭＳ 明朝" w:eastAsia="ＭＳ 明朝"/>
          <w:color w:val="000000" w:themeColor="text1"/>
          <w:kern w:val="0"/>
          <w:sz w:val="22"/>
          <w:highlight w:val="none"/>
          <w:u w:val="none" w:color="auto"/>
        </w:rPr>
      </w:pPr>
    </w:p>
    <w:p>
      <w:pPr>
        <w:pStyle w:val="0"/>
        <w:tabs>
          <w:tab w:val="left" w:leader="none" w:pos="7704"/>
        </w:tabs>
        <w:ind w:left="238" w:hanging="238" w:hangingChars="100"/>
        <w:rPr>
          <w:rFonts w:hint="eastAsia" w:ascii="ＭＳ 明朝" w:hAnsi="ＭＳ 明朝" w:eastAsia="ＭＳ 明朝"/>
          <w:color w:val="000000" w:themeColor="text1"/>
          <w:kern w:val="0"/>
          <w:sz w:val="22"/>
          <w:highlight w:val="none"/>
          <w:u w:val="none" w:color="auto"/>
        </w:rPr>
      </w:pPr>
    </w:p>
    <w:p>
      <w:pPr>
        <w:pStyle w:val="0"/>
        <w:tabs>
          <w:tab w:val="left" w:leader="none" w:pos="7704"/>
        </w:tabs>
        <w:ind w:left="227" w:leftChars="10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highlight w:val="none"/>
        </w:rPr>
        <w:br w:type="page"/>
      </w:r>
    </w:p>
    <w:p>
      <w:pPr>
        <w:pStyle w:val="0"/>
        <w:tabs>
          <w:tab w:val="left" w:leader="none" w:pos="7704"/>
        </w:tabs>
        <w:ind w:left="227" w:leftChars="10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人口動態調査では、虚血性心疾患の年齢調整死亡率は、男女ともに減少傾向にありますが、全国よりもやや高い状況です（図表</w:t>
      </w:r>
      <w:r>
        <w:rPr>
          <w:rFonts w:hint="eastAsia" w:ascii="ＭＳ 明朝" w:hAnsi="ＭＳ 明朝" w:eastAsia="ＭＳ 明朝"/>
          <w:color w:val="auto"/>
          <w:sz w:val="22"/>
          <w:highlight w:val="none"/>
          <w:u w:val="none" w:color="auto"/>
        </w:rPr>
        <w:t>6-3-4</w:t>
      </w:r>
      <w:r>
        <w:rPr>
          <w:rFonts w:hint="eastAsia" w:ascii="ＭＳ 明朝" w:hAnsi="ＭＳ 明朝" w:eastAsia="ＭＳ 明朝"/>
          <w:color w:val="auto"/>
          <w:sz w:val="22"/>
          <w:highlight w:val="none"/>
          <w:u w:val="none" w:color="auto"/>
        </w:rPr>
        <w:t>）。</w:t>
      </w:r>
    </w:p>
    <w:p>
      <w:pPr>
        <w:pStyle w:val="0"/>
        <w:tabs>
          <w:tab w:val="left" w:leader="none" w:pos="7704"/>
        </w:tabs>
        <w:ind w:left="227" w:leftChars="10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また、急性心筋梗塞の年齢調整死亡率については、全国平均との差が大きくなっています（図表</w:t>
      </w:r>
      <w:r>
        <w:rPr>
          <w:rFonts w:hint="eastAsia" w:ascii="ＭＳ 明朝" w:hAnsi="ＭＳ 明朝" w:eastAsia="ＭＳ 明朝"/>
          <w:color w:val="auto"/>
          <w:sz w:val="22"/>
          <w:highlight w:val="none"/>
          <w:u w:val="none" w:color="auto"/>
        </w:rPr>
        <w:t>6-3-5</w:t>
      </w:r>
      <w:r>
        <w:rPr>
          <w:rFonts w:hint="eastAsia" w:ascii="ＭＳ 明朝" w:hAnsi="ＭＳ 明朝" w:eastAsia="ＭＳ 明朝"/>
          <w:color w:val="auto"/>
          <w:sz w:val="22"/>
          <w:highlight w:val="none"/>
          <w:u w:val="none" w:color="auto"/>
        </w:rPr>
        <w:t>）。人口動態統計特殊報告</w:t>
      </w:r>
      <w:r>
        <w:rPr>
          <w:rFonts w:hint="eastAsia" w:ascii="ＭＳ 明朝" w:hAnsi="ＭＳ 明朝" w:eastAsia="ＭＳ 明朝"/>
          <w:color w:val="auto"/>
          <w:sz w:val="22"/>
          <w:highlight w:val="none"/>
          <w:u w:val="none" w:color="auto"/>
          <w:vertAlign w:val="superscript"/>
        </w:rPr>
        <w:t>（注２）</w:t>
      </w:r>
      <w:r>
        <w:rPr>
          <w:rFonts w:hint="eastAsia" w:ascii="ＭＳ 明朝" w:hAnsi="ＭＳ 明朝" w:eastAsia="ＭＳ 明朝"/>
          <w:color w:val="auto"/>
          <w:sz w:val="22"/>
          <w:highlight w:val="none"/>
          <w:u w:val="none" w:color="auto"/>
        </w:rPr>
        <w:t>によると、令和２年都道府県別年齢調整死亡率（急性心筋梗塞）は、男性は</w:t>
      </w:r>
      <w:r>
        <w:rPr>
          <w:rFonts w:hint="eastAsia" w:ascii="ＭＳ 明朝" w:hAnsi="ＭＳ 明朝" w:eastAsia="ＭＳ 明朝"/>
          <w:color w:val="auto"/>
          <w:sz w:val="22"/>
          <w:highlight w:val="none"/>
          <w:u w:val="none" w:color="auto"/>
        </w:rPr>
        <w:t>53.3</w:t>
      </w:r>
      <w:r>
        <w:rPr>
          <w:rFonts w:hint="eastAsia" w:ascii="ＭＳ 明朝" w:hAnsi="ＭＳ 明朝" w:eastAsia="ＭＳ 明朝"/>
          <w:color w:val="auto"/>
          <w:sz w:val="22"/>
          <w:highlight w:val="none"/>
          <w:u w:val="none" w:color="auto"/>
        </w:rPr>
        <w:t>で全国５位、女性は</w:t>
      </w:r>
      <w:r>
        <w:rPr>
          <w:rFonts w:hint="eastAsia" w:ascii="ＭＳ 明朝" w:hAnsi="ＭＳ 明朝" w:eastAsia="ＭＳ 明朝"/>
          <w:color w:val="auto"/>
          <w:sz w:val="22"/>
          <w:highlight w:val="none"/>
          <w:u w:val="none" w:color="auto"/>
        </w:rPr>
        <w:t>24.5</w:t>
      </w:r>
      <w:r>
        <w:rPr>
          <w:rFonts w:hint="eastAsia" w:ascii="ＭＳ 明朝" w:hAnsi="ＭＳ 明朝" w:eastAsia="ＭＳ 明朝"/>
          <w:color w:val="auto"/>
          <w:sz w:val="22"/>
          <w:highlight w:val="none"/>
          <w:u w:val="none" w:color="auto"/>
        </w:rPr>
        <w:t>で全国３位となっています。</w:t>
      </w:r>
    </w:p>
    <w:p>
      <w:pPr>
        <w:pStyle w:val="0"/>
        <w:tabs>
          <w:tab w:val="left" w:leader="none" w:pos="7704"/>
        </w:tabs>
        <w:spacing w:line="220" w:lineRule="exact"/>
        <w:ind w:left="2730" w:leftChars="173" w:hanging="2339" w:hangingChars="1409"/>
        <w:rPr>
          <w:rFonts w:hint="eastAsia" w:ascii="ＭＳ 明朝" w:hAnsi="ＭＳ 明朝" w:eastAsia="ＭＳ 明朝"/>
          <w:sz w:val="22"/>
          <w:highlight w:val="none"/>
        </w:rPr>
      </w:pPr>
      <w:r>
        <w:rPr>
          <w:rFonts w:hint="eastAsia" w:ascii="ＭＳ 明朝" w:hAnsi="ＭＳ 明朝" w:eastAsia="ＭＳ 明朝"/>
          <w:color w:val="auto"/>
          <w:sz w:val="16"/>
          <w:highlight w:val="none"/>
          <w:u w:val="none" w:color="auto"/>
        </w:rPr>
        <w:t>（注２</w:t>
      </w:r>
      <w:r>
        <w:rPr>
          <w:rFonts w:hint="eastAsia" w:ascii="ＭＳ 明朝" w:hAnsi="ＭＳ 明朝" w:eastAsia="ＭＳ 明朝"/>
          <w:color w:val="auto"/>
          <w:sz w:val="16"/>
          <w:highlight w:val="none"/>
          <w:u w:val="none" w:color="auto"/>
        </w:rPr>
        <w:t>)</w:t>
      </w:r>
      <w:r>
        <w:rPr>
          <w:rFonts w:hint="eastAsia"/>
          <w:color w:val="auto"/>
          <w:sz w:val="16"/>
          <w:u w:val="none" w:color="auto"/>
        </w:rPr>
        <w:t>人口動態統計特殊報告：人口動態統計のデータをもとに、様々な角度から多面的な分析を行っている加工統計。５年に１回公表される。年齢調整死亡率の全国平均との比較が可能（人口動態統計の年齢調整死亡率とは数値が異なる）。</w:t>
      </w:r>
    </w:p>
    <w:p>
      <w:pPr>
        <w:pStyle w:val="0"/>
        <w:tabs>
          <w:tab w:val="left" w:leader="none" w:pos="7704"/>
        </w:tabs>
        <w:ind w:left="227" w:leftChars="100" w:firstLine="237" w:firstLineChars="100"/>
        <w:rPr>
          <w:rFonts w:hint="eastAsia" w:ascii="ＭＳ 明朝" w:hAnsi="ＭＳ 明朝" w:eastAsia="ＭＳ 明朝"/>
          <w:sz w:val="22"/>
          <w:highlight w:val="none"/>
        </w:rPr>
      </w:pPr>
      <w:r>
        <w:rPr>
          <w:rFonts w:hint="eastAsia"/>
        </w:rPr>
        <mc:AlternateContent>
          <mc:Choice Requires="wps">
            <w:drawing>
              <wp:anchor simplePos="0" relativeHeight="135" behindDoc="0" locked="0" layoutInCell="1" hidden="0" allowOverlap="1">
                <wp:simplePos x="0" y="0"/>
                <wp:positionH relativeFrom="column">
                  <wp:posOffset>76835</wp:posOffset>
                </wp:positionH>
                <wp:positionV relativeFrom="paragraph">
                  <wp:posOffset>99060</wp:posOffset>
                </wp:positionV>
                <wp:extent cx="5673725" cy="266700"/>
                <wp:effectExtent l="0" t="0" r="635" b="635"/>
                <wp:wrapNone/>
                <wp:docPr id="1039" name="オブジェクト 0"/>
                <a:graphic xmlns:a="http://schemas.openxmlformats.org/drawingml/2006/main">
                  <a:graphicData uri="http://schemas.microsoft.com/office/word/2010/wordprocessingShape">
                    <wps:wsp>
                      <wps:cNvPr id="1039" name="オブジェクト 0"/>
                      <wps:cNvSpPr txBox="1"/>
                      <wps:spPr>
                        <a:xfrm>
                          <a:off x="0" y="0"/>
                          <a:ext cx="5673725" cy="2667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6-3-4</w:t>
                            </w:r>
                            <w:r>
                              <w:rPr>
                                <w:rFonts w:hint="eastAsia" w:ascii="ＭＳ ゴシック" w:hAnsi="ＭＳ ゴシック" w:eastAsia="ＭＳ ゴシック"/>
                                <w:sz w:val="22"/>
                              </w:rPr>
                              <w:t>）虚血性心疾患の年齢調整死亡率（人口</w:t>
                            </w:r>
                            <w:r>
                              <w:rPr>
                                <w:rFonts w:hint="eastAsia" w:ascii="ＭＳ ゴシック" w:hAnsi="ＭＳ ゴシック" w:eastAsia="ＭＳ ゴシック"/>
                                <w:sz w:val="22"/>
                              </w:rPr>
                              <w:t>10</w:t>
                            </w:r>
                            <w:r>
                              <w:rPr>
                                <w:rFonts w:hint="eastAsia" w:ascii="ＭＳ ゴシック" w:hAnsi="ＭＳ ゴシック" w:eastAsia="ＭＳ ゴシック"/>
                                <w:sz w:val="22"/>
                              </w:rPr>
                              <w:t>万人対）の推移</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argin-top:7.8pt;mso-position-vertical-relative:text;mso-position-horizontal-relative:text;position:absolute;height:21pt;width:446.75pt;margin-left:6.05pt;z-index:135;" o:spid="_x0000_s1039"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6-3-4</w:t>
                      </w:r>
                      <w:r>
                        <w:rPr>
                          <w:rFonts w:hint="eastAsia" w:ascii="ＭＳ ゴシック" w:hAnsi="ＭＳ ゴシック" w:eastAsia="ＭＳ ゴシック"/>
                          <w:sz w:val="22"/>
                        </w:rPr>
                        <w:t>）虚血性心疾患の年齢調整死亡率（人口</w:t>
                      </w:r>
                      <w:r>
                        <w:rPr>
                          <w:rFonts w:hint="eastAsia" w:ascii="ＭＳ ゴシック" w:hAnsi="ＭＳ ゴシック" w:eastAsia="ＭＳ ゴシック"/>
                          <w:sz w:val="22"/>
                        </w:rPr>
                        <w:t>10</w:t>
                      </w:r>
                      <w:r>
                        <w:rPr>
                          <w:rFonts w:hint="eastAsia" w:ascii="ＭＳ ゴシック" w:hAnsi="ＭＳ ゴシック" w:eastAsia="ＭＳ ゴシック"/>
                          <w:sz w:val="22"/>
                        </w:rPr>
                        <w:t>万人対）の推移</w:t>
                      </w:r>
                    </w:p>
                  </w:txbxContent>
                </v:textbox>
                <v:imagedata o:title=""/>
                <w10:wrap type="none" anchorx="text" anchory="text"/>
              </v:shape>
            </w:pict>
          </mc:Fallback>
        </mc:AlternateContent>
      </w:r>
    </w:p>
    <w:p>
      <w:pPr>
        <w:pStyle w:val="0"/>
        <w:tabs>
          <w:tab w:val="left" w:leader="none" w:pos="7704"/>
        </w:tabs>
        <w:ind w:left="227" w:leftChars="100" w:firstLine="237" w:firstLineChars="100"/>
        <w:rPr>
          <w:rFonts w:hint="eastAsia" w:ascii="ＭＳ 明朝" w:hAnsi="ＭＳ 明朝" w:eastAsia="ＭＳ 明朝"/>
          <w:sz w:val="22"/>
          <w:highlight w:val="none"/>
        </w:rPr>
      </w:pPr>
      <w:r>
        <w:rPr>
          <w:rFonts w:hint="eastAsia"/>
        </w:rPr>
        <w:drawing>
          <wp:anchor simplePos="0" relativeHeight="134" behindDoc="0" locked="0" layoutInCell="1" hidden="0" allowOverlap="1">
            <wp:simplePos x="0" y="0"/>
            <wp:positionH relativeFrom="page">
              <wp:posOffset>1028700</wp:posOffset>
            </wp:positionH>
            <wp:positionV relativeFrom="page">
              <wp:posOffset>2969260</wp:posOffset>
            </wp:positionV>
            <wp:extent cx="5679440" cy="3049905"/>
            <wp:effectExtent l="0" t="0" r="0" b="0"/>
            <wp:wrapNone/>
            <wp:docPr id="1040" name="オブジェクト 0"/>
            <a:graphic xmlns:a="http://schemas.openxmlformats.org/drawingml/2006/main">
              <a:graphicData uri="http://schemas.openxmlformats.org/drawingml/2006/chart">
                <c:chart xmlns:c="http://schemas.openxmlformats.org/drawingml/2006/chart" r:id="rId10"/>
              </a:graphicData>
            </a:graphic>
          </wp:anchor>
        </w:drawing>
      </w: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0" w:firstLineChars="0"/>
        <w:rPr>
          <w:rFonts w:hint="eastAsia" w:ascii="ＭＳ 明朝" w:hAnsi="ＭＳ 明朝" w:eastAsia="ＭＳ 明朝"/>
          <w:sz w:val="22"/>
          <w:highlight w:val="none"/>
        </w:rPr>
      </w:pPr>
    </w:p>
    <w:p>
      <w:pPr>
        <w:pStyle w:val="0"/>
        <w:tabs>
          <w:tab w:val="left" w:leader="none" w:pos="7704"/>
        </w:tabs>
        <w:ind w:left="227" w:leftChars="100" w:firstLine="0" w:firstLineChars="0"/>
        <w:rPr>
          <w:rFonts w:hint="eastAsia" w:ascii="ＭＳ 明朝" w:hAnsi="ＭＳ 明朝" w:eastAsia="ＭＳ 明朝"/>
          <w:sz w:val="22"/>
          <w:highlight w:val="none"/>
        </w:rPr>
      </w:pPr>
      <w:r>
        <w:rPr>
          <w:rFonts w:hint="eastAsia"/>
        </w:rPr>
        <mc:AlternateContent>
          <mc:Choice Requires="wps">
            <w:drawing>
              <wp:anchor simplePos="0" relativeHeight="18" behindDoc="0" locked="0" layoutInCell="1" hidden="0" allowOverlap="1">
                <wp:simplePos x="0" y="0"/>
                <wp:positionH relativeFrom="column">
                  <wp:posOffset>1913890</wp:posOffset>
                </wp:positionH>
                <wp:positionV relativeFrom="paragraph">
                  <wp:posOffset>3810</wp:posOffset>
                </wp:positionV>
                <wp:extent cx="3890010" cy="210185"/>
                <wp:effectExtent l="0" t="0" r="635" b="635"/>
                <wp:wrapNone/>
                <wp:docPr id="1041" name="オブジェクト 0"/>
                <a:graphic xmlns:a="http://schemas.openxmlformats.org/drawingml/2006/main">
                  <a:graphicData uri="http://schemas.microsoft.com/office/word/2010/wordprocessingShape">
                    <wps:wsp>
                      <wps:cNvPr id="1041" name="オブジェクト 0"/>
                      <wps:cNvSpPr txBox="1"/>
                      <wps:spPr>
                        <a:xfrm>
                          <a:off x="0" y="0"/>
                          <a:ext cx="3890010" cy="21018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明朝" w:hAnsi="ＭＳ 明朝" w:eastAsia="ＭＳ 明朝"/>
                                <w:sz w:val="16"/>
                              </w:rPr>
                              <w:t>出典：人口動態調査</w:t>
                            </w:r>
                            <w:r>
                              <w:rPr>
                                <w:rFonts w:hint="eastAsia" w:asciiTheme="minorEastAsia" w:hAnsiTheme="minorEastAsia"/>
                                <w:color w:val="auto"/>
                                <w:sz w:val="16"/>
                              </w:rPr>
                              <w:t>（年齢調整死亡率の基準人口は平成</w:t>
                            </w:r>
                            <w:r>
                              <w:rPr>
                                <w:rFonts w:hint="eastAsia" w:asciiTheme="minorEastAsia" w:hAnsiTheme="minorEastAsia"/>
                                <w:color w:val="auto"/>
                                <w:sz w:val="16"/>
                              </w:rPr>
                              <w:t>27</w:t>
                            </w:r>
                            <w:r>
                              <w:rPr>
                                <w:rFonts w:hint="eastAsia" w:asciiTheme="minorEastAsia" w:hAnsiTheme="minorEastAsia"/>
                                <w:color w:val="auto"/>
                                <w:sz w:val="16"/>
                              </w:rPr>
                              <w:t>年モデル人口）</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argin-top:0.3pt;mso-position-vertical-relative:text;mso-position-horizontal-relative:text;position:absolute;height:16.55pt;width:306.3pt;margin-left:150.69pt;z-index:18;" o:spid="_x0000_s1041"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16"/>
                        </w:rPr>
                        <w:t>出典：人口動態調査</w:t>
                      </w:r>
                      <w:r>
                        <w:rPr>
                          <w:rFonts w:hint="eastAsia" w:asciiTheme="minorEastAsia" w:hAnsiTheme="minorEastAsia"/>
                          <w:color w:val="auto"/>
                          <w:sz w:val="16"/>
                        </w:rPr>
                        <w:t>（年齢調整死亡率の基準人口は平成</w:t>
                      </w:r>
                      <w:r>
                        <w:rPr>
                          <w:rFonts w:hint="eastAsia" w:asciiTheme="minorEastAsia" w:hAnsiTheme="minorEastAsia"/>
                          <w:color w:val="auto"/>
                          <w:sz w:val="16"/>
                        </w:rPr>
                        <w:t>27</w:t>
                      </w:r>
                      <w:r>
                        <w:rPr>
                          <w:rFonts w:hint="eastAsia" w:asciiTheme="minorEastAsia" w:hAnsiTheme="minorEastAsia"/>
                          <w:color w:val="auto"/>
                          <w:sz w:val="16"/>
                        </w:rPr>
                        <w:t>年モデル人口）</w:t>
                      </w:r>
                    </w:p>
                  </w:txbxContent>
                </v:textbox>
                <v:imagedata o:title=""/>
                <w10:wrap type="none" anchorx="text" anchory="text"/>
              </v:shape>
            </w:pict>
          </mc:Fallback>
        </mc:AlternateContent>
      </w:r>
    </w:p>
    <w:p>
      <w:pPr>
        <w:pStyle w:val="0"/>
        <w:tabs>
          <w:tab w:val="left" w:leader="none" w:pos="7704"/>
        </w:tabs>
        <w:ind w:left="227" w:leftChars="100" w:firstLine="0" w:firstLineChars="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r>
        <w:rPr>
          <w:rFonts w:hint="eastAsia"/>
        </w:rPr>
        <mc:AlternateContent>
          <mc:Choice Requires="wps">
            <w:drawing>
              <wp:anchor simplePos="0" relativeHeight="133" behindDoc="0" locked="0" layoutInCell="1" hidden="0" allowOverlap="1">
                <wp:simplePos x="0" y="0"/>
                <wp:positionH relativeFrom="column">
                  <wp:posOffset>173990</wp:posOffset>
                </wp:positionH>
                <wp:positionV relativeFrom="paragraph">
                  <wp:posOffset>47625</wp:posOffset>
                </wp:positionV>
                <wp:extent cx="5443855" cy="266700"/>
                <wp:effectExtent l="0" t="0" r="635" b="635"/>
                <wp:wrapNone/>
                <wp:docPr id="1042" name="オブジェクト 0"/>
                <a:graphic xmlns:a="http://schemas.openxmlformats.org/drawingml/2006/main">
                  <a:graphicData uri="http://schemas.microsoft.com/office/word/2010/wordprocessingShape">
                    <wps:wsp>
                      <wps:cNvPr id="1042" name="オブジェクト 0"/>
                      <wps:cNvSpPr txBox="1"/>
                      <wps:spPr>
                        <a:xfrm>
                          <a:off x="0" y="0"/>
                          <a:ext cx="5443855" cy="2667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6-3-5</w:t>
                            </w:r>
                            <w:r>
                              <w:rPr>
                                <w:rFonts w:hint="eastAsia" w:ascii="ＭＳ ゴシック" w:hAnsi="ＭＳ ゴシック" w:eastAsia="ＭＳ ゴシック"/>
                                <w:sz w:val="22"/>
                              </w:rPr>
                              <w:t>）急性心筋梗塞年齢調整死亡率（人口</w:t>
                            </w:r>
                            <w:r>
                              <w:rPr>
                                <w:rFonts w:hint="eastAsia" w:ascii="ＭＳ ゴシック" w:hAnsi="ＭＳ ゴシック" w:eastAsia="ＭＳ ゴシック"/>
                                <w:sz w:val="22"/>
                              </w:rPr>
                              <w:t>10</w:t>
                            </w:r>
                            <w:r>
                              <w:rPr>
                                <w:rFonts w:hint="eastAsia" w:ascii="ＭＳ ゴシック" w:hAnsi="ＭＳ ゴシック" w:eastAsia="ＭＳ ゴシック"/>
                                <w:sz w:val="22"/>
                              </w:rPr>
                              <w:t>万人対）の推移</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argin-top:3.75pt;mso-position-vertical-relative:text;mso-position-horizontal-relative:text;position:absolute;height:21pt;width:428.65pt;margin-left:13.7pt;z-index:133;" o:spid="_x0000_s1042"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6-3-5</w:t>
                      </w:r>
                      <w:r>
                        <w:rPr>
                          <w:rFonts w:hint="eastAsia" w:ascii="ＭＳ ゴシック" w:hAnsi="ＭＳ ゴシック" w:eastAsia="ＭＳ ゴシック"/>
                          <w:sz w:val="22"/>
                        </w:rPr>
                        <w:t>）急性心筋梗塞年齢調整死亡率（人口</w:t>
                      </w:r>
                      <w:r>
                        <w:rPr>
                          <w:rFonts w:hint="eastAsia" w:ascii="ＭＳ ゴシック" w:hAnsi="ＭＳ ゴシック" w:eastAsia="ＭＳ ゴシック"/>
                          <w:sz w:val="22"/>
                        </w:rPr>
                        <w:t>10</w:t>
                      </w:r>
                      <w:r>
                        <w:rPr>
                          <w:rFonts w:hint="eastAsia" w:ascii="ＭＳ ゴシック" w:hAnsi="ＭＳ ゴシック" w:eastAsia="ＭＳ ゴシック"/>
                          <w:sz w:val="22"/>
                        </w:rPr>
                        <w:t>万人対）の推移</w:t>
                      </w:r>
                    </w:p>
                  </w:txbxContent>
                </v:textbox>
                <v:imagedata o:title=""/>
                <w10:wrap type="none" anchorx="text" anchory="text"/>
              </v:shape>
            </w:pict>
          </mc:Fallback>
        </mc:AlternateContent>
      </w:r>
      <w:r>
        <w:rPr>
          <w:rFonts w:hint="eastAsia"/>
        </w:rPr>
        <w:drawing>
          <wp:anchor simplePos="0" relativeHeight="132" behindDoc="0" locked="0" layoutInCell="1" hidden="0" allowOverlap="1">
            <wp:simplePos x="0" y="0"/>
            <wp:positionH relativeFrom="page">
              <wp:posOffset>1122680</wp:posOffset>
            </wp:positionH>
            <wp:positionV relativeFrom="page">
              <wp:posOffset>6625590</wp:posOffset>
            </wp:positionV>
            <wp:extent cx="5815330" cy="2952115"/>
            <wp:effectExtent l="0" t="0" r="0" b="0"/>
            <wp:wrapNone/>
            <wp:docPr id="1043" name="オブジェクト 0"/>
            <a:graphic xmlns:a="http://schemas.openxmlformats.org/drawingml/2006/main">
              <a:graphicData uri="http://schemas.openxmlformats.org/drawingml/2006/chart">
                <c:chart xmlns:c="http://schemas.openxmlformats.org/drawingml/2006/chart" r:id="rId11"/>
              </a:graphicData>
            </a:graphic>
          </wp:anchor>
        </w:drawing>
      </w: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r>
        <w:rPr>
          <w:rFonts w:hint="eastAsia"/>
        </w:rPr>
        <mc:AlternateContent>
          <mc:Choice Requires="wps">
            <w:drawing>
              <wp:anchor simplePos="0" relativeHeight="19" behindDoc="0" locked="0" layoutInCell="1" hidden="0" allowOverlap="1">
                <wp:simplePos x="0" y="0"/>
                <wp:positionH relativeFrom="column">
                  <wp:posOffset>1913890</wp:posOffset>
                </wp:positionH>
                <wp:positionV relativeFrom="paragraph">
                  <wp:posOffset>48895</wp:posOffset>
                </wp:positionV>
                <wp:extent cx="3890010" cy="210185"/>
                <wp:effectExtent l="0" t="0" r="635" b="635"/>
                <wp:wrapNone/>
                <wp:docPr id="1044" name="オブジェクト 0"/>
                <a:graphic xmlns:a="http://schemas.openxmlformats.org/drawingml/2006/main">
                  <a:graphicData uri="http://schemas.microsoft.com/office/word/2010/wordprocessingShape">
                    <wps:wsp>
                      <wps:cNvPr id="1044" name="オブジェクト 0"/>
                      <wps:cNvSpPr txBox="1"/>
                      <wps:spPr>
                        <a:xfrm>
                          <a:off x="0" y="0"/>
                          <a:ext cx="3890010" cy="21018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明朝" w:hAnsi="ＭＳ 明朝" w:eastAsia="ＭＳ 明朝"/>
                                <w:sz w:val="16"/>
                              </w:rPr>
                              <w:t>出典：人口動態調査</w:t>
                            </w:r>
                            <w:r>
                              <w:rPr>
                                <w:rFonts w:hint="eastAsia" w:asciiTheme="minorEastAsia" w:hAnsiTheme="minorEastAsia"/>
                                <w:color w:val="auto"/>
                                <w:sz w:val="16"/>
                              </w:rPr>
                              <w:t>（年齢調整死亡率の基準人口は平成</w:t>
                            </w:r>
                            <w:r>
                              <w:rPr>
                                <w:rFonts w:hint="eastAsia" w:asciiTheme="minorEastAsia" w:hAnsiTheme="minorEastAsia"/>
                                <w:color w:val="auto"/>
                                <w:sz w:val="16"/>
                              </w:rPr>
                              <w:t>27</w:t>
                            </w:r>
                            <w:r>
                              <w:rPr>
                                <w:rFonts w:hint="eastAsia" w:asciiTheme="minorEastAsia" w:hAnsiTheme="minorEastAsia"/>
                                <w:color w:val="auto"/>
                                <w:sz w:val="16"/>
                              </w:rPr>
                              <w:t>年モデル人口）</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argin-top:3.85pt;mso-position-vertical-relative:text;mso-position-horizontal-relative:text;position:absolute;height:16.55pt;width:306.3pt;margin-left:150.69pt;z-index:19;" o:spid="_x0000_s1044"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16"/>
                        </w:rPr>
                        <w:t>出典：人口動態調査</w:t>
                      </w:r>
                      <w:r>
                        <w:rPr>
                          <w:rFonts w:hint="eastAsia" w:asciiTheme="minorEastAsia" w:hAnsiTheme="minorEastAsia"/>
                          <w:color w:val="auto"/>
                          <w:sz w:val="16"/>
                        </w:rPr>
                        <w:t>（年齢調整死亡率の基準人口は平成</w:t>
                      </w:r>
                      <w:r>
                        <w:rPr>
                          <w:rFonts w:hint="eastAsia" w:asciiTheme="minorEastAsia" w:hAnsiTheme="minorEastAsia"/>
                          <w:color w:val="auto"/>
                          <w:sz w:val="16"/>
                        </w:rPr>
                        <w:t>27</w:t>
                      </w:r>
                      <w:r>
                        <w:rPr>
                          <w:rFonts w:hint="eastAsia" w:asciiTheme="minorEastAsia" w:hAnsiTheme="minorEastAsia"/>
                          <w:color w:val="auto"/>
                          <w:sz w:val="16"/>
                        </w:rPr>
                        <w:t>年モデル人口）</w:t>
                      </w:r>
                    </w:p>
                  </w:txbxContent>
                </v:textbox>
                <v:imagedata o:title=""/>
                <w10:wrap type="none" anchorx="text" anchory="text"/>
              </v:shape>
            </w:pict>
          </mc:Fallback>
        </mc:AlternateContent>
      </w:r>
    </w:p>
    <w:p>
      <w:pPr>
        <w:pStyle w:val="0"/>
        <w:ind w:left="227" w:leftChars="100" w:firstLine="225" w:firstLineChars="95"/>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一方、循環器疾患診療実態調査（ＪＲＯＡＤ）による急性心筋梗塞の入院中死亡率は、本県は高齢化率や地理的な条件があるため全国平均に比べて高いですが、人口動態調査ほどの差はありません。（図表</w:t>
      </w:r>
      <w:r>
        <w:rPr>
          <w:rFonts w:hint="eastAsia" w:ascii="ＭＳ 明朝" w:hAnsi="ＭＳ 明朝" w:eastAsia="ＭＳ 明朝"/>
          <w:color w:val="auto"/>
          <w:sz w:val="22"/>
          <w:highlight w:val="none"/>
          <w:u w:val="none" w:color="auto"/>
        </w:rPr>
        <w:t>6-3-6</w:t>
      </w:r>
      <w:r>
        <w:rPr>
          <w:rFonts w:hint="eastAsia" w:ascii="ＭＳ 明朝" w:hAnsi="ＭＳ 明朝" w:eastAsia="ＭＳ 明朝"/>
          <w:color w:val="auto"/>
          <w:sz w:val="22"/>
          <w:highlight w:val="none"/>
          <w:u w:val="none" w:color="auto"/>
        </w:rPr>
        <w:t>）。</w:t>
      </w:r>
    </w:p>
    <w:p>
      <w:pPr>
        <w:pStyle w:val="0"/>
        <w:ind w:left="227" w:leftChars="100" w:firstLine="225" w:firstLineChars="95"/>
        <w:rPr>
          <w:rFonts w:hint="eastAsia" w:ascii="ＭＳ 明朝" w:hAnsi="ＭＳ 明朝" w:eastAsia="ＭＳ 明朝"/>
          <w:sz w:val="22"/>
          <w:highlight w:val="none"/>
        </w:rPr>
      </w:pPr>
    </w:p>
    <w:p>
      <w:pPr>
        <w:pStyle w:val="0"/>
        <w:ind w:leftChars="0" w:firstLineChars="0"/>
        <w:jc w:val="center"/>
        <w:rPr>
          <w:rFonts w:hint="eastAsia" w:ascii="ＭＳ 明朝" w:hAnsi="ＭＳ 明朝" w:eastAsia="ＭＳ 明朝"/>
          <w:color w:val="FF0000"/>
          <w:sz w:val="22"/>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6-3-6</w:t>
      </w:r>
      <w:r>
        <w:rPr>
          <w:rFonts w:hint="eastAsia" w:ascii="ＭＳ ゴシック" w:hAnsi="ＭＳ ゴシック" w:eastAsia="ＭＳ ゴシック"/>
          <w:color w:val="auto"/>
          <w:sz w:val="22"/>
          <w:highlight w:val="none"/>
          <w:u w:val="none" w:color="auto"/>
        </w:rPr>
        <w:t>）急性心筋梗塞の入院患者数及び死亡数</w:t>
      </w:r>
    </w:p>
    <w:tbl>
      <w:tblPr>
        <w:tblStyle w:val="11"/>
        <w:tblW w:w="89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098"/>
        <w:gridCol w:w="1963"/>
        <w:gridCol w:w="1963"/>
        <w:gridCol w:w="1963"/>
        <w:gridCol w:w="1966"/>
      </w:tblGrid>
      <w:tr>
        <w:trPr>
          <w:trHeight w:val="700" w:hRule="atLeast"/>
        </w:trPr>
        <w:tc>
          <w:tcPr>
            <w:tcW w:w="109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top"/>
          </w:tcPr>
          <w:p>
            <w:pPr>
              <w:pStyle w:val="0"/>
              <w:spacing w:line="240" w:lineRule="exact"/>
              <w:jc w:val="center"/>
              <w:rPr>
                <w:rFonts w:hint="eastAsia" w:ascii="ＭＳ 明朝" w:hAnsi="ＭＳ 明朝" w:eastAsia="ＭＳ 明朝"/>
                <w:sz w:val="20"/>
                <w:highlight w:val="none"/>
              </w:rPr>
            </w:pP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調査施設</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急性心筋梗塞</w:t>
            </w:r>
          </w:p>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患者数①</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急性心筋梗塞</w:t>
            </w:r>
          </w:p>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入院中死亡数②</w:t>
            </w:r>
          </w:p>
        </w:tc>
        <w:tc>
          <w:tcPr>
            <w:tcW w:w="19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急性心筋梗塞</w:t>
            </w:r>
          </w:p>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死亡率（②</w:t>
            </w:r>
            <w:r>
              <w:rPr>
                <w:rFonts w:hint="eastAsia" w:ascii="ＭＳ 明朝" w:hAnsi="ＭＳ 明朝" w:eastAsia="ＭＳ 明朝"/>
                <w:sz w:val="20"/>
                <w:highlight w:val="none"/>
              </w:rPr>
              <w:t>/</w:t>
            </w:r>
            <w:r>
              <w:rPr>
                <w:rFonts w:hint="eastAsia" w:ascii="ＭＳ 明朝" w:hAnsi="ＭＳ 明朝" w:eastAsia="ＭＳ 明朝"/>
                <w:sz w:val="20"/>
                <w:highlight w:val="none"/>
              </w:rPr>
              <w:t>①）</w:t>
            </w:r>
          </w:p>
        </w:tc>
      </w:tr>
      <w:tr>
        <w:trPr>
          <w:trHeight w:val="865" w:hRule="atLeast"/>
        </w:trPr>
        <w:tc>
          <w:tcPr>
            <w:tcW w:w="109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研修：</w:t>
            </w:r>
            <w:r>
              <w:rPr>
                <w:rFonts w:hint="eastAsia" w:ascii="ＭＳ 明朝" w:hAnsi="ＭＳ 明朝" w:eastAsia="ＭＳ 明朝"/>
                <w:sz w:val="20"/>
                <w:highlight w:val="none"/>
              </w:rPr>
              <w:t>5</w:t>
            </w:r>
            <w:r>
              <w:rPr>
                <w:rFonts w:hint="eastAsia" w:ascii="ＭＳ 明朝" w:hAnsi="ＭＳ 明朝" w:eastAsia="ＭＳ 明朝"/>
                <w:sz w:val="20"/>
                <w:highlight w:val="none"/>
              </w:rPr>
              <w:t>施設</w:t>
            </w:r>
          </w:p>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関連：</w:t>
            </w:r>
            <w:r>
              <w:rPr>
                <w:rFonts w:hint="eastAsia" w:ascii="ＭＳ 明朝" w:hAnsi="ＭＳ 明朝" w:eastAsia="ＭＳ 明朝"/>
                <w:sz w:val="20"/>
                <w:highlight w:val="none"/>
              </w:rPr>
              <w:t>7</w:t>
            </w:r>
            <w:r>
              <w:rPr>
                <w:rFonts w:hint="eastAsia" w:ascii="ＭＳ 明朝" w:hAnsi="ＭＳ 明朝" w:eastAsia="ＭＳ 明朝"/>
                <w:sz w:val="20"/>
                <w:highlight w:val="none"/>
              </w:rPr>
              <w:t>施設</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540</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53</w:t>
            </w:r>
          </w:p>
        </w:tc>
        <w:tc>
          <w:tcPr>
            <w:tcW w:w="19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9.8%</w:t>
            </w:r>
          </w:p>
        </w:tc>
      </w:tr>
      <w:tr>
        <w:trPr>
          <w:trHeight w:val="865" w:hRule="atLeast"/>
        </w:trPr>
        <w:tc>
          <w:tcPr>
            <w:tcW w:w="109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研修：</w:t>
            </w:r>
            <w:r>
              <w:rPr>
                <w:rFonts w:hint="eastAsia" w:ascii="ＭＳ 明朝" w:hAnsi="ＭＳ 明朝" w:eastAsia="ＭＳ 明朝"/>
                <w:sz w:val="20"/>
                <w:highlight w:val="none"/>
              </w:rPr>
              <w:t>1,010</w:t>
            </w:r>
            <w:r>
              <w:rPr>
                <w:rFonts w:hint="eastAsia" w:ascii="ＭＳ 明朝" w:hAnsi="ＭＳ 明朝" w:eastAsia="ＭＳ 明朝"/>
                <w:sz w:val="20"/>
                <w:highlight w:val="none"/>
              </w:rPr>
              <w:t>施設　</w:t>
            </w:r>
          </w:p>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関連：</w:t>
            </w:r>
            <w:r>
              <w:rPr>
                <w:rFonts w:hint="eastAsia" w:ascii="ＭＳ 明朝" w:hAnsi="ＭＳ 明朝" w:eastAsia="ＭＳ 明朝"/>
                <w:sz w:val="20"/>
                <w:highlight w:val="none"/>
              </w:rPr>
              <w:t>344</w:t>
            </w:r>
            <w:r>
              <w:rPr>
                <w:rFonts w:hint="eastAsia" w:ascii="ＭＳ 明朝" w:hAnsi="ＭＳ 明朝" w:eastAsia="ＭＳ 明朝"/>
                <w:sz w:val="20"/>
                <w:highlight w:val="none"/>
              </w:rPr>
              <w:t>施設</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76,569</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6,522</w:t>
            </w:r>
          </w:p>
        </w:tc>
        <w:tc>
          <w:tcPr>
            <w:tcW w:w="19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8.5%</w:t>
            </w:r>
          </w:p>
        </w:tc>
      </w:tr>
    </w:tbl>
    <w:p>
      <w:pPr>
        <w:pStyle w:val="0"/>
        <w:jc w:val="left"/>
        <w:rPr>
          <w:rFonts w:hint="eastAsia" w:ascii="ＭＳ 明朝" w:hAnsi="ＭＳ 明朝" w:eastAsia="ＭＳ 明朝"/>
          <w:sz w:val="22"/>
          <w:highlight w:val="none"/>
        </w:rPr>
      </w:pPr>
      <w:r>
        <w:rPr>
          <w:rFonts w:hint="eastAsia" w:ascii="ＭＳ 明朝" w:hAnsi="ＭＳ 明朝" w:eastAsia="ＭＳ 明朝"/>
          <w:sz w:val="16"/>
          <w:highlight w:val="none"/>
        </w:rPr>
        <w:t>　　　　出典：</w:t>
      </w:r>
      <w:r>
        <w:rPr>
          <w:rFonts w:hint="eastAsia" w:ascii="ＭＳ 明朝" w:hAnsi="ＭＳ 明朝" w:eastAsia="ＭＳ 明朝"/>
          <w:kern w:val="0"/>
          <w:sz w:val="16"/>
          <w:highlight w:val="none"/>
        </w:rPr>
        <w:t>令和４年度循環器疾患診療実態調査事務局（</w:t>
      </w:r>
      <w:r>
        <w:rPr>
          <w:rFonts w:hint="eastAsia" w:ascii="ＭＳ 明朝" w:hAnsi="ＭＳ 明朝" w:eastAsia="ＭＳ 明朝"/>
          <w:kern w:val="0"/>
          <w:sz w:val="16"/>
          <w:highlight w:val="none"/>
        </w:rPr>
        <w:t>JROAD</w:t>
      </w:r>
      <w:r>
        <w:rPr>
          <w:rFonts w:hint="eastAsia" w:ascii="ＭＳ 明朝" w:hAnsi="ＭＳ 明朝" w:eastAsia="ＭＳ 明朝"/>
          <w:kern w:val="0"/>
          <w:sz w:val="16"/>
          <w:highlight w:val="none"/>
        </w:rPr>
        <w:t>）調査（令和３年</w:t>
      </w:r>
      <w:r>
        <w:rPr>
          <w:rFonts w:hint="eastAsia" w:ascii="ＭＳ 明朝" w:hAnsi="ＭＳ 明朝" w:eastAsia="ＭＳ 明朝"/>
          <w:kern w:val="0"/>
          <w:sz w:val="16"/>
          <w:highlight w:val="none"/>
        </w:rPr>
        <w:t>1</w:t>
      </w:r>
      <w:r>
        <w:rPr>
          <w:rFonts w:hint="eastAsia" w:ascii="ＭＳ 明朝" w:hAnsi="ＭＳ 明朝" w:eastAsia="ＭＳ 明朝"/>
          <w:kern w:val="0"/>
          <w:sz w:val="16"/>
          <w:highlight w:val="none"/>
        </w:rPr>
        <w:t>月</w:t>
      </w:r>
      <w:r>
        <w:rPr>
          <w:rFonts w:hint="eastAsia" w:ascii="ＭＳ 明朝" w:hAnsi="ＭＳ 明朝" w:eastAsia="ＭＳ 明朝"/>
          <w:kern w:val="0"/>
          <w:sz w:val="16"/>
          <w:highlight w:val="none"/>
        </w:rPr>
        <w:t>1</w:t>
      </w:r>
      <w:r>
        <w:rPr>
          <w:rFonts w:hint="eastAsia" w:ascii="ＭＳ 明朝" w:hAnsi="ＭＳ 明朝" w:eastAsia="ＭＳ 明朝"/>
          <w:kern w:val="0"/>
          <w:sz w:val="16"/>
          <w:highlight w:val="none"/>
        </w:rPr>
        <w:t>日～</w:t>
      </w:r>
      <w:r>
        <w:rPr>
          <w:rFonts w:hint="eastAsia" w:ascii="ＭＳ 明朝" w:hAnsi="ＭＳ 明朝" w:eastAsia="ＭＳ 明朝"/>
          <w:kern w:val="0"/>
          <w:sz w:val="16"/>
          <w:highlight w:val="none"/>
        </w:rPr>
        <w:t>12</w:t>
      </w:r>
      <w:r>
        <w:rPr>
          <w:rFonts w:hint="eastAsia" w:ascii="ＭＳ 明朝" w:hAnsi="ＭＳ 明朝" w:eastAsia="ＭＳ 明朝"/>
          <w:kern w:val="0"/>
          <w:sz w:val="16"/>
          <w:highlight w:val="none"/>
        </w:rPr>
        <w:t>月</w:t>
      </w:r>
      <w:r>
        <w:rPr>
          <w:rFonts w:hint="eastAsia" w:ascii="ＭＳ 明朝" w:hAnsi="ＭＳ 明朝" w:eastAsia="ＭＳ 明朝"/>
          <w:kern w:val="0"/>
          <w:sz w:val="16"/>
          <w:highlight w:val="none"/>
        </w:rPr>
        <w:t>31</w:t>
      </w:r>
      <w:r>
        <w:rPr>
          <w:rFonts w:hint="eastAsia" w:ascii="ＭＳ 明朝" w:hAnsi="ＭＳ 明朝" w:eastAsia="ＭＳ 明朝"/>
          <w:kern w:val="0"/>
          <w:sz w:val="16"/>
          <w:highlight w:val="none"/>
        </w:rPr>
        <w:t>日まで）</w:t>
      </w:r>
    </w:p>
    <w:p>
      <w:pPr>
        <w:pStyle w:val="0"/>
        <w:ind w:leftChars="0" w:firstLineChars="0"/>
        <w:jc w:val="left"/>
        <w:rPr>
          <w:rFonts w:hint="eastAsia" w:ascii="ＭＳ 明朝" w:hAnsi="ＭＳ 明朝" w:eastAsia="ＭＳ 明朝"/>
          <w:b w:val="1"/>
          <w:sz w:val="22"/>
          <w:highlight w:val="none"/>
        </w:rPr>
      </w:pPr>
    </w:p>
    <w:p>
      <w:pPr>
        <w:pStyle w:val="0"/>
        <w:rPr>
          <w:rFonts w:hint="eastAsia" w:ascii="ＭＳ 明朝" w:hAnsi="ＭＳ 明朝" w:eastAsia="ＭＳ 明朝"/>
          <w:b w:val="1"/>
          <w:color w:val="auto"/>
          <w:sz w:val="22"/>
          <w:highlight w:val="none"/>
          <w:u w:val="none" w:color="auto"/>
        </w:rPr>
      </w:pPr>
      <w:r>
        <w:rPr>
          <w:rFonts w:hint="eastAsia" w:ascii="ＭＳ 明朝" w:hAnsi="ＭＳ 明朝" w:eastAsia="ＭＳ 明朝"/>
          <w:b w:val="1"/>
          <w:color w:val="auto"/>
          <w:sz w:val="22"/>
          <w:highlight w:val="none"/>
          <w:u w:val="none" w:color="auto"/>
        </w:rPr>
        <w:t>（２）心血管疾患患者の受療動向</w:t>
      </w: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color w:val="auto"/>
          <w:sz w:val="22"/>
          <w:highlight w:val="none"/>
          <w:u w:val="none" w:color="auto"/>
        </w:rPr>
        <w:t>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万人あたりの虚血性心疾患の受療率は、全国に比べ高い傾向にありましたが、外来受療率については減少傾向にあり、令和２年の患者調査では、全国平均に近づいています（図表</w:t>
      </w:r>
      <w:r>
        <w:rPr>
          <w:rFonts w:hint="eastAsia" w:ascii="ＭＳ 明朝" w:hAnsi="ＭＳ 明朝" w:eastAsia="ＭＳ 明朝"/>
          <w:color w:val="auto"/>
          <w:sz w:val="22"/>
          <w:highlight w:val="none"/>
          <w:u w:val="none" w:color="auto"/>
        </w:rPr>
        <w:t>6-3-7</w:t>
      </w:r>
      <w:r>
        <w:rPr>
          <w:rFonts w:hint="eastAsia" w:ascii="ＭＳ 明朝" w:hAnsi="ＭＳ 明朝" w:eastAsia="ＭＳ 明朝"/>
          <w:color w:val="auto"/>
          <w:sz w:val="22"/>
          <w:highlight w:val="none"/>
          <w:u w:val="none" w:color="auto"/>
        </w:rPr>
        <w:t>）。</w:t>
      </w: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r>
        <w:rPr>
          <w:rFonts w:hint="eastAsia"/>
        </w:rPr>
        <mc:AlternateContent>
          <mc:Choice Requires="wpg">
            <w:drawing>
              <wp:anchor simplePos="0" relativeHeight="20" behindDoc="0" locked="0" layoutInCell="1" hidden="0" allowOverlap="1">
                <wp:simplePos x="0" y="0"/>
                <wp:positionH relativeFrom="column">
                  <wp:posOffset>122555</wp:posOffset>
                </wp:positionH>
                <wp:positionV relativeFrom="paragraph">
                  <wp:posOffset>121920</wp:posOffset>
                </wp:positionV>
                <wp:extent cx="5661025" cy="2852420"/>
                <wp:effectExtent l="0" t="0" r="635" b="635"/>
                <wp:wrapNone/>
                <wp:docPr id="1045" name="オブジェクト 0"/>
                <a:graphic xmlns:a="http://schemas.openxmlformats.org/drawingml/2006/main">
                  <a:graphicData uri="http://schemas.microsoft.com/office/word/2010/wordprocessingGroup">
                    <wpg:wgp>
                      <wpg:cNvGrpSpPr/>
                      <wpg:grpSpPr>
                        <a:xfrm>
                          <a:off x="0" y="0"/>
                          <a:ext cx="5661025" cy="2852420"/>
                          <a:chOff x="1611" y="7930"/>
                          <a:chExt cx="8915" cy="4492"/>
                        </a:xfrm>
                      </wpg:grpSpPr>
                      <wps:wsp>
                        <wps:cNvPr id="1046" name="オブジェクト 0"/>
                        <wps:cNvSpPr txBox="1"/>
                        <wps:spPr>
                          <a:xfrm>
                            <a:off x="1721" y="7930"/>
                            <a:ext cx="8805" cy="42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6-3-7</w:t>
                              </w:r>
                              <w:r>
                                <w:rPr>
                                  <w:rFonts w:hint="eastAsia" w:ascii="ＭＳ ゴシック" w:hAnsi="ＭＳ ゴシック" w:eastAsia="ＭＳ ゴシック"/>
                                  <w:color w:val="auto"/>
                                  <w:sz w:val="22"/>
                                  <w:u w:val="none" w:color="auto"/>
                                </w:rPr>
                                <w:t>）虚血性心疾患の受療率（人口</w:t>
                              </w:r>
                              <w:r>
                                <w:rPr>
                                  <w:rFonts w:hint="eastAsia" w:ascii="ＭＳ ゴシック" w:hAnsi="ＭＳ ゴシック" w:eastAsia="ＭＳ ゴシック"/>
                                  <w:color w:val="auto"/>
                                  <w:sz w:val="22"/>
                                  <w:u w:val="none" w:color="auto"/>
                                </w:rPr>
                                <w:t>10</w:t>
                              </w:r>
                              <w:r>
                                <w:rPr>
                                  <w:rFonts w:hint="eastAsia" w:ascii="ＭＳ ゴシック" w:hAnsi="ＭＳ ゴシック" w:eastAsia="ＭＳ ゴシック"/>
                                  <w:color w:val="auto"/>
                                  <w:sz w:val="22"/>
                                  <w:u w:val="none" w:color="auto"/>
                                </w:rPr>
                                <w:t>万人対）の推移</w:t>
                              </w:r>
                            </w:p>
                          </w:txbxContent>
                        </wps:txbx>
                        <wps:bodyPr vertOverflow="overflow" horzOverflow="overflow" wrap="square" lIns="74295" tIns="8890" rIns="74295" bIns="8890"/>
                      </wps:wsp>
                      <wpg:graphicFrame>
                        <wpg:cNvPr id="1047" name="オブジェクト 0"/>
                        <wpg:cNvFrPr/>
                        <wpg:xfrm>
                          <a:off x="6080" y="8586"/>
                          <a:ext cx="4397" cy="3510"/>
                        </wpg:xfrm>
                        <a:graphic>
                          <a:graphicData uri="http://schemas.openxmlformats.org/drawingml/2006/chart">
                            <c:chart xmlns:c="http://schemas.openxmlformats.org/drawingml/2006/chart" r:id="rId12"/>
                          </a:graphicData>
                        </a:graphic>
                      </wpg:graphicFrame>
                      <wpg:graphicFrame>
                        <wpg:cNvPr id="1048" name="オブジェクト 0"/>
                        <wpg:cNvFrPr/>
                        <wpg:xfrm>
                          <a:off x="1611" y="8625"/>
                          <a:ext cx="4353" cy="3471"/>
                        </wpg:xfrm>
                        <a:graphic>
                          <a:graphicData uri="http://schemas.openxmlformats.org/drawingml/2006/chart">
                            <c:chart xmlns:c="http://schemas.openxmlformats.org/drawingml/2006/chart" r:id="rId13"/>
                          </a:graphicData>
                        </a:graphic>
                      </wpg:graphicFrame>
                      <wps:wsp>
                        <wps:cNvPr id="1049" name="オブジェクト 0"/>
                        <wps:cNvSpPr txBox="1">
                          <a:spLocks noChangeArrowheads="1"/>
                        </wps:cNvSpPr>
                        <wps:spPr>
                          <a:xfrm>
                            <a:off x="8415" y="12025"/>
                            <a:ext cx="1947" cy="397"/>
                          </a:xfrm>
                          <a:prstGeom prst="rect">
                            <a:avLst/>
                          </a:prstGeom>
                          <a:noFill/>
                          <a:ln>
                            <a:miter/>
                          </a:ln>
                        </wps:spPr>
                        <wps:txbx>
                          <w:txbxContent>
                            <w:p>
                              <w:pPr>
                                <w:pStyle w:val="0"/>
                                <w:jc w:val="right"/>
                                <w:rPr>
                                  <w:rFonts w:hint="default"/>
                                  <w:color w:val="auto"/>
                                  <w:sz w:val="16"/>
                                </w:rPr>
                              </w:pPr>
                              <w:r>
                                <w:rPr>
                                  <w:rFonts w:hint="eastAsia"/>
                                  <w:color w:val="auto"/>
                                  <w:sz w:val="16"/>
                                </w:rPr>
                                <w:t>出典：患者調査</w:t>
                              </w:r>
                            </w:p>
                          </w:txbxContent>
                        </wps:txbx>
                        <wps:bodyPr vertOverflow="overflow" horzOverflow="overflow" wrap="square" lIns="74295" tIns="8890" rIns="74295" bIns="8890" upright="1"/>
                      </wps:wsp>
                    </wpg:wgp>
                  </a:graphicData>
                </a:graphic>
              </wp:anchor>
            </w:drawing>
          </mc:Choice>
          <mc:Fallback>
            <w:pict>
              <v:group id="オブジェクト 0" style="margin-top:9.6pt;mso-position-vertical-relative:text;mso-position-horizontal-relative:text;position:absolute;height:224.6pt;width:445.75pt;margin-left:9.65pt;z-index:20;" coordsize="8915,4492" coordorigin="1611,7930" o:spid="_x0000_s1045" o:allowincell="t" o:allowoverlap="t">
                <v:shapetype id="_x0000_t202" coordsize="21600,21600" o:spt="202" path="m,l,21600r21600,l21600,xe">
                  <v:stroke joinstyle="miter"/>
                  <v:path gradientshapeok="t" o:connecttype="rect"/>
                </v:shapetype>
                <v:shape id="オブジェクト 0" style="height:420;width:8805;top:7930;left:1721;position:absolute;" o:spid="_x0000_s1046"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6-3-7</w:t>
                        </w:r>
                        <w:r>
                          <w:rPr>
                            <w:rFonts w:hint="eastAsia" w:ascii="ＭＳ ゴシック" w:hAnsi="ＭＳ ゴシック" w:eastAsia="ＭＳ ゴシック"/>
                            <w:color w:val="auto"/>
                            <w:sz w:val="22"/>
                            <w:u w:val="none" w:color="auto"/>
                          </w:rPr>
                          <w:t>）虚血性心疾患の受療率（人口</w:t>
                        </w:r>
                        <w:r>
                          <w:rPr>
                            <w:rFonts w:hint="eastAsia" w:ascii="ＭＳ ゴシック" w:hAnsi="ＭＳ ゴシック" w:eastAsia="ＭＳ ゴシック"/>
                            <w:color w:val="auto"/>
                            <w:sz w:val="22"/>
                            <w:u w:val="none" w:color="auto"/>
                          </w:rPr>
                          <w:t>10</w:t>
                        </w:r>
                        <w:r>
                          <w:rPr>
                            <w:rFonts w:hint="eastAsia" w:ascii="ＭＳ ゴシック" w:hAnsi="ＭＳ ゴシック" w:eastAsia="ＭＳ ゴシック"/>
                            <w:color w:val="auto"/>
                            <w:sz w:val="22"/>
                            <w:u w:val="none" w:color="auto"/>
                          </w:rPr>
                          <w:t>万人対）の推移</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510;width:4397;top:8586;left:6080;position:absolute;" o:spid="_x0000_s1047" filled="f" stroked="f" o:spt="75" type="#_x0000_t75">
                  <v:fill/>
                  <v:imagedata o:title="" r:id="rId14"/>
                  <w10:wrap type="none" anchorx="text" anchory="text"/>
                </v:shape>
                <v:shape id="オブジェクト 0" style="height:3471;width:4353;top:8625;left:1611;position:absolute;" o:spid="_x0000_s1048" filled="f" stroked="f" o:spt="75" type="#_x0000_t75">
                  <v:fill/>
                  <v:imagedata o:title="" r:id="rId15"/>
                  <w10:wrap type="none" anchorx="text" anchory="text"/>
                </v:shape>
                <v:shape id="オブジェクト 0" style="height:397;width:1947;top:12025;left:8415;position:absolute;" o:spid="_x0000_s1049" filled="f" stroked="f" o:spt="202" type="#_x0000_t202">
                  <v:fill/>
                  <v:textbox style="layout-flow:horizontal;" inset="2.0637499999999998mm,0.24694444444444438mm,2.0637499999999998mm,0.24694444444444438mm">
                    <w:txbxContent>
                      <w:p>
                        <w:pPr>
                          <w:pStyle w:val="0"/>
                          <w:jc w:val="right"/>
                          <w:rPr>
                            <w:rFonts w:hint="default"/>
                            <w:color w:val="auto"/>
                            <w:sz w:val="16"/>
                          </w:rPr>
                        </w:pPr>
                        <w:r>
                          <w:rPr>
                            <w:rFonts w:hint="eastAsia"/>
                            <w:color w:val="auto"/>
                            <w:sz w:val="16"/>
                          </w:rPr>
                          <w:t>出典：患者調査</w:t>
                        </w:r>
                      </w:p>
                    </w:txbxContent>
                  </v:textbox>
                  <v:imagedata o:title=""/>
                  <w10:wrap type="none" anchorx="text" anchory="text"/>
                </v:shape>
                <w10:wrap type="none" anchorx="text" anchory="text"/>
              </v:group>
            </w:pict>
          </mc:Fallback>
        </mc:AlternateContent>
      </w: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心疾患による受療動向については、外来では平成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年と比較し大きな変動はありませんが、入院については、安芸保健医療圏と高幡保健医療圏において自圏内で受療する割合が前回調査時よりも大幅に増加しています（図表</w:t>
      </w:r>
      <w:r>
        <w:rPr>
          <w:rFonts w:hint="eastAsia" w:ascii="ＭＳ 明朝" w:hAnsi="ＭＳ 明朝" w:eastAsia="ＭＳ 明朝"/>
          <w:color w:val="auto"/>
          <w:sz w:val="22"/>
          <w:highlight w:val="none"/>
          <w:u w:val="none" w:color="auto"/>
        </w:rPr>
        <w:t>6-3-8</w:t>
      </w:r>
      <w:r>
        <w:rPr>
          <w:rFonts w:hint="eastAsia" w:ascii="ＭＳ 明朝" w:hAnsi="ＭＳ 明朝" w:eastAsia="ＭＳ 明朝"/>
          <w:color w:val="auto"/>
          <w:sz w:val="22"/>
          <w:highlight w:val="none"/>
          <w:u w:val="none" w:color="auto"/>
        </w:rPr>
        <w:t>）。</w:t>
      </w:r>
    </w:p>
    <w:p>
      <w:pPr>
        <w:pStyle w:val="0"/>
        <w:ind w:left="227" w:leftChars="100" w:rightChars="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なお、心筋梗塞の急性症例については、外来、入院いずれも、急性心筋梗塞治療センターが設置されていない高幡保健医療圏の患者はすべて中央保健医療圏を受療しています。</w:t>
      </w: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highlight w:val="none"/>
        </w:rPr>
        <w:br w:type="page"/>
      </w:r>
    </w:p>
    <w:p>
      <w:pPr>
        <w:pStyle w:val="0"/>
        <w:ind w:left="453" w:hanging="453" w:hangingChars="200"/>
        <w:jc w:val="center"/>
        <w:rPr>
          <w:rFonts w:hint="eastAsia" w:ascii="ＭＳ 明朝" w:hAnsi="ＭＳ 明朝" w:eastAsia="ＭＳ 明朝"/>
          <w:sz w:val="20"/>
          <w:highlight w:val="none"/>
        </w:rPr>
      </w:pPr>
      <w:r>
        <w:rPr>
          <w:rFonts w:hint="eastAsia"/>
        </w:rPr>
        <mc:AlternateContent>
          <mc:Choice Requires="wpg">
            <w:drawing>
              <wp:anchor simplePos="0" relativeHeight="25" behindDoc="0" locked="0" layoutInCell="1" hidden="0" allowOverlap="1">
                <wp:simplePos x="0" y="0"/>
                <wp:positionH relativeFrom="column">
                  <wp:posOffset>-45720</wp:posOffset>
                </wp:positionH>
                <wp:positionV relativeFrom="paragraph">
                  <wp:posOffset>13335</wp:posOffset>
                </wp:positionV>
                <wp:extent cx="5784850" cy="2498090"/>
                <wp:effectExtent l="0" t="0" r="0" b="0"/>
                <wp:wrapNone/>
                <wp:docPr id="1050" name="オブジェクト 0"/>
                <a:graphic xmlns:a="http://schemas.openxmlformats.org/drawingml/2006/main">
                  <a:graphicData uri="http://schemas.microsoft.com/office/word/2010/wordprocessingGroup">
                    <wpg:wgp>
                      <wpg:cNvGrpSpPr/>
                      <wpg:grpSpPr>
                        <a:xfrm>
                          <a:off x="0" y="0"/>
                          <a:ext cx="5784850" cy="2498090"/>
                          <a:chOff x="1346" y="1439"/>
                          <a:chExt cx="9110" cy="3934"/>
                        </a:xfrm>
                      </wpg:grpSpPr>
                      <wps:wsp>
                        <wps:cNvPr id="1051" name="オブジェクト 0"/>
                        <wps:cNvSpPr txBox="1"/>
                        <wps:spPr>
                          <a:xfrm>
                            <a:off x="1835" y="1439"/>
                            <a:ext cx="8375" cy="828"/>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60" w:lineRule="exact"/>
                                <w:jc w:val="center"/>
                                <w:rPr>
                                  <w:rFonts w:hint="eastAsia" w:ascii="ＭＳ ゴシック" w:hAnsi="ＭＳ ゴシック" w:eastAsia="ＭＳ ゴシック"/>
                                  <w:color w:val="auto"/>
                                  <w:sz w:val="21"/>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6-3-8</w:t>
                              </w:r>
                              <w:r>
                                <w:rPr>
                                  <w:rFonts w:hint="eastAsia" w:ascii="ＭＳ ゴシック" w:hAnsi="ＭＳ ゴシック" w:eastAsia="ＭＳ ゴシック"/>
                                  <w:color w:val="auto"/>
                                  <w:sz w:val="22"/>
                                  <w:u w:val="none" w:color="auto"/>
                                </w:rPr>
                                <w:t>）令和４年患者動態調査　心疾患患者</w:t>
                              </w:r>
                              <w:r>
                                <w:rPr>
                                  <w:rFonts w:hint="eastAsia" w:ascii="ＭＳ ゴシック" w:hAnsi="ＭＳ ゴシック" w:eastAsia="ＭＳ ゴシック"/>
                                  <w:color w:val="auto"/>
                                  <w:sz w:val="22"/>
                                  <w:u w:val="none" w:color="auto"/>
                                  <w:vertAlign w:val="superscript"/>
                                </w:rPr>
                                <w:t>（注３）</w:t>
                              </w:r>
                              <w:r>
                                <w:rPr>
                                  <w:rFonts w:hint="eastAsia" w:ascii="ＭＳ ゴシック" w:hAnsi="ＭＳ ゴシック" w:eastAsia="ＭＳ ゴシック"/>
                                  <w:color w:val="auto"/>
                                  <w:sz w:val="22"/>
                                  <w:u w:val="none" w:color="auto"/>
                                </w:rPr>
                                <w:t>の受療動向</w:t>
                              </w:r>
                            </w:p>
                            <w:p>
                              <w:pPr>
                                <w:pStyle w:val="0"/>
                                <w:spacing w:line="260" w:lineRule="exact"/>
                                <w:jc w:val="center"/>
                                <w:rPr>
                                  <w:rFonts w:hint="eastAsia" w:ascii="ＭＳ ゴシック" w:hAnsi="ＭＳ ゴシック" w:eastAsia="ＭＳ ゴシック"/>
                                  <w:color w:val="auto"/>
                                  <w:sz w:val="21"/>
                                  <w:u w:val="none" w:color="auto"/>
                                </w:rPr>
                              </w:pPr>
                              <w:r>
                                <w:rPr>
                                  <w:rFonts w:hint="eastAsia" w:ascii="ＭＳ ゴシック" w:hAnsi="ＭＳ ゴシック" w:eastAsia="ＭＳ ゴシック"/>
                                  <w:color w:val="auto"/>
                                  <w:sz w:val="21"/>
                                  <w:u w:val="none" w:color="auto"/>
                                </w:rPr>
                                <w:t>（括弧内は平成</w:t>
                              </w:r>
                              <w:r>
                                <w:rPr>
                                  <w:rFonts w:hint="eastAsia" w:ascii="ＭＳ ゴシック" w:hAnsi="ＭＳ ゴシック" w:eastAsia="ＭＳ ゴシック"/>
                                  <w:color w:val="auto"/>
                                  <w:sz w:val="21"/>
                                  <w:u w:val="none" w:color="auto"/>
                                </w:rPr>
                                <w:t>28</w:t>
                              </w:r>
                              <w:r>
                                <w:rPr>
                                  <w:rFonts w:hint="eastAsia" w:ascii="ＭＳ ゴシック" w:hAnsi="ＭＳ ゴシック" w:eastAsia="ＭＳ ゴシック"/>
                                  <w:color w:val="auto"/>
                                  <w:sz w:val="21"/>
                                  <w:u w:val="none" w:color="auto"/>
                                </w:rPr>
                                <w:t>年調査の数値）</w:t>
                              </w:r>
                            </w:p>
                          </w:txbxContent>
                        </wps:txbx>
                        <wps:bodyPr vertOverflow="overflow" horzOverflow="overflow" wrap="square" lIns="74295" tIns="8890" rIns="74295" bIns="8890"/>
                      </wps:wsp>
                      <wps:wsp>
                        <wps:cNvPr id="1052" name="オブジェクト 0"/>
                        <wps:cNvSpPr txBox="1">
                          <a:spLocks noChangeArrowheads="1"/>
                        </wps:cNvSpPr>
                        <wps:spPr>
                          <a:xfrm>
                            <a:off x="1643" y="2051"/>
                            <a:ext cx="1160" cy="567"/>
                          </a:xfrm>
                          <a:prstGeom prst="rect">
                            <a:avLst/>
                          </a:prstGeom>
                          <a:noFill/>
                          <a:ln>
                            <a:miter/>
                          </a:ln>
                        </wps:spPr>
                        <wps:txbx>
                          <w:txbxContent>
                            <w:p>
                              <w:pPr>
                                <w:pStyle w:val="0"/>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（外来）</w:t>
                              </w:r>
                            </w:p>
                          </w:txbxContent>
                        </wps:txbx>
                        <wps:bodyPr vertOverflow="overflow" horzOverflow="overflow" anchor="t" upright="1"/>
                      </wps:wsp>
                      <wps:wsp>
                        <wps:cNvPr id="1053" name="オブジェクト 0"/>
                        <wps:cNvSpPr txBox="1">
                          <a:spLocks noChangeArrowheads="1"/>
                        </wps:cNvSpPr>
                        <wps:spPr>
                          <a:xfrm>
                            <a:off x="6479" y="2051"/>
                            <a:ext cx="1160" cy="567"/>
                          </a:xfrm>
                          <a:prstGeom prst="rect">
                            <a:avLst/>
                          </a:prstGeom>
                          <a:noFill/>
                          <a:ln>
                            <a:miter/>
                          </a:ln>
                        </wps:spPr>
                        <wps:txbx>
                          <w:txbxContent>
                            <w:p>
                              <w:pPr>
                                <w:pStyle w:val="0"/>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（入院）</w:t>
                              </w:r>
                            </w:p>
                          </w:txbxContent>
                        </wps:txbx>
                        <wps:bodyPr vertOverflow="overflow" horzOverflow="overflow" anchor="t" upright="1"/>
                      </wps:wsp>
                      <pic:pic xmlns:pic="http://schemas.openxmlformats.org/drawingml/2006/picture">
                        <pic:nvPicPr>
                          <pic:cNvPr id="1054" name="オブジェクト 0"/>
                          <pic:cNvPicPr>
                            <a:picLocks noChangeAspect="1"/>
                          </pic:cNvPicPr>
                        </pic:nvPicPr>
                        <pic:blipFill>
                          <a:blip r:embed="rId16"/>
                          <a:stretch>
                            <a:fillRect/>
                          </a:stretch>
                        </pic:blipFill>
                        <pic:spPr>
                          <a:xfrm>
                            <a:off x="1346" y="2142"/>
                            <a:ext cx="4321" cy="3231"/>
                          </a:xfrm>
                          <a:prstGeom prst="rect">
                            <a:avLst/>
                          </a:prstGeom>
                        </pic:spPr>
                      </pic:pic>
                      <pic:pic xmlns:pic="http://schemas.openxmlformats.org/drawingml/2006/picture">
                        <pic:nvPicPr>
                          <pic:cNvPr id="1055" name="オブジェクト 0"/>
                          <pic:cNvPicPr>
                            <a:picLocks noChangeAspect="1"/>
                          </pic:cNvPicPr>
                        </pic:nvPicPr>
                        <pic:blipFill>
                          <a:blip r:embed="rId17"/>
                          <a:stretch>
                            <a:fillRect/>
                          </a:stretch>
                        </pic:blipFill>
                        <pic:spPr>
                          <a:xfrm>
                            <a:off x="6137" y="2136"/>
                            <a:ext cx="4319" cy="3231"/>
                          </a:xfrm>
                          <a:prstGeom prst="rect">
                            <a:avLst/>
                          </a:prstGeom>
                        </pic:spPr>
                      </pic:pic>
                    </wpg:wgp>
                  </a:graphicData>
                </a:graphic>
              </wp:anchor>
            </w:drawing>
          </mc:Choice>
          <mc:Fallback>
            <w:pict>
              <v:group id="オブジェクト 0" style="margin-top:1.05pt;mso-position-vertical-relative:text;mso-position-horizontal-relative:text;position:absolute;height:196.7pt;width:455.5pt;margin-left:-3.6pt;z-index:25;" coordsize="9110,3934" coordorigin="1346,1439" o:spid="_x0000_s1050" o:allowincell="t" o:allowoverlap="t">
                <v:shapetype id="_x0000_t202" coordsize="21600,21600" o:spt="202" path="m,l,21600r21600,l21600,xe">
                  <v:stroke joinstyle="miter"/>
                  <v:path gradientshapeok="t" o:connecttype="rect"/>
                </v:shapetype>
                <v:shape id="オブジェクト 0" style="height:828;width:8375;top:1439;left:1835;position:absolute;" o:spid="_x0000_s1051" filled="f" stroked="f" strokeweight="0.5pt" o:spt="202" type="#_x0000_t202">
                  <v:fill/>
                  <v:stroke linestyle="single"/>
                  <v:textbox style="layout-flow:horizontal;" inset="2.0637499999999998mm,0.24694444444444438mm,2.0637499999999998mm,0.24694444444444438mm">
                    <w:txbxContent>
                      <w:p>
                        <w:pPr>
                          <w:pStyle w:val="0"/>
                          <w:spacing w:line="260" w:lineRule="exact"/>
                          <w:jc w:val="center"/>
                          <w:rPr>
                            <w:rFonts w:hint="eastAsia" w:ascii="ＭＳ ゴシック" w:hAnsi="ＭＳ ゴシック" w:eastAsia="ＭＳ ゴシック"/>
                            <w:color w:val="auto"/>
                            <w:sz w:val="21"/>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6-3-8</w:t>
                        </w:r>
                        <w:r>
                          <w:rPr>
                            <w:rFonts w:hint="eastAsia" w:ascii="ＭＳ ゴシック" w:hAnsi="ＭＳ ゴシック" w:eastAsia="ＭＳ ゴシック"/>
                            <w:color w:val="auto"/>
                            <w:sz w:val="22"/>
                            <w:u w:val="none" w:color="auto"/>
                          </w:rPr>
                          <w:t>）令和４年患者動態調査　心疾患患者</w:t>
                        </w:r>
                        <w:r>
                          <w:rPr>
                            <w:rFonts w:hint="eastAsia" w:ascii="ＭＳ ゴシック" w:hAnsi="ＭＳ ゴシック" w:eastAsia="ＭＳ ゴシック"/>
                            <w:color w:val="auto"/>
                            <w:sz w:val="22"/>
                            <w:u w:val="none" w:color="auto"/>
                            <w:vertAlign w:val="superscript"/>
                          </w:rPr>
                          <w:t>（注３）</w:t>
                        </w:r>
                        <w:r>
                          <w:rPr>
                            <w:rFonts w:hint="eastAsia" w:ascii="ＭＳ ゴシック" w:hAnsi="ＭＳ ゴシック" w:eastAsia="ＭＳ ゴシック"/>
                            <w:color w:val="auto"/>
                            <w:sz w:val="22"/>
                            <w:u w:val="none" w:color="auto"/>
                          </w:rPr>
                          <w:t>の受療動向</w:t>
                        </w:r>
                      </w:p>
                      <w:p>
                        <w:pPr>
                          <w:pStyle w:val="0"/>
                          <w:spacing w:line="260" w:lineRule="exact"/>
                          <w:jc w:val="center"/>
                          <w:rPr>
                            <w:rFonts w:hint="eastAsia" w:ascii="ＭＳ ゴシック" w:hAnsi="ＭＳ ゴシック" w:eastAsia="ＭＳ ゴシック"/>
                            <w:color w:val="auto"/>
                            <w:sz w:val="21"/>
                            <w:u w:val="none" w:color="auto"/>
                          </w:rPr>
                        </w:pPr>
                        <w:r>
                          <w:rPr>
                            <w:rFonts w:hint="eastAsia" w:ascii="ＭＳ ゴシック" w:hAnsi="ＭＳ ゴシック" w:eastAsia="ＭＳ ゴシック"/>
                            <w:color w:val="auto"/>
                            <w:sz w:val="21"/>
                            <w:u w:val="none" w:color="auto"/>
                          </w:rPr>
                          <w:t>（括弧内は平成</w:t>
                        </w:r>
                        <w:r>
                          <w:rPr>
                            <w:rFonts w:hint="eastAsia" w:ascii="ＭＳ ゴシック" w:hAnsi="ＭＳ ゴシック" w:eastAsia="ＭＳ ゴシック"/>
                            <w:color w:val="auto"/>
                            <w:sz w:val="21"/>
                            <w:u w:val="none" w:color="auto"/>
                          </w:rPr>
                          <w:t>28</w:t>
                        </w:r>
                        <w:r>
                          <w:rPr>
                            <w:rFonts w:hint="eastAsia" w:ascii="ＭＳ ゴシック" w:hAnsi="ＭＳ ゴシック" w:eastAsia="ＭＳ ゴシック"/>
                            <w:color w:val="auto"/>
                            <w:sz w:val="21"/>
                            <w:u w:val="none" w:color="auto"/>
                          </w:rPr>
                          <w:t>年調査の数値）</w:t>
                        </w:r>
                      </w:p>
                    </w:txbxContent>
                  </v:textbox>
                  <v:imagedata o:title=""/>
                  <w10:wrap type="none" anchorx="text" anchory="text"/>
                </v:shape>
                <v:shape id="オブジェクト 0" style="height:567;width:1160;top:2051;left:1643;position:absolute;" o:spid="_x0000_s1052" filled="f" stroked="f" o:spt="202" type="#_x0000_t202">
                  <v:fill/>
                  <v:textbox style="layout-flow:horizontal;">
                    <w:txbxContent>
                      <w:p>
                        <w:pPr>
                          <w:pStyle w:val="0"/>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（外来）</w:t>
                        </w:r>
                      </w:p>
                    </w:txbxContent>
                  </v:textbox>
                  <v:imagedata o:title=""/>
                  <w10:wrap type="none" anchorx="text" anchory="text"/>
                </v:shape>
                <v:shape id="オブジェクト 0" style="height:567;width:1160;top:2051;left:6479;position:absolute;" o:spid="_x0000_s1053" filled="f" stroked="f" o:spt="202" type="#_x0000_t202">
                  <v:fill/>
                  <v:textbox style="layout-flow:horizontal;">
                    <w:txbxContent>
                      <w:p>
                        <w:pPr>
                          <w:pStyle w:val="0"/>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（入院）</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231;width:4321;top:2142;left:1346;position:absolute;" o:spid="_x0000_s1054" filled="f" stroked="f" o:spt="75" type="#_x0000_t75">
                  <v:fill/>
                  <v:imagedata o:title="" r:id="rId16"/>
                  <w10:wrap type="none" anchorx="text" anchory="text"/>
                </v:shape>
                <v:shape id="オブジェクト 0" style="height:3231;width:4319;top:2136;left:6137;position:absolute;" o:spid="_x0000_s1055" filled="f" stroked="f" o:spt="75" type="#_x0000_t75">
                  <v:fill/>
                  <v:imagedata o:title="" r:id="rId17"/>
                  <w10:wrap type="none" anchorx="text" anchory="text"/>
                </v:shape>
                <w10:wrap type="none" anchorx="text" anchory="text"/>
              </v:group>
            </w:pict>
          </mc:Fallback>
        </mc:AlternateContent>
      </w:r>
    </w:p>
    <w:p>
      <w:pPr>
        <w:pStyle w:val="0"/>
        <w:tabs>
          <w:tab w:val="left" w:leader="none" w:pos="567"/>
        </w:tabs>
        <w:ind w:left="0" w:leftChars="0" w:right="132" w:rightChars="58" w:firstLine="227" w:firstLineChars="100"/>
        <w:rPr>
          <w:rFonts w:hint="eastAsia" w:ascii="ＭＳ 明朝" w:hAnsi="ＭＳ 明朝" w:eastAsia="ＭＳ 明朝"/>
          <w:highlight w:val="none"/>
        </w:rPr>
      </w:pPr>
    </w:p>
    <w:p>
      <w:pPr>
        <w:pStyle w:val="0"/>
        <w:tabs>
          <w:tab w:val="left" w:leader="none" w:pos="567"/>
        </w:tabs>
        <w:ind w:right="132" w:rightChars="58" w:firstLine="227" w:firstLineChars="100"/>
        <w:rPr>
          <w:rFonts w:hint="eastAsia" w:ascii="ＭＳ 明朝" w:hAnsi="ＭＳ 明朝" w:eastAsia="ＭＳ 明朝"/>
          <w:highlight w:val="none"/>
        </w:rPr>
      </w:pPr>
      <w:r>
        <w:rPr>
          <w:rFonts w:hint="eastAsia"/>
        </w:rPr>
        <mc:AlternateContent>
          <mc:Choice Requires="wps">
            <w:drawing>
              <wp:anchor simplePos="0" relativeHeight="78" behindDoc="0" locked="0" layoutInCell="1" hidden="0" allowOverlap="1">
                <wp:simplePos x="0" y="0"/>
                <wp:positionH relativeFrom="column">
                  <wp:posOffset>143510</wp:posOffset>
                </wp:positionH>
                <wp:positionV relativeFrom="paragraph">
                  <wp:posOffset>77470</wp:posOffset>
                </wp:positionV>
                <wp:extent cx="736600" cy="360045"/>
                <wp:effectExtent l="0" t="0" r="635" b="635"/>
                <wp:wrapNone/>
                <wp:docPr id="1056" name="オブジェクト 0"/>
                <a:graphic xmlns:a="http://schemas.openxmlformats.org/drawingml/2006/main">
                  <a:graphicData uri="http://schemas.microsoft.com/office/word/2010/wordprocessingShape">
                    <wps:wsp>
                      <wps:cNvPr id="1056" name="オブジェクト 0"/>
                      <wps:cNvSpPr txBox="1">
                        <a:spLocks noChangeArrowheads="1"/>
                      </wps:cNvSpPr>
                      <wps:spPr>
                        <a:xfrm>
                          <a:off x="0" y="0"/>
                          <a:ext cx="736600" cy="360045"/>
                        </a:xfrm>
                        <a:prstGeom prst="rect">
                          <a:avLst/>
                        </a:prstGeom>
                        <a:noFill/>
                        <a:ln>
                          <a:miter/>
                        </a:ln>
                      </wps:spPr>
                      <wps:txbx>
                        <w:txbxContent>
                          <w:p>
                            <w:pPr>
                              <w:pStyle w:val="0"/>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（外来）</w:t>
                            </w:r>
                          </w:p>
                        </w:txbxContent>
                      </wps:txbx>
                      <wps:bodyPr vertOverflow="overflow" horzOverflow="overflow" anchor="t"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6.1pt;mso-position-vertical-relative:text;mso-position-horizontal-relative:text;v-text-anchor:top;position:absolute;height:28.35pt;width:58pt;margin-left:11.3pt;z-index:78;" o:spid="_x0000_s1056" o:allowincell="t" o:allowoverlap="t" filled="f" stroked="f" o:spt="202" type="#_x0000_t202">
                <v:fill/>
                <v:textbox style="layout-flow:horizontal;">
                  <w:txbxContent>
                    <w:p>
                      <w:pPr>
                        <w:pStyle w:val="0"/>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（外来）</w:t>
                      </w:r>
                    </w:p>
                  </w:txbxContent>
                </v:textbox>
                <v:imagedata o:title=""/>
                <w10:wrap type="none" anchorx="text" anchory="text"/>
              </v:shape>
            </w:pict>
          </mc:Fallback>
        </mc:AlternateContent>
      </w:r>
      <w:r>
        <w:rPr>
          <w:rFonts w:hint="eastAsia"/>
        </w:rPr>
        <mc:AlternateContent>
          <mc:Choice Requires="wps">
            <w:drawing>
              <wp:anchor simplePos="0" relativeHeight="79" behindDoc="0" locked="0" layoutInCell="1" hidden="0" allowOverlap="1">
                <wp:simplePos x="0" y="0"/>
                <wp:positionH relativeFrom="column">
                  <wp:posOffset>3241040</wp:posOffset>
                </wp:positionH>
                <wp:positionV relativeFrom="paragraph">
                  <wp:posOffset>58420</wp:posOffset>
                </wp:positionV>
                <wp:extent cx="737870" cy="343535"/>
                <wp:effectExtent l="0" t="0" r="635" b="635"/>
                <wp:wrapNone/>
                <wp:docPr id="1057" name="オブジェクト 0"/>
                <a:graphic xmlns:a="http://schemas.openxmlformats.org/drawingml/2006/main">
                  <a:graphicData uri="http://schemas.microsoft.com/office/word/2010/wordprocessingShape">
                    <wps:wsp>
                      <wps:cNvPr id="1057" name="オブジェクト 0"/>
                      <wps:cNvSpPr txBox="1">
                        <a:spLocks noChangeArrowheads="1"/>
                      </wps:cNvSpPr>
                      <wps:spPr>
                        <a:xfrm>
                          <a:off x="0" y="0"/>
                          <a:ext cx="737870" cy="343535"/>
                        </a:xfrm>
                        <a:prstGeom prst="rect">
                          <a:avLst/>
                        </a:prstGeom>
                        <a:noFill/>
                        <a:ln>
                          <a:miter/>
                        </a:ln>
                      </wps:spPr>
                      <wps:txbx>
                        <w:txbxContent>
                          <w:p>
                            <w:pPr>
                              <w:pStyle w:val="0"/>
                              <w:tabs>
                                <w:tab w:val="left" w:leader="none" w:pos="142"/>
                              </w:tabs>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（入院）</w:t>
                            </w:r>
                          </w:p>
                        </w:txbxContent>
                      </wps:txbx>
                      <wps:bodyPr vertOverflow="overflow" horzOverflow="overflow" anchor="t"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4.59pt;mso-position-vertical-relative:text;mso-position-horizontal-relative:text;v-text-anchor:top;position:absolute;height:27.05pt;width:58.1pt;margin-left:255.2pt;z-index:79;" o:spid="_x0000_s1057" o:allowincell="t" o:allowoverlap="t" filled="f" stroked="f" o:spt="202" type="#_x0000_t202">
                <v:fill/>
                <v:textbox style="layout-flow:horizontal;">
                  <w:txbxContent>
                    <w:p>
                      <w:pPr>
                        <w:pStyle w:val="0"/>
                        <w:tabs>
                          <w:tab w:val="left" w:leader="none" w:pos="142"/>
                        </w:tabs>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（入院）</w:t>
                      </w:r>
                    </w:p>
                  </w:txbxContent>
                </v:textbox>
                <v:imagedata o:title=""/>
                <w10:wrap type="none" anchorx="text" anchory="text"/>
              </v:shape>
            </w:pict>
          </mc:Fallback>
        </mc:AlternateContent>
      </w:r>
    </w:p>
    <w:p>
      <w:pPr>
        <w:pStyle w:val="0"/>
        <w:tabs>
          <w:tab w:val="left" w:leader="none" w:pos="567"/>
        </w:tabs>
        <w:ind w:left="907" w:right="132" w:rightChars="58" w:hanging="907" w:hangingChars="400"/>
        <w:rPr>
          <w:rFonts w:hint="eastAsia" w:ascii="ＭＳ 明朝" w:hAnsi="ＭＳ 明朝" w:eastAsia="ＭＳ 明朝"/>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spacing w:line="0" w:lineRule="atLeast"/>
        <w:rPr>
          <w:rFonts w:hint="eastAsia" w:ascii="ＭＳ 明朝" w:hAnsi="ＭＳ 明朝" w:eastAsia="ＭＳ 明朝"/>
          <w:highlight w:val="none"/>
        </w:rPr>
      </w:pPr>
    </w:p>
    <w:p>
      <w:pPr>
        <w:pStyle w:val="0"/>
        <w:rPr>
          <w:rFonts w:hint="eastAsia" w:ascii="ＭＳ 明朝" w:hAnsi="ＭＳ 明朝" w:eastAsia="ＭＳ 明朝"/>
          <w:highlight w:val="none"/>
        </w:rPr>
      </w:pPr>
      <w:r>
        <w:rPr>
          <w:rFonts w:hint="eastAsia" w:ascii="ＭＳ 明朝" w:hAnsi="ＭＳ 明朝" w:eastAsia="ＭＳ 明朝"/>
          <w:color w:val="auto"/>
          <w:sz w:val="16"/>
          <w:highlight w:val="none"/>
        </w:rPr>
        <w:t>外来患者の住所別患者数（人）　　　　　　　　　　　　　　入院患者の住所別患者数（人）</w:t>
      </w:r>
    </w:p>
    <w:tbl>
      <w:tblPr>
        <w:tblStyle w:val="44"/>
        <w:tblpPr w:leftFromText="0" w:rightFromText="0" w:topFromText="0" w:bottomFromText="0" w:vertAnchor="text" w:horzAnchor="margin" w:tblpX="-45" w:tblpY="25"/>
        <w:tblOverlap w:val="never"/>
        <w:tblW w:w="9317" w:type="dxa"/>
        <w:tblLayout w:type="fixed"/>
        <w:tblLook w:firstRow="1" w:lastRow="0" w:firstColumn="1" w:lastColumn="0" w:noHBand="0" w:noVBand="1" w:val="04A0"/>
      </w:tblPr>
      <w:tblGrid>
        <w:gridCol w:w="888"/>
        <w:gridCol w:w="888"/>
        <w:gridCol w:w="888"/>
        <w:gridCol w:w="888"/>
        <w:gridCol w:w="887"/>
        <w:gridCol w:w="443"/>
        <w:gridCol w:w="887"/>
        <w:gridCol w:w="887"/>
        <w:gridCol w:w="887"/>
        <w:gridCol w:w="887"/>
        <w:gridCol w:w="887"/>
      </w:tblGrid>
      <w:tr>
        <w:trPr/>
        <w:tc>
          <w:tcPr>
            <w:tcW w:w="888"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県計</w:t>
            </w:r>
          </w:p>
        </w:tc>
        <w:tc>
          <w:tcPr>
            <w:tcW w:w="888"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幡多</w:t>
            </w:r>
          </w:p>
        </w:tc>
        <w:tc>
          <w:tcPr>
            <w:tcW w:w="888"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高幡</w:t>
            </w:r>
          </w:p>
        </w:tc>
        <w:tc>
          <w:tcPr>
            <w:tcW w:w="888"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中央</w:t>
            </w:r>
          </w:p>
        </w:tc>
        <w:tc>
          <w:tcPr>
            <w:tcW w:w="887"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安芸</w:t>
            </w:r>
          </w:p>
        </w:tc>
        <w:tc>
          <w:tcPr>
            <w:tcW w:w="443" w:type="dxa"/>
            <w:vMerge w:val="restart"/>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　　</w:t>
            </w:r>
          </w:p>
        </w:tc>
        <w:tc>
          <w:tcPr>
            <w:tcW w:w="887"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県計</w:t>
            </w:r>
          </w:p>
        </w:tc>
        <w:tc>
          <w:tcPr>
            <w:tcW w:w="887"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幡多</w:t>
            </w:r>
          </w:p>
        </w:tc>
        <w:tc>
          <w:tcPr>
            <w:tcW w:w="887"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高幡</w:t>
            </w:r>
          </w:p>
        </w:tc>
        <w:tc>
          <w:tcPr>
            <w:tcW w:w="887"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中央</w:t>
            </w:r>
          </w:p>
        </w:tc>
        <w:tc>
          <w:tcPr>
            <w:tcW w:w="887"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安芸</w:t>
            </w:r>
          </w:p>
        </w:tc>
      </w:tr>
      <w:tr>
        <w:trPr/>
        <w:tc>
          <w:tcPr>
            <w:tcW w:w="888"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996</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(1,009)</w:t>
            </w:r>
          </w:p>
        </w:tc>
        <w:tc>
          <w:tcPr>
            <w:tcW w:w="888"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108</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(118)</w:t>
            </w:r>
          </w:p>
        </w:tc>
        <w:tc>
          <w:tcPr>
            <w:tcW w:w="888"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91</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(80)</w:t>
            </w:r>
          </w:p>
        </w:tc>
        <w:tc>
          <w:tcPr>
            <w:tcW w:w="888"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723</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(724)</w:t>
            </w: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70</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(87)</w:t>
            </w:r>
          </w:p>
        </w:tc>
        <w:tc>
          <w:tcPr>
            <w:tcW w:w="443" w:type="dxa"/>
            <w:vMerge w:val="continue"/>
            <w:tcBorders>
              <w:top w:val="none" w:color="auto" w:sz="0" w:space="0"/>
              <w:left w:val="none" w:color="auto" w:sz="0" w:space="0"/>
              <w:bottom w:val="nil"/>
              <w:right w:val="none" w:color="auto" w:sz="0" w:space="0"/>
              <w:tl2br w:val="none" w:color="auto" w:sz="0" w:space="0"/>
              <w:tr2bl w:val="none" w:color="auto" w:sz="0" w:space="0"/>
            </w:tcBorders>
            <w:vAlign w:val="center"/>
          </w:tcPr>
          <w:p>
            <w:pPr>
              <w:pStyle w:val="0"/>
              <w:rPr>
                <w:rFonts w:hint="eastAsia"/>
              </w:rPr>
            </w:pP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721</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(909)</w:t>
            </w: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73</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(110)</w:t>
            </w: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67</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(72)</w:t>
            </w: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513</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(663)</w:t>
            </w: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68</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w:t>
            </w:r>
            <w:r>
              <w:rPr>
                <w:rFonts w:hint="eastAsia" w:ascii="ＭＳ 明朝" w:hAnsi="ＭＳ 明朝" w:eastAsia="ＭＳ 明朝"/>
                <w:color w:val="auto"/>
                <w:sz w:val="16"/>
                <w:highlight w:val="none"/>
                <w:u w:val="none" w:color="auto"/>
              </w:rPr>
              <w:t>64</w:t>
            </w:r>
            <w:r>
              <w:rPr>
                <w:rFonts w:hint="eastAsia" w:ascii="ＭＳ 明朝" w:hAnsi="ＭＳ 明朝" w:eastAsia="ＭＳ 明朝"/>
                <w:color w:val="auto"/>
                <w:sz w:val="16"/>
                <w:highlight w:val="none"/>
                <w:u w:val="none" w:color="auto"/>
              </w:rPr>
              <w:t>）</w:t>
            </w:r>
          </w:p>
        </w:tc>
      </w:tr>
    </w:tbl>
    <w:p>
      <w:pPr>
        <w:pStyle w:val="24"/>
        <w:tabs>
          <w:tab w:val="clear" w:pos="4252"/>
          <w:tab w:val="clear" w:pos="8504"/>
        </w:tabs>
        <w:snapToGrid w:val="1"/>
        <w:jc w:val="right"/>
        <w:rPr>
          <w:rFonts w:hint="eastAsia" w:ascii="ＭＳ 明朝" w:hAnsi="ＭＳ 明朝" w:eastAsia="ＭＳ 明朝"/>
          <w:sz w:val="22"/>
          <w:highlight w:val="none"/>
        </w:rPr>
      </w:pPr>
    </w:p>
    <w:p>
      <w:pPr>
        <w:pStyle w:val="0"/>
        <w:snapToGrid w:val="0"/>
        <w:ind w:leftChars="0" w:hanging="679" w:hangingChars="384"/>
        <w:jc w:val="left"/>
        <w:rPr>
          <w:rFonts w:hint="eastAsia" w:ascii="ＭＳ 明朝" w:hAnsi="ＭＳ 明朝" w:eastAsia="ＭＳ 明朝"/>
          <w:highlight w:val="none"/>
        </w:rPr>
      </w:pPr>
      <w:r>
        <w:rPr>
          <w:rFonts w:hint="eastAsia" w:ascii="ＭＳ 明朝" w:hAnsi="ＭＳ 明朝" w:eastAsia="ＭＳ 明朝"/>
          <w:color w:val="auto"/>
          <w:sz w:val="16"/>
          <w:highlight w:val="none"/>
          <w:u w:val="none" w:color="auto"/>
        </w:rPr>
        <w:t>（注３）心疾患患者：主傷病名が「急性心筋梗塞」「虚血性心疾患（急性心筋梗塞を除く）」「その他の心疾患」となっている患者の総計</w:t>
      </w:r>
    </w:p>
    <w:p>
      <w:pPr>
        <w:pStyle w:val="0"/>
        <w:snapToGrid w:val="0"/>
        <w:ind w:left="0" w:leftChars="0" w:firstLine="0" w:firstLineChars="0"/>
        <w:jc w:val="left"/>
        <w:rPr>
          <w:rFonts w:hint="eastAsia" w:ascii="ＭＳ 明朝" w:hAnsi="ＭＳ 明朝" w:eastAsia="ＭＳ 明朝"/>
          <w:highlight w:val="none"/>
        </w:rPr>
      </w:pPr>
    </w:p>
    <w:p>
      <w:pPr>
        <w:pStyle w:val="0"/>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2"/>
          <w:highlight w:val="none"/>
        </w:rPr>
        <w:t>３　病院前救護活動と救急搬送の状況</w:t>
      </w:r>
    </w:p>
    <w:p>
      <w:pPr>
        <w:pStyle w:val="0"/>
        <w:ind w:left="227" w:leftChars="100" w:firstLine="227"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color w:val="auto"/>
          <w:sz w:val="22"/>
          <w:highlight w:val="none"/>
          <w:u w:val="none" w:color="auto"/>
        </w:rPr>
        <w:t>心肺機能停止傷病者に対して、救急隊が到着するまでに一般市民により適切な応急手当が実施されれば、より高い救命効果が期待されます。令和４年版救急・救助の現況によると、一般市民により応急手当が実施された傷病者の割合は全国的に増加傾向で推移していましたが、令和３年は減少しています。</w:t>
      </w:r>
    </w:p>
    <w:p>
      <w:pPr>
        <w:pStyle w:val="0"/>
        <w:ind w:left="227" w:leftChars="100" w:firstLine="227" w:firstLineChars="100"/>
        <w:rPr>
          <w:rFonts w:hint="eastAsia" w:ascii="ＭＳ 明朝" w:hAnsi="ＭＳ 明朝" w:eastAsia="ＭＳ 明朝"/>
          <w:b w:val="0"/>
          <w:color w:val="auto"/>
          <w:sz w:val="22"/>
          <w:highlight w:val="none"/>
        </w:rPr>
      </w:pPr>
      <w:r>
        <w:rPr>
          <w:rFonts w:hint="eastAsia" w:ascii="ＭＳ 明朝" w:hAnsi="ＭＳ 明朝" w:eastAsia="ＭＳ 明朝"/>
          <w:color w:val="auto"/>
          <w:sz w:val="22"/>
          <w:highlight w:val="none"/>
          <w:u w:val="none" w:color="auto"/>
        </w:rPr>
        <w:t>また、一般市民により心肺機能停止が目撃された心原性の心肺停止症例の１か月後の生存率及び社会復帰率も、令和２年～３年は減少しています</w:t>
      </w:r>
      <w:r>
        <w:rPr>
          <w:rFonts w:hint="eastAsia" w:ascii="ＭＳ 明朝" w:hAnsi="ＭＳ 明朝" w:eastAsia="ＭＳ 明朝"/>
          <w:color w:val="auto"/>
          <w:sz w:val="22"/>
          <w:highlight w:val="none"/>
        </w:rPr>
        <w:t>（図表</w:t>
      </w:r>
      <w:r>
        <w:rPr>
          <w:rFonts w:hint="eastAsia" w:ascii="ＭＳ 明朝" w:hAnsi="ＭＳ 明朝" w:eastAsia="ＭＳ 明朝"/>
          <w:color w:val="auto"/>
          <w:sz w:val="22"/>
          <w:highlight w:val="none"/>
        </w:rPr>
        <w:t>6-3-9</w:t>
      </w:r>
      <w:r>
        <w:rPr>
          <w:rFonts w:hint="eastAsia" w:ascii="ＭＳ 明朝" w:hAnsi="ＭＳ 明朝" w:eastAsia="ＭＳ 明朝"/>
          <w:color w:val="auto"/>
          <w:sz w:val="22"/>
          <w:highlight w:val="none"/>
        </w:rPr>
        <w:t>）。</w:t>
      </w:r>
    </w:p>
    <w:p>
      <w:pPr>
        <w:pStyle w:val="0"/>
        <w:ind w:left="227" w:leftChars="100" w:firstLine="227" w:firstLineChars="100"/>
        <w:rPr>
          <w:rFonts w:hint="eastAsia" w:ascii="ＭＳ 明朝" w:hAnsi="ＭＳ 明朝" w:eastAsia="ＭＳ 明朝"/>
          <w:b w:val="0"/>
          <w:color w:val="auto"/>
          <w:sz w:val="22"/>
          <w:highlight w:val="none"/>
        </w:rPr>
      </w:pPr>
      <w:r>
        <w:rPr>
          <w:rFonts w:hint="eastAsia"/>
          <w:highlight w:val="none"/>
        </w:rPr>
        <mc:AlternateContent>
          <mc:Choice Requires="wps">
            <w:drawing>
              <wp:anchor simplePos="0" relativeHeight="3" behindDoc="0" locked="0" layoutInCell="1" hidden="0" allowOverlap="1">
                <wp:simplePos x="0" y="0"/>
                <wp:positionH relativeFrom="page">
                  <wp:posOffset>1193800</wp:posOffset>
                </wp:positionH>
                <wp:positionV relativeFrom="page">
                  <wp:posOffset>6616065</wp:posOffset>
                </wp:positionV>
                <wp:extent cx="5578475" cy="431800"/>
                <wp:effectExtent l="0" t="0" r="635" b="635"/>
                <wp:wrapNone/>
                <wp:docPr id="1058" name="テキスト ボックス 2"/>
                <a:graphic xmlns:a="http://schemas.openxmlformats.org/drawingml/2006/main">
                  <a:graphicData uri="http://schemas.microsoft.com/office/word/2010/wordprocessingShape">
                    <wps:wsp>
                      <wps:cNvPr id="1058" name="テキスト ボックス 2"/>
                      <wps:cNvSpPr txBox="1">
                        <a:spLocks noChangeArrowheads="1"/>
                      </wps:cNvSpPr>
                      <wps:spPr>
                        <a:xfrm>
                          <a:off x="0" y="0"/>
                          <a:ext cx="5578475" cy="431800"/>
                        </a:xfrm>
                        <a:prstGeom prst="rect">
                          <a:avLst/>
                        </a:prstGeom>
                        <a:noFill/>
                        <a:ln w="9525">
                          <a:noFill/>
                          <a:miter lim="800000"/>
                          <a:headEnd/>
                          <a:tailEnd/>
                        </a:ln>
                      </wps:spPr>
                      <wps:txbx>
                        <w:txbxContent>
                          <w:p>
                            <w:pPr>
                              <w:pStyle w:val="0"/>
                              <w:spacing w:line="240" w:lineRule="exact"/>
                              <w:jc w:val="left"/>
                              <w:rPr>
                                <w:rFonts w:hint="eastAsia" w:ascii="ＭＳ ゴシック" w:hAnsi="ＭＳ ゴシック" w:eastAsia="ＭＳ ゴシック"/>
                                <w:sz w:val="22"/>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6-3-9</w:t>
                            </w:r>
                            <w:r>
                              <w:rPr>
                                <w:rFonts w:hint="eastAsia" w:ascii="ＭＳ ゴシック" w:hAnsi="ＭＳ ゴシック" w:eastAsia="ＭＳ ゴシック"/>
                                <w:color w:val="000000"/>
                                <w:sz w:val="22"/>
                              </w:rPr>
                              <w:t>）</w:t>
                            </w:r>
                            <w:r>
                              <w:rPr>
                                <w:rFonts w:hint="eastAsia" w:ascii="ＭＳ ゴシック" w:hAnsi="ＭＳ ゴシック" w:eastAsia="ＭＳ ゴシック"/>
                                <w:sz w:val="22"/>
                              </w:rPr>
                              <w:t>一般市民により心肺機能停止が目撃された</w:t>
                            </w:r>
                            <w:r>
                              <w:rPr>
                                <w:rFonts w:hint="eastAsia" w:ascii="ＭＳ ゴシック" w:hAnsi="ＭＳ ゴシック" w:eastAsia="ＭＳ ゴシック"/>
                                <w:sz w:val="22"/>
                              </w:rPr>
                              <w:t> </w:t>
                            </w:r>
                          </w:p>
                          <w:p>
                            <w:pPr>
                              <w:pStyle w:val="0"/>
                              <w:spacing w:line="240" w:lineRule="exact"/>
                              <w:ind w:leftChars="0" w:firstLine="1572" w:firstLineChars="664"/>
                              <w:jc w:val="left"/>
                              <w:rPr>
                                <w:rFonts w:hint="eastAsia" w:ascii="ＭＳ ゴシック" w:hAnsi="ＭＳ ゴシック" w:eastAsia="ＭＳ ゴシック"/>
                                <w:sz w:val="22"/>
                              </w:rPr>
                            </w:pPr>
                            <w:r>
                              <w:rPr>
                                <w:rFonts w:hint="eastAsia" w:ascii="ＭＳ ゴシック" w:hAnsi="ＭＳ ゴシック" w:eastAsia="ＭＳ ゴシック"/>
                                <w:sz w:val="22"/>
                              </w:rPr>
                              <w:t>心原性の心肺停止症例の１か月後の生存率及び社会復帰率</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ボックス 2" style="margin-top:520.95000000000005pt;mso-position-vertical-relative:page;mso-position-horizontal-relative:page;position:absolute;height:34pt;width:439.25pt;margin-left:94pt;z-index:3;" o:spid="_x0000_s1058" o:allowincell="t" o:allowoverlap="t" filled="f" stroked="f" strokeweight="0.75pt" o:spt="202" type="#_x0000_t202">
                <v:fill/>
                <v:stroke miterlimit="8"/>
                <v:textbox style="layout-flow:horizontal;">
                  <w:txbxContent>
                    <w:p>
                      <w:pPr>
                        <w:pStyle w:val="0"/>
                        <w:spacing w:line="240" w:lineRule="exact"/>
                        <w:jc w:val="left"/>
                        <w:rPr>
                          <w:rFonts w:hint="eastAsia" w:ascii="ＭＳ ゴシック" w:hAnsi="ＭＳ ゴシック" w:eastAsia="ＭＳ ゴシック"/>
                          <w:sz w:val="22"/>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6-3-9</w:t>
                      </w:r>
                      <w:r>
                        <w:rPr>
                          <w:rFonts w:hint="eastAsia" w:ascii="ＭＳ ゴシック" w:hAnsi="ＭＳ ゴシック" w:eastAsia="ＭＳ ゴシック"/>
                          <w:color w:val="000000"/>
                          <w:sz w:val="22"/>
                        </w:rPr>
                        <w:t>）</w:t>
                      </w:r>
                      <w:r>
                        <w:rPr>
                          <w:rFonts w:hint="eastAsia" w:ascii="ＭＳ ゴシック" w:hAnsi="ＭＳ ゴシック" w:eastAsia="ＭＳ ゴシック"/>
                          <w:sz w:val="22"/>
                        </w:rPr>
                        <w:t>一般市民により心肺機能停止が目撃された</w:t>
                      </w:r>
                      <w:r>
                        <w:rPr>
                          <w:rFonts w:hint="eastAsia" w:ascii="ＭＳ ゴシック" w:hAnsi="ＭＳ ゴシック" w:eastAsia="ＭＳ ゴシック"/>
                          <w:sz w:val="22"/>
                        </w:rPr>
                        <w:t> </w:t>
                      </w:r>
                    </w:p>
                    <w:p>
                      <w:pPr>
                        <w:pStyle w:val="0"/>
                        <w:spacing w:line="240" w:lineRule="exact"/>
                        <w:ind w:leftChars="0" w:firstLine="1572" w:firstLineChars="664"/>
                        <w:jc w:val="left"/>
                        <w:rPr>
                          <w:rFonts w:hint="eastAsia" w:ascii="ＭＳ ゴシック" w:hAnsi="ＭＳ ゴシック" w:eastAsia="ＭＳ ゴシック"/>
                          <w:sz w:val="22"/>
                        </w:rPr>
                      </w:pPr>
                      <w:r>
                        <w:rPr>
                          <w:rFonts w:hint="eastAsia" w:ascii="ＭＳ ゴシック" w:hAnsi="ＭＳ ゴシック" w:eastAsia="ＭＳ ゴシック"/>
                          <w:sz w:val="22"/>
                        </w:rPr>
                        <w:t>心原性の心肺停止症例の１か月後の生存率及び社会復帰率</w:t>
                      </w:r>
                    </w:p>
                  </w:txbxContent>
                </v:textbox>
                <v:imagedata o:title=""/>
                <w10:wrap type="none" anchorx="page" anchory="page"/>
              </v:shape>
            </w:pict>
          </mc:Fallback>
        </mc:AlternateContent>
      </w:r>
    </w:p>
    <w:p>
      <w:pPr>
        <w:pStyle w:val="0"/>
        <w:ind w:left="0" w:leftChars="0" w:hanging="210" w:hangingChars="100"/>
        <w:rPr>
          <w:rFonts w:hint="eastAsia" w:ascii="ＭＳ 明朝" w:hAnsi="ＭＳ 明朝" w:eastAsia="ＭＳ 明朝"/>
          <w:b w:val="0"/>
          <w:color w:val="auto"/>
          <w:highlight w:val="none"/>
        </w:rPr>
      </w:pPr>
    </w:p>
    <w:p>
      <w:pPr>
        <w:pStyle w:val="0"/>
        <w:spacing w:line="240" w:lineRule="exact"/>
        <w:ind w:left="0" w:leftChars="0" w:hanging="210" w:hangingChars="100"/>
        <w:rPr>
          <w:rFonts w:hint="eastAsia" w:ascii="ＭＳ 明朝" w:hAnsi="ＭＳ 明朝" w:eastAsia="ＭＳ 明朝"/>
          <w:b w:val="0"/>
          <w:color w:val="auto"/>
          <w:highlight w:val="none"/>
        </w:rPr>
      </w:pPr>
    </w:p>
    <w:tbl>
      <w:tblPr>
        <w:tblStyle w:val="11"/>
        <w:tblW w:w="8020" w:type="dxa"/>
        <w:jc w:val="left"/>
        <w:tblInd w:w="9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1966"/>
        <w:gridCol w:w="1211"/>
        <w:gridCol w:w="1211"/>
        <w:gridCol w:w="1211"/>
        <w:gridCol w:w="1210"/>
        <w:gridCol w:w="1211"/>
      </w:tblGrid>
      <w:tr>
        <w:trPr>
          <w:trHeight w:val="397" w:hRule="atLeast"/>
        </w:trPr>
        <w:tc>
          <w:tcPr>
            <w:tcW w:w="202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rPr>
                <w:rFonts w:hint="eastAsia"/>
              </w:rPr>
            </w:pP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sz w:val="20"/>
              </w:rPr>
            </w:pPr>
            <w:r>
              <w:rPr>
                <w:rFonts w:hint="eastAsia"/>
                <w:sz w:val="20"/>
              </w:rPr>
              <w:t>H29</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sz w:val="20"/>
              </w:rPr>
            </w:pPr>
            <w:r>
              <w:rPr>
                <w:rFonts w:hint="eastAsia"/>
                <w:sz w:val="20"/>
              </w:rPr>
              <w:t>H30</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sz w:val="20"/>
              </w:rPr>
            </w:pPr>
            <w:r>
              <w:rPr>
                <w:rFonts w:hint="eastAsia"/>
                <w:sz w:val="20"/>
              </w:rPr>
              <w:t>R1</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sz w:val="20"/>
              </w:rPr>
            </w:pPr>
            <w:r>
              <w:rPr>
                <w:rFonts w:hint="eastAsia"/>
                <w:sz w:val="20"/>
              </w:rPr>
              <w:t>R2</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sz w:val="20"/>
              </w:rPr>
            </w:pPr>
            <w:r>
              <w:rPr>
                <w:rFonts w:hint="eastAsia"/>
                <w:sz w:val="20"/>
              </w:rPr>
              <w:t>R3</w:t>
            </w:r>
          </w:p>
        </w:tc>
      </w:tr>
      <w:tr>
        <w:trPr>
          <w:trHeight w:val="397" w:hRule="atLeast"/>
        </w:trPr>
        <w:tc>
          <w:tcPr>
            <w:tcW w:w="202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sz w:val="18"/>
              </w:rPr>
            </w:pPr>
            <w:r>
              <w:rPr>
                <w:rFonts w:hint="eastAsia"/>
                <w:sz w:val="18"/>
              </w:rPr>
              <w:t>生存率</w:t>
            </w:r>
            <w:r>
              <w:rPr>
                <w:rFonts w:hint="eastAsia"/>
                <w:sz w:val="18"/>
              </w:rPr>
              <w:t xml:space="preserve"> </w:t>
            </w:r>
            <w:r>
              <w:rPr>
                <w:rFonts w:hint="eastAsia"/>
                <w:sz w:val="18"/>
              </w:rPr>
              <w:t>【県】</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11.6%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12.4%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19.5%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13.1%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10.9% </w:t>
            </w:r>
          </w:p>
        </w:tc>
      </w:tr>
      <w:tr>
        <w:trPr>
          <w:trHeight w:val="397" w:hRule="atLeast"/>
        </w:trPr>
        <w:tc>
          <w:tcPr>
            <w:tcW w:w="202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sz w:val="18"/>
              </w:rPr>
            </w:pPr>
            <w:r>
              <w:rPr>
                <w:rFonts w:hint="eastAsia"/>
                <w:sz w:val="18"/>
              </w:rPr>
              <w:t>生存率【全国】</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13.5%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13.9%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13.9%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12.2%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11.1% </w:t>
            </w:r>
          </w:p>
        </w:tc>
      </w:tr>
      <w:tr>
        <w:trPr>
          <w:trHeight w:val="397" w:hRule="atLeast"/>
        </w:trPr>
        <w:tc>
          <w:tcPr>
            <w:tcW w:w="202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sz w:val="18"/>
              </w:rPr>
            </w:pPr>
            <w:r>
              <w:rPr>
                <w:rFonts w:hint="eastAsia"/>
                <w:sz w:val="18"/>
              </w:rPr>
              <w:t>社会復帰率【県】</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3.9%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7.1%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12.0%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7.5%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6.9% </w:t>
            </w:r>
          </w:p>
        </w:tc>
      </w:tr>
      <w:tr>
        <w:trPr>
          <w:trHeight w:val="397" w:hRule="atLeast"/>
        </w:trPr>
        <w:tc>
          <w:tcPr>
            <w:tcW w:w="202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sz w:val="18"/>
              </w:rPr>
            </w:pPr>
            <w:r>
              <w:rPr>
                <w:rFonts w:hint="eastAsia"/>
                <w:sz w:val="18"/>
              </w:rPr>
              <w:t>社会復帰率【全国】</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8.7%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9.1%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9.0%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7.5%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6.9% </w:t>
            </w:r>
          </w:p>
        </w:tc>
      </w:tr>
    </w:tbl>
    <w:p>
      <w:pPr>
        <w:pStyle w:val="0"/>
        <w:ind w:left="177" w:leftChars="78" w:firstLine="6621" w:firstLineChars="3746"/>
        <w:jc w:val="left"/>
        <w:rPr>
          <w:rFonts w:hint="eastAsia" w:ascii="ＭＳ 明朝" w:hAnsi="ＭＳ 明朝" w:eastAsia="ＭＳ 明朝"/>
          <w:b w:val="0"/>
          <w:color w:val="auto"/>
          <w:sz w:val="16"/>
          <w:highlight w:val="none"/>
        </w:rPr>
      </w:pPr>
      <w:r>
        <w:rPr>
          <w:rFonts w:hint="eastAsia" w:ascii="ＭＳ 明朝" w:hAnsi="ＭＳ 明朝" w:eastAsia="ＭＳ 明朝"/>
          <w:b w:val="0"/>
          <w:color w:val="auto"/>
          <w:sz w:val="16"/>
          <w:highlight w:val="none"/>
        </w:rPr>
        <w:t>出典：救急・救助の現況</w:t>
      </w:r>
    </w:p>
    <w:p>
      <w:pPr>
        <w:pStyle w:val="0"/>
        <w:spacing w:line="240" w:lineRule="exact"/>
        <w:ind w:left="177" w:leftChars="78" w:firstLine="6621" w:firstLineChars="3746"/>
        <w:jc w:val="left"/>
        <w:rPr>
          <w:rFonts w:hint="eastAsia" w:ascii="ＭＳ 明朝" w:hAnsi="ＭＳ 明朝" w:eastAsia="ＭＳ 明朝"/>
          <w:b w:val="0"/>
          <w:color w:val="auto"/>
          <w:sz w:val="16"/>
          <w:highlight w:val="none"/>
        </w:rPr>
      </w:pPr>
    </w:p>
    <w:p>
      <w:pPr>
        <w:pStyle w:val="0"/>
        <w:spacing w:line="240" w:lineRule="auto"/>
        <w:ind w:left="227" w:leftChars="100" w:firstLine="227" w:firstLineChars="100"/>
        <w:rPr>
          <w:rFonts w:hint="eastAsia" w:ascii="ＭＳ 明朝" w:hAnsi="ＭＳ 明朝" w:eastAsia="ＭＳ 明朝"/>
          <w:color w:val="FF0000"/>
          <w:sz w:val="22"/>
          <w:highlight w:val="none"/>
        </w:rPr>
      </w:pPr>
      <w:r>
        <w:rPr>
          <w:rFonts w:hint="eastAsia" w:ascii="ＭＳ 明朝" w:hAnsi="ＭＳ 明朝" w:eastAsia="ＭＳ 明朝"/>
          <w:color w:val="auto"/>
          <w:sz w:val="22"/>
          <w:highlight w:val="none"/>
          <w:u w:val="none" w:color="auto"/>
        </w:rPr>
        <w:t>急性心筋梗塞治療センターの治療成績による発症から病院到着までの時間（</w:t>
      </w:r>
      <w:r>
        <w:rPr>
          <w:rFonts w:hint="eastAsia" w:ascii="ＭＳ 明朝" w:hAnsi="ＭＳ 明朝" w:eastAsia="ＭＳ 明朝"/>
          <w:color w:val="auto"/>
          <w:sz w:val="22"/>
          <w:highlight w:val="none"/>
          <w:u w:val="none" w:color="auto"/>
        </w:rPr>
        <w:t>Onset to hospital time</w:t>
      </w:r>
      <w:r>
        <w:rPr>
          <w:rFonts w:hint="eastAsia" w:ascii="ＭＳ 明朝" w:hAnsi="ＭＳ 明朝" w:eastAsia="ＭＳ 明朝"/>
          <w:color w:val="auto"/>
          <w:sz w:val="22"/>
          <w:highlight w:val="none"/>
          <w:u w:val="none" w:color="auto"/>
        </w:rPr>
        <w:t>）の施設ごとの平均値の中央値をデータ集約を始めた平成</w:t>
      </w:r>
      <w:r>
        <w:rPr>
          <w:rFonts w:hint="eastAsia" w:ascii="ＭＳ 明朝" w:hAnsi="ＭＳ 明朝" w:eastAsia="ＭＳ 明朝"/>
          <w:color w:val="auto"/>
          <w:sz w:val="22"/>
          <w:highlight w:val="none"/>
          <w:u w:val="none" w:color="auto"/>
        </w:rPr>
        <w:t>24</w:t>
      </w:r>
      <w:r>
        <w:rPr>
          <w:rFonts w:hint="eastAsia" w:ascii="ＭＳ 明朝" w:hAnsi="ＭＳ 明朝" w:eastAsia="ＭＳ 明朝"/>
          <w:color w:val="auto"/>
          <w:sz w:val="22"/>
          <w:highlight w:val="none"/>
          <w:u w:val="none" w:color="auto"/>
        </w:rPr>
        <w:t>年と比較すると、平成</w:t>
      </w:r>
      <w:r>
        <w:rPr>
          <w:rFonts w:hint="eastAsia" w:ascii="ＭＳ 明朝" w:hAnsi="ＭＳ 明朝" w:eastAsia="ＭＳ 明朝"/>
          <w:color w:val="auto"/>
          <w:sz w:val="22"/>
          <w:highlight w:val="none"/>
          <w:u w:val="none" w:color="auto"/>
        </w:rPr>
        <w:t>29</w:t>
      </w:r>
      <w:r>
        <w:rPr>
          <w:rFonts w:hint="eastAsia" w:ascii="ＭＳ 明朝" w:hAnsi="ＭＳ 明朝" w:eastAsia="ＭＳ 明朝"/>
          <w:color w:val="auto"/>
          <w:sz w:val="22"/>
          <w:highlight w:val="none"/>
          <w:u w:val="none" w:color="auto"/>
        </w:rPr>
        <w:t>年以降は短くなっており、安芸保健医療圏の医療体制整備等が影響していると考えられます（図表</w:t>
      </w:r>
      <w:r>
        <w:rPr>
          <w:rFonts w:hint="eastAsia" w:ascii="ＭＳ 明朝" w:hAnsi="ＭＳ 明朝" w:eastAsia="ＭＳ 明朝"/>
          <w:color w:val="auto"/>
          <w:sz w:val="22"/>
          <w:highlight w:val="none"/>
          <w:u w:val="none" w:color="auto"/>
        </w:rPr>
        <w:t>6-3-10</w:t>
      </w:r>
      <w:r>
        <w:rPr>
          <w:rFonts w:hint="eastAsia" w:ascii="ＭＳ 明朝" w:hAnsi="ＭＳ 明朝" w:eastAsia="ＭＳ 明朝"/>
          <w:color w:val="auto"/>
          <w:sz w:val="22"/>
          <w:highlight w:val="none"/>
          <w:u w:val="none" w:color="auto"/>
        </w:rPr>
        <w:t>）。</w:t>
      </w:r>
    </w:p>
    <w:p>
      <w:pPr>
        <w:pStyle w:val="0"/>
        <w:spacing w:line="240" w:lineRule="auto"/>
        <w:jc w:val="left"/>
        <w:rPr>
          <w:rFonts w:hint="eastAsia" w:ascii="ＭＳ 明朝" w:hAnsi="ＭＳ 明朝" w:eastAsia="ＭＳ 明朝"/>
          <w:strike w:val="1"/>
          <w:color w:val="FF0000"/>
          <w:sz w:val="21"/>
          <w:highlight w:val="none"/>
        </w:rPr>
      </w:pPr>
      <w:r>
        <w:rPr>
          <w:rFonts w:hint="eastAsia"/>
        </w:rPr>
        <mc:AlternateContent>
          <mc:Choice Requires="wpg">
            <w:drawing>
              <wp:anchor simplePos="0" relativeHeight="31" behindDoc="0" locked="0" layoutInCell="1" hidden="0" allowOverlap="1">
                <wp:simplePos x="0" y="0"/>
                <wp:positionH relativeFrom="column">
                  <wp:posOffset>194310</wp:posOffset>
                </wp:positionH>
                <wp:positionV relativeFrom="paragraph">
                  <wp:posOffset>27940</wp:posOffset>
                </wp:positionV>
                <wp:extent cx="5353050" cy="2512060"/>
                <wp:effectExtent l="0" t="0" r="635" b="0"/>
                <wp:wrapNone/>
                <wp:docPr id="1059" name="オブジェクト 0"/>
                <a:graphic xmlns:a="http://schemas.openxmlformats.org/drawingml/2006/main">
                  <a:graphicData uri="http://schemas.microsoft.com/office/word/2010/wordprocessingGroup">
                    <wpg:wgp>
                      <wpg:cNvGrpSpPr/>
                      <wpg:grpSpPr>
                        <a:xfrm>
                          <a:off x="0" y="0"/>
                          <a:ext cx="5353050" cy="2512060"/>
                          <a:chOff x="1724" y="1462"/>
                          <a:chExt cx="8430" cy="3956"/>
                        </a:xfrm>
                      </wpg:grpSpPr>
                      <wps:wsp>
                        <wps:cNvPr id="1060" name="テキスト ボックス 2"/>
                        <wps:cNvSpPr txBox="1">
                          <a:spLocks noChangeArrowheads="1"/>
                        </wps:cNvSpPr>
                        <wps:spPr>
                          <a:xfrm>
                            <a:off x="1724" y="1462"/>
                            <a:ext cx="8430" cy="680"/>
                          </a:xfrm>
                          <a:prstGeom prst="rect">
                            <a:avLst/>
                          </a:prstGeom>
                          <a:noFill/>
                          <a:ln w="9525">
                            <a:noFill/>
                            <a:miter lim="800000"/>
                            <a:headEnd/>
                            <a:tailEnd/>
                          </a:ln>
                        </wps:spPr>
                        <wps:txbx>
                          <w:txbxContent>
                            <w:p>
                              <w:pPr>
                                <w:pStyle w:val="0"/>
                                <w:spacing w:line="260" w:lineRule="exact"/>
                                <w:ind w:leftChars="0" w:hanging="1702" w:hangingChars="719"/>
                                <w:jc w:val="left"/>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6-3-10</w:t>
                              </w:r>
                              <w:r>
                                <w:rPr>
                                  <w:rFonts w:hint="eastAsia" w:ascii="ＭＳ ゴシック" w:hAnsi="ＭＳ ゴシック" w:eastAsia="ＭＳ ゴシック"/>
                                  <w:color w:val="auto"/>
                                  <w:sz w:val="22"/>
                                  <w:u w:val="none" w:color="auto"/>
                                </w:rPr>
                                <w:t>）急性心筋梗塞の発症から急性心筋梗塞治療センター到着までの時間（各施設の平均値の中央値）の推移</w:t>
                              </w:r>
                            </w:p>
                          </w:txbxContent>
                        </wps:txbx>
                        <wps:bodyPr vertOverflow="overflow" horzOverflow="overflow" wrap="square"/>
                      </wps:wsp>
                      <wpg:graphicFrame>
                        <wpg:cNvPr id="1061" name="オブジェクト 0"/>
                        <wpg:cNvFrPr/>
                        <wpg:xfrm>
                          <a:off x="2133" y="2133"/>
                          <a:ext cx="7215" cy="3285"/>
                        </wpg:xfrm>
                        <a:graphic>
                          <a:graphicData uri="http://schemas.openxmlformats.org/drawingml/2006/chart">
                            <c:chart xmlns:c="http://schemas.openxmlformats.org/drawingml/2006/chart" r:id="rId18"/>
                          </a:graphicData>
                        </a:graphic>
                      </wpg:graphicFrame>
                      <wps:wsp>
                        <wps:cNvPr id="1062" name="オブジェクト 0"/>
                        <wps:cNvSpPr txBox="1">
                          <a:spLocks noChangeArrowheads="1"/>
                        </wps:cNvSpPr>
                        <wps:spPr>
                          <a:xfrm>
                            <a:off x="2438" y="1985"/>
                            <a:ext cx="1160" cy="567"/>
                          </a:xfrm>
                          <a:prstGeom prst="rect">
                            <a:avLst/>
                          </a:prstGeom>
                          <a:noFill/>
                          <a:ln>
                            <a:miter/>
                          </a:ln>
                        </wps:spPr>
                        <wps:txbx>
                          <w:txbxContent>
                            <w:p>
                              <w:pPr>
                                <w:pStyle w:val="0"/>
                                <w:autoSpaceDE w:val="0"/>
                                <w:autoSpaceDN w:val="0"/>
                                <w:rPr>
                                  <w:rFonts w:hint="eastAsia" w:ascii="ＭＳ ゴシック" w:hAnsi="ＭＳ ゴシック" w:eastAsia="ＭＳ ゴシック"/>
                                  <w:sz w:val="20"/>
                                </w:rPr>
                              </w:pPr>
                              <w:r>
                                <w:rPr>
                                  <w:rFonts w:hint="eastAsia" w:ascii="ＭＳ ゴシック" w:hAnsi="ＭＳ ゴシック" w:eastAsia="ＭＳ ゴシック"/>
                                  <w:sz w:val="18"/>
                                </w:rPr>
                                <w:t>（分）</w:t>
                              </w:r>
                            </w:p>
                          </w:txbxContent>
                        </wps:txbx>
                        <wps:bodyPr vertOverflow="overflow" horzOverflow="overflow" anchor="t" upright="1"/>
                      </wps:wsp>
                    </wpg:wgp>
                  </a:graphicData>
                </a:graphic>
              </wp:anchor>
            </w:drawing>
          </mc:Choice>
          <mc:Fallback>
            <w:pict>
              <v:group id="オブジェクト 0" style="margin-top:2.2000000000000002pt;mso-position-vertical-relative:text;mso-position-horizontal-relative:text;position:absolute;height:197.8pt;width:421.5pt;margin-left:15.3pt;z-index:31;" coordsize="8430,3956" coordorigin="1724,1462" o:spid="_x0000_s1059" o:allowincell="t" o:allowoverlap="t">
                <v:shapetype id="_x0000_t202" coordsize="21600,21600" o:spt="202" path="m,l,21600r21600,l21600,xe">
                  <v:stroke joinstyle="miter"/>
                  <v:path gradientshapeok="t" o:connecttype="rect"/>
                </v:shapetype>
                <v:shape id="テキスト ボックス 2" style="height:680;width:8430;top:1462;left:1724;position:absolute;" o:spid="_x0000_s1060" filled="f" stroked="f" strokeweight="0.75pt" o:spt="202" type="#_x0000_t202">
                  <v:fill/>
                  <v:stroke miterlimit="8"/>
                  <v:textbox style="layout-flow:horizontal;">
                    <w:txbxContent>
                      <w:p>
                        <w:pPr>
                          <w:pStyle w:val="0"/>
                          <w:spacing w:line="260" w:lineRule="exact"/>
                          <w:ind w:leftChars="0" w:hanging="1702" w:hangingChars="719"/>
                          <w:jc w:val="left"/>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6-3-10</w:t>
                        </w:r>
                        <w:r>
                          <w:rPr>
                            <w:rFonts w:hint="eastAsia" w:ascii="ＭＳ ゴシック" w:hAnsi="ＭＳ ゴシック" w:eastAsia="ＭＳ ゴシック"/>
                            <w:color w:val="auto"/>
                            <w:sz w:val="22"/>
                            <w:u w:val="none" w:color="auto"/>
                          </w:rPr>
                          <w:t>）急性心筋梗塞の発症から急性心筋梗塞治療センター到着までの時間（各施設の平均値の中央値）の推移</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285;width:7215;top:2133;left:2133;position:absolute;" o:spid="_x0000_s1061" filled="f" stroked="f" o:spt="75" type="#_x0000_t75">
                  <v:fill/>
                  <v:imagedata o:title="" r:id="rId19"/>
                  <w10:wrap type="none" anchorx="text" anchory="text"/>
                </v:shape>
                <v:shape id="オブジェクト 0" style="height:567;width:1160;top:1985;left:2438;position:absolute;" o:spid="_x0000_s1062" filled="f" stroked="f" o:spt="202" type="#_x0000_t202">
                  <v:fill/>
                  <v:textbox style="layout-flow:horizontal;">
                    <w:txbxContent>
                      <w:p>
                        <w:pPr>
                          <w:pStyle w:val="0"/>
                          <w:autoSpaceDE w:val="0"/>
                          <w:autoSpaceDN w:val="0"/>
                          <w:rPr>
                            <w:rFonts w:hint="eastAsia" w:ascii="ＭＳ ゴシック" w:hAnsi="ＭＳ ゴシック" w:eastAsia="ＭＳ ゴシック"/>
                            <w:sz w:val="20"/>
                          </w:rPr>
                        </w:pPr>
                        <w:r>
                          <w:rPr>
                            <w:rFonts w:hint="eastAsia" w:ascii="ＭＳ ゴシック" w:hAnsi="ＭＳ ゴシック" w:eastAsia="ＭＳ ゴシック"/>
                            <w:sz w:val="18"/>
                          </w:rPr>
                          <w:t>（分）</w:t>
                        </w:r>
                      </w:p>
                    </w:txbxContent>
                  </v:textbox>
                  <v:imagedata o:title=""/>
                  <w10:wrap type="none" anchorx="text" anchory="text"/>
                </v:shape>
                <w10:wrap type="none" anchorx="text" anchory="text"/>
              </v:group>
            </w:pict>
          </mc:Fallback>
        </mc:AlternateContent>
      </w: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exact"/>
        <w:ind w:leftChars="0" w:firstLine="3171" w:firstLineChars="1794"/>
        <w:jc w:val="left"/>
        <w:rPr>
          <w:rFonts w:hint="eastAsia" w:ascii="ＭＳ 明朝" w:hAnsi="ＭＳ 明朝" w:eastAsia="ＭＳ 明朝"/>
          <w:strike w:val="0"/>
          <w:dstrike w:val="0"/>
          <w:color w:val="auto"/>
          <w:sz w:val="16"/>
          <w:highlight w:val="none"/>
        </w:rPr>
      </w:pPr>
    </w:p>
    <w:p>
      <w:pPr>
        <w:pStyle w:val="0"/>
        <w:spacing w:line="240" w:lineRule="exact"/>
        <w:ind w:leftChars="0" w:firstLine="3171" w:firstLineChars="1794"/>
        <w:jc w:val="left"/>
        <w:rPr>
          <w:rFonts w:hint="eastAsia" w:ascii="ＭＳ 明朝" w:hAnsi="ＭＳ 明朝" w:eastAsia="ＭＳ 明朝"/>
          <w:strike w:val="0"/>
          <w:dstrike w:val="0"/>
          <w:color w:val="auto"/>
          <w:sz w:val="16"/>
          <w:highlight w:val="none"/>
        </w:rPr>
      </w:pPr>
      <w:r>
        <w:rPr>
          <w:rFonts w:hint="eastAsia" w:ascii="ＭＳ 明朝" w:hAnsi="ＭＳ 明朝" w:eastAsia="ＭＳ 明朝"/>
          <w:strike w:val="0"/>
          <w:dstrike w:val="0"/>
          <w:color w:val="auto"/>
          <w:sz w:val="16"/>
          <w:highlight w:val="none"/>
        </w:rPr>
        <w:t>出典：急性心筋梗塞治療センター治療成績（※</w:t>
      </w:r>
      <w:r>
        <w:rPr>
          <w:rFonts w:hint="eastAsia" w:ascii="ＭＳ 明朝" w:hAnsi="ＭＳ 明朝" w:eastAsia="ＭＳ 明朝"/>
          <w:strike w:val="0"/>
          <w:dstrike w:val="0"/>
          <w:color w:val="auto"/>
          <w:sz w:val="16"/>
          <w:highlight w:val="none"/>
        </w:rPr>
        <w:t>12</w:t>
      </w:r>
      <w:r>
        <w:rPr>
          <w:rFonts w:hint="eastAsia" w:ascii="ＭＳ 明朝" w:hAnsi="ＭＳ 明朝" w:eastAsia="ＭＳ 明朝"/>
          <w:strike w:val="0"/>
          <w:dstrike w:val="0"/>
          <w:color w:val="auto"/>
          <w:sz w:val="16"/>
          <w:highlight w:val="none"/>
        </w:rPr>
        <w:t>時間以上は除外）</w:t>
      </w:r>
    </w:p>
    <w:p>
      <w:pPr>
        <w:pStyle w:val="0"/>
        <w:wordWrap w:val="0"/>
        <w:spacing w:line="240" w:lineRule="exact"/>
        <w:ind w:leftChars="0" w:firstLine="3171" w:firstLineChars="1794"/>
        <w:jc w:val="left"/>
        <w:rPr>
          <w:rFonts w:hint="eastAsia" w:ascii="ＭＳ 明朝" w:hAnsi="ＭＳ 明朝" w:eastAsia="ＭＳ 明朝"/>
          <w:strike w:val="0"/>
          <w:dstrike w:val="0"/>
          <w:color w:val="auto"/>
          <w:sz w:val="16"/>
          <w:highlight w:val="none"/>
        </w:rPr>
      </w:pPr>
      <w:r>
        <w:rPr>
          <w:rFonts w:hint="eastAsia" w:ascii="ＭＳ 明朝" w:hAnsi="ＭＳ 明朝" w:eastAsia="ＭＳ 明朝"/>
          <w:strike w:val="0"/>
          <w:dstrike w:val="0"/>
          <w:color w:val="auto"/>
          <w:sz w:val="16"/>
          <w:highlight w:val="none"/>
        </w:rPr>
        <w:t>（調査施設数）</w:t>
      </w:r>
      <w:r>
        <w:rPr>
          <w:rFonts w:hint="eastAsia" w:ascii="ＭＳ 明朝" w:hAnsi="ＭＳ 明朝" w:eastAsia="ＭＳ 明朝"/>
          <w:strike w:val="0"/>
          <w:dstrike w:val="0"/>
          <w:color w:val="auto"/>
          <w:sz w:val="16"/>
          <w:highlight w:val="none"/>
        </w:rPr>
        <w:t>H24</w:t>
      </w:r>
      <w:r>
        <w:rPr>
          <w:rFonts w:hint="eastAsia" w:ascii="ＭＳ 明朝" w:hAnsi="ＭＳ 明朝" w:eastAsia="ＭＳ 明朝"/>
          <w:strike w:val="0"/>
          <w:dstrike w:val="0"/>
          <w:color w:val="auto"/>
          <w:sz w:val="16"/>
          <w:highlight w:val="none"/>
        </w:rPr>
        <w:t>～</w:t>
      </w:r>
      <w:r>
        <w:rPr>
          <w:rFonts w:hint="eastAsia" w:ascii="ＭＳ 明朝" w:hAnsi="ＭＳ 明朝" w:eastAsia="ＭＳ 明朝"/>
          <w:strike w:val="0"/>
          <w:dstrike w:val="0"/>
          <w:color w:val="auto"/>
          <w:sz w:val="16"/>
          <w:highlight w:val="none"/>
        </w:rPr>
        <w:t>H25</w:t>
      </w:r>
      <w:r>
        <w:rPr>
          <w:rFonts w:hint="eastAsia" w:ascii="ＭＳ 明朝" w:hAnsi="ＭＳ 明朝" w:eastAsia="ＭＳ 明朝"/>
          <w:strike w:val="0"/>
          <w:dstrike w:val="0"/>
          <w:color w:val="auto"/>
          <w:sz w:val="16"/>
          <w:highlight w:val="none"/>
        </w:rPr>
        <w:t>：４施設、</w:t>
      </w:r>
      <w:r>
        <w:rPr>
          <w:rFonts w:hint="eastAsia" w:ascii="ＭＳ 明朝" w:hAnsi="ＭＳ 明朝" w:eastAsia="ＭＳ 明朝"/>
          <w:strike w:val="0"/>
          <w:dstrike w:val="0"/>
          <w:color w:val="auto"/>
          <w:sz w:val="16"/>
          <w:highlight w:val="none"/>
        </w:rPr>
        <w:t>H26</w:t>
      </w:r>
      <w:r>
        <w:rPr>
          <w:rFonts w:hint="eastAsia" w:ascii="ＭＳ 明朝" w:hAnsi="ＭＳ 明朝" w:eastAsia="ＭＳ 明朝"/>
          <w:strike w:val="0"/>
          <w:dstrike w:val="0"/>
          <w:color w:val="auto"/>
          <w:sz w:val="16"/>
          <w:highlight w:val="none"/>
        </w:rPr>
        <w:t>～</w:t>
      </w:r>
      <w:r>
        <w:rPr>
          <w:rFonts w:hint="eastAsia" w:ascii="ＭＳ 明朝" w:hAnsi="ＭＳ 明朝" w:eastAsia="ＭＳ 明朝"/>
          <w:strike w:val="0"/>
          <w:dstrike w:val="0"/>
          <w:color w:val="auto"/>
          <w:sz w:val="16"/>
          <w:highlight w:val="none"/>
        </w:rPr>
        <w:t>H28</w:t>
      </w:r>
      <w:r>
        <w:rPr>
          <w:rFonts w:hint="eastAsia" w:ascii="ＭＳ 明朝" w:hAnsi="ＭＳ 明朝" w:eastAsia="ＭＳ 明朝"/>
          <w:strike w:val="0"/>
          <w:dstrike w:val="0"/>
          <w:color w:val="auto"/>
          <w:sz w:val="16"/>
          <w:highlight w:val="none"/>
        </w:rPr>
        <w:t>：５施設、</w:t>
      </w:r>
      <w:r>
        <w:rPr>
          <w:rFonts w:hint="eastAsia" w:ascii="ＭＳ 明朝" w:hAnsi="ＭＳ 明朝" w:eastAsia="ＭＳ 明朝"/>
          <w:strike w:val="0"/>
          <w:dstrike w:val="0"/>
          <w:color w:val="auto"/>
          <w:sz w:val="16"/>
          <w:highlight w:val="none"/>
        </w:rPr>
        <w:t>H29</w:t>
      </w:r>
      <w:r>
        <w:rPr>
          <w:rFonts w:hint="eastAsia" w:ascii="ＭＳ 明朝" w:hAnsi="ＭＳ 明朝" w:eastAsia="ＭＳ 明朝"/>
          <w:strike w:val="0"/>
          <w:dstrike w:val="0"/>
          <w:color w:val="auto"/>
          <w:sz w:val="16"/>
          <w:highlight w:val="none"/>
        </w:rPr>
        <w:t>～</w:t>
      </w:r>
      <w:r>
        <w:rPr>
          <w:rFonts w:hint="eastAsia" w:ascii="ＭＳ 明朝" w:hAnsi="ＭＳ 明朝" w:eastAsia="ＭＳ 明朝"/>
          <w:strike w:val="0"/>
          <w:dstrike w:val="0"/>
          <w:color w:val="auto"/>
          <w:sz w:val="16"/>
          <w:highlight w:val="none"/>
        </w:rPr>
        <w:t>R4</w:t>
      </w:r>
      <w:r>
        <w:rPr>
          <w:rFonts w:hint="eastAsia" w:ascii="ＭＳ 明朝" w:hAnsi="ＭＳ 明朝" w:eastAsia="ＭＳ 明朝"/>
          <w:strike w:val="0"/>
          <w:dstrike w:val="0"/>
          <w:color w:val="auto"/>
          <w:sz w:val="16"/>
          <w:highlight w:val="none"/>
        </w:rPr>
        <w:t>：６施設</w:t>
      </w:r>
    </w:p>
    <w:p>
      <w:pPr>
        <w:pStyle w:val="0"/>
        <w:spacing w:line="240" w:lineRule="auto"/>
        <w:ind w:left="227" w:leftChars="100" w:firstLine="227" w:firstLineChars="100"/>
        <w:jc w:val="left"/>
        <w:rPr>
          <w:rFonts w:hint="eastAsia" w:ascii="ＭＳ 明朝" w:hAnsi="ＭＳ 明朝" w:eastAsia="ＭＳ 明朝"/>
          <w:strike w:val="1"/>
          <w:color w:val="FF0000"/>
          <w:sz w:val="24"/>
          <w:highlight w:val="none"/>
        </w:rPr>
      </w:pPr>
    </w:p>
    <w:p>
      <w:pPr>
        <w:pStyle w:val="0"/>
        <w:spacing w:line="240" w:lineRule="auto"/>
        <w:ind w:left="227" w:leftChars="100" w:firstLine="227" w:firstLineChars="100"/>
        <w:jc w:val="left"/>
        <w:rPr>
          <w:rFonts w:hint="eastAsia" w:ascii="ＭＳ 明朝" w:hAnsi="ＭＳ 明朝" w:eastAsia="ＭＳ 明朝"/>
          <w:strike w:val="1"/>
          <w:color w:val="FF0000"/>
          <w:sz w:val="24"/>
          <w:highlight w:val="none"/>
        </w:rPr>
      </w:pPr>
      <w:r>
        <w:rPr>
          <w:rFonts w:hint="eastAsia" w:ascii="ＭＳ 明朝" w:hAnsi="ＭＳ 明朝" w:eastAsia="ＭＳ 明朝"/>
          <w:color w:val="auto"/>
          <w:sz w:val="22"/>
          <w:highlight w:val="none"/>
          <w:u w:val="none" w:color="auto"/>
        </w:rPr>
        <w:t>救急要請から現場到着及び医療機関への収容までに要した平均時間については、本県は地理的な問題により、全国と比較し長い傾向が続いていました。令和元年～３年にかけては、新型コロナウイルス感染症による搬送困難事例の増加等の影響により、全国的に平均所要時間が遅延し、全国との差は縮まっています</w:t>
      </w:r>
      <w:r>
        <w:rPr>
          <w:rFonts w:hint="eastAsia" w:ascii="ＭＳ 明朝" w:hAnsi="ＭＳ 明朝" w:eastAsia="ＭＳ 明朝"/>
          <w:color w:val="auto"/>
          <w:sz w:val="22"/>
          <w:highlight w:val="none"/>
        </w:rPr>
        <w:t>（図表</w:t>
      </w:r>
      <w:r>
        <w:rPr>
          <w:rFonts w:hint="eastAsia" w:ascii="ＭＳ 明朝" w:hAnsi="ＭＳ 明朝" w:eastAsia="ＭＳ 明朝"/>
          <w:color w:val="auto"/>
          <w:sz w:val="22"/>
          <w:highlight w:val="none"/>
        </w:rPr>
        <w:t>6-2-17(P127)</w:t>
      </w:r>
      <w:r>
        <w:rPr>
          <w:rFonts w:hint="eastAsia" w:ascii="ＭＳ 明朝" w:hAnsi="ＭＳ 明朝" w:eastAsia="ＭＳ 明朝"/>
          <w:color w:val="auto"/>
          <w:sz w:val="22"/>
          <w:highlight w:val="none"/>
        </w:rPr>
        <w:t>）。</w:t>
      </w:r>
    </w:p>
    <w:p>
      <w:pPr>
        <w:pStyle w:val="0"/>
        <w:spacing w:line="240" w:lineRule="auto"/>
        <w:jc w:val="left"/>
        <w:rPr>
          <w:rFonts w:hint="eastAsia" w:ascii="ＭＳ 明朝" w:hAnsi="ＭＳ 明朝" w:eastAsia="ＭＳ 明朝"/>
          <w:strike w:val="1"/>
          <w:color w:val="FF0000"/>
          <w:sz w:val="21"/>
          <w:highlight w:val="none"/>
        </w:rPr>
      </w:pPr>
    </w:p>
    <w:p>
      <w:pPr>
        <w:pStyle w:val="0"/>
        <w:rPr>
          <w:rFonts w:hint="eastAsia" w:ascii="ＭＳ 明朝" w:hAnsi="ＭＳ 明朝" w:eastAsia="ＭＳ 明朝"/>
          <w:b w:val="1"/>
          <w:color w:val="002060"/>
          <w:kern w:val="0"/>
          <w:sz w:val="22"/>
          <w:highlight w:val="none"/>
          <w:u w:val="none" w:color="auto"/>
        </w:rPr>
      </w:pPr>
      <w:r>
        <w:rPr>
          <w:rFonts w:hint="eastAsia" w:ascii="ＭＳ 明朝" w:hAnsi="ＭＳ 明朝" w:eastAsia="ＭＳ 明朝"/>
          <w:b w:val="1"/>
          <w:color w:val="0070C0"/>
          <w:sz w:val="22"/>
          <w:highlight w:val="none"/>
        </w:rPr>
        <w:t>４　急性期の医療提供の状況</w:t>
      </w:r>
    </w:p>
    <w:p>
      <w:pPr>
        <w:pStyle w:val="0"/>
        <w:autoSpaceDE w:val="0"/>
        <w:autoSpaceDN w:val="0"/>
        <w:adjustRightInd w:val="0"/>
        <w:ind w:left="227" w:leftChars="100" w:firstLine="237" w:firstLineChars="100"/>
        <w:jc w:val="left"/>
        <w:rPr>
          <w:rFonts w:hint="eastAsia" w:ascii="ＭＳ 明朝" w:hAnsi="ＭＳ 明朝" w:eastAsia="ＭＳ 明朝"/>
          <w:color w:val="FF0000"/>
          <w:sz w:val="22"/>
          <w:highlight w:val="none"/>
          <w:u w:val="none" w:color="auto"/>
        </w:rPr>
      </w:pPr>
      <w:r>
        <w:rPr>
          <w:rFonts w:hint="eastAsia" w:ascii="ＭＳ 明朝" w:hAnsi="ＭＳ 明朝" w:eastAsia="ＭＳ 明朝"/>
          <w:color w:val="auto"/>
          <w:sz w:val="22"/>
          <w:highlight w:val="none"/>
          <w:u w:val="none" w:color="auto"/>
        </w:rPr>
        <w:t>虚血性心疾患の中でも、特に、急性心筋梗塞においては、致死率を減少させ、予後を改善するためには、病院到着から経皮的冠動脈形成術のバルーン拡張までの時間（ＤＴＢＴ</w:t>
      </w:r>
      <w:r>
        <w:rPr>
          <w:rFonts w:hint="eastAsia" w:ascii="ＭＳ 明朝" w:hAnsi="ＭＳ 明朝" w:eastAsia="ＭＳ 明朝"/>
          <w:color w:val="auto"/>
          <w:sz w:val="22"/>
          <w:highlight w:val="none"/>
          <w:u w:val="none" w:color="auto"/>
        </w:rPr>
        <w:t>:Door to Balloon time</w:t>
      </w:r>
      <w:r>
        <w:rPr>
          <w:rFonts w:hint="eastAsia" w:ascii="ＭＳ 明朝" w:hAnsi="ＭＳ 明朝" w:eastAsia="ＭＳ 明朝"/>
          <w:color w:val="auto"/>
          <w:sz w:val="22"/>
          <w:highlight w:val="none"/>
          <w:u w:val="none" w:color="auto"/>
        </w:rPr>
        <w:t>）を短縮するなど、早急な治療を行うことが重要です。しかし、</w:t>
      </w:r>
      <w:r>
        <w:rPr>
          <w:rFonts w:hint="eastAsia" w:ascii="ＭＳ 明朝" w:hAnsi="ＭＳ 明朝" w:eastAsia="ＭＳ 明朝"/>
          <w:color w:val="auto"/>
          <w:kern w:val="0"/>
          <w:sz w:val="22"/>
          <w:highlight w:val="none"/>
          <w:u w:val="none" w:color="auto"/>
        </w:rPr>
        <w:t>緊急手術が</w:t>
      </w:r>
      <w:r>
        <w:rPr>
          <w:rFonts w:hint="eastAsia" w:ascii="ＭＳ 明朝" w:hAnsi="ＭＳ 明朝" w:eastAsia="ＭＳ 明朝"/>
          <w:color w:val="auto"/>
          <w:kern w:val="0"/>
          <w:sz w:val="22"/>
          <w:highlight w:val="none"/>
          <w:u w:val="none" w:color="auto"/>
        </w:rPr>
        <w:t>24</w:t>
      </w:r>
      <w:r>
        <w:rPr>
          <w:rFonts w:hint="eastAsia" w:ascii="ＭＳ 明朝" w:hAnsi="ＭＳ 明朝" w:eastAsia="ＭＳ 明朝"/>
          <w:color w:val="auto"/>
          <w:kern w:val="0"/>
          <w:sz w:val="22"/>
          <w:highlight w:val="none"/>
          <w:u w:val="none" w:color="auto"/>
        </w:rPr>
        <w:t>時間可能な施設は限られているため、集約化とアクセス性を担保することが重要です。</w:t>
      </w:r>
    </w:p>
    <w:p>
      <w:pPr>
        <w:pStyle w:val="0"/>
        <w:ind w:left="227" w:leftChars="100" w:right="227" w:rightChars="10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kern w:val="0"/>
          <w:sz w:val="22"/>
          <w:highlight w:val="none"/>
          <w:u w:val="none" w:color="auto"/>
        </w:rPr>
        <w:t>また、急性大動脈解離については、外科手術が中心となる</w:t>
      </w:r>
      <w:r>
        <w:rPr>
          <w:rFonts w:hint="eastAsia" w:ascii="ＭＳ 明朝" w:hAnsi="ＭＳ 明朝" w:eastAsia="ＭＳ 明朝"/>
          <w:color w:val="auto"/>
          <w:kern w:val="0"/>
          <w:sz w:val="22"/>
          <w:highlight w:val="none"/>
          <w:u w:val="none" w:color="auto"/>
        </w:rPr>
        <w:t>Stanford</w:t>
      </w:r>
      <w:r>
        <w:rPr>
          <w:rFonts w:hint="eastAsia" w:ascii="ＭＳ 明朝" w:hAnsi="ＭＳ 明朝" w:eastAsia="ＭＳ 明朝"/>
          <w:color w:val="auto"/>
          <w:kern w:val="0"/>
          <w:sz w:val="22"/>
          <w:highlight w:val="none"/>
          <w:u w:val="none" w:color="auto"/>
        </w:rPr>
        <w:t>Ａ型と、内科的治療が中心となる</w:t>
      </w:r>
      <w:r>
        <w:rPr>
          <w:rFonts w:hint="eastAsia" w:ascii="ＭＳ 明朝" w:hAnsi="ＭＳ 明朝" w:eastAsia="ＭＳ 明朝"/>
          <w:color w:val="auto"/>
          <w:kern w:val="0"/>
          <w:sz w:val="22"/>
          <w:highlight w:val="none"/>
          <w:u w:val="none" w:color="auto"/>
        </w:rPr>
        <w:t>Stanford</w:t>
      </w:r>
      <w:r>
        <w:rPr>
          <w:rFonts w:hint="eastAsia" w:ascii="ＭＳ 明朝" w:hAnsi="ＭＳ 明朝" w:eastAsia="ＭＳ 明朝"/>
          <w:color w:val="auto"/>
          <w:kern w:val="0"/>
          <w:sz w:val="22"/>
          <w:highlight w:val="none"/>
          <w:u w:val="none" w:color="auto"/>
        </w:rPr>
        <w:t>Ｂ型に大別され、特に、</w:t>
      </w:r>
      <w:r>
        <w:rPr>
          <w:rFonts w:hint="eastAsia" w:ascii="ＭＳ 明朝" w:hAnsi="ＭＳ 明朝" w:eastAsia="ＭＳ 明朝"/>
          <w:color w:val="auto"/>
          <w:kern w:val="0"/>
          <w:sz w:val="22"/>
          <w:highlight w:val="none"/>
          <w:u w:val="none" w:color="auto"/>
        </w:rPr>
        <w:t>Stanford</w:t>
      </w:r>
      <w:r>
        <w:rPr>
          <w:rFonts w:hint="eastAsia" w:ascii="ＭＳ 明朝" w:hAnsi="ＭＳ 明朝" w:eastAsia="ＭＳ 明朝"/>
          <w:color w:val="auto"/>
          <w:kern w:val="0"/>
          <w:sz w:val="22"/>
          <w:highlight w:val="none"/>
          <w:u w:val="none" w:color="auto"/>
        </w:rPr>
        <w:t>Ａ型の病院着前致死率は</w:t>
      </w:r>
      <w:r>
        <w:rPr>
          <w:rFonts w:hint="eastAsia" w:ascii="ＭＳ 明朝" w:hAnsi="ＭＳ 明朝" w:eastAsia="ＭＳ 明朝"/>
          <w:color w:val="auto"/>
          <w:kern w:val="0"/>
          <w:sz w:val="22"/>
          <w:highlight w:val="none"/>
          <w:u w:val="none" w:color="auto"/>
        </w:rPr>
        <w:t>61.4%</w:t>
      </w:r>
      <w:r>
        <w:rPr>
          <w:rFonts w:hint="eastAsia" w:ascii="ＭＳ 明朝" w:hAnsi="ＭＳ 明朝" w:eastAsia="ＭＳ 明朝"/>
          <w:color w:val="auto"/>
          <w:kern w:val="0"/>
          <w:sz w:val="22"/>
          <w:highlight w:val="none"/>
          <w:u w:val="none" w:color="auto"/>
        </w:rPr>
        <w:t>に及び、</w:t>
      </w:r>
      <w:r>
        <w:rPr>
          <w:rFonts w:hint="eastAsia" w:ascii="ＭＳ 明朝" w:hAnsi="ＭＳ 明朝" w:eastAsia="ＭＳ 明朝"/>
          <w:color w:val="auto"/>
          <w:kern w:val="0"/>
          <w:sz w:val="22"/>
          <w:highlight w:val="none"/>
          <w:u w:val="none" w:color="auto"/>
        </w:rPr>
        <w:t>93</w:t>
      </w:r>
      <w:r>
        <w:rPr>
          <w:rFonts w:hint="eastAsia" w:ascii="ＭＳ 明朝" w:hAnsi="ＭＳ 明朝" w:eastAsia="ＭＳ 明朝"/>
          <w:color w:val="auto"/>
          <w:kern w:val="0"/>
          <w:sz w:val="22"/>
          <w:highlight w:val="none"/>
          <w:u w:val="none" w:color="auto"/>
        </w:rPr>
        <w:t>％が</w:t>
      </w:r>
      <w:r>
        <w:rPr>
          <w:rFonts w:hint="eastAsia" w:ascii="ＭＳ 明朝" w:hAnsi="ＭＳ 明朝" w:eastAsia="ＭＳ 明朝"/>
          <w:color w:val="auto"/>
          <w:kern w:val="0"/>
          <w:sz w:val="22"/>
          <w:highlight w:val="none"/>
          <w:u w:val="none" w:color="auto"/>
        </w:rPr>
        <w:t>24</w:t>
      </w:r>
      <w:r>
        <w:rPr>
          <w:rFonts w:hint="eastAsia" w:ascii="ＭＳ 明朝" w:hAnsi="ＭＳ 明朝" w:eastAsia="ＭＳ 明朝"/>
          <w:color w:val="auto"/>
          <w:kern w:val="0"/>
          <w:sz w:val="22"/>
          <w:highlight w:val="none"/>
          <w:u w:val="none" w:color="auto"/>
        </w:rPr>
        <w:t>時間以内に死亡するため、発症後早急に適切な治療を受けることが重要です。外科的治療は虚血性心疾患と同様、緊急手術が</w:t>
      </w:r>
      <w:r>
        <w:rPr>
          <w:rFonts w:hint="eastAsia" w:ascii="ＭＳ 明朝" w:hAnsi="ＭＳ 明朝" w:eastAsia="ＭＳ 明朝"/>
          <w:color w:val="auto"/>
          <w:kern w:val="0"/>
          <w:sz w:val="22"/>
          <w:highlight w:val="none"/>
          <w:u w:val="none" w:color="auto"/>
        </w:rPr>
        <w:t>24</w:t>
      </w:r>
      <w:r>
        <w:rPr>
          <w:rFonts w:hint="eastAsia" w:ascii="ＭＳ 明朝" w:hAnsi="ＭＳ 明朝" w:eastAsia="ＭＳ 明朝"/>
          <w:color w:val="auto"/>
          <w:kern w:val="0"/>
          <w:sz w:val="22"/>
          <w:highlight w:val="none"/>
          <w:u w:val="none" w:color="auto"/>
        </w:rPr>
        <w:t>時間可能な施設は限られているため、集約化とアクセス性を担保することが重要です。</w:t>
      </w:r>
    </w:p>
    <w:p>
      <w:pPr>
        <w:pStyle w:val="0"/>
        <w:ind w:left="227" w:leftChars="100" w:right="227" w:rightChars="10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227" w:rightChars="10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color w:val="auto"/>
          <w:sz w:val="22"/>
          <w:highlight w:val="none"/>
          <w:u w:val="none" w:color="auto"/>
        </w:rPr>
        <w:t>本県では、急性心筋梗塞患者を常時受入可能であることや、心臓カテーテル術が実施可能な医療機関を「急性心筋梗塞治療センター」として指定し、平成</w:t>
      </w:r>
      <w:r>
        <w:rPr>
          <w:rFonts w:hint="eastAsia" w:ascii="ＭＳ 明朝" w:hAnsi="ＭＳ 明朝" w:eastAsia="ＭＳ 明朝"/>
          <w:color w:val="auto"/>
          <w:sz w:val="22"/>
          <w:highlight w:val="none"/>
          <w:u w:val="none" w:color="auto"/>
        </w:rPr>
        <w:t>24</w:t>
      </w:r>
      <w:r>
        <w:rPr>
          <w:rFonts w:hint="eastAsia" w:ascii="ＭＳ 明朝" w:hAnsi="ＭＳ 明朝" w:eastAsia="ＭＳ 明朝"/>
          <w:color w:val="auto"/>
          <w:sz w:val="22"/>
          <w:highlight w:val="none"/>
          <w:u w:val="none" w:color="auto"/>
        </w:rPr>
        <w:t>年から毎年治療成績を公表しています</w:t>
      </w:r>
      <w:r>
        <w:rPr>
          <w:rFonts w:hint="eastAsia" w:ascii="ＭＳ 明朝" w:hAnsi="ＭＳ 明朝" w:eastAsia="ＭＳ 明朝"/>
          <w:color w:val="000000" w:themeColor="text1"/>
          <w:sz w:val="22"/>
          <w:highlight w:val="none"/>
          <w:u w:val="none" w:color="auto"/>
        </w:rPr>
        <w:t>（図表</w:t>
      </w:r>
      <w:r>
        <w:rPr>
          <w:rFonts w:hint="eastAsia" w:ascii="ＭＳ 明朝" w:hAnsi="ＭＳ 明朝" w:eastAsia="ＭＳ 明朝"/>
          <w:color w:val="000000" w:themeColor="text1"/>
          <w:sz w:val="22"/>
          <w:highlight w:val="none"/>
          <w:u w:val="none" w:color="auto"/>
        </w:rPr>
        <w:t>6-3-11</w:t>
      </w:r>
      <w:r>
        <w:rPr>
          <w:rFonts w:hint="eastAsia" w:ascii="ＭＳ 明朝" w:hAnsi="ＭＳ 明朝" w:eastAsia="ＭＳ 明朝"/>
          <w:color w:val="000000" w:themeColor="text1"/>
          <w:sz w:val="22"/>
          <w:highlight w:val="none"/>
          <w:u w:val="none" w:color="auto"/>
        </w:rPr>
        <w:t>）。</w:t>
      </w:r>
    </w:p>
    <w:p>
      <w:pPr>
        <w:pStyle w:val="0"/>
        <w:ind w:left="227" w:leftChars="100" w:right="227" w:rightChars="10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highlight w:val="none"/>
        </w:rPr>
        <w:br w:type="page"/>
      </w: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r>
        <w:rPr>
          <w:rFonts w:hint="eastAsia"/>
          <w:highlight w:val="none"/>
        </w:rPr>
        <mc:AlternateContent>
          <mc:Choice Requires="wps">
            <w:drawing>
              <wp:anchor simplePos="0" relativeHeight="4" behindDoc="0" locked="0" layoutInCell="1" hidden="0" allowOverlap="1">
                <wp:simplePos x="0" y="0"/>
                <wp:positionH relativeFrom="page">
                  <wp:posOffset>2290445</wp:posOffset>
                </wp:positionH>
                <wp:positionV relativeFrom="page">
                  <wp:posOffset>953135</wp:posOffset>
                </wp:positionV>
                <wp:extent cx="3276600" cy="333375"/>
                <wp:effectExtent l="0" t="0" r="635" b="635"/>
                <wp:wrapNone/>
                <wp:docPr id="1063" name="テキスト ボックス 2"/>
                <a:graphic xmlns:a="http://schemas.openxmlformats.org/drawingml/2006/main">
                  <a:graphicData uri="http://schemas.microsoft.com/office/word/2010/wordprocessingShape">
                    <wps:wsp>
                      <wps:cNvPr id="1063" name="テキスト ボックス 2"/>
                      <wps:cNvSpPr txBox="1">
                        <a:spLocks noChangeArrowheads="1"/>
                      </wps:cNvSpPr>
                      <wps:spPr>
                        <a:xfrm>
                          <a:off x="0" y="0"/>
                          <a:ext cx="3276600" cy="333375"/>
                        </a:xfrm>
                        <a:prstGeom prst="rect">
                          <a:avLst/>
                        </a:prstGeom>
                        <a:noFill/>
                        <a:ln w="9525">
                          <a:noFill/>
                          <a:miter lim="800000"/>
                          <a:headEnd/>
                          <a:tailEnd/>
                        </a:ln>
                      </wps:spPr>
                      <wps:txbx>
                        <w:txbxContent>
                          <w:p>
                            <w:pPr>
                              <w:pStyle w:val="0"/>
                              <w:spacing w:line="160" w:lineRule="atLeast"/>
                              <w:rPr>
                                <w:rFonts w:hint="eastAsia" w:ascii="ＭＳ ゴシック" w:hAnsi="ＭＳ ゴシック" w:eastAsia="ＭＳ ゴシック"/>
                                <w:sz w:val="22"/>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6-3-11</w:t>
                            </w:r>
                            <w:r>
                              <w:rPr>
                                <w:rFonts w:hint="eastAsia" w:ascii="ＭＳ ゴシック" w:hAnsi="ＭＳ ゴシック" w:eastAsia="ＭＳ ゴシック"/>
                                <w:color w:val="000000"/>
                                <w:sz w:val="22"/>
                              </w:rPr>
                              <w:t>）急性心筋梗塞治療センター</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ボックス 2" style="margin-top:75.05pt;mso-position-vertical-relative:page;mso-position-horizontal-relative:page;position:absolute;height:26.25pt;width:258pt;margin-left:180.35pt;z-index:4;" o:spid="_x0000_s1063" o:allowincell="t" o:allowoverlap="t" filled="f" stroked="f" strokeweight="0.75pt" o:spt="202" type="#_x0000_t202">
                <v:fill/>
                <v:stroke miterlimit="8"/>
                <v:textbox style="layout-flow:horizontal;">
                  <w:txbxContent>
                    <w:p>
                      <w:pPr>
                        <w:pStyle w:val="0"/>
                        <w:spacing w:line="160" w:lineRule="atLeast"/>
                        <w:rPr>
                          <w:rFonts w:hint="eastAsia" w:ascii="ＭＳ ゴシック" w:hAnsi="ＭＳ ゴシック" w:eastAsia="ＭＳ ゴシック"/>
                          <w:sz w:val="22"/>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6-3-11</w:t>
                      </w:r>
                      <w:r>
                        <w:rPr>
                          <w:rFonts w:hint="eastAsia" w:ascii="ＭＳ ゴシック" w:hAnsi="ＭＳ ゴシック" w:eastAsia="ＭＳ ゴシック"/>
                          <w:color w:val="000000"/>
                          <w:sz w:val="22"/>
                        </w:rPr>
                        <w:t>）急性心筋梗塞治療センター</w:t>
                      </w:r>
                    </w:p>
                  </w:txbxContent>
                </v:textbox>
                <v:imagedata o:title=""/>
                <w10:wrap type="none" anchorx="page" anchory="page"/>
              </v:shape>
            </w:pict>
          </mc:Fallback>
        </mc:AlternateContent>
      </w: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r>
        <w:rPr>
          <w:rFonts w:hint="eastAsia"/>
          <w:highlight w:val="none"/>
        </w:rPr>
        <w:drawing>
          <wp:anchor distT="0" distB="0" distL="203200" distR="203200" simplePos="0" relativeHeight="5" behindDoc="0" locked="0" layoutInCell="1" hidden="0" allowOverlap="1">
            <wp:simplePos x="0" y="0"/>
            <wp:positionH relativeFrom="column">
              <wp:posOffset>757555</wp:posOffset>
            </wp:positionH>
            <wp:positionV relativeFrom="paragraph">
              <wp:posOffset>59690</wp:posOffset>
            </wp:positionV>
            <wp:extent cx="4665345" cy="2764790"/>
            <wp:effectExtent l="0" t="0" r="0" b="0"/>
            <wp:wrapNone/>
            <wp:docPr id="1064" name="オブジェクト 0"/>
            <a:graphic xmlns:a="http://schemas.openxmlformats.org/drawingml/2006/main">
              <a:graphicData uri="http://schemas.openxmlformats.org/drawingml/2006/picture">
                <pic:pic xmlns:pic="http://schemas.openxmlformats.org/drawingml/2006/picture">
                  <pic:nvPicPr>
                    <pic:cNvPr id="1064" name="オブジェクト 0"/>
                    <pic:cNvPicPr>
                      <a:picLocks noChangeAspect="1"/>
                    </pic:cNvPicPr>
                  </pic:nvPicPr>
                  <pic:blipFill>
                    <a:blip r:embed="rId20"/>
                    <a:stretch>
                      <a:fillRect/>
                    </a:stretch>
                  </pic:blipFill>
                  <pic:spPr>
                    <a:xfrm>
                      <a:off x="0" y="0"/>
                      <a:ext cx="4665345" cy="2764790"/>
                    </a:xfrm>
                    <a:prstGeom prst="rect">
                      <a:avLst/>
                    </a:prstGeom>
                  </pic:spPr>
                </pic:pic>
              </a:graphicData>
            </a:graphic>
          </wp:anchor>
        </w:drawing>
      </w: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r>
        <w:rPr>
          <w:rFonts w:hint="eastAsia" w:ascii="ＭＳ 明朝" w:hAnsi="ＭＳ 明朝" w:eastAsia="ＭＳ 明朝"/>
          <w:color w:val="auto"/>
          <w:sz w:val="22"/>
          <w:highlight w:val="none"/>
          <w:u w:val="none" w:color="auto"/>
        </w:rPr>
        <w:t>その他の急性期の医療資源の状況については、循環器内科医、心臓血管外科医</w:t>
      </w:r>
      <w:r>
        <w:rPr>
          <w:rFonts w:hint="eastAsia" w:ascii="ＭＳ 明朝" w:hAnsi="ＭＳ 明朝" w:eastAsia="ＭＳ 明朝"/>
          <w:color w:val="auto"/>
          <w:sz w:val="22"/>
          <w:highlight w:val="none"/>
          <w:u w:val="none" w:color="FF0000"/>
        </w:rPr>
        <w:t>等</w:t>
      </w:r>
      <w:r>
        <w:rPr>
          <w:rFonts w:hint="eastAsia" w:ascii="ＭＳ 明朝" w:hAnsi="ＭＳ 明朝" w:eastAsia="ＭＳ 明朝"/>
          <w:color w:val="auto"/>
          <w:sz w:val="22"/>
          <w:highlight w:val="none"/>
          <w:u w:val="none" w:color="auto"/>
        </w:rPr>
        <w:t>は、全国平均より多くなっています</w:t>
      </w:r>
      <w:r>
        <w:rPr>
          <w:rFonts w:hint="eastAsia" w:ascii="ＭＳ 明朝" w:hAnsi="ＭＳ 明朝" w:eastAsia="ＭＳ 明朝"/>
          <w:color w:val="auto"/>
          <w:sz w:val="22"/>
          <w:highlight w:val="none"/>
          <w:u w:val="none" w:color="FF0000"/>
        </w:rPr>
        <w:t>(</w:t>
      </w:r>
      <w:r>
        <w:rPr>
          <w:rFonts w:hint="eastAsia" w:ascii="ＭＳ 明朝" w:hAnsi="ＭＳ 明朝" w:eastAsia="ＭＳ 明朝"/>
          <w:color w:val="auto"/>
          <w:sz w:val="22"/>
          <w:highlight w:val="none"/>
          <w:u w:val="none" w:color="FF0000"/>
        </w:rPr>
        <w:t>図表</w:t>
      </w:r>
      <w:r>
        <w:rPr>
          <w:rFonts w:hint="eastAsia" w:ascii="ＭＳ 明朝" w:hAnsi="ＭＳ 明朝" w:eastAsia="ＭＳ 明朝"/>
          <w:color w:val="auto"/>
          <w:sz w:val="22"/>
          <w:highlight w:val="none"/>
          <w:u w:val="none" w:color="FF0000"/>
        </w:rPr>
        <w:t>6-3-12) (</w:t>
      </w:r>
      <w:r>
        <w:rPr>
          <w:rFonts w:hint="eastAsia" w:ascii="ＭＳ 明朝" w:hAnsi="ＭＳ 明朝" w:eastAsia="ＭＳ 明朝"/>
          <w:color w:val="auto"/>
          <w:sz w:val="22"/>
          <w:highlight w:val="none"/>
          <w:u w:val="none" w:color="FF0000"/>
        </w:rPr>
        <w:t>図表</w:t>
      </w:r>
      <w:r>
        <w:rPr>
          <w:rFonts w:hint="eastAsia" w:ascii="ＭＳ 明朝" w:hAnsi="ＭＳ 明朝" w:eastAsia="ＭＳ 明朝"/>
          <w:color w:val="auto"/>
          <w:sz w:val="22"/>
          <w:highlight w:val="none"/>
          <w:u w:val="none" w:color="FF0000"/>
        </w:rPr>
        <w:t>6-3-14)</w:t>
      </w:r>
      <w:r>
        <w:rPr>
          <w:rFonts w:hint="eastAsia" w:ascii="ＭＳ 明朝" w:hAnsi="ＭＳ 明朝" w:eastAsia="ＭＳ 明朝"/>
          <w:color w:val="auto"/>
          <w:sz w:val="22"/>
          <w:highlight w:val="none"/>
          <w:u w:val="none" w:color="FF0000"/>
        </w:rPr>
        <w:t>。</w:t>
      </w:r>
      <w:r>
        <w:rPr>
          <w:rFonts w:hint="eastAsia" w:ascii="ＭＳ 明朝" w:hAnsi="ＭＳ 明朝" w:eastAsia="ＭＳ 明朝"/>
          <w:color w:val="auto"/>
          <w:sz w:val="22"/>
          <w:highlight w:val="none"/>
          <w:u w:val="none" w:color="auto"/>
        </w:rPr>
        <w:t>しかし、医療資源は中央保健医療圏に集中し、急性心筋梗塞治療センターについても、高幡保健医療圏にはありません</w:t>
      </w:r>
      <w:r>
        <w:rPr>
          <w:rFonts w:hint="eastAsia" w:ascii="ＭＳ 明朝" w:hAnsi="ＭＳ 明朝" w:eastAsia="ＭＳ 明朝"/>
          <w:color w:val="auto"/>
          <w:sz w:val="22"/>
          <w:highlight w:val="none"/>
          <w:u w:val="none" w:color="FF0000"/>
        </w:rPr>
        <w:t>(</w:t>
      </w:r>
      <w:r>
        <w:rPr>
          <w:rFonts w:hint="eastAsia" w:ascii="ＭＳ 明朝" w:hAnsi="ＭＳ 明朝" w:eastAsia="ＭＳ 明朝"/>
          <w:color w:val="auto"/>
          <w:sz w:val="22"/>
          <w:highlight w:val="none"/>
          <w:u w:val="none" w:color="FF0000"/>
        </w:rPr>
        <w:t>図表</w:t>
      </w:r>
      <w:r>
        <w:rPr>
          <w:rFonts w:hint="eastAsia" w:ascii="ＭＳ 明朝" w:hAnsi="ＭＳ 明朝" w:eastAsia="ＭＳ 明朝"/>
          <w:color w:val="auto"/>
          <w:sz w:val="22"/>
          <w:highlight w:val="none"/>
          <w:u w:val="none" w:color="FF0000"/>
        </w:rPr>
        <w:t>6-3-11)</w:t>
      </w:r>
      <w:r>
        <w:rPr>
          <w:rFonts w:hint="eastAsia" w:ascii="ＭＳ 明朝" w:hAnsi="ＭＳ 明朝" w:eastAsia="ＭＳ 明朝"/>
          <w:color w:val="auto"/>
          <w:sz w:val="22"/>
          <w:highlight w:val="none"/>
          <w:u w:val="none" w:color="FF0000"/>
        </w:rPr>
        <w:t>。</w:t>
      </w:r>
    </w:p>
    <w:p>
      <w:pPr>
        <w:pStyle w:val="0"/>
        <w:tabs>
          <w:tab w:val="left" w:leader="none" w:pos="7704"/>
        </w:tabs>
        <w:ind w:leftChars="0" w:firstLine="0" w:firstLineChars="0"/>
        <w:rPr>
          <w:rFonts w:hint="eastAsia" w:ascii="ＭＳ 明朝" w:hAnsi="ＭＳ 明朝" w:eastAsia="ＭＳ 明朝"/>
          <w:color w:val="FF0000"/>
          <w:sz w:val="22"/>
          <w:highlight w:val="none"/>
        </w:rPr>
      </w:pPr>
    </w:p>
    <w:p>
      <w:pPr>
        <w:pStyle w:val="0"/>
        <w:ind w:left="0" w:leftChars="0" w:firstLine="0" w:firstLineChars="0"/>
        <w:jc w:val="center"/>
        <w:rPr>
          <w:rFonts w:hint="eastAsia" w:ascii="ＭＳ 明朝" w:hAnsi="ＭＳ 明朝" w:eastAsia="ＭＳ 明朝"/>
          <w:color w:val="auto"/>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6-3-12</w:t>
      </w:r>
      <w:r>
        <w:rPr>
          <w:rFonts w:hint="eastAsia" w:ascii="ＭＳ ゴシック" w:hAnsi="ＭＳ ゴシック" w:eastAsia="ＭＳ ゴシック"/>
          <w:color w:val="auto"/>
          <w:sz w:val="22"/>
          <w:highlight w:val="none"/>
        </w:rPr>
        <w:t>）循環器内科医数</w:t>
      </w:r>
    </w:p>
    <w:tbl>
      <w:tblPr>
        <w:tblStyle w:val="11"/>
        <w:tblW w:w="8390" w:type="dxa"/>
        <w:jc w:val="left"/>
        <w:tblInd w:w="14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926"/>
        <w:gridCol w:w="1084"/>
        <w:gridCol w:w="1064"/>
        <w:gridCol w:w="1064"/>
        <w:gridCol w:w="1084"/>
        <w:gridCol w:w="1084"/>
        <w:gridCol w:w="1084"/>
      </w:tblGrid>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ind w:firstLine="325" w:firstLineChars="150"/>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医師数</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85</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9</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100</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13,026</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w:t>
            </w:r>
            <w:r>
              <w:rPr>
                <w:rFonts w:hint="eastAsia" w:ascii="ＭＳ 明朝" w:hAnsi="ＭＳ 明朝" w:eastAsia="ＭＳ 明朝"/>
                <w:sz w:val="20"/>
                <w:highlight w:val="none"/>
              </w:rPr>
              <w:t>万人対</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9.2</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16.5</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3.9</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11.3</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14.5</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10.4</w:t>
            </w:r>
          </w:p>
        </w:tc>
      </w:tr>
    </w:tbl>
    <w:p>
      <w:pPr>
        <w:pStyle w:val="0"/>
        <w:jc w:val="center"/>
        <w:rPr>
          <w:rFonts w:hint="eastAsia" w:ascii="ＭＳ 明朝" w:hAnsi="ＭＳ 明朝" w:eastAsia="ＭＳ 明朝"/>
          <w:highlight w:val="none"/>
        </w:rPr>
      </w:pPr>
      <w:r>
        <w:rPr>
          <w:rFonts w:hint="eastAsia" w:ascii="ＭＳ 明朝" w:hAnsi="ＭＳ 明朝" w:eastAsia="ＭＳ 明朝"/>
          <w:highlight w:val="none"/>
        </w:rPr>
        <w:t>　　　　　　　　　　　　　　　　　　</w:t>
      </w: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2</w:t>
      </w:r>
      <w:r>
        <w:rPr>
          <w:rFonts w:hint="eastAsia" w:ascii="ＭＳ 明朝" w:hAnsi="ＭＳ 明朝" w:eastAsia="ＭＳ 明朝"/>
          <w:color w:val="auto"/>
          <w:sz w:val="16"/>
          <w:highlight w:val="none"/>
          <w:u w:val="none" w:color="auto"/>
        </w:rPr>
        <w:t>年</w:t>
      </w:r>
      <w:r>
        <w:rPr>
          <w:rFonts w:hint="eastAsia" w:ascii="ＭＳ 明朝" w:hAnsi="ＭＳ 明朝" w:eastAsia="ＭＳ 明朝"/>
          <w:sz w:val="16"/>
          <w:highlight w:val="none"/>
        </w:rPr>
        <w:t>医師・歯科医師・薬剤師調査</w:t>
      </w:r>
    </w:p>
    <w:p>
      <w:pPr>
        <w:pStyle w:val="0"/>
        <w:jc w:val="center"/>
        <w:rPr>
          <w:rFonts w:hint="eastAsia" w:ascii="ＭＳ 明朝" w:hAnsi="ＭＳ 明朝" w:eastAsia="ＭＳ 明朝"/>
          <w:sz w:val="16"/>
          <w:highlight w:val="none"/>
        </w:rPr>
      </w:pPr>
      <w:r>
        <w:rPr>
          <w:rFonts w:hint="eastAsia" w:ascii="ＭＳ 明朝" w:hAnsi="ＭＳ 明朝" w:eastAsia="ＭＳ 明朝"/>
          <w:highlight w:val="none"/>
        </w:rPr>
        <w:t>　　　　　　　　　</w:t>
      </w:r>
    </w:p>
    <w:p>
      <w:pPr>
        <w:pStyle w:val="0"/>
        <w:ind w:left="0" w:leftChars="0" w:firstLine="0" w:firstLineChars="0"/>
        <w:jc w:val="center"/>
        <w:rPr>
          <w:rFonts w:hint="eastAsia" w:ascii="ＭＳ 明朝" w:hAnsi="ＭＳ 明朝" w:eastAsia="ＭＳ 明朝"/>
          <w:color w:val="auto"/>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6-3-13</w:t>
      </w:r>
      <w:r>
        <w:rPr>
          <w:rFonts w:hint="eastAsia" w:ascii="ＭＳ ゴシック" w:hAnsi="ＭＳ ゴシック" w:eastAsia="ＭＳ ゴシック"/>
          <w:color w:val="auto"/>
          <w:sz w:val="22"/>
          <w:highlight w:val="none"/>
        </w:rPr>
        <w:t>）心血管カテーテル治療専門医数</w:t>
      </w:r>
    </w:p>
    <w:tbl>
      <w:tblPr>
        <w:tblStyle w:val="11"/>
        <w:tblW w:w="8390" w:type="dxa"/>
        <w:jc w:val="left"/>
        <w:tblInd w:w="14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918"/>
        <w:gridCol w:w="1079"/>
        <w:gridCol w:w="1078"/>
        <w:gridCol w:w="1079"/>
        <w:gridCol w:w="1079"/>
        <w:gridCol w:w="1078"/>
        <w:gridCol w:w="1079"/>
      </w:tblGrid>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ind w:firstLine="325" w:firstLineChars="150"/>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医師数</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11</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11</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4,701</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w:t>
            </w:r>
            <w:r>
              <w:rPr>
                <w:rFonts w:hint="eastAsia" w:ascii="ＭＳ 明朝" w:hAnsi="ＭＳ 明朝" w:eastAsia="ＭＳ 明朝"/>
                <w:sz w:val="20"/>
                <w:highlight w:val="none"/>
              </w:rPr>
              <w:t>万人対</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2.2</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1.6</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3.8</w:t>
            </w:r>
          </w:p>
        </w:tc>
      </w:tr>
    </w:tbl>
    <w:p>
      <w:pPr>
        <w:pStyle w:val="0"/>
        <w:snapToGrid w:val="0"/>
        <w:ind w:leftChars="0" w:firstLine="1131" w:firstLineChars="640"/>
        <w:jc w:val="left"/>
        <w:rPr>
          <w:rFonts w:hint="eastAsia" w:ascii="ＭＳ 明朝" w:hAnsi="ＭＳ 明朝" w:eastAsia="ＭＳ 明朝"/>
          <w:sz w:val="16"/>
          <w:highlight w:val="none"/>
        </w:rPr>
      </w:pPr>
      <w:r>
        <w:rPr>
          <w:rFonts w:hint="eastAsia" w:ascii="ＭＳ 明朝" w:hAnsi="ＭＳ 明朝" w:eastAsia="ＭＳ 明朝"/>
          <w:sz w:val="16"/>
          <w:highlight w:val="none"/>
        </w:rPr>
        <w:t>　出典：日本心血管インターベンション治療学会（</w:t>
      </w:r>
      <w:r>
        <w:rPr>
          <w:rFonts w:hint="eastAsia" w:ascii="ＭＳ 明朝" w:hAnsi="ＭＳ 明朝" w:eastAsia="ＭＳ 明朝"/>
          <w:sz w:val="16"/>
          <w:highlight w:val="none"/>
        </w:rPr>
        <w:t>CVTI</w:t>
      </w:r>
      <w:r>
        <w:rPr>
          <w:rFonts w:hint="eastAsia" w:ascii="ＭＳ 明朝" w:hAnsi="ＭＳ 明朝" w:eastAsia="ＭＳ 明朝"/>
          <w:sz w:val="16"/>
          <w:highlight w:val="none"/>
        </w:rPr>
        <w:t>）専門医検索</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年</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月</w:t>
      </w:r>
      <w:r>
        <w:rPr>
          <w:rFonts w:hint="eastAsia" w:ascii="ＭＳ 明朝" w:hAnsi="ＭＳ 明朝" w:eastAsia="ＭＳ 明朝"/>
          <w:color w:val="auto"/>
          <w:sz w:val="16"/>
          <w:highlight w:val="none"/>
          <w:u w:val="none" w:color="auto"/>
        </w:rPr>
        <w:t>15</w:t>
      </w:r>
      <w:r>
        <w:rPr>
          <w:rFonts w:hint="eastAsia" w:ascii="ＭＳ 明朝" w:hAnsi="ＭＳ 明朝" w:eastAsia="ＭＳ 明朝"/>
          <w:color w:val="auto"/>
          <w:sz w:val="16"/>
          <w:highlight w:val="none"/>
          <w:u w:val="none" w:color="auto"/>
        </w:rPr>
        <w:t>日現在）</w:t>
      </w:r>
    </w:p>
    <w:p>
      <w:pPr>
        <w:pStyle w:val="0"/>
        <w:jc w:val="center"/>
        <w:rPr>
          <w:rFonts w:hint="eastAsia" w:ascii="ＭＳ 明朝" w:hAnsi="ＭＳ 明朝" w:eastAsia="ＭＳ 明朝"/>
          <w:sz w:val="16"/>
          <w:highlight w:val="none"/>
        </w:rPr>
      </w:pPr>
    </w:p>
    <w:p>
      <w:pPr>
        <w:pStyle w:val="0"/>
        <w:ind w:left="0" w:leftChars="0" w:firstLine="0" w:firstLineChars="0"/>
        <w:jc w:val="center"/>
        <w:rPr>
          <w:rFonts w:hint="eastAsia" w:ascii="ＭＳ 明朝" w:hAnsi="ＭＳ 明朝" w:eastAsia="ＭＳ 明朝"/>
          <w:color w:val="auto"/>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6-3-14</w:t>
      </w:r>
      <w:r>
        <w:rPr>
          <w:rFonts w:hint="eastAsia" w:ascii="ＭＳ ゴシック" w:hAnsi="ＭＳ ゴシック" w:eastAsia="ＭＳ ゴシック"/>
          <w:color w:val="auto"/>
          <w:sz w:val="22"/>
          <w:highlight w:val="none"/>
        </w:rPr>
        <w:t>）心臓血管外科医師数</w:t>
      </w:r>
    </w:p>
    <w:tbl>
      <w:tblPr>
        <w:tblStyle w:val="11"/>
        <w:tblW w:w="8391" w:type="dxa"/>
        <w:jc w:val="left"/>
        <w:tblInd w:w="15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926"/>
        <w:gridCol w:w="1077"/>
        <w:gridCol w:w="1078"/>
        <w:gridCol w:w="1077"/>
        <w:gridCol w:w="1077"/>
        <w:gridCol w:w="1077"/>
        <w:gridCol w:w="1079"/>
      </w:tblGrid>
      <w:tr>
        <w:trPr>
          <w:cantSplit/>
          <w:trHeight w:val="397" w:hRule="atLeast"/>
        </w:trPr>
        <w:tc>
          <w:tcPr>
            <w:tcW w:w="19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計</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397" w:hRule="atLeast"/>
        </w:trPr>
        <w:tc>
          <w:tcPr>
            <w:tcW w:w="19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医師数</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20</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21</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3,222</w:t>
            </w:r>
          </w:p>
        </w:tc>
      </w:tr>
      <w:tr>
        <w:trPr>
          <w:cantSplit/>
          <w:trHeight w:val="397" w:hRule="atLeast"/>
        </w:trPr>
        <w:tc>
          <w:tcPr>
            <w:tcW w:w="19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w:t>
            </w:r>
            <w:r>
              <w:rPr>
                <w:rFonts w:hint="eastAsia" w:ascii="ＭＳ 明朝" w:hAnsi="ＭＳ 明朝" w:eastAsia="ＭＳ 明朝"/>
                <w:sz w:val="20"/>
                <w:highlight w:val="none"/>
              </w:rPr>
              <w:t>万人対</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3.9</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1.3</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3.0</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2.6</w:t>
            </w:r>
          </w:p>
        </w:tc>
      </w:tr>
    </w:tbl>
    <w:p>
      <w:pPr>
        <w:pStyle w:val="0"/>
        <w:tabs>
          <w:tab w:val="clear" w:pos="8998"/>
        </w:tabs>
        <w:spacing w:line="0" w:lineRule="atLeast"/>
        <w:jc w:val="center"/>
        <w:rPr>
          <w:rFonts w:hint="eastAsia" w:ascii="ＭＳ 明朝" w:hAnsi="ＭＳ 明朝" w:eastAsia="ＭＳ 明朝"/>
          <w:sz w:val="16"/>
          <w:highlight w:val="none"/>
        </w:rPr>
      </w:pPr>
      <w:r>
        <w:rPr>
          <w:rFonts w:hint="eastAsia" w:ascii="ＭＳ 明朝" w:hAnsi="ＭＳ 明朝" w:eastAsia="ＭＳ 明朝"/>
          <w:sz w:val="16"/>
          <w:highlight w:val="none"/>
        </w:rPr>
        <w:t>　　　　　　　　　　　　　　　　　　　　　　　　</w:t>
      </w:r>
      <w:bookmarkStart w:id="0" w:name="_GoBack"/>
      <w:bookmarkEnd w:id="0"/>
      <w:r>
        <w:rPr>
          <w:rFonts w:hint="eastAsia" w:ascii="ＭＳ 明朝" w:hAnsi="ＭＳ 明朝" w:eastAsia="ＭＳ 明朝"/>
          <w:sz w:val="16"/>
          <w:highlight w:val="none"/>
        </w:rPr>
        <w:t>　出典：</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2</w:t>
      </w:r>
      <w:r>
        <w:rPr>
          <w:rFonts w:hint="eastAsia" w:ascii="ＭＳ 明朝" w:hAnsi="ＭＳ 明朝" w:eastAsia="ＭＳ 明朝"/>
          <w:color w:val="auto"/>
          <w:sz w:val="16"/>
          <w:highlight w:val="none"/>
          <w:u w:val="none" w:color="auto"/>
        </w:rPr>
        <w:t>年</w:t>
      </w:r>
      <w:r>
        <w:rPr>
          <w:rFonts w:hint="eastAsia" w:ascii="ＭＳ 明朝" w:hAnsi="ＭＳ 明朝" w:eastAsia="ＭＳ 明朝"/>
          <w:sz w:val="16"/>
          <w:highlight w:val="none"/>
        </w:rPr>
        <w:t>医師・歯科医師・薬剤師調査</w:t>
      </w:r>
    </w:p>
    <w:p>
      <w:pPr>
        <w:pStyle w:val="0"/>
        <w:rPr>
          <w:rFonts w:hint="eastAsia" w:ascii="ＭＳ 明朝" w:hAnsi="ＭＳ 明朝" w:eastAsia="ＭＳ 明朝"/>
          <w:sz w:val="16"/>
          <w:highlight w:val="none"/>
        </w:rPr>
      </w:pPr>
      <w:r>
        <w:rPr>
          <w:rFonts w:hint="eastAsia" w:ascii="ＭＳ 明朝" w:hAnsi="ＭＳ 明朝" w:eastAsia="ＭＳ 明朝"/>
          <w:highlight w:val="none"/>
        </w:rPr>
        <w:br w:type="page"/>
      </w:r>
    </w:p>
    <w:p>
      <w:pPr>
        <w:pStyle w:val="0"/>
        <w:ind w:left="0" w:leftChars="0" w:firstLine="0" w:firstLineChars="0"/>
        <w:jc w:val="center"/>
        <w:rPr>
          <w:rFonts w:hint="eastAsia" w:ascii="ＭＳ 明朝" w:hAnsi="ＭＳ 明朝" w:eastAsia="ＭＳ 明朝"/>
          <w:color w:val="auto"/>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6-3-15</w:t>
      </w:r>
      <w:r>
        <w:rPr>
          <w:rFonts w:hint="eastAsia" w:ascii="ＭＳ ゴシック" w:hAnsi="ＭＳ ゴシック" w:eastAsia="ＭＳ ゴシック"/>
          <w:color w:val="auto"/>
          <w:sz w:val="22"/>
          <w:highlight w:val="none"/>
        </w:rPr>
        <w:t>）心臓血管外科専門医数</w:t>
      </w:r>
    </w:p>
    <w:tbl>
      <w:tblPr>
        <w:tblStyle w:val="11"/>
        <w:tblW w:w="8391" w:type="dxa"/>
        <w:jc w:val="left"/>
        <w:tblInd w:w="14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905"/>
        <w:gridCol w:w="1072"/>
        <w:gridCol w:w="1052"/>
        <w:gridCol w:w="1053"/>
        <w:gridCol w:w="1072"/>
        <w:gridCol w:w="1072"/>
        <w:gridCol w:w="1165"/>
      </w:tblGrid>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w:t>
            </w:r>
          </w:p>
        </w:tc>
        <w:tc>
          <w:tcPr>
            <w:tcW w:w="11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ind w:firstLine="325" w:firstLineChars="150"/>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医師数</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18</w:t>
            </w:r>
          </w:p>
        </w:tc>
        <w:tc>
          <w:tcPr>
            <w:tcW w:w="11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2,557</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w:t>
            </w:r>
            <w:r>
              <w:rPr>
                <w:rFonts w:hint="eastAsia" w:ascii="ＭＳ 明朝" w:hAnsi="ＭＳ 明朝" w:eastAsia="ＭＳ 明朝"/>
                <w:sz w:val="20"/>
                <w:highlight w:val="none"/>
              </w:rPr>
              <w:t>万人対</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2.7</w:t>
            </w:r>
          </w:p>
        </w:tc>
        <w:tc>
          <w:tcPr>
            <w:tcW w:w="11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2.1</w:t>
            </w:r>
          </w:p>
        </w:tc>
      </w:tr>
    </w:tbl>
    <w:p>
      <w:pPr>
        <w:pStyle w:val="0"/>
        <w:snapToGrid w:val="0"/>
        <w:jc w:val="center"/>
        <w:rPr>
          <w:rFonts w:hint="eastAsia" w:ascii="ＭＳ 明朝" w:hAnsi="ＭＳ 明朝" w:eastAsia="ＭＳ 明朝"/>
          <w:sz w:val="16"/>
          <w:highlight w:val="none"/>
        </w:rPr>
      </w:pPr>
      <w:r>
        <w:rPr>
          <w:rFonts w:hint="eastAsia" w:ascii="ＭＳ 明朝" w:hAnsi="ＭＳ 明朝" w:eastAsia="ＭＳ 明朝"/>
          <w:sz w:val="16"/>
          <w:highlight w:val="none"/>
        </w:rPr>
        <w:t>　　　　　　　　　　　　　　　　　　　　　　　　　出典：</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年</w:t>
      </w:r>
      <w:r>
        <w:rPr>
          <w:rFonts w:hint="eastAsia" w:ascii="ＭＳ 明朝" w:hAnsi="ＭＳ 明朝" w:eastAsia="ＭＳ 明朝"/>
          <w:color w:val="auto"/>
          <w:sz w:val="16"/>
          <w:highlight w:val="none"/>
          <w:u w:val="none" w:color="auto"/>
        </w:rPr>
        <w:t>4</w:t>
      </w:r>
      <w:r>
        <w:rPr>
          <w:rFonts w:hint="eastAsia" w:ascii="ＭＳ 明朝" w:hAnsi="ＭＳ 明朝" w:eastAsia="ＭＳ 明朝"/>
          <w:color w:val="auto"/>
          <w:sz w:val="16"/>
          <w:highlight w:val="none"/>
          <w:u w:val="none" w:color="auto"/>
        </w:rPr>
        <w:t>月</w:t>
      </w:r>
      <w:r>
        <w:rPr>
          <w:rFonts w:hint="eastAsia" w:ascii="ＭＳ 明朝" w:hAnsi="ＭＳ 明朝" w:eastAsia="ＭＳ 明朝"/>
          <w:sz w:val="16"/>
          <w:highlight w:val="none"/>
        </w:rPr>
        <w:t>心臓血管外科専門医認定機構</w:t>
      </w:r>
    </w:p>
    <w:p>
      <w:pPr>
        <w:pStyle w:val="0"/>
        <w:snapToGrid w:val="0"/>
        <w:jc w:val="center"/>
        <w:rPr>
          <w:rFonts w:hint="eastAsia" w:ascii="ＭＳ 明朝" w:hAnsi="ＭＳ 明朝" w:eastAsia="ＭＳ 明朝"/>
          <w:sz w:val="16"/>
          <w:highlight w:val="none"/>
        </w:rPr>
      </w:pPr>
    </w:p>
    <w:tbl>
      <w:tblPr>
        <w:tblStyle w:val="44"/>
        <w:tblpPr w:leftFromText="0" w:rightFromText="0" w:topFromText="0" w:bottomFromText="0" w:vertAnchor="text" w:horzAnchor="margin" w:tblpX="142" w:tblpY="331"/>
        <w:tblOverlap w:val="never"/>
        <w:tblW w:w="839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firstRow="1" w:lastRow="0" w:firstColumn="1" w:lastColumn="0" w:noHBand="0" w:noVBand="1" w:val="04A0"/>
      </w:tblPr>
      <w:tblGrid>
        <w:gridCol w:w="1896"/>
        <w:gridCol w:w="1082"/>
        <w:gridCol w:w="1083"/>
        <w:gridCol w:w="1082"/>
        <w:gridCol w:w="1082"/>
        <w:gridCol w:w="1082"/>
        <w:gridCol w:w="1084"/>
      </w:tblGrid>
      <w:tr>
        <w:trPr>
          <w:trHeight w:val="397" w:hRule="atLeast"/>
        </w:trPr>
        <w:tc>
          <w:tcPr>
            <w:tcW w:w="1902" w:type="dxa"/>
            <w:tcBorders>
              <w:top w:val="none" w:color="auto" w:sz="0" w:space="0"/>
              <w:left w:val="none" w:color="auto" w:sz="0" w:space="0"/>
              <w:bottom w:val="none" w:color="auto" w:sz="0" w:space="0"/>
              <w:right w:val="none" w:color="auto" w:sz="0" w:space="0"/>
              <w:tl2br w:val="nil"/>
              <w:tr2bl w:val="nil"/>
            </w:tcBorders>
            <w:shd w:val="clear" w:color="auto" w:fill="DAEEF3"/>
            <w:vAlign w:val="top"/>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 xml:space="preserve"> </w:t>
            </w:r>
            <w:r>
              <w:rPr>
                <w:rFonts w:hint="eastAsia" w:ascii="ＭＳ 明朝" w:hAnsi="ＭＳ 明朝" w:eastAsia="ＭＳ 明朝"/>
                <w:color w:val="auto"/>
                <w:sz w:val="20"/>
                <w:highlight w:val="none"/>
              </w:rPr>
              <w:t>県計</w:t>
            </w:r>
          </w:p>
        </w:tc>
        <w:tc>
          <w:tcPr>
            <w:tcW w:w="1085" w:type="dxa"/>
            <w:tcBorders>
              <w:top w:val="none" w:color="auto" w:sz="0" w:space="0"/>
              <w:left w:val="none" w:color="auto" w:sz="0" w:space="0"/>
              <w:bottom w:val="none" w:color="auto" w:sz="0" w:space="0"/>
              <w:right w:val="none" w:color="auto" w:sz="0" w:space="0"/>
              <w:tl2br w:val="nil"/>
              <w:tr2bl w:val="nil"/>
            </w:tcBorders>
            <w:shd w:val="clear" w:color="auto" w:fill="DAEEF3"/>
            <w:vAlign w:val="center"/>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 xml:space="preserve"> </w:t>
            </w:r>
            <w:r>
              <w:rPr>
                <w:rFonts w:hint="eastAsia" w:ascii="ＭＳ 明朝" w:hAnsi="ＭＳ 明朝" w:eastAsia="ＭＳ 明朝"/>
                <w:color w:val="auto"/>
                <w:sz w:val="20"/>
                <w:highlight w:val="none"/>
              </w:rPr>
              <w:t>安芸</w:t>
            </w:r>
          </w:p>
        </w:tc>
        <w:tc>
          <w:tcPr>
            <w:tcW w:w="1085" w:type="dxa"/>
            <w:tcBorders>
              <w:top w:val="none" w:color="auto" w:sz="0" w:space="0"/>
              <w:left w:val="none" w:color="auto" w:sz="0" w:space="0"/>
              <w:bottom w:val="none" w:color="auto" w:sz="0" w:space="0"/>
              <w:right w:val="none" w:color="auto" w:sz="0" w:space="0"/>
              <w:tl2br w:val="nil"/>
              <w:tr2bl w:val="nil"/>
            </w:tcBorders>
            <w:shd w:val="clear" w:color="auto" w:fill="DAEEF3"/>
            <w:vAlign w:val="center"/>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 xml:space="preserve"> </w:t>
            </w:r>
            <w:r>
              <w:rPr>
                <w:rFonts w:hint="eastAsia" w:ascii="ＭＳ 明朝" w:hAnsi="ＭＳ 明朝" w:eastAsia="ＭＳ 明朝"/>
                <w:color w:val="auto"/>
                <w:sz w:val="20"/>
                <w:highlight w:val="none"/>
              </w:rPr>
              <w:t>中央</w:t>
            </w:r>
          </w:p>
        </w:tc>
        <w:tc>
          <w:tcPr>
            <w:tcW w:w="1085" w:type="dxa"/>
            <w:tcBorders>
              <w:top w:val="none" w:color="auto" w:sz="0" w:space="0"/>
              <w:left w:val="none" w:color="auto" w:sz="0" w:space="0"/>
              <w:bottom w:val="none" w:color="auto" w:sz="0" w:space="0"/>
              <w:right w:val="none" w:color="auto" w:sz="0" w:space="0"/>
              <w:tl2br w:val="nil"/>
              <w:tr2bl w:val="nil"/>
            </w:tcBorders>
            <w:shd w:val="clear" w:color="auto" w:fill="DAEEF3"/>
            <w:vAlign w:val="center"/>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 xml:space="preserve"> </w:t>
            </w:r>
            <w:r>
              <w:rPr>
                <w:rFonts w:hint="eastAsia" w:ascii="ＭＳ 明朝" w:hAnsi="ＭＳ 明朝" w:eastAsia="ＭＳ 明朝"/>
                <w:color w:val="auto"/>
                <w:sz w:val="20"/>
                <w:highlight w:val="none"/>
              </w:rPr>
              <w:t>高幡</w:t>
            </w:r>
          </w:p>
        </w:tc>
        <w:tc>
          <w:tcPr>
            <w:tcW w:w="1085" w:type="dxa"/>
            <w:tcBorders>
              <w:top w:val="none" w:color="auto" w:sz="0" w:space="0"/>
              <w:left w:val="none" w:color="auto" w:sz="0" w:space="0"/>
              <w:bottom w:val="none" w:color="auto" w:sz="0" w:space="0"/>
              <w:right w:val="none" w:color="auto" w:sz="0" w:space="0"/>
              <w:tl2br w:val="nil"/>
              <w:tr2bl w:val="nil"/>
            </w:tcBorders>
            <w:shd w:val="clear" w:color="auto" w:fill="DAEEF3"/>
            <w:vAlign w:val="center"/>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 xml:space="preserve"> </w:t>
            </w:r>
            <w:r>
              <w:rPr>
                <w:rFonts w:hint="eastAsia" w:ascii="ＭＳ 明朝" w:hAnsi="ＭＳ 明朝" w:eastAsia="ＭＳ 明朝"/>
                <w:color w:val="auto"/>
                <w:sz w:val="20"/>
                <w:highlight w:val="none"/>
              </w:rPr>
              <w:t>幡多</w:t>
            </w:r>
          </w:p>
        </w:tc>
        <w:tc>
          <w:tcPr>
            <w:tcW w:w="1085" w:type="dxa"/>
            <w:tcBorders>
              <w:top w:val="none" w:color="auto" w:sz="0" w:space="0"/>
              <w:left w:val="none" w:color="auto" w:sz="0" w:space="0"/>
              <w:bottom w:val="none" w:color="auto" w:sz="0" w:space="0"/>
              <w:right w:val="none" w:color="auto" w:sz="0" w:space="0"/>
              <w:tl2br w:val="nil"/>
              <w:tr2bl w:val="nil"/>
            </w:tcBorders>
            <w:shd w:val="clear" w:color="auto" w:fill="DAEEF3"/>
            <w:vAlign w:val="top"/>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県</w:t>
            </w:r>
          </w:p>
        </w:tc>
        <w:tc>
          <w:tcPr>
            <w:tcW w:w="1087" w:type="dxa"/>
            <w:tcBorders>
              <w:top w:val="none" w:color="auto" w:sz="0" w:space="0"/>
              <w:left w:val="none" w:color="auto" w:sz="0" w:space="0"/>
              <w:bottom w:val="single" w:color="000000" w:themeColor="text1" w:sz="4" w:space="0"/>
              <w:right w:val="none" w:color="auto" w:sz="0" w:space="0"/>
              <w:tl2br w:val="nil"/>
              <w:tr2bl w:val="nil"/>
            </w:tcBorders>
            <w:shd w:val="clear" w:color="auto" w:fill="DAEEF3"/>
            <w:vAlign w:val="top"/>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全国</w:t>
            </w:r>
          </w:p>
        </w:tc>
      </w:tr>
      <w:tr>
        <w:trPr>
          <w:trHeight w:val="397" w:hRule="atLeast"/>
        </w:trPr>
        <w:tc>
          <w:tcPr>
            <w:tcW w:w="1902" w:type="dxa"/>
            <w:tcBorders>
              <w:top w:val="none" w:color="auto" w:sz="0" w:space="0"/>
              <w:left w:val="none" w:color="auto" w:sz="0" w:space="0"/>
              <w:bottom w:val="none" w:color="auto" w:sz="0" w:space="0"/>
              <w:right w:val="none" w:color="auto" w:sz="0" w:space="0"/>
              <w:tl2br w:val="nil"/>
              <w:tr2bl w:val="nil"/>
            </w:tcBorders>
            <w:shd w:val="clear" w:color="auto" w:fill="DAEEF3"/>
            <w:vAlign w:val="top"/>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病床数</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single" w:color="auto" w:sz="4" w:space="0"/>
              <w:right w:val="none" w:color="auto" w:sz="0" w:space="0"/>
              <w:tl2br w:val="nil"/>
              <w:tr2bl w:val="nil"/>
            </w:tcBorders>
            <w:vAlign w:val="top"/>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w:t>
            </w:r>
          </w:p>
        </w:tc>
        <w:tc>
          <w:tcPr>
            <w:tcW w:w="1087" w:type="dxa"/>
            <w:tcBorders>
              <w:top w:val="none" w:color="auto" w:sz="0" w:space="0"/>
              <w:left w:val="none" w:color="auto" w:sz="0" w:space="0"/>
              <w:bottom w:val="single" w:color="auto" w:sz="4" w:space="0"/>
              <w:right w:val="none" w:color="auto" w:sz="0" w:space="0"/>
              <w:tl2br w:val="nil"/>
              <w:tr2bl w:val="nil"/>
            </w:tcBorders>
            <w:vAlign w:val="top"/>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258</w:t>
            </w:r>
          </w:p>
        </w:tc>
      </w:tr>
      <w:tr>
        <w:trPr>
          <w:trHeight w:val="397" w:hRule="atLeast"/>
        </w:trPr>
        <w:tc>
          <w:tcPr>
            <w:tcW w:w="1902" w:type="dxa"/>
            <w:tcBorders>
              <w:top w:val="none" w:color="auto" w:sz="0" w:space="0"/>
              <w:left w:val="none" w:color="auto" w:sz="0" w:space="0"/>
              <w:bottom w:val="none" w:color="auto" w:sz="0" w:space="0"/>
              <w:right w:val="none" w:color="auto" w:sz="0" w:space="0"/>
              <w:tl2br w:val="nil"/>
              <w:tr2bl w:val="nil"/>
            </w:tcBorders>
            <w:shd w:val="clear" w:color="auto" w:fill="DAEEF3"/>
            <w:vAlign w:val="top"/>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10</w:t>
            </w:r>
            <w:r>
              <w:rPr>
                <w:rFonts w:hint="eastAsia" w:ascii="ＭＳ 明朝" w:hAnsi="ＭＳ 明朝" w:eastAsia="ＭＳ 明朝"/>
                <w:color w:val="auto"/>
                <w:sz w:val="20"/>
                <w:highlight w:val="none"/>
              </w:rPr>
              <w:t>万人対</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0.4</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none" w:color="auto" w:sz="0" w:space="0"/>
              <w:right w:val="none" w:color="auto" w:sz="0" w:space="0"/>
              <w:tl2br w:val="nil"/>
              <w:tr2bl w:val="nil"/>
            </w:tcBorders>
            <w:vAlign w:val="top"/>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0.3</w:t>
            </w:r>
          </w:p>
        </w:tc>
        <w:tc>
          <w:tcPr>
            <w:tcW w:w="1087" w:type="dxa"/>
            <w:tcBorders>
              <w:top w:val="none" w:color="auto" w:sz="0" w:space="0"/>
              <w:left w:val="none" w:color="auto" w:sz="0" w:space="0"/>
              <w:bottom w:val="none" w:color="auto" w:sz="0" w:space="0"/>
              <w:right w:val="none" w:color="auto" w:sz="0" w:space="0"/>
              <w:tl2br w:val="nil"/>
              <w:tr2bl w:val="nil"/>
            </w:tcBorders>
            <w:vAlign w:val="top"/>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0.2</w:t>
            </w:r>
          </w:p>
        </w:tc>
      </w:tr>
    </w:tbl>
    <w:p>
      <w:pPr>
        <w:pStyle w:val="0"/>
        <w:tabs>
          <w:tab w:val="left" w:leader="none" w:pos="7704"/>
        </w:tabs>
        <w:spacing w:line="240" w:lineRule="auto"/>
        <w:ind w:leftChars="0" w:firstLineChars="0"/>
        <w:jc w:val="left"/>
        <w:rPr>
          <w:rFonts w:hint="eastAsia" w:ascii="ＭＳ 明朝" w:hAnsi="ＭＳ 明朝" w:eastAsia="ＭＳ 明朝"/>
          <w:color w:val="FF0000"/>
          <w:sz w:val="20"/>
          <w:highlight w:val="none"/>
        </w:rPr>
      </w:pPr>
      <w:r>
        <w:rPr>
          <w:rFonts w:hint="eastAsia" w:ascii="ＭＳ 明朝" w:hAnsi="ＭＳ 明朝" w:eastAsia="ＭＳ 明朝"/>
          <w:color w:val="auto"/>
          <w:sz w:val="22"/>
          <w:highlight w:val="none"/>
        </w:rPr>
        <w:t>　　　　</w:t>
      </w: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6-3-16</w:t>
      </w:r>
      <w:r>
        <w:rPr>
          <w:rFonts w:hint="eastAsia" w:ascii="ＭＳ ゴシック" w:hAnsi="ＭＳ ゴシック" w:eastAsia="ＭＳ ゴシック"/>
          <w:color w:val="auto"/>
          <w:sz w:val="22"/>
          <w:highlight w:val="none"/>
          <w:u w:val="none" w:color="auto"/>
        </w:rPr>
        <w:t>）心筋梗塞の専用病室（ＣＣＵ）を有する病院数</w:t>
      </w:r>
    </w:p>
    <w:p>
      <w:pPr>
        <w:pStyle w:val="0"/>
        <w:tabs>
          <w:tab w:val="left" w:leader="none" w:pos="7704"/>
        </w:tabs>
        <w:spacing w:line="0" w:lineRule="atLeast"/>
        <w:ind w:left="0" w:leftChars="0" w:firstLine="6245" w:firstLineChars="3762"/>
        <w:jc w:val="left"/>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u w:val="none" w:color="auto"/>
        </w:rPr>
        <w:t>出典：令和</w:t>
      </w:r>
      <w:r>
        <w:rPr>
          <w:rFonts w:hint="eastAsia" w:ascii="ＭＳ 明朝" w:hAnsi="ＭＳ 明朝" w:eastAsia="ＭＳ 明朝"/>
          <w:color w:val="auto"/>
          <w:sz w:val="16"/>
          <w:highlight w:val="none"/>
          <w:u w:val="none" w:color="auto"/>
        </w:rPr>
        <w:t>2</w:t>
      </w:r>
      <w:r>
        <w:rPr>
          <w:rFonts w:hint="eastAsia" w:ascii="ＭＳ 明朝" w:hAnsi="ＭＳ 明朝" w:eastAsia="ＭＳ 明朝"/>
          <w:color w:val="auto"/>
          <w:sz w:val="16"/>
          <w:highlight w:val="none"/>
          <w:u w:val="none" w:color="auto"/>
        </w:rPr>
        <w:t>年医療施設調査</w:t>
      </w:r>
    </w:p>
    <w:p>
      <w:pPr>
        <w:pStyle w:val="0"/>
        <w:tabs>
          <w:tab w:val="left" w:leader="none" w:pos="7704"/>
        </w:tabs>
        <w:ind w:leftChars="0" w:firstLine="0" w:firstLineChars="0"/>
        <w:rPr>
          <w:rFonts w:hint="eastAsia" w:ascii="ＭＳ 明朝" w:hAnsi="ＭＳ 明朝" w:eastAsia="ＭＳ 明朝"/>
          <w:highlight w:val="none"/>
        </w:rPr>
      </w:pPr>
    </w:p>
    <w:p>
      <w:pPr>
        <w:pStyle w:val="0"/>
        <w:ind w:left="0" w:leftChars="0" w:firstLine="947" w:firstLineChars="400"/>
        <w:rPr>
          <w:rFonts w:hint="eastAsia" w:ascii="ＭＳ 明朝" w:hAnsi="ＭＳ 明朝" w:eastAsia="ＭＳ 明朝"/>
          <w:color w:val="auto"/>
          <w:sz w:val="22"/>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6-3-17</w:t>
      </w:r>
      <w:r>
        <w:rPr>
          <w:rFonts w:hint="eastAsia" w:ascii="ＭＳ ゴシック" w:hAnsi="ＭＳ ゴシック" w:eastAsia="ＭＳ ゴシック"/>
          <w:color w:val="auto"/>
          <w:sz w:val="22"/>
          <w:highlight w:val="none"/>
        </w:rPr>
        <w:t>）冠動脈造影検査・治療が実施可能な医療機関数</w:t>
      </w:r>
    </w:p>
    <w:tbl>
      <w:tblPr>
        <w:tblStyle w:val="11"/>
        <w:tblW w:w="8391" w:type="dxa"/>
        <w:jc w:val="left"/>
        <w:tblInd w:w="13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898"/>
        <w:gridCol w:w="1082"/>
        <w:gridCol w:w="1082"/>
        <w:gridCol w:w="1082"/>
        <w:gridCol w:w="1083"/>
        <w:gridCol w:w="1082"/>
        <w:gridCol w:w="1082"/>
      </w:tblGrid>
      <w:tr>
        <w:trPr>
          <w:cantSplit/>
          <w:trHeight w:val="397" w:hRule="atLeast"/>
        </w:trPr>
        <w:tc>
          <w:tcPr>
            <w:tcW w:w="190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454" w:hRule="atLeast"/>
        </w:trPr>
        <w:tc>
          <w:tcPr>
            <w:tcW w:w="190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病院数</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vertAlign w:val="superscript"/>
              </w:rPr>
              <w:t>※</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6</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0</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1</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w:t>
            </w:r>
          </w:p>
        </w:tc>
        <w:tc>
          <w:tcPr>
            <w:tcW w:w="1085" w:type="dxa"/>
            <w:tcBorders>
              <w:top w:val="single" w:color="auto" w:sz="4" w:space="0"/>
              <w:left w:val="single" w:color="auto" w:sz="4" w:space="0"/>
              <w:bottom w:val="single" w:color="auto" w:sz="4" w:space="0"/>
              <w:right w:val="single" w:color="auto" w:sz="4" w:space="0"/>
              <w:tl2br w:val="none" w:color="auto" w:sz="0" w:space="0"/>
              <w:tr2bl w:val="single" w:color="auto" w:sz="4" w:space="0"/>
            </w:tcBorders>
            <w:vAlign w:val="center"/>
          </w:tcPr>
          <w:p>
            <w:pPr>
              <w:pStyle w:val="0"/>
              <w:rPr>
                <w:rFonts w:hint="eastAsia" w:ascii="ＭＳ 明朝" w:hAnsi="ＭＳ 明朝" w:eastAsia="ＭＳ 明朝"/>
                <w:sz w:val="20"/>
                <w:highlight w:val="none"/>
              </w:rPr>
            </w:pPr>
          </w:p>
        </w:tc>
      </w:tr>
    </w:tbl>
    <w:p>
      <w:pPr>
        <w:pStyle w:val="29"/>
        <w:snapToGrid w:val="0"/>
        <w:spacing w:line="0" w:lineRule="atLeast"/>
        <w:ind w:left="720" w:leftChars="0" w:hanging="270" w:firstLineChars="0"/>
        <w:rPr>
          <w:rFonts w:hint="eastAsia" w:ascii="ＭＳ 明朝" w:hAnsi="ＭＳ 明朝" w:eastAsia="ＭＳ 明朝"/>
          <w:sz w:val="16"/>
          <w:highlight w:val="none"/>
        </w:rPr>
      </w:pPr>
      <w:r>
        <w:rPr>
          <w:rFonts w:hint="eastAsia" w:ascii="ＭＳ 明朝" w:hAnsi="ＭＳ 明朝" w:eastAsia="ＭＳ 明朝"/>
          <w:color w:val="auto"/>
          <w:sz w:val="16"/>
          <w:highlight w:val="none"/>
        </w:rPr>
        <w:t>※</w:t>
      </w:r>
      <w:r>
        <w:rPr>
          <w:rFonts w:hint="eastAsia" w:ascii="ＭＳ 明朝" w:hAnsi="ＭＳ 明朝" w:eastAsia="ＭＳ 明朝"/>
          <w:color w:val="auto"/>
          <w:sz w:val="16"/>
          <w:highlight w:val="none"/>
        </w:rPr>
        <w:t xml:space="preserve"> </w:t>
      </w:r>
      <w:r>
        <w:rPr>
          <w:rFonts w:hint="eastAsia" w:ascii="ＭＳ 明朝" w:hAnsi="ＭＳ 明朝" w:eastAsia="ＭＳ 明朝"/>
          <w:color w:val="auto"/>
          <w:sz w:val="16"/>
          <w:highlight w:val="none"/>
        </w:rPr>
        <w:t>一定よりも数値が少ない場合は表示されないため、０ではない。</w:t>
      </w:r>
      <w:r>
        <w:rPr>
          <w:rFonts w:hint="eastAsia" w:ascii="ＭＳ 明朝" w:hAnsi="ＭＳ 明朝" w:eastAsia="ＭＳ 明朝"/>
          <w:sz w:val="22"/>
          <w:highlight w:val="none"/>
        </w:rPr>
        <w:t>　</w:t>
      </w:r>
      <w:r>
        <w:rPr>
          <w:rFonts w:hint="eastAsia" w:ascii="ＭＳ 明朝" w:hAnsi="ＭＳ 明朝" w:eastAsia="ＭＳ 明朝"/>
          <w:sz w:val="22"/>
          <w:highlight w:val="none"/>
        </w:rPr>
        <w:t xml:space="preserve">    </w:t>
      </w: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2</w:t>
      </w:r>
      <w:r>
        <w:rPr>
          <w:rFonts w:hint="eastAsia" w:ascii="ＭＳ 明朝" w:hAnsi="ＭＳ 明朝" w:eastAsia="ＭＳ 明朝"/>
          <w:color w:val="auto"/>
          <w:sz w:val="16"/>
          <w:highlight w:val="none"/>
          <w:u w:val="none" w:color="auto"/>
        </w:rPr>
        <w:t>年</w:t>
      </w:r>
      <w:r>
        <w:rPr>
          <w:rFonts w:hint="eastAsia" w:ascii="ＭＳ 明朝" w:hAnsi="ＭＳ 明朝" w:eastAsia="ＭＳ 明朝"/>
          <w:sz w:val="16"/>
          <w:highlight w:val="none"/>
        </w:rPr>
        <w:t>医療施設調査</w:t>
      </w:r>
    </w:p>
    <w:p>
      <w:pPr>
        <w:pStyle w:val="0"/>
        <w:ind w:firstLine="227" w:firstLineChars="100"/>
        <w:rPr>
          <w:rFonts w:hint="eastAsia" w:ascii="ＭＳ 明朝" w:hAnsi="ＭＳ 明朝" w:eastAsia="ＭＳ 明朝"/>
          <w:highlight w:val="none"/>
        </w:rPr>
      </w:pPr>
    </w:p>
    <w:p>
      <w:pPr>
        <w:pStyle w:val="0"/>
        <w:ind w:left="0" w:leftChars="0" w:firstLine="237" w:firstLineChars="100"/>
        <w:rPr>
          <w:rFonts w:hint="eastAsia" w:ascii="ＭＳ 明朝" w:hAnsi="ＭＳ 明朝" w:eastAsia="ＭＳ 明朝"/>
          <w:color w:val="auto"/>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6-3-18</w:t>
      </w:r>
      <w:r>
        <w:rPr>
          <w:rFonts w:hint="eastAsia" w:ascii="ＭＳ ゴシック" w:hAnsi="ＭＳ ゴシック" w:eastAsia="ＭＳ ゴシック"/>
          <w:color w:val="auto"/>
          <w:sz w:val="22"/>
          <w:highlight w:val="none"/>
        </w:rPr>
        <w:t>）心臓血管手術（冠動脈バイパス術）が実施可能な医療機関数</w:t>
      </w:r>
    </w:p>
    <w:tbl>
      <w:tblPr>
        <w:tblStyle w:val="11"/>
        <w:tblW w:w="8391" w:type="dxa"/>
        <w:jc w:val="left"/>
        <w:tblInd w:w="14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909"/>
        <w:gridCol w:w="1080"/>
        <w:gridCol w:w="1079"/>
        <w:gridCol w:w="1080"/>
        <w:gridCol w:w="1080"/>
        <w:gridCol w:w="1080"/>
        <w:gridCol w:w="1083"/>
      </w:tblGrid>
      <w:tr>
        <w:trPr>
          <w:cantSplit/>
          <w:trHeight w:val="397" w:hRule="atLeast"/>
        </w:trPr>
        <w:tc>
          <w:tcPr>
            <w:tcW w:w="18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計</w:t>
            </w:r>
          </w:p>
        </w:tc>
        <w:tc>
          <w:tcPr>
            <w:tcW w:w="1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454" w:hRule="atLeast"/>
        </w:trPr>
        <w:tc>
          <w:tcPr>
            <w:tcW w:w="18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病院数</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0</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4</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0</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eastAsia" w:ascii="ＭＳ 明朝" w:hAnsi="ＭＳ 明朝" w:eastAsia="ＭＳ 明朝"/>
                <w:sz w:val="20"/>
                <w:highlight w:val="none"/>
              </w:rPr>
            </w:pPr>
            <w:r>
              <w:rPr>
                <w:rFonts w:hint="eastAsia" w:ascii="ＭＳ 明朝" w:hAnsi="ＭＳ 明朝" w:eastAsia="ＭＳ 明朝"/>
                <w:sz w:val="20"/>
                <w:highlight w:val="none"/>
              </w:rPr>
              <w:t xml:space="preserve">    0</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4</w:t>
            </w:r>
          </w:p>
        </w:tc>
        <w:tc>
          <w:tcPr>
            <w:tcW w:w="1074" w:type="dxa"/>
            <w:tcBorders>
              <w:top w:val="single" w:color="auto" w:sz="4" w:space="0"/>
              <w:left w:val="single" w:color="auto" w:sz="4" w:space="0"/>
              <w:bottom w:val="single" w:color="auto" w:sz="4" w:space="0"/>
              <w:right w:val="single" w:color="auto" w:sz="4" w:space="0"/>
              <w:tl2br w:val="none" w:color="auto" w:sz="0" w:space="0"/>
              <w:tr2bl w:val="single" w:color="auto" w:sz="4" w:space="0"/>
            </w:tcBorders>
            <w:vAlign w:val="center"/>
          </w:tcPr>
          <w:p>
            <w:pPr>
              <w:pStyle w:val="0"/>
              <w:rPr>
                <w:rFonts w:hint="eastAsia" w:ascii="ＭＳ 明朝" w:hAnsi="ＭＳ 明朝" w:eastAsia="ＭＳ 明朝"/>
                <w:sz w:val="20"/>
                <w:highlight w:val="none"/>
              </w:rPr>
            </w:pPr>
          </w:p>
        </w:tc>
      </w:tr>
    </w:tbl>
    <w:p>
      <w:pPr>
        <w:pStyle w:val="0"/>
        <w:autoSpaceDE w:val="0"/>
        <w:autoSpaceDN w:val="0"/>
        <w:adjustRightInd w:val="0"/>
        <w:snapToGrid w:val="0"/>
        <w:ind w:leftChars="0" w:firstLine="6119" w:firstLineChars="3462"/>
        <w:jc w:val="left"/>
        <w:rPr>
          <w:rFonts w:hint="eastAsia" w:ascii="ＭＳ 明朝" w:hAnsi="ＭＳ 明朝" w:eastAsia="ＭＳ 明朝"/>
          <w:sz w:val="16"/>
          <w:highlight w:val="none"/>
        </w:rPr>
      </w:pPr>
      <w:r>
        <w:rPr>
          <w:rFonts w:hint="eastAsia" w:ascii="ＭＳ 明朝" w:hAnsi="ＭＳ 明朝" w:eastAsia="ＭＳ 明朝"/>
          <w:sz w:val="16"/>
          <w:highlight w:val="none"/>
        </w:rPr>
        <w:t xml:space="preserve">      </w:t>
      </w: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年医療機能情報</w:t>
      </w:r>
    </w:p>
    <w:p>
      <w:pPr>
        <w:pStyle w:val="0"/>
        <w:autoSpaceDE w:val="0"/>
        <w:autoSpaceDN w:val="0"/>
        <w:adjustRightInd w:val="0"/>
        <w:ind w:left="227" w:leftChars="100" w:firstLine="237" w:firstLineChars="100"/>
        <w:jc w:val="left"/>
        <w:rPr>
          <w:rFonts w:hint="eastAsia" w:ascii="ＭＳ 明朝" w:hAnsi="ＭＳ 明朝" w:eastAsia="ＭＳ 明朝"/>
          <w:color w:val="FF0000"/>
          <w:sz w:val="22"/>
          <w:highlight w:val="none"/>
          <w:u w:val="none" w:color="auto"/>
        </w:rPr>
      </w:pPr>
    </w:p>
    <w:p>
      <w:pPr>
        <w:pStyle w:val="0"/>
        <w:ind w:left="0" w:leftChars="0" w:firstLine="710" w:firstLineChars="300"/>
        <w:rPr>
          <w:rFonts w:hint="eastAsia" w:ascii="ＭＳ 明朝" w:hAnsi="ＭＳ 明朝" w:eastAsia="ＭＳ 明朝"/>
          <w:color w:val="FF0000"/>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6-3-19</w:t>
      </w:r>
      <w:r>
        <w:rPr>
          <w:rFonts w:hint="eastAsia" w:ascii="ＭＳ ゴシック" w:hAnsi="ＭＳ ゴシック" w:eastAsia="ＭＳ ゴシック"/>
          <w:color w:val="auto"/>
          <w:sz w:val="22"/>
          <w:highlight w:val="none"/>
        </w:rPr>
        <w:t>）大動脈バルーンパンピング法施設基準届出病院数</w:t>
      </w:r>
    </w:p>
    <w:tbl>
      <w:tblPr>
        <w:tblStyle w:val="11"/>
        <w:tblW w:w="8391" w:type="dxa"/>
        <w:jc w:val="left"/>
        <w:tblInd w:w="162"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887"/>
        <w:gridCol w:w="1084"/>
        <w:gridCol w:w="1084"/>
        <w:gridCol w:w="1084"/>
        <w:gridCol w:w="1084"/>
        <w:gridCol w:w="1084"/>
        <w:gridCol w:w="1084"/>
      </w:tblGrid>
      <w:tr>
        <w:trPr>
          <w:cantSplit/>
          <w:trHeight w:val="397" w:hRule="atLeast"/>
        </w:trPr>
        <w:tc>
          <w:tcPr>
            <w:tcW w:w="1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計</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625" w:hRule="atLeast"/>
        </w:trPr>
        <w:tc>
          <w:tcPr>
            <w:tcW w:w="1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病院数</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1</w:t>
            </w:r>
            <w:r>
              <w:rPr>
                <w:rFonts w:hint="eastAsia" w:ascii="ＭＳ 明朝" w:hAnsi="ＭＳ 明朝" w:eastAsia="ＭＳ 明朝"/>
                <w:color w:val="auto"/>
                <w:sz w:val="20"/>
                <w:highlight w:val="none"/>
                <w:u w:val="none" w:color="auto"/>
              </w:rPr>
              <w:t>）</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13</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12</w:t>
            </w:r>
            <w:r>
              <w:rPr>
                <w:rFonts w:hint="eastAsia" w:ascii="ＭＳ 明朝" w:hAnsi="ＭＳ 明朝" w:eastAsia="ＭＳ 明朝"/>
                <w:color w:val="auto"/>
                <w:sz w:val="20"/>
                <w:highlight w:val="none"/>
                <w:u w:val="none" w:color="auto"/>
              </w:rPr>
              <w:t>）</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0</w:t>
            </w:r>
            <w:r>
              <w:rPr>
                <w:rFonts w:hint="eastAsia" w:ascii="ＭＳ 明朝" w:hAnsi="ＭＳ 明朝" w:eastAsia="ＭＳ 明朝"/>
                <w:color w:val="auto"/>
                <w:sz w:val="20"/>
                <w:highlight w:val="none"/>
                <w:u w:val="none" w:color="auto"/>
              </w:rPr>
              <w:t>）</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1</w:t>
            </w:r>
            <w:r>
              <w:rPr>
                <w:rFonts w:hint="eastAsia" w:ascii="ＭＳ 明朝" w:hAnsi="ＭＳ 明朝" w:eastAsia="ＭＳ 明朝"/>
                <w:color w:val="auto"/>
                <w:sz w:val="20"/>
                <w:highlight w:val="none"/>
                <w:u w:val="none" w:color="auto"/>
              </w:rPr>
              <w:t>）</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15</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14</w:t>
            </w:r>
            <w:r>
              <w:rPr>
                <w:rFonts w:hint="eastAsia" w:ascii="ＭＳ 明朝" w:hAnsi="ＭＳ 明朝" w:eastAsia="ＭＳ 明朝"/>
                <w:color w:val="auto"/>
                <w:sz w:val="20"/>
                <w:highlight w:val="none"/>
                <w:u w:val="none" w:color="auto"/>
              </w:rPr>
              <w:t>）</w:t>
            </w:r>
          </w:p>
        </w:tc>
        <w:tc>
          <w:tcPr>
            <w:tcW w:w="1075" w:type="dxa"/>
            <w:tcBorders>
              <w:top w:val="single" w:color="auto" w:sz="4" w:space="0"/>
              <w:left w:val="single" w:color="auto" w:sz="4" w:space="0"/>
              <w:bottom w:val="single" w:color="auto" w:sz="4" w:space="0"/>
              <w:right w:val="single" w:color="auto" w:sz="4" w:space="0"/>
              <w:tl2br w:val="none" w:color="auto" w:sz="0" w:space="0"/>
              <w:tr2bl w:val="single" w:color="auto" w:sz="4" w:space="0"/>
            </w:tcBorders>
            <w:vAlign w:val="center"/>
          </w:tcPr>
          <w:p>
            <w:pPr>
              <w:pStyle w:val="0"/>
              <w:rPr>
                <w:rFonts w:hint="eastAsia" w:ascii="ＭＳ 明朝" w:hAnsi="ＭＳ 明朝" w:eastAsia="ＭＳ 明朝"/>
                <w:sz w:val="20"/>
                <w:highlight w:val="none"/>
              </w:rPr>
            </w:pPr>
          </w:p>
        </w:tc>
      </w:tr>
    </w:tbl>
    <w:p>
      <w:pPr>
        <w:pStyle w:val="29"/>
        <w:spacing w:line="0" w:lineRule="atLeast"/>
        <w:ind w:left="720" w:leftChars="0" w:firstLine="410" w:firstLineChars="0"/>
        <w:jc w:val="left"/>
        <w:rPr>
          <w:rFonts w:hint="eastAsia" w:ascii="ＭＳ 明朝" w:hAnsi="ＭＳ 明朝" w:eastAsia="ＭＳ 明朝"/>
          <w:sz w:val="16"/>
          <w:highlight w:val="none"/>
        </w:rPr>
      </w:pPr>
      <w:r>
        <w:rPr>
          <w:rFonts w:hint="eastAsia" w:ascii="ＭＳ 明朝" w:hAnsi="ＭＳ 明朝" w:eastAsia="ＭＳ 明朝"/>
          <w:sz w:val="16"/>
          <w:highlight w:val="none"/>
        </w:rPr>
        <w:t xml:space="preserve">      </w:t>
      </w: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四国厚生支局　施設基準の届出受理状況（令和</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年</w:t>
      </w:r>
      <w:r>
        <w:rPr>
          <w:rFonts w:hint="eastAsia" w:ascii="ＭＳ 明朝" w:hAnsi="ＭＳ 明朝" w:eastAsia="ＭＳ 明朝"/>
          <w:color w:val="auto"/>
          <w:sz w:val="16"/>
          <w:highlight w:val="none"/>
          <w:u w:val="none" w:color="auto"/>
        </w:rPr>
        <w:t>10</w:t>
      </w:r>
      <w:r>
        <w:rPr>
          <w:rFonts w:hint="eastAsia" w:ascii="ＭＳ 明朝" w:hAnsi="ＭＳ 明朝" w:eastAsia="ＭＳ 明朝"/>
          <w:color w:val="auto"/>
          <w:sz w:val="16"/>
          <w:highlight w:val="none"/>
          <w:u w:val="none" w:color="auto"/>
        </w:rPr>
        <w:t>月（括弧内は平成</w:t>
      </w:r>
      <w:r>
        <w:rPr>
          <w:rFonts w:hint="eastAsia" w:ascii="ＭＳ 明朝" w:hAnsi="ＭＳ 明朝" w:eastAsia="ＭＳ 明朝"/>
          <w:color w:val="auto"/>
          <w:sz w:val="16"/>
          <w:highlight w:val="none"/>
          <w:u w:val="none" w:color="auto"/>
        </w:rPr>
        <w:t>29</w:t>
      </w:r>
      <w:r>
        <w:rPr>
          <w:rFonts w:hint="eastAsia" w:ascii="ＭＳ 明朝" w:hAnsi="ＭＳ 明朝" w:eastAsia="ＭＳ 明朝"/>
          <w:color w:val="auto"/>
          <w:sz w:val="16"/>
          <w:highlight w:val="none"/>
          <w:u w:val="none" w:color="auto"/>
        </w:rPr>
        <w:t>年</w:t>
      </w:r>
      <w:r>
        <w:rPr>
          <w:rFonts w:hint="eastAsia" w:ascii="ＭＳ 明朝" w:hAnsi="ＭＳ 明朝" w:eastAsia="ＭＳ 明朝"/>
          <w:color w:val="auto"/>
          <w:sz w:val="16"/>
          <w:highlight w:val="none"/>
          <w:u w:val="none" w:color="auto"/>
        </w:rPr>
        <w:t>8</w:t>
      </w:r>
      <w:r>
        <w:rPr>
          <w:rFonts w:hint="eastAsia" w:ascii="ＭＳ 明朝" w:hAnsi="ＭＳ 明朝" w:eastAsia="ＭＳ 明朝"/>
          <w:color w:val="auto"/>
          <w:sz w:val="16"/>
          <w:highlight w:val="none"/>
          <w:u w:val="none" w:color="auto"/>
        </w:rPr>
        <w:t>月））</w:t>
      </w:r>
    </w:p>
    <w:p>
      <w:pPr>
        <w:pStyle w:val="0"/>
        <w:autoSpaceDE w:val="0"/>
        <w:autoSpaceDN w:val="0"/>
        <w:adjustRightInd w:val="0"/>
        <w:ind w:left="227" w:leftChars="100" w:firstLine="237" w:firstLineChars="100"/>
        <w:jc w:val="left"/>
        <w:rPr>
          <w:rFonts w:hint="eastAsia" w:ascii="ＭＳ 明朝" w:hAnsi="ＭＳ 明朝" w:eastAsia="ＭＳ 明朝"/>
          <w:color w:val="FF0000"/>
          <w:sz w:val="22"/>
          <w:highlight w:val="none"/>
          <w:u w:val="none" w:color="auto"/>
        </w:rPr>
      </w:pPr>
    </w:p>
    <w:p>
      <w:pPr>
        <w:pStyle w:val="0"/>
        <w:ind w:left="227" w:leftChars="10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b w:val="0"/>
          <w:color w:val="auto"/>
          <w:sz w:val="22"/>
          <w:highlight w:val="none"/>
          <w:u w:val="none" w:color="auto"/>
        </w:rPr>
        <w:t>急性心筋梗塞治療センターの治療成績によると、病院到着から経皮的冠動脈形成術のバルーン拡張までの時間（</w:t>
      </w:r>
      <w:r>
        <w:rPr>
          <w:rFonts w:hint="eastAsia" w:ascii="ＭＳ 明朝" w:hAnsi="ＭＳ 明朝" w:eastAsia="ＭＳ 明朝"/>
          <w:color w:val="auto"/>
          <w:sz w:val="22"/>
          <w:highlight w:val="none"/>
          <w:u w:val="none" w:color="auto"/>
        </w:rPr>
        <w:t>ＤＴＢＴ</w:t>
      </w:r>
      <w:r>
        <w:rPr>
          <w:rFonts w:hint="eastAsia" w:ascii="ＭＳ 明朝" w:hAnsi="ＭＳ 明朝" w:eastAsia="ＭＳ 明朝"/>
          <w:b w:val="0"/>
          <w:color w:val="auto"/>
          <w:sz w:val="22"/>
          <w:highlight w:val="none"/>
          <w:u w:val="none" w:color="auto"/>
        </w:rPr>
        <w:t>：</w:t>
      </w:r>
      <w:r>
        <w:rPr>
          <w:rFonts w:hint="eastAsia" w:ascii="ＭＳ 明朝" w:hAnsi="ＭＳ 明朝" w:eastAsia="ＭＳ 明朝"/>
          <w:b w:val="0"/>
          <w:color w:val="auto"/>
          <w:sz w:val="22"/>
          <w:highlight w:val="none"/>
          <w:u w:val="none" w:color="auto"/>
        </w:rPr>
        <w:t>Door to Balloon time</w:t>
      </w:r>
      <w:r>
        <w:rPr>
          <w:rFonts w:hint="eastAsia" w:ascii="ＭＳ 明朝" w:hAnsi="ＭＳ 明朝" w:eastAsia="ＭＳ 明朝"/>
          <w:b w:val="0"/>
          <w:color w:val="auto"/>
          <w:sz w:val="22"/>
          <w:highlight w:val="none"/>
          <w:u w:val="none" w:color="auto"/>
        </w:rPr>
        <w:t>）について、</w:t>
      </w:r>
      <w:r>
        <w:rPr>
          <w:rFonts w:hint="eastAsia" w:ascii="ＭＳ 明朝" w:hAnsi="ＭＳ 明朝" w:eastAsia="ＭＳ 明朝"/>
          <w:b w:val="0"/>
          <w:color w:val="auto"/>
          <w:sz w:val="22"/>
          <w:highlight w:val="none"/>
          <w:u w:val="none" w:color="auto"/>
        </w:rPr>
        <w:t>90</w:t>
      </w:r>
      <w:r>
        <w:rPr>
          <w:rFonts w:hint="eastAsia" w:ascii="ＭＳ 明朝" w:hAnsi="ＭＳ 明朝" w:eastAsia="ＭＳ 明朝"/>
          <w:b w:val="0"/>
          <w:color w:val="auto"/>
          <w:sz w:val="22"/>
          <w:highlight w:val="none"/>
          <w:u w:val="none" w:color="auto"/>
        </w:rPr>
        <w:t>分以内の割合は増加傾向にあります。</w:t>
      </w:r>
      <w:r>
        <w:rPr>
          <w:rFonts w:hint="eastAsia" w:ascii="ＭＳ 明朝" w:hAnsi="ＭＳ 明朝" w:eastAsia="ＭＳ 明朝"/>
          <w:color w:val="auto"/>
          <w:sz w:val="22"/>
          <w:highlight w:val="none"/>
          <w:u w:val="none" w:color="auto"/>
        </w:rPr>
        <w:t>ＤＴＢＴ</w:t>
      </w:r>
      <w:r>
        <w:rPr>
          <w:rFonts w:hint="eastAsia" w:ascii="ＭＳ 明朝" w:hAnsi="ＭＳ 明朝" w:eastAsia="ＭＳ 明朝"/>
          <w:b w:val="0"/>
          <w:color w:val="auto"/>
          <w:sz w:val="22"/>
          <w:highlight w:val="none"/>
          <w:u w:val="none" w:color="auto"/>
        </w:rPr>
        <w:t>中央値も、平成</w:t>
      </w:r>
      <w:r>
        <w:rPr>
          <w:rFonts w:hint="eastAsia" w:ascii="ＭＳ 明朝" w:hAnsi="ＭＳ 明朝" w:eastAsia="ＭＳ 明朝"/>
          <w:b w:val="0"/>
          <w:color w:val="auto"/>
          <w:sz w:val="22"/>
          <w:highlight w:val="none"/>
          <w:u w:val="none" w:color="auto"/>
        </w:rPr>
        <w:t>24</w:t>
      </w:r>
      <w:r>
        <w:rPr>
          <w:rFonts w:hint="eastAsia" w:ascii="ＭＳ 明朝" w:hAnsi="ＭＳ 明朝" w:eastAsia="ＭＳ 明朝"/>
          <w:b w:val="0"/>
          <w:color w:val="auto"/>
          <w:sz w:val="22"/>
          <w:highlight w:val="none"/>
          <w:u w:val="none" w:color="auto"/>
        </w:rPr>
        <w:t>年当初と比較すると短縮傾向にはありますが、令和４年度は新型コロナウイルス感染症の影響等もあり、やや長くなっています（図表</w:t>
      </w:r>
      <w:r>
        <w:rPr>
          <w:rFonts w:hint="eastAsia" w:ascii="ＭＳ 明朝" w:hAnsi="ＭＳ 明朝" w:eastAsia="ＭＳ 明朝"/>
          <w:b w:val="0"/>
          <w:color w:val="auto"/>
          <w:sz w:val="22"/>
          <w:highlight w:val="none"/>
          <w:u w:val="none" w:color="auto"/>
        </w:rPr>
        <w:t>6-3-20</w:t>
      </w:r>
      <w:r>
        <w:rPr>
          <w:rFonts w:hint="eastAsia" w:ascii="ＭＳ 明朝" w:hAnsi="ＭＳ 明朝" w:eastAsia="ＭＳ 明朝"/>
          <w:b w:val="0"/>
          <w:color w:val="auto"/>
          <w:sz w:val="22"/>
          <w:highlight w:val="none"/>
          <w:u w:val="none" w:color="auto"/>
        </w:rPr>
        <w:t>）。ＳＴ上昇型心筋梗塞症例（ＳＴＥＭＩ）における経皮的冠動脈インターベンション（ＰＣＩ）実施率及び生存退院率は各年により差があります（図表</w:t>
      </w:r>
      <w:r>
        <w:rPr>
          <w:rFonts w:hint="eastAsia" w:ascii="ＭＳ 明朝" w:hAnsi="ＭＳ 明朝" w:eastAsia="ＭＳ 明朝"/>
          <w:b w:val="0"/>
          <w:color w:val="auto"/>
          <w:sz w:val="22"/>
          <w:highlight w:val="none"/>
          <w:u w:val="none" w:color="auto"/>
        </w:rPr>
        <w:t>6-3-21</w:t>
      </w:r>
      <w:r>
        <w:rPr>
          <w:rFonts w:hint="eastAsia" w:ascii="ＭＳ 明朝" w:hAnsi="ＭＳ 明朝" w:eastAsia="ＭＳ 明朝"/>
          <w:b w:val="0"/>
          <w:color w:val="auto"/>
          <w:sz w:val="22"/>
          <w:highlight w:val="none"/>
          <w:u w:val="none" w:color="auto"/>
        </w:rPr>
        <w:t>）。</w:t>
      </w:r>
    </w:p>
    <w:p>
      <w:pPr>
        <w:pStyle w:val="0"/>
        <w:ind w:left="227" w:leftChars="100" w:firstLine="237" w:firstLineChars="100"/>
        <w:rPr>
          <w:rFonts w:hint="eastAsia" w:ascii="ＭＳ 明朝" w:hAnsi="ＭＳ 明朝" w:eastAsia="ＭＳ 明朝"/>
          <w:color w:val="000000" w:themeColor="text1"/>
          <w:highlight w:val="none"/>
          <w:u w:val="none" w:color="auto"/>
        </w:rPr>
      </w:pPr>
    </w:p>
    <w:p>
      <w:pPr>
        <w:pStyle w:val="0"/>
        <w:snapToGrid w:val="0"/>
        <w:ind w:leftChars="0" w:firstLine="0" w:firstLineChars="0"/>
        <w:rPr>
          <w:rFonts w:hint="eastAsia" w:ascii="ＭＳ 明朝" w:hAnsi="ＭＳ 明朝" w:eastAsia="ＭＳ 明朝"/>
          <w:highlight w:val="none"/>
        </w:rPr>
      </w:pPr>
    </w:p>
    <w:p>
      <w:pPr>
        <w:pStyle w:val="0"/>
        <w:snapToGrid w:val="0"/>
        <w:ind w:leftChars="0" w:firstLine="0" w:firstLineChars="0"/>
        <w:rPr>
          <w:rFonts w:hint="eastAsia" w:ascii="ＭＳ 明朝" w:hAnsi="ＭＳ 明朝" w:eastAsia="ＭＳ 明朝"/>
          <w:highlight w:val="none"/>
        </w:rPr>
      </w:pPr>
    </w:p>
    <w:p>
      <w:pPr>
        <w:pStyle w:val="0"/>
        <w:snapToGrid w:val="0"/>
        <w:ind w:leftChars="0" w:firstLine="0" w:firstLineChars="0"/>
        <w:rPr>
          <w:rFonts w:hint="eastAsia" w:ascii="ＭＳ 明朝" w:hAnsi="ＭＳ 明朝" w:eastAsia="ＭＳ 明朝"/>
          <w:highlight w:val="none"/>
        </w:rPr>
      </w:pPr>
    </w:p>
    <w:p>
      <w:pPr>
        <w:pStyle w:val="0"/>
        <w:snapToGrid w:val="0"/>
        <w:ind w:leftChars="0" w:firstLine="0" w:firstLineChars="0"/>
        <w:rPr>
          <w:rFonts w:hint="eastAsia" w:ascii="ＭＳ 明朝" w:hAnsi="ＭＳ 明朝" w:eastAsia="ＭＳ 明朝"/>
          <w:highlight w:val="none"/>
        </w:rPr>
      </w:pPr>
    </w:p>
    <w:p>
      <w:pPr>
        <w:pStyle w:val="0"/>
        <w:ind w:firstLine="227" w:firstLineChars="100"/>
        <w:jc w:val="center"/>
        <w:rPr>
          <w:rFonts w:hint="eastAsia" w:ascii="ＭＳ 明朝" w:hAnsi="ＭＳ 明朝" w:eastAsia="ＭＳ 明朝"/>
          <w:kern w:val="0"/>
          <w:sz w:val="22"/>
          <w:highlight w:val="none"/>
        </w:rPr>
      </w:pPr>
    </w:p>
    <w:p>
      <w:pPr>
        <w:pStyle w:val="0"/>
        <w:autoSpaceDE w:val="0"/>
        <w:autoSpaceDN w:val="0"/>
        <w:adjustRightInd w:val="0"/>
        <w:snapToGrid w:val="0"/>
        <w:jc w:val="left"/>
        <w:rPr>
          <w:rFonts w:hint="eastAsia" w:ascii="ＭＳ 明朝" w:hAnsi="ＭＳ 明朝" w:eastAsia="ＭＳ 明朝"/>
          <w:kern w:val="0"/>
          <w:sz w:val="16"/>
          <w:highlight w:val="none"/>
        </w:rPr>
      </w:pPr>
      <w:r>
        <w:rPr>
          <w:rFonts w:hint="eastAsia"/>
        </w:rPr>
        <mc:AlternateContent>
          <mc:Choice Requires="wpg">
            <w:drawing>
              <wp:anchor simplePos="0" relativeHeight="90" behindDoc="0" locked="0" layoutInCell="1" hidden="0" allowOverlap="1">
                <wp:simplePos x="0" y="0"/>
                <wp:positionH relativeFrom="column">
                  <wp:posOffset>-193675</wp:posOffset>
                </wp:positionH>
                <wp:positionV relativeFrom="paragraph">
                  <wp:posOffset>52705</wp:posOffset>
                </wp:positionV>
                <wp:extent cx="5989320" cy="2551430"/>
                <wp:effectExtent l="0" t="0" r="635" b="635"/>
                <wp:wrapNone/>
                <wp:docPr id="1065" name="オブジェクト 0"/>
                <a:graphic xmlns:a="http://schemas.openxmlformats.org/drawingml/2006/main">
                  <a:graphicData uri="http://schemas.microsoft.com/office/word/2010/wordprocessingGroup">
                    <wpg:wgp>
                      <wpg:cNvGrpSpPr/>
                      <wpg:grpSpPr>
                        <a:xfrm>
                          <a:off x="0" y="0"/>
                          <a:ext cx="5989320" cy="2551430"/>
                          <a:chOff x="1113" y="1501"/>
                          <a:chExt cx="9432" cy="4018"/>
                        </a:xfrm>
                      </wpg:grpSpPr>
                      <wpg:graphicFrame>
                        <wpg:cNvPr id="1066" name="オブジェクト 0"/>
                        <wpg:cNvFrPr/>
                        <wpg:xfrm>
                          <a:off x="1113" y="1765"/>
                          <a:ext cx="8953" cy="3425"/>
                        </wpg:xfrm>
                        <a:graphic>
                          <a:graphicData uri="http://schemas.openxmlformats.org/drawingml/2006/chart">
                            <c:chart xmlns:c="http://schemas.openxmlformats.org/drawingml/2006/chart" r:id="rId21"/>
                          </a:graphicData>
                        </a:graphic>
                      </wpg:graphicFrame>
                      <wps:wsp>
                        <wps:cNvPr id="1067" name="テキスト ボックス 2"/>
                        <wps:cNvSpPr txBox="1">
                          <a:spLocks noChangeArrowheads="1"/>
                        </wps:cNvSpPr>
                        <wps:spPr>
                          <a:xfrm>
                            <a:off x="2895" y="1501"/>
                            <a:ext cx="5893" cy="525"/>
                          </a:xfrm>
                          <a:prstGeom prst="rect">
                            <a:avLst/>
                          </a:prstGeom>
                          <a:noFill/>
                          <a:ln w="9525">
                            <a:noFill/>
                            <a:miter lim="800000"/>
                            <a:headEnd/>
                            <a:tailEnd/>
                          </a:ln>
                        </wps:spPr>
                        <wps:txbx>
                          <w:txbxContent>
                            <w:p>
                              <w:pPr>
                                <w:pStyle w:val="0"/>
                                <w:snapToGrid w:val="0"/>
                                <w:jc w:val="center"/>
                                <w:rPr>
                                  <w:rFonts w:hint="default"/>
                                </w:rPr>
                              </w:pPr>
                              <w:r>
                                <w:rPr>
                                  <w:rFonts w:hint="default" w:ascii="ＭＳ ゴシック" w:hAnsi="ＭＳ ゴシック" w:eastAsia="ＭＳ ゴシック"/>
                                  <w:color w:val="000000"/>
                                  <w:sz w:val="22"/>
                                </w:rPr>
                                <w:t>（図表</w:t>
                              </w:r>
                              <w:r>
                                <w:rPr>
                                  <w:rFonts w:hint="default" w:ascii="ＭＳ ゴシック" w:hAnsi="ＭＳ ゴシック" w:eastAsia="ＭＳ ゴシック"/>
                                  <w:color w:val="000000"/>
                                  <w:sz w:val="22"/>
                                </w:rPr>
                                <w:t>6-3-20</w:t>
                              </w:r>
                              <w:r>
                                <w:rPr>
                                  <w:rFonts w:hint="default" w:ascii="ＭＳ ゴシック" w:hAnsi="ＭＳ ゴシック" w:eastAsia="ＭＳ ゴシック"/>
                                  <w:color w:val="000000"/>
                                  <w:sz w:val="22"/>
                                </w:rPr>
                                <w:t>）</w:t>
                              </w:r>
                              <w:r>
                                <w:rPr>
                                  <w:rFonts w:hint="eastAsia" w:ascii="ＭＳ ゴシック" w:hAnsi="ＭＳ ゴシック" w:eastAsia="ＭＳ ゴシック"/>
                                  <w:color w:val="auto"/>
                                  <w:sz w:val="22"/>
                                  <w:highlight w:val="none"/>
                                  <w:u w:val="none" w:color="auto"/>
                                </w:rPr>
                                <w:t>ＤＴＢＴ</w:t>
                              </w:r>
                              <w:r>
                                <w:rPr>
                                  <w:rFonts w:hint="default" w:ascii="ＭＳ ゴシック" w:hAnsi="ＭＳ ゴシック" w:eastAsia="ＭＳ ゴシック"/>
                                  <w:color w:val="000000"/>
                                  <w:sz w:val="22"/>
                                </w:rPr>
                                <w:t>の中央値と</w:t>
                              </w:r>
                              <w:r>
                                <w:rPr>
                                  <w:rFonts w:hint="default" w:ascii="ＭＳ ゴシック" w:hAnsi="ＭＳ ゴシック" w:eastAsia="ＭＳ ゴシック"/>
                                  <w:color w:val="000000"/>
                                  <w:sz w:val="22"/>
                                </w:rPr>
                                <w:t>90</w:t>
                              </w:r>
                              <w:r>
                                <w:rPr>
                                  <w:rFonts w:hint="default" w:ascii="ＭＳ ゴシック" w:hAnsi="ＭＳ ゴシック" w:eastAsia="ＭＳ ゴシック"/>
                                  <w:color w:val="000000"/>
                                  <w:sz w:val="22"/>
                                </w:rPr>
                                <w:t>分以内の割合</w:t>
                              </w:r>
                            </w:p>
                          </w:txbxContent>
                        </wps:txbx>
                        <wps:bodyPr vertOverflow="overflow" horzOverflow="overflow" wrap="square"/>
                      </wps:wsp>
                      <wps:wsp>
                        <wps:cNvPr id="1068" name="オブジェクト 1"/>
                        <wps:cNvSpPr txBox="1">
                          <a:spLocks noChangeArrowheads="1"/>
                        </wps:cNvSpPr>
                        <wps:spPr>
                          <a:xfrm>
                            <a:off x="6439" y="5099"/>
                            <a:ext cx="4106" cy="420"/>
                          </a:xfrm>
                          <a:prstGeom prst="rect">
                            <a:avLst/>
                          </a:prstGeom>
                          <a:noFill/>
                          <a:ln>
                            <a:miter/>
                          </a:ln>
                        </wps:spPr>
                        <wps:txbx>
                          <w:txbxContent>
                            <w:p>
                              <w:pPr>
                                <w:pStyle w:val="0"/>
                                <w:snapToGrid w:val="0"/>
                                <w:rPr>
                                  <w:rFonts w:hint="default"/>
                                </w:rPr>
                              </w:pPr>
                              <w:r>
                                <w:rPr>
                                  <w:rFonts w:hint="default"/>
                                  <w:color w:val="000000"/>
                                  <w:sz w:val="16"/>
                                </w:rPr>
                                <w:t>出典：急性心筋梗塞治療センター治療成績</w:t>
                              </w:r>
                            </w:p>
                          </w:txbxContent>
                        </wps:txbx>
                        <wps:bodyPr vertOverflow="overflow" horzOverflow="overflow" wrap="square" lIns="74295" tIns="8890" rIns="74295" bIns="8890" upright="1"/>
                      </wps:wsp>
                      <wps:wsp>
                        <wps:cNvPr id="1069" name="テキスト 1"/>
                        <wps:cNvSpPr txBox="1"/>
                        <wps:spPr>
                          <a:xfrm>
                            <a:off x="1340" y="1636"/>
                            <a:ext cx="1230" cy="340"/>
                          </a:xfrm>
                          <a:prstGeom prst="rect">
                            <a:avLst/>
                          </a:prstGeom>
                          <a:noFill/>
                          <a:ln w="9525" cmpd="sng">
                            <a:noFill/>
                          </a:ln>
                        </wps:spPr>
                        <wps:txbx>
                          <w:txbxContent>
                            <w:p>
                              <w:pPr>
                                <w:pStyle w:val="0"/>
                                <w:snapToGrid w:val="0"/>
                                <w:rPr>
                                  <w:rFonts w:hint="default"/>
                                </w:rPr>
                              </w:pPr>
                              <w:r>
                                <w:rPr>
                                  <w:rFonts w:hint="default" w:ascii="ＭＳ ゴシック" w:hAnsi="ＭＳ ゴシック" w:eastAsia="ＭＳ ゴシック"/>
                                  <w:color w:val="000000"/>
                                  <w:sz w:val="16"/>
                                </w:rPr>
                                <w:t>（分）</w:t>
                              </w:r>
                            </w:p>
                          </w:txbxContent>
                        </wps:txbx>
                        <wps:bodyPr vertOverflow="clip" horzOverflow="clip" wrap="square"/>
                      </wps:wsp>
                    </wpg:wgp>
                  </a:graphicData>
                </a:graphic>
              </wp:anchor>
            </w:drawing>
          </mc:Choice>
          <mc:Fallback>
            <w:pict>
              <v:group id="オブジェクト 0" style="margin-top:4.1500000000000004pt;mso-position-vertical-relative:text;mso-position-horizontal-relative:text;position:absolute;height:200.9pt;width:471.6pt;margin-left:-15.25pt;z-index:90;" coordsize="9432,4018" coordorigin="1113,1501" o:spid="_x0000_s1065"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425;width:8953;top:1765;left:1113;position:absolute;" o:spid="_x0000_s1066" filled="f" stroked="f" o:spt="75" type="#_x0000_t75">
                  <v:fill/>
                  <v:imagedata o:title="" r:id="rId22"/>
                  <w10:wrap type="none" anchorx="text" anchory="text"/>
                </v:shape>
                <v:shapetype id="_x0000_t202" coordsize="21600,21600" o:spt="202" path="m,l,21600r21600,l21600,xe">
                  <v:stroke joinstyle="miter"/>
                  <v:path gradientshapeok="t" o:connecttype="rect"/>
                </v:shapetype>
                <v:shape id="テキスト ボックス 2" style="height:525;width:5893;top:1501;left:2895;position:absolute;" o:spid="_x0000_s1067" filled="f" stroked="f" strokeweight="0.75pt" o:spt="202" type="#_x0000_t202">
                  <v:fill/>
                  <v:stroke miterlimit="8"/>
                  <v:textbox style="layout-flow:horizontal;">
                    <w:txbxContent>
                      <w:p>
                        <w:pPr>
                          <w:pStyle w:val="0"/>
                          <w:snapToGrid w:val="0"/>
                          <w:jc w:val="center"/>
                          <w:rPr>
                            <w:rFonts w:hint="default"/>
                          </w:rPr>
                        </w:pPr>
                        <w:r>
                          <w:rPr>
                            <w:rFonts w:hint="default" w:ascii="ＭＳ ゴシック" w:hAnsi="ＭＳ ゴシック" w:eastAsia="ＭＳ ゴシック"/>
                            <w:color w:val="000000"/>
                            <w:sz w:val="22"/>
                          </w:rPr>
                          <w:t>（図表</w:t>
                        </w:r>
                        <w:r>
                          <w:rPr>
                            <w:rFonts w:hint="default" w:ascii="ＭＳ ゴシック" w:hAnsi="ＭＳ ゴシック" w:eastAsia="ＭＳ ゴシック"/>
                            <w:color w:val="000000"/>
                            <w:sz w:val="22"/>
                          </w:rPr>
                          <w:t>6-3-20</w:t>
                        </w:r>
                        <w:r>
                          <w:rPr>
                            <w:rFonts w:hint="default" w:ascii="ＭＳ ゴシック" w:hAnsi="ＭＳ ゴシック" w:eastAsia="ＭＳ ゴシック"/>
                            <w:color w:val="000000"/>
                            <w:sz w:val="22"/>
                          </w:rPr>
                          <w:t>）</w:t>
                        </w:r>
                        <w:r>
                          <w:rPr>
                            <w:rFonts w:hint="eastAsia" w:ascii="ＭＳ ゴシック" w:hAnsi="ＭＳ ゴシック" w:eastAsia="ＭＳ ゴシック"/>
                            <w:color w:val="auto"/>
                            <w:sz w:val="22"/>
                            <w:highlight w:val="none"/>
                            <w:u w:val="none" w:color="auto"/>
                          </w:rPr>
                          <w:t>ＤＴＢＴ</w:t>
                        </w:r>
                        <w:r>
                          <w:rPr>
                            <w:rFonts w:hint="default" w:ascii="ＭＳ ゴシック" w:hAnsi="ＭＳ ゴシック" w:eastAsia="ＭＳ ゴシック"/>
                            <w:color w:val="000000"/>
                            <w:sz w:val="22"/>
                          </w:rPr>
                          <w:t>の中央値と</w:t>
                        </w:r>
                        <w:r>
                          <w:rPr>
                            <w:rFonts w:hint="default" w:ascii="ＭＳ ゴシック" w:hAnsi="ＭＳ ゴシック" w:eastAsia="ＭＳ ゴシック"/>
                            <w:color w:val="000000"/>
                            <w:sz w:val="22"/>
                          </w:rPr>
                          <w:t>90</w:t>
                        </w:r>
                        <w:r>
                          <w:rPr>
                            <w:rFonts w:hint="default" w:ascii="ＭＳ ゴシック" w:hAnsi="ＭＳ ゴシック" w:eastAsia="ＭＳ ゴシック"/>
                            <w:color w:val="000000"/>
                            <w:sz w:val="22"/>
                          </w:rPr>
                          <w:t>分以内の割合</w:t>
                        </w:r>
                      </w:p>
                    </w:txbxContent>
                  </v:textbox>
                  <v:imagedata o:title=""/>
                  <w10:wrap type="none" anchorx="text" anchory="text"/>
                </v:shape>
                <v:shape id="オブジェクト 1" style="height:420;width:4106;top:5099;left:6439;position:absolute;" o:spid="_x0000_s1068" filled="f" stroked="f" o:spt="202" type="#_x0000_t202">
                  <v:fill/>
                  <v:textbox style="layout-flow:horizontal;" inset="2.0637499999999998mm,0.24694444444444438mm,2.0637499999999998mm,0.24694444444444438mm">
                    <w:txbxContent>
                      <w:p>
                        <w:pPr>
                          <w:pStyle w:val="0"/>
                          <w:snapToGrid w:val="0"/>
                          <w:rPr>
                            <w:rFonts w:hint="default"/>
                          </w:rPr>
                        </w:pPr>
                        <w:r>
                          <w:rPr>
                            <w:rFonts w:hint="default"/>
                            <w:color w:val="000000"/>
                            <w:sz w:val="16"/>
                          </w:rPr>
                          <w:t>出典：急性心筋梗塞治療センター治療成績</w:t>
                        </w:r>
                      </w:p>
                    </w:txbxContent>
                  </v:textbox>
                  <v:imagedata o:title=""/>
                  <w10:wrap type="none" anchorx="text" anchory="text"/>
                </v:shape>
                <v:shape id="テキスト 1" style="height:340;width:1230;top:1636;left:1340;position:absolute;" o:spid="_x0000_s1069" filled="f" stroked="f" strokeweight="0.75pt" o:spt="202" type="#_x0000_t202">
                  <v:fill/>
                  <v:stroke linestyle="single"/>
                  <v:textbox style="layout-flow:horizontal;">
                    <w:txbxContent>
                      <w:p>
                        <w:pPr>
                          <w:pStyle w:val="0"/>
                          <w:snapToGrid w:val="0"/>
                          <w:rPr>
                            <w:rFonts w:hint="default"/>
                          </w:rPr>
                        </w:pPr>
                        <w:r>
                          <w:rPr>
                            <w:rFonts w:hint="default" w:ascii="ＭＳ ゴシック" w:hAnsi="ＭＳ ゴシック" w:eastAsia="ＭＳ ゴシック"/>
                            <w:color w:val="000000"/>
                            <w:sz w:val="16"/>
                          </w:rPr>
                          <w:t>（分）</w:t>
                        </w:r>
                      </w:p>
                    </w:txbxContent>
                  </v:textbox>
                  <v:imagedata o:title=""/>
                  <w10:wrap type="none" anchorx="text" anchory="text"/>
                </v:shape>
                <w10:wrap type="none" anchorx="text" anchory="text"/>
              </v:group>
            </w:pict>
          </mc:Fallback>
        </mc:AlternateContent>
      </w: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r>
        <w:rPr>
          <w:rFonts w:hint="eastAsia"/>
        </w:rPr>
        <mc:AlternateContent>
          <mc:Choice Requires="wpg">
            <w:drawing>
              <wp:anchor simplePos="0" relativeHeight="85" behindDoc="0" locked="0" layoutInCell="1" hidden="0" allowOverlap="1">
                <wp:simplePos x="0" y="0"/>
                <wp:positionH relativeFrom="column">
                  <wp:posOffset>-8890</wp:posOffset>
                </wp:positionH>
                <wp:positionV relativeFrom="paragraph">
                  <wp:posOffset>91440</wp:posOffset>
                </wp:positionV>
                <wp:extent cx="5780405" cy="2910205"/>
                <wp:effectExtent l="0" t="0" r="635" b="0"/>
                <wp:wrapNone/>
                <wp:docPr id="1070" name="オブジェクト 0"/>
                <a:graphic xmlns:a="http://schemas.openxmlformats.org/drawingml/2006/main">
                  <a:graphicData uri="http://schemas.microsoft.com/office/word/2010/wordprocessingGroup">
                    <wpg:wgp>
                      <wpg:cNvGrpSpPr/>
                      <wpg:grpSpPr>
                        <a:xfrm>
                          <a:off x="0" y="0"/>
                          <a:ext cx="5780405" cy="2910205"/>
                          <a:chOff x="1404" y="5620"/>
                          <a:chExt cx="9103" cy="4583"/>
                        </a:xfrm>
                      </wpg:grpSpPr>
                      <wpg:graphicFrame>
                        <wpg:cNvPr id="1071" name="オブジェクト 0"/>
                        <wpg:cNvFrPr/>
                        <wpg:xfrm>
                          <a:off x="1618" y="5620"/>
                          <a:ext cx="8340" cy="4583"/>
                        </wpg:xfrm>
                        <a:graphic>
                          <a:graphicData uri="http://schemas.openxmlformats.org/drawingml/2006/chart">
                            <c:chart xmlns:c="http://schemas.openxmlformats.org/drawingml/2006/chart" r:id="rId23"/>
                          </a:graphicData>
                        </a:graphic>
                      </wpg:graphicFrame>
                      <wps:wsp>
                        <wps:cNvPr id="1072" name="テキスト ボックス 2"/>
                        <wps:cNvSpPr txBox="1">
                          <a:spLocks noChangeArrowheads="1"/>
                        </wps:cNvSpPr>
                        <wps:spPr>
                          <a:xfrm>
                            <a:off x="1404" y="5620"/>
                            <a:ext cx="8925" cy="525"/>
                          </a:xfrm>
                          <a:prstGeom prst="rect">
                            <a:avLst/>
                          </a:prstGeom>
                          <a:noFill/>
                          <a:ln w="9525">
                            <a:noFill/>
                            <a:miter lim="800000"/>
                            <a:headEnd/>
                            <a:tailEnd/>
                          </a:ln>
                        </wps:spPr>
                        <wps:txbx>
                          <w:txbxContent>
                            <w:p>
                              <w:pPr>
                                <w:pStyle w:val="0"/>
                                <w:spacing w:line="160" w:lineRule="atLeast"/>
                                <w:jc w:val="center"/>
                                <w:rPr>
                                  <w:rFonts w:hint="eastAsia" w:ascii="ＭＳ ゴシック" w:hAnsi="ＭＳ ゴシック" w:eastAsia="ＭＳ ゴシック"/>
                                  <w:color w:val="auto"/>
                                  <w:sz w:val="22"/>
                                </w:rPr>
                              </w:pPr>
                              <w:r>
                                <w:rPr>
                                  <w:rFonts w:hint="eastAsia" w:ascii="ＭＳ ゴシック" w:hAnsi="ＭＳ ゴシック" w:eastAsia="ＭＳ ゴシック"/>
                                  <w:color w:val="auto"/>
                                  <w:sz w:val="22"/>
                                </w:rPr>
                                <w:t>（図表</w:t>
                              </w:r>
                              <w:r>
                                <w:rPr>
                                  <w:rFonts w:hint="eastAsia" w:ascii="ＭＳ ゴシック" w:hAnsi="ＭＳ ゴシック" w:eastAsia="ＭＳ ゴシック"/>
                                  <w:color w:val="auto"/>
                                  <w:sz w:val="22"/>
                                </w:rPr>
                                <w:t>6-3-21</w:t>
                              </w:r>
                              <w:r>
                                <w:rPr>
                                  <w:rFonts w:hint="eastAsia" w:ascii="ＭＳ ゴシック" w:hAnsi="ＭＳ ゴシック" w:eastAsia="ＭＳ ゴシック"/>
                                  <w:color w:val="auto"/>
                                  <w:sz w:val="22"/>
                                </w:rPr>
                                <w:t>）ＳＴ上昇型心筋梗塞症例におけるＰＣＩ実施率及び生存退院率</w:t>
                              </w:r>
                            </w:p>
                          </w:txbxContent>
                        </wps:txbx>
                        <wps:bodyPr vertOverflow="overflow" horzOverflow="overflow" wrap="square"/>
                      </wps:wsp>
                      <wps:wsp>
                        <wps:cNvPr id="1073" name="テキスト 1"/>
                        <wps:cNvSpPr txBox="1"/>
                        <wps:spPr>
                          <a:xfrm>
                            <a:off x="1682" y="6089"/>
                            <a:ext cx="1275" cy="45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ascii="ＭＳ ゴシック" w:hAnsi="ＭＳ ゴシック" w:eastAsia="ＭＳ ゴシック"/>
                                  <w:sz w:val="20"/>
                                </w:rPr>
                              </w:pPr>
                              <w:r>
                                <w:rPr>
                                  <w:rFonts w:hint="eastAsia" w:ascii="ＭＳ ゴシック" w:hAnsi="ＭＳ ゴシック" w:eastAsia="ＭＳ ゴシック"/>
                                  <w:sz w:val="16"/>
                                </w:rPr>
                                <w:t>（症例）</w:t>
                              </w:r>
                            </w:p>
                          </w:txbxContent>
                        </wps:txbx>
                        <wps:bodyPr vertOverflow="clip" horzOverflow="clip" wrap="square"/>
                      </wps:wsp>
                      <wps:wsp>
                        <wps:cNvPr id="1074" name="オブジェクト 1"/>
                        <wps:cNvSpPr txBox="1">
                          <a:spLocks noChangeArrowheads="1"/>
                        </wps:cNvSpPr>
                        <wps:spPr>
                          <a:xfrm>
                            <a:off x="6817" y="9823"/>
                            <a:ext cx="3690" cy="326"/>
                          </a:xfrm>
                          <a:prstGeom prst="rect">
                            <a:avLst/>
                          </a:prstGeom>
                          <a:noFill/>
                          <a:ln>
                            <a:miter/>
                          </a:ln>
                        </wps:spPr>
                        <wps:txbx>
                          <w:txbxContent>
                            <w:p>
                              <w:pPr>
                                <w:pStyle w:val="0"/>
                                <w:snapToGrid w:val="0"/>
                                <w:rPr>
                                  <w:rFonts w:hint="default"/>
                                </w:rPr>
                              </w:pPr>
                              <w:r>
                                <w:rPr>
                                  <w:rFonts w:hint="default"/>
                                  <w:color w:val="000000"/>
                                  <w:sz w:val="16"/>
                                </w:rPr>
                                <w:t>出典：急性心筋梗塞治療センター治療成績</w:t>
                              </w:r>
                            </w:p>
                          </w:txbxContent>
                        </wps:txbx>
                        <wps:bodyPr vertOverflow="overflow" horzOverflow="overflow" wrap="square" lIns="74295" tIns="8890" rIns="74295" bIns="8890" upright="1"/>
                      </wps:wsp>
                    </wpg:wgp>
                  </a:graphicData>
                </a:graphic>
              </wp:anchor>
            </w:drawing>
          </mc:Choice>
          <mc:Fallback>
            <w:pict>
              <v:group id="オブジェクト 0" style="margin-top:7.2pt;mso-position-vertical-relative:text;mso-position-horizontal-relative:text;position:absolute;height:229.15pt;width:455.15pt;margin-left:-0.7pt;z-index:85;" coordsize="9103,4583" coordorigin="1404,5620" o:spid="_x0000_s107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83;width:8340;top:5620;left:1618;position:absolute;" o:spid="_x0000_s1071" filled="f" stroked="f" o:spt="75" type="#_x0000_t75">
                  <v:fill/>
                  <v:imagedata o:title="" r:id="rId24"/>
                  <w10:wrap type="none" anchorx="text" anchory="text"/>
                </v:shape>
                <v:shapetype id="_x0000_t202" coordsize="21600,21600" o:spt="202" path="m,l,21600r21600,l21600,xe">
                  <v:stroke joinstyle="miter"/>
                  <v:path gradientshapeok="t" o:connecttype="rect"/>
                </v:shapetype>
                <v:shape id="テキスト ボックス 2" style="height:525;width:8925;top:5620;left:1404;position:absolute;" o:spid="_x0000_s1072" filled="f" stroked="f" strokeweight="0.75pt" o:spt="202" type="#_x0000_t202">
                  <v:fill/>
                  <v:stroke miterlimit="8"/>
                  <v:textbox style="layout-flow:horizontal;">
                    <w:txbxContent>
                      <w:p>
                        <w:pPr>
                          <w:pStyle w:val="0"/>
                          <w:spacing w:line="160" w:lineRule="atLeast"/>
                          <w:jc w:val="center"/>
                          <w:rPr>
                            <w:rFonts w:hint="eastAsia" w:ascii="ＭＳ ゴシック" w:hAnsi="ＭＳ ゴシック" w:eastAsia="ＭＳ ゴシック"/>
                            <w:color w:val="auto"/>
                            <w:sz w:val="22"/>
                          </w:rPr>
                        </w:pPr>
                        <w:r>
                          <w:rPr>
                            <w:rFonts w:hint="eastAsia" w:ascii="ＭＳ ゴシック" w:hAnsi="ＭＳ ゴシック" w:eastAsia="ＭＳ ゴシック"/>
                            <w:color w:val="auto"/>
                            <w:sz w:val="22"/>
                          </w:rPr>
                          <w:t>（図表</w:t>
                        </w:r>
                        <w:r>
                          <w:rPr>
                            <w:rFonts w:hint="eastAsia" w:ascii="ＭＳ ゴシック" w:hAnsi="ＭＳ ゴシック" w:eastAsia="ＭＳ ゴシック"/>
                            <w:color w:val="auto"/>
                            <w:sz w:val="22"/>
                          </w:rPr>
                          <w:t>6-3-21</w:t>
                        </w:r>
                        <w:r>
                          <w:rPr>
                            <w:rFonts w:hint="eastAsia" w:ascii="ＭＳ ゴシック" w:hAnsi="ＭＳ ゴシック" w:eastAsia="ＭＳ ゴシック"/>
                            <w:color w:val="auto"/>
                            <w:sz w:val="22"/>
                          </w:rPr>
                          <w:t>）ＳＴ上昇型心筋梗塞症例におけるＰＣＩ実施率及び生存退院率</w:t>
                        </w:r>
                      </w:p>
                    </w:txbxContent>
                  </v:textbox>
                  <v:imagedata o:title=""/>
                  <w10:wrap type="none" anchorx="text" anchory="text"/>
                </v:shape>
                <v:shape id="テキスト 1" style="height:450;width:1275;top:6089;left:1682;position:absolute;" o:spid="_x0000_s1073" filled="f" stroked="f" strokeweight="0.75pt" o:spt="202" type="#_x0000_t202">
                  <v:fill/>
                  <v:stroke linestyle="single"/>
                  <v:textbox style="layout-flow:horizontal;">
                    <w:txbxContent>
                      <w:p>
                        <w:pPr>
                          <w:pStyle w:val="0"/>
                          <w:snapToGrid w:val="0"/>
                          <w:rPr>
                            <w:rFonts w:hint="eastAsia" w:ascii="ＭＳ ゴシック" w:hAnsi="ＭＳ ゴシック" w:eastAsia="ＭＳ ゴシック"/>
                            <w:sz w:val="20"/>
                          </w:rPr>
                        </w:pPr>
                        <w:r>
                          <w:rPr>
                            <w:rFonts w:hint="eastAsia" w:ascii="ＭＳ ゴシック" w:hAnsi="ＭＳ ゴシック" w:eastAsia="ＭＳ ゴシック"/>
                            <w:sz w:val="16"/>
                          </w:rPr>
                          <w:t>（症例）</w:t>
                        </w:r>
                      </w:p>
                    </w:txbxContent>
                  </v:textbox>
                  <v:imagedata o:title=""/>
                  <w10:wrap type="none" anchorx="text" anchory="text"/>
                </v:shape>
                <v:shape id="オブジェクト 1" style="height:326;width:3690;top:9823;left:6817;position:absolute;" o:spid="_x0000_s1074" filled="f" stroked="f" o:spt="202" type="#_x0000_t202">
                  <v:fill/>
                  <v:textbox style="layout-flow:horizontal;" inset="2.0637499999999998mm,0.24694444444444438mm,2.0637499999999998mm,0.24694444444444438mm">
                    <w:txbxContent>
                      <w:p>
                        <w:pPr>
                          <w:pStyle w:val="0"/>
                          <w:snapToGrid w:val="0"/>
                          <w:rPr>
                            <w:rFonts w:hint="default"/>
                          </w:rPr>
                        </w:pPr>
                        <w:r>
                          <w:rPr>
                            <w:rFonts w:hint="default"/>
                            <w:color w:val="000000"/>
                            <w:sz w:val="16"/>
                          </w:rPr>
                          <w:t>出典：急性心筋梗塞治療センター治療成績</w:t>
                        </w:r>
                      </w:p>
                    </w:txbxContent>
                  </v:textbox>
                  <v:imagedata o:title=""/>
                  <w10:wrap type="none" anchorx="text" anchory="text"/>
                </v:shape>
                <w10:wrap type="none" anchorx="text" anchory="text"/>
              </v:group>
            </w:pict>
          </mc:Fallback>
        </mc:AlternateContent>
      </w: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ind w:left="0" w:leftChars="0" w:firstLine="226" w:firstLineChars="100"/>
        <w:jc w:val="left"/>
        <w:rPr>
          <w:rFonts w:hint="eastAsia" w:ascii="ＭＳ 明朝" w:hAnsi="ＭＳ 明朝" w:eastAsia="ＭＳ 明朝"/>
          <w:b w:val="1"/>
          <w:color w:val="000000" w:themeColor="text1"/>
          <w:kern w:val="0"/>
          <w:sz w:val="22"/>
          <w:highlight w:val="none"/>
          <w:u w:val="none" w:color="auto"/>
        </w:rPr>
      </w:pPr>
      <w:r>
        <w:rPr>
          <w:rFonts w:hint="eastAsia" w:ascii="ＭＳ 明朝" w:hAnsi="ＭＳ 明朝" w:eastAsia="ＭＳ 明朝"/>
          <w:b w:val="0"/>
          <w:color w:val="auto"/>
          <w:sz w:val="22"/>
          <w:highlight w:val="none"/>
          <w:u w:val="none" w:color="auto"/>
        </w:rPr>
        <w:t>急性大動脈解離については、入院中の死亡率は全国と比べて低い状況が続いているものの、近年は死亡率が上昇傾向にあります（図表</w:t>
      </w:r>
      <w:r>
        <w:rPr>
          <w:rFonts w:hint="eastAsia" w:ascii="ＭＳ 明朝" w:hAnsi="ＭＳ 明朝" w:eastAsia="ＭＳ 明朝"/>
          <w:b w:val="0"/>
          <w:color w:val="auto"/>
          <w:sz w:val="22"/>
          <w:highlight w:val="none"/>
          <w:u w:val="none" w:color="auto"/>
        </w:rPr>
        <w:t>6-3-22</w:t>
      </w:r>
      <w:r>
        <w:rPr>
          <w:rFonts w:hint="eastAsia" w:ascii="ＭＳ 明朝" w:hAnsi="ＭＳ 明朝" w:eastAsia="ＭＳ 明朝"/>
          <w:b w:val="0"/>
          <w:color w:val="auto"/>
          <w:sz w:val="22"/>
          <w:highlight w:val="none"/>
          <w:u w:val="none" w:color="auto"/>
        </w:rPr>
        <w:t>）。高知県内では、当該医療機関で心臓血管外科医・麻酔科医が不在で急性大動脈解離の緊急手術に対応できない場合には、他の医療機関と個別に連絡を取り協力を得ることにより、概ね全ての患者に県内の医療機関で対応できる体制が構築されています。</w:t>
      </w: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r>
        <w:rPr>
          <w:rFonts w:hint="eastAsia"/>
        </w:rPr>
        <mc:AlternateContent>
          <mc:Choice Requires="wps">
            <w:drawing>
              <wp:anchor simplePos="0" relativeHeight="80" behindDoc="0" locked="0" layoutInCell="1" hidden="0" allowOverlap="1">
                <wp:simplePos x="0" y="0"/>
                <wp:positionH relativeFrom="column">
                  <wp:posOffset>757555</wp:posOffset>
                </wp:positionH>
                <wp:positionV relativeFrom="paragraph">
                  <wp:posOffset>239395</wp:posOffset>
                </wp:positionV>
                <wp:extent cx="809625" cy="285750"/>
                <wp:effectExtent l="0" t="0" r="635" b="635"/>
                <wp:wrapNone/>
                <wp:docPr id="1075" name="テキスト 1"/>
                <a:graphic xmlns:a="http://schemas.openxmlformats.org/drawingml/2006/main">
                  <a:graphicData uri="http://schemas.microsoft.com/office/word/2010/wordprocessingShape">
                    <wps:wsp>
                      <wps:cNvPr id="1075" name="テキスト 1"/>
                      <wps:cNvSpPr txBox="1"/>
                      <wps:spPr>
                        <a:xfrm>
                          <a:off x="0" y="0"/>
                          <a:ext cx="809625" cy="28575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ascii="ＭＳ ゴシック" w:hAnsi="ＭＳ ゴシック" w:eastAsia="ＭＳ ゴシック"/>
                                <w:sz w:val="20"/>
                              </w:rPr>
                            </w:pPr>
                            <w:r>
                              <w:rPr>
                                <w:rFonts w:hint="eastAsia" w:ascii="ＭＳ ゴシック" w:hAnsi="ＭＳ ゴシック" w:eastAsia="ＭＳ ゴシック"/>
                                <w:sz w:val="16"/>
                              </w:rPr>
                              <w:t>（％）</w:t>
                            </w:r>
                          </w:p>
                        </w:txbxContent>
                      </wps:txbx>
                      <wps:bodyPr vertOverflow="clip" horzOverflow="clip" wrap="square"/>
                    </wps:wsp>
                  </a:graphicData>
                </a:graphic>
              </wp:anchor>
            </w:drawing>
          </mc:Choice>
          <mc:Fallback>
            <w:pict>
              <v:shapetype id="_x0000_t202" coordsize="21600,21600" o:spt="202" path="m,l,21600r21600,l21600,xe">
                <v:stroke joinstyle="miter"/>
                <v:path gradientshapeok="t" o:connecttype="rect"/>
              </v:shapetype>
              <v:shape id="テキスト 1" style="margin-top:18.850000000000001pt;mso-position-vertical-relative:text;mso-position-horizontal-relative:text;position:absolute;height:22.5pt;width:63.75pt;margin-left:59.65pt;z-index:80;" o:spid="_x0000_s1075" o:allowincell="t" o:allowoverlap="t" filled="f" stroked="f" strokeweight="0.75pt" o:spt="202" type="#_x0000_t202">
                <v:fill/>
                <v:stroke linestyle="single"/>
                <v:textbox style="layout-flow:horizontal;">
                  <w:txbxContent>
                    <w:p>
                      <w:pPr>
                        <w:pStyle w:val="0"/>
                        <w:snapToGrid w:val="0"/>
                        <w:rPr>
                          <w:rFonts w:hint="eastAsia" w:ascii="ＭＳ ゴシック" w:hAnsi="ＭＳ ゴシック" w:eastAsia="ＭＳ ゴシック"/>
                          <w:sz w:val="20"/>
                        </w:rPr>
                      </w:pPr>
                      <w:r>
                        <w:rPr>
                          <w:rFonts w:hint="eastAsia" w:ascii="ＭＳ ゴシック" w:hAnsi="ＭＳ ゴシック" w:eastAsia="ＭＳ ゴシック"/>
                          <w:sz w:val="16"/>
                        </w:rPr>
                        <w:t>（％）</w:t>
                      </w:r>
                    </w:p>
                  </w:txbxContent>
                </v:textbox>
                <v:imagedata o:title=""/>
                <w10:wrap type="none" anchorx="text" anchory="text"/>
              </v:shape>
            </w:pict>
          </mc:Fallback>
        </mc:AlternateContent>
      </w:r>
      <w:r>
        <w:rPr>
          <w:rFonts w:hint="eastAsia"/>
        </w:rPr>
        <mc:AlternateContent>
          <mc:Choice Requires="wpg">
            <w:drawing>
              <wp:anchor simplePos="0" relativeHeight="81" behindDoc="0" locked="0" layoutInCell="1" hidden="0" allowOverlap="1">
                <wp:simplePos x="0" y="0"/>
                <wp:positionH relativeFrom="column">
                  <wp:posOffset>-45720</wp:posOffset>
                </wp:positionH>
                <wp:positionV relativeFrom="paragraph">
                  <wp:posOffset>1905</wp:posOffset>
                </wp:positionV>
                <wp:extent cx="5941060" cy="2202180"/>
                <wp:effectExtent l="0" t="0" r="635" b="635"/>
                <wp:wrapNone/>
                <wp:docPr id="1076" name="オブジェクト 0"/>
                <a:graphic xmlns:a="http://schemas.openxmlformats.org/drawingml/2006/main">
                  <a:graphicData uri="http://schemas.microsoft.com/office/word/2010/wordprocessingGroup">
                    <wpg:wgp>
                      <wpg:cNvGrpSpPr/>
                      <wpg:grpSpPr>
                        <a:xfrm>
                          <a:off x="0" y="0"/>
                          <a:ext cx="5941060" cy="2202180"/>
                          <a:chOff x="1346" y="12129"/>
                          <a:chExt cx="9356" cy="3468"/>
                        </a:xfrm>
                      </wpg:grpSpPr>
                      <wpg:graphicFrame>
                        <wpg:cNvPr id="1077" name="オブジェクト 0"/>
                        <wpg:cNvFrPr/>
                        <wpg:xfrm>
                          <a:off x="2567" y="12624"/>
                          <a:ext cx="6867" cy="2536"/>
                        </wpg:xfrm>
                        <a:graphic>
                          <a:graphicData uri="http://schemas.openxmlformats.org/drawingml/2006/chart">
                            <c:chart xmlns:c="http://schemas.openxmlformats.org/drawingml/2006/chart" r:id="rId25"/>
                          </a:graphicData>
                        </a:graphic>
                      </wpg:graphicFrame>
                      <wps:wsp>
                        <wps:cNvPr id="1078" name="オブジェクト 0"/>
                        <wps:cNvSpPr txBox="1">
                          <a:spLocks noChangeArrowheads="1"/>
                        </wps:cNvSpPr>
                        <wps:spPr>
                          <a:xfrm>
                            <a:off x="4717" y="15043"/>
                            <a:ext cx="5985" cy="554"/>
                          </a:xfrm>
                          <a:prstGeom prst="rect">
                            <a:avLst/>
                          </a:prstGeom>
                          <a:noFill/>
                          <a:ln>
                            <a:miter/>
                          </a:ln>
                        </wps:spPr>
                        <wps:txbx>
                          <w:txbxContent>
                            <w:p>
                              <w:pPr>
                                <w:pStyle w:val="0"/>
                                <w:spacing w:line="240" w:lineRule="exact"/>
                                <w:rPr>
                                  <w:rFonts w:hint="default"/>
                                  <w:color w:val="auto"/>
                                  <w:sz w:val="16"/>
                                </w:rPr>
                              </w:pPr>
                              <w:r>
                                <w:rPr>
                                  <w:rFonts w:hint="eastAsia"/>
                                  <w:color w:val="auto"/>
                                  <w:sz w:val="16"/>
                                </w:rPr>
                                <w:t>出典：日本循環器学会</w:t>
                              </w:r>
                              <w:r>
                                <w:rPr>
                                  <w:rFonts w:hint="eastAsia"/>
                                  <w:color w:val="auto"/>
                                  <w:sz w:val="16"/>
                                </w:rPr>
                                <w:t xml:space="preserve"> </w:t>
                              </w:r>
                              <w:r>
                                <w:rPr>
                                  <w:rFonts w:hint="eastAsia"/>
                                  <w:color w:val="auto"/>
                                  <w:sz w:val="16"/>
                                </w:rPr>
                                <w:t>循環器疾患診療実態調査</w:t>
                              </w:r>
                              <w:r>
                                <w:rPr>
                                  <w:rFonts w:hint="eastAsia" w:ascii="ＭＳ 明朝" w:hAnsi="ＭＳ 明朝" w:eastAsia="ＭＳ 明朝"/>
                                  <w:color w:val="auto"/>
                                  <w:sz w:val="16"/>
                                </w:rPr>
                                <w:t>（</w:t>
                              </w:r>
                              <w:r>
                                <w:rPr>
                                  <w:rFonts w:hint="eastAsia" w:ascii="ＭＳ 明朝" w:hAnsi="ＭＳ 明朝" w:eastAsia="ＭＳ 明朝"/>
                                  <w:color w:val="auto"/>
                                  <w:sz w:val="16"/>
                                </w:rPr>
                                <w:t>JROAD</w:t>
                              </w:r>
                              <w:r>
                                <w:rPr>
                                  <w:rFonts w:hint="eastAsia" w:ascii="ＭＳ 明朝" w:hAnsi="ＭＳ 明朝" w:eastAsia="ＭＳ 明朝"/>
                                  <w:color w:val="auto"/>
                                  <w:sz w:val="16"/>
                                </w:rPr>
                                <w:t>）</w:t>
                              </w:r>
                            </w:p>
                            <w:p>
                              <w:pPr>
                                <w:pStyle w:val="0"/>
                                <w:spacing w:line="240" w:lineRule="exact"/>
                                <w:ind w:leftChars="0" w:firstLine="419" w:firstLineChars="237"/>
                                <w:rPr>
                                  <w:rFonts w:hint="default"/>
                                  <w:color w:val="auto"/>
                                  <w:sz w:val="16"/>
                                </w:rPr>
                              </w:pPr>
                              <w:r>
                                <w:rPr>
                                  <w:rFonts w:hint="eastAsia"/>
                                  <w:color w:val="auto"/>
                                  <w:sz w:val="16"/>
                                </w:rPr>
                                <w:t>ただし、循環器研修・関連施設からのみ集計されたデータである。</w:t>
                              </w:r>
                            </w:p>
                          </w:txbxContent>
                        </wps:txbx>
                        <wps:bodyPr vertOverflow="overflow" horzOverflow="overflow" wrap="square" lIns="74295" tIns="8890" rIns="74295" bIns="8890" upright="1"/>
                      </wps:wsp>
                      <wps:wsp>
                        <wps:cNvPr id="1079" name="テキスト ボックス 2"/>
                        <wps:cNvSpPr txBox="1">
                          <a:spLocks noChangeArrowheads="1"/>
                        </wps:cNvSpPr>
                        <wps:spPr>
                          <a:xfrm>
                            <a:off x="1346" y="12129"/>
                            <a:ext cx="8739" cy="525"/>
                          </a:xfrm>
                          <a:prstGeom prst="rect">
                            <a:avLst/>
                          </a:prstGeom>
                          <a:noFill/>
                          <a:ln w="9525">
                            <a:noFill/>
                            <a:miter lim="800000"/>
                            <a:headEnd/>
                            <a:tailEnd/>
                          </a:ln>
                        </wps:spPr>
                        <wps:txbx>
                          <w:txbxContent>
                            <w:p>
                              <w:pPr>
                                <w:pStyle w:val="0"/>
                                <w:spacing w:line="160" w:lineRule="atLeast"/>
                                <w:jc w:val="center"/>
                                <w:rPr>
                                  <w:rFonts w:hint="eastAsia" w:ascii="ＭＳ ゴシック" w:hAnsi="ＭＳ ゴシック" w:eastAsia="ＭＳ ゴシック"/>
                                  <w:sz w:val="22"/>
                                  <w:highlight w:val="none"/>
                                </w:rPr>
                              </w:pPr>
                              <w:r>
                                <w:rPr>
                                  <w:rFonts w:hint="eastAsia" w:ascii="ＭＳ ゴシック" w:hAnsi="ＭＳ ゴシック" w:eastAsia="ＭＳ ゴシック"/>
                                  <w:color w:val="000000"/>
                                  <w:sz w:val="22"/>
                                  <w:highlight w:val="none"/>
                                </w:rPr>
                                <w:t>（図表</w:t>
                              </w:r>
                              <w:r>
                                <w:rPr>
                                  <w:rFonts w:hint="eastAsia" w:ascii="ＭＳ ゴシック" w:hAnsi="ＭＳ ゴシック" w:eastAsia="ＭＳ ゴシック"/>
                                  <w:color w:val="000000"/>
                                  <w:sz w:val="22"/>
                                  <w:highlight w:val="none"/>
                                </w:rPr>
                                <w:t>6-3-22</w:t>
                              </w:r>
                              <w:r>
                                <w:rPr>
                                  <w:rFonts w:hint="eastAsia" w:ascii="ＭＳ ゴシック" w:hAnsi="ＭＳ ゴシック" w:eastAsia="ＭＳ ゴシック"/>
                                  <w:color w:val="000000"/>
                                  <w:sz w:val="22"/>
                                  <w:highlight w:val="none"/>
                                </w:rPr>
                                <w:t>）急性大動脈解離による入院中の死亡率</w:t>
                              </w:r>
                            </w:p>
                          </w:txbxContent>
                        </wps:txbx>
                        <wps:bodyPr vertOverflow="overflow" horzOverflow="overflow" wrap="square"/>
                      </wps:wsp>
                    </wpg:wgp>
                  </a:graphicData>
                </a:graphic>
              </wp:anchor>
            </w:drawing>
          </mc:Choice>
          <mc:Fallback>
            <w:pict>
              <v:group id="オブジェクト 0" style="margin-top:0.15pt;mso-position-vertical-relative:text;mso-position-horizontal-relative:text;position:absolute;height:173.4pt;width:467.8pt;margin-left:-3.6pt;z-index:81;" coordsize="9356,3468" coordorigin="1346,12129" o:spid="_x0000_s1076"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536;width:6867;top:12624;left:2567;position:absolute;" o:spid="_x0000_s1077" filled="f" stroked="f" o:spt="75" type="#_x0000_t75">
                  <v:fill/>
                  <v:imagedata o:title="" r:id="rId26"/>
                  <w10:wrap type="none" anchorx="text" anchory="text"/>
                </v:shape>
                <v:shapetype id="_x0000_t202" coordsize="21600,21600" o:spt="202" path="m,l,21600r21600,l21600,xe">
                  <v:stroke joinstyle="miter"/>
                  <v:path gradientshapeok="t" o:connecttype="rect"/>
                </v:shapetype>
                <v:shape id="オブジェクト 0" style="height:554;width:5985;top:15043;left:4717;position:absolute;" o:spid="_x0000_s1078" filled="f" stroked="f" o:spt="202" type="#_x0000_t202">
                  <v:fill/>
                  <v:textbox style="layout-flow:horizontal;" inset="2.0637499999999998mm,0.24694444444444438mm,2.0637499999999998mm,0.24694444444444438mm">
                    <w:txbxContent>
                      <w:p>
                        <w:pPr>
                          <w:pStyle w:val="0"/>
                          <w:spacing w:line="240" w:lineRule="exact"/>
                          <w:rPr>
                            <w:rFonts w:hint="default"/>
                            <w:color w:val="auto"/>
                            <w:sz w:val="16"/>
                          </w:rPr>
                        </w:pPr>
                        <w:r>
                          <w:rPr>
                            <w:rFonts w:hint="eastAsia"/>
                            <w:color w:val="auto"/>
                            <w:sz w:val="16"/>
                          </w:rPr>
                          <w:t>出典：日本循環器学会</w:t>
                        </w:r>
                        <w:r>
                          <w:rPr>
                            <w:rFonts w:hint="eastAsia"/>
                            <w:color w:val="auto"/>
                            <w:sz w:val="16"/>
                          </w:rPr>
                          <w:t xml:space="preserve"> </w:t>
                        </w:r>
                        <w:r>
                          <w:rPr>
                            <w:rFonts w:hint="eastAsia"/>
                            <w:color w:val="auto"/>
                            <w:sz w:val="16"/>
                          </w:rPr>
                          <w:t>循環器疾患診療実態調査</w:t>
                        </w:r>
                        <w:r>
                          <w:rPr>
                            <w:rFonts w:hint="eastAsia" w:ascii="ＭＳ 明朝" w:hAnsi="ＭＳ 明朝" w:eastAsia="ＭＳ 明朝"/>
                            <w:color w:val="auto"/>
                            <w:sz w:val="16"/>
                          </w:rPr>
                          <w:t>（</w:t>
                        </w:r>
                        <w:r>
                          <w:rPr>
                            <w:rFonts w:hint="eastAsia" w:ascii="ＭＳ 明朝" w:hAnsi="ＭＳ 明朝" w:eastAsia="ＭＳ 明朝"/>
                            <w:color w:val="auto"/>
                            <w:sz w:val="16"/>
                          </w:rPr>
                          <w:t>JROAD</w:t>
                        </w:r>
                        <w:r>
                          <w:rPr>
                            <w:rFonts w:hint="eastAsia" w:ascii="ＭＳ 明朝" w:hAnsi="ＭＳ 明朝" w:eastAsia="ＭＳ 明朝"/>
                            <w:color w:val="auto"/>
                            <w:sz w:val="16"/>
                          </w:rPr>
                          <w:t>）</w:t>
                        </w:r>
                      </w:p>
                      <w:p>
                        <w:pPr>
                          <w:pStyle w:val="0"/>
                          <w:spacing w:line="240" w:lineRule="exact"/>
                          <w:ind w:leftChars="0" w:firstLine="419" w:firstLineChars="237"/>
                          <w:rPr>
                            <w:rFonts w:hint="default"/>
                            <w:color w:val="auto"/>
                            <w:sz w:val="16"/>
                          </w:rPr>
                        </w:pPr>
                        <w:r>
                          <w:rPr>
                            <w:rFonts w:hint="eastAsia"/>
                            <w:color w:val="auto"/>
                            <w:sz w:val="16"/>
                          </w:rPr>
                          <w:t>ただし、循環器研修・関連施設からのみ集計されたデータである。</w:t>
                        </w:r>
                      </w:p>
                    </w:txbxContent>
                  </v:textbox>
                  <v:imagedata o:title=""/>
                  <w10:wrap type="none" anchorx="text" anchory="text"/>
                </v:shape>
                <v:shape id="テキスト ボックス 2" style="height:525;width:8739;top:12129;left:1346;position:absolute;" o:spid="_x0000_s1079" filled="f" stroked="f" strokeweight="0.75pt" o:spt="202" type="#_x0000_t202">
                  <v:fill/>
                  <v:stroke miterlimit="8"/>
                  <v:textbox style="layout-flow:horizontal;">
                    <w:txbxContent>
                      <w:p>
                        <w:pPr>
                          <w:pStyle w:val="0"/>
                          <w:spacing w:line="160" w:lineRule="atLeast"/>
                          <w:jc w:val="center"/>
                          <w:rPr>
                            <w:rFonts w:hint="eastAsia" w:ascii="ＭＳ ゴシック" w:hAnsi="ＭＳ ゴシック" w:eastAsia="ＭＳ ゴシック"/>
                            <w:sz w:val="22"/>
                            <w:highlight w:val="none"/>
                          </w:rPr>
                        </w:pPr>
                        <w:r>
                          <w:rPr>
                            <w:rFonts w:hint="eastAsia" w:ascii="ＭＳ ゴシック" w:hAnsi="ＭＳ ゴシック" w:eastAsia="ＭＳ ゴシック"/>
                            <w:color w:val="000000"/>
                            <w:sz w:val="22"/>
                            <w:highlight w:val="none"/>
                          </w:rPr>
                          <w:t>（図表</w:t>
                        </w:r>
                        <w:r>
                          <w:rPr>
                            <w:rFonts w:hint="eastAsia" w:ascii="ＭＳ ゴシック" w:hAnsi="ＭＳ ゴシック" w:eastAsia="ＭＳ ゴシック"/>
                            <w:color w:val="000000"/>
                            <w:sz w:val="22"/>
                            <w:highlight w:val="none"/>
                          </w:rPr>
                          <w:t>6-3-22</w:t>
                        </w:r>
                        <w:r>
                          <w:rPr>
                            <w:rFonts w:hint="eastAsia" w:ascii="ＭＳ ゴシック" w:hAnsi="ＭＳ ゴシック" w:eastAsia="ＭＳ ゴシック"/>
                            <w:color w:val="000000"/>
                            <w:sz w:val="22"/>
                            <w:highlight w:val="none"/>
                          </w:rPr>
                          <w:t>）急性大動脈解離による入院中の死亡率</w:t>
                        </w:r>
                      </w:p>
                    </w:txbxContent>
                  </v:textbox>
                  <v:imagedata o:title=""/>
                  <w10:wrap type="none" anchorx="text" anchory="text"/>
                </v:shape>
                <w10:wrap type="none" anchorx="text" anchory="text"/>
              </v:group>
            </w:pict>
          </mc:Fallback>
        </mc:AlternateContent>
      </w:r>
      <w:r>
        <w:rPr>
          <w:rFonts w:hint="eastAsia" w:ascii="ＭＳ 明朝" w:hAnsi="ＭＳ 明朝" w:eastAsia="ＭＳ 明朝"/>
          <w:highlight w:val="none"/>
        </w:rPr>
        <w:br w:type="page"/>
      </w:r>
    </w:p>
    <w:p>
      <w:pPr>
        <w:pStyle w:val="0"/>
        <w:autoSpaceDE w:val="0"/>
        <w:autoSpaceDN w:val="0"/>
        <w:adjustRightInd w:val="0"/>
        <w:spacing w:before="165" w:beforeLines="50" w:beforeAutospacing="0"/>
        <w:jc w:val="left"/>
        <w:rPr>
          <w:rFonts w:hint="eastAsia" w:ascii="ＭＳ 明朝" w:hAnsi="ＭＳ 明朝" w:eastAsia="ＭＳ 明朝"/>
          <w:b w:val="1"/>
          <w:color w:val="002060"/>
          <w:kern w:val="0"/>
          <w:sz w:val="22"/>
          <w:highlight w:val="none"/>
          <w:u w:val="none" w:color="auto"/>
        </w:rPr>
      </w:pPr>
      <w:r>
        <w:rPr>
          <w:rFonts w:hint="eastAsia" w:ascii="ＭＳ 明朝" w:hAnsi="ＭＳ 明朝" w:eastAsia="ＭＳ 明朝"/>
          <w:b w:val="1"/>
          <w:color w:val="0070C0"/>
          <w:sz w:val="22"/>
          <w:highlight w:val="none"/>
        </w:rPr>
        <w:t>５　回復期</w:t>
      </w:r>
      <w:r>
        <w:rPr>
          <w:rFonts w:hint="eastAsia" w:ascii="ＭＳ 明朝" w:hAnsi="ＭＳ 明朝" w:eastAsia="ＭＳ 明朝"/>
          <w:b w:val="1"/>
          <w:color w:val="0070C0"/>
          <w:kern w:val="0"/>
          <w:sz w:val="22"/>
          <w:highlight w:val="none"/>
          <w:u w:val="none" w:color="auto"/>
        </w:rPr>
        <w:t>及び維持期</w:t>
      </w:r>
      <w:r>
        <w:rPr>
          <w:rFonts w:hint="eastAsia" w:ascii="ＭＳ 明朝" w:hAnsi="ＭＳ 明朝" w:eastAsia="ＭＳ 明朝"/>
          <w:b w:val="1"/>
          <w:color w:val="0070C0"/>
          <w:sz w:val="22"/>
          <w:highlight w:val="none"/>
          <w:u w:val="none" w:color="auto"/>
        </w:rPr>
        <w:t>の</w:t>
      </w:r>
      <w:r>
        <w:rPr>
          <w:rFonts w:hint="eastAsia" w:ascii="ＭＳ 明朝" w:hAnsi="ＭＳ 明朝" w:eastAsia="ＭＳ 明朝"/>
          <w:b w:val="1"/>
          <w:color w:val="0070C0"/>
          <w:kern w:val="0"/>
          <w:sz w:val="22"/>
          <w:highlight w:val="none"/>
          <w:u w:val="none" w:color="auto"/>
        </w:rPr>
        <w:t>医療提供体制</w:t>
      </w:r>
    </w:p>
    <w:p>
      <w:pPr>
        <w:pStyle w:val="0"/>
        <w:ind w:left="226" w:leftChars="100" w:right="296" w:rightChars="131" w:firstLine="226"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rPr>
        <w:t>心血管疾患の回復期</w:t>
      </w:r>
      <w:r>
        <w:rPr>
          <w:rFonts w:hint="eastAsia" w:ascii="ＭＳ 明朝" w:hAnsi="ＭＳ 明朝" w:eastAsia="ＭＳ 明朝"/>
          <w:b w:val="0"/>
          <w:color w:val="auto"/>
          <w:sz w:val="22"/>
          <w:highlight w:val="none"/>
          <w:u w:val="none" w:color="auto"/>
        </w:rPr>
        <w:t>から維持期には、再発・再入院予防が重要です。多職種連携により、運動療法に加えて危険因子の是正等の患者教育を適切に行う必要があります。</w:t>
      </w:r>
    </w:p>
    <w:p>
      <w:pPr>
        <w:pStyle w:val="0"/>
        <w:ind w:left="210" w:leftChars="100" w:firstLine="0" w:firstLineChars="0"/>
        <w:rPr>
          <w:rFonts w:hint="eastAsia" w:ascii="ＭＳ 明朝" w:hAnsi="ＭＳ 明朝" w:eastAsia="ＭＳ 明朝"/>
          <w:b w:val="0"/>
          <w:color w:val="auto"/>
          <w:sz w:val="22"/>
          <w:highlight w:val="none"/>
        </w:rPr>
      </w:pPr>
      <w:r>
        <w:rPr>
          <w:rFonts w:hint="eastAsia" w:ascii="ＭＳ 明朝" w:hAnsi="ＭＳ 明朝" w:eastAsia="ＭＳ 明朝"/>
          <w:b w:val="0"/>
          <w:color w:val="auto"/>
          <w:sz w:val="22"/>
          <w:highlight w:val="none"/>
          <w:u w:val="none" w:color="auto"/>
        </w:rPr>
        <w:t>　心大血管リハビリテーション料のＳＣＲ</w:t>
      </w:r>
      <w:r>
        <w:rPr>
          <w:rFonts w:hint="eastAsia" w:ascii="ＭＳ 明朝" w:hAnsi="ＭＳ 明朝" w:eastAsia="ＭＳ 明朝"/>
          <w:b w:val="0"/>
          <w:color w:val="auto"/>
          <w:sz w:val="22"/>
          <w:highlight w:val="none"/>
          <w:u w:val="none" w:color="auto"/>
          <w:vertAlign w:val="superscript"/>
        </w:rPr>
        <w:t>（注４）</w:t>
      </w:r>
      <w:r>
        <w:rPr>
          <w:rFonts w:hint="eastAsia" w:ascii="ＭＳ 明朝" w:hAnsi="ＭＳ 明朝" w:eastAsia="ＭＳ 明朝"/>
          <w:b w:val="0"/>
          <w:color w:val="auto"/>
          <w:sz w:val="22"/>
          <w:highlight w:val="none"/>
          <w:u w:val="none" w:color="auto"/>
        </w:rPr>
        <w:t>は、入院では県全体で概ね全国平均の実施ができていますが、外来では中央保健医療圏は高く、県全体では低くなっています</w:t>
      </w:r>
      <w:r>
        <w:rPr>
          <w:rFonts w:hint="eastAsia" w:ascii="ＭＳ 明朝" w:hAnsi="ＭＳ 明朝" w:eastAsia="ＭＳ 明朝"/>
          <w:b w:val="0"/>
          <w:color w:val="auto"/>
          <w:sz w:val="22"/>
          <w:highlight w:val="none"/>
          <w:u w:val="none" w:color="FF0000"/>
        </w:rPr>
        <w:t>（図</w:t>
      </w:r>
      <w:r>
        <w:rPr>
          <w:rFonts w:hint="eastAsia"/>
          <w:color w:val="auto"/>
          <w:highlight w:val="none"/>
          <w:u w:val="none" w:color="auto"/>
        </w:rPr>
        <mc:AlternateContent>
          <mc:Choice Requires="wps">
            <w:drawing>
              <wp:anchor simplePos="0" relativeHeight="6" behindDoc="0" locked="0" layoutInCell="1" hidden="0" allowOverlap="1">
                <wp:simplePos x="0" y="0"/>
                <wp:positionH relativeFrom="column">
                  <wp:posOffset>46990</wp:posOffset>
                </wp:positionH>
                <wp:positionV relativeFrom="paragraph">
                  <wp:posOffset>666115</wp:posOffset>
                </wp:positionV>
                <wp:extent cx="5565140" cy="518795"/>
                <wp:effectExtent l="0" t="0" r="635" b="635"/>
                <wp:wrapNone/>
                <wp:docPr id="1080" name="オブジェクト 0"/>
                <a:graphic xmlns:a="http://schemas.openxmlformats.org/drawingml/2006/main">
                  <a:graphicData uri="http://schemas.microsoft.com/office/word/2010/wordprocessingShape">
                    <wps:wsp>
                      <wps:cNvPr id="1080" name="オブジェクト 0"/>
                      <wps:cNvSpPr txBox="1">
                        <a:spLocks noChangeArrowheads="1"/>
                      </wps:cNvSpPr>
                      <wps:spPr>
                        <a:xfrm>
                          <a:off x="0" y="0"/>
                          <a:ext cx="5565140" cy="518795"/>
                        </a:xfrm>
                        <a:prstGeom prst="rect">
                          <a:avLst/>
                        </a:prstGeom>
                        <a:noFill/>
                        <a:ln>
                          <a:miter/>
                        </a:ln>
                      </wps:spPr>
                      <wps:txbx>
                        <w:txbxContent>
                          <w:p>
                            <w:pPr>
                              <w:pStyle w:val="0"/>
                              <w:spacing w:after="165" w:afterLines="50" w:afterAutospacing="0" w:line="240" w:lineRule="exact"/>
                              <w:ind w:left="0" w:leftChars="0" w:hanging="800" w:hangingChars="500"/>
                              <w:rPr>
                                <w:rFonts w:hint="default"/>
                                <w:color w:val="auto"/>
                                <w:sz w:val="16"/>
                              </w:rPr>
                            </w:pPr>
                            <w:r>
                              <w:rPr>
                                <w:rFonts w:hint="eastAsia"/>
                                <w:color w:val="auto"/>
                                <w:sz w:val="16"/>
                              </w:rPr>
                              <w:t>（注４）</w:t>
                            </w:r>
                            <w:r>
                              <w:rPr>
                                <w:rFonts w:hint="eastAsia" w:ascii="ＭＳ 明朝" w:hAnsi="ＭＳ 明朝" w:eastAsia="ＭＳ 明朝"/>
                                <w:color w:val="auto"/>
                                <w:sz w:val="16"/>
                              </w:rPr>
                              <w:t xml:space="preserve"> SCR</w:t>
                            </w:r>
                            <w:r>
                              <w:rPr>
                                <w:rFonts w:hint="eastAsia" w:ascii="ＭＳ 明朝" w:hAnsi="ＭＳ 明朝" w:eastAsia="ＭＳ 明朝"/>
                                <w:color w:val="auto"/>
                                <w:sz w:val="16"/>
                              </w:rPr>
                              <w:t>：全国の性・年齢階級別レセプト出現率を対象地域にあてはめた場合に計算により求められる期待されるレセプト件数と、実際のレセプト件数を比較したもの。年齢構成の異なる地域間の比較に用いられ、</w:t>
                            </w:r>
                            <w:r>
                              <w:rPr>
                                <w:rFonts w:hint="eastAsia" w:ascii="ＭＳ 明朝" w:hAnsi="ＭＳ 明朝" w:eastAsia="ＭＳ 明朝"/>
                                <w:color w:val="auto"/>
                                <w:sz w:val="16"/>
                              </w:rPr>
                              <w:t>SCR</w:t>
                            </w:r>
                            <w:r>
                              <w:rPr>
                                <w:rFonts w:hint="eastAsia" w:ascii="ＭＳ 明朝" w:hAnsi="ＭＳ 明朝" w:eastAsia="ＭＳ 明朝"/>
                                <w:color w:val="auto"/>
                                <w:sz w:val="16"/>
                              </w:rPr>
                              <w:t>が</w:t>
                            </w:r>
                            <w:r>
                              <w:rPr>
                                <w:rFonts w:hint="eastAsia" w:ascii="ＭＳ 明朝" w:hAnsi="ＭＳ 明朝" w:eastAsia="ＭＳ 明朝"/>
                                <w:color w:val="auto"/>
                                <w:sz w:val="16"/>
                              </w:rPr>
                              <w:t>100</w:t>
                            </w:r>
                            <w:r>
                              <w:rPr>
                                <w:rFonts w:hint="eastAsia" w:ascii="ＭＳ 明朝" w:hAnsi="ＭＳ 明朝" w:eastAsia="ＭＳ 明朝"/>
                                <w:color w:val="auto"/>
                                <w:sz w:val="16"/>
                              </w:rPr>
                              <w:t>以上の場合は全国平均より当該項目の件数が</w:t>
                            </w:r>
                            <w:r>
                              <w:rPr>
                                <w:rFonts w:hint="eastAsia"/>
                                <w:color w:val="auto"/>
                                <w:sz w:val="16"/>
                              </w:rPr>
                              <w:t>多いとされる。</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52.45pt;mso-position-vertical-relative:text;mso-position-horizontal-relative:text;position:absolute;height:40.85pt;width:438.2pt;margin-left:3.7pt;z-index:6;" o:spid="_x0000_s1080" o:allowincell="t" o:allowoverlap="t" filled="f" stroked="f" o:spt="202" type="#_x0000_t202">
                <v:fill/>
                <v:textbox style="layout-flow:horizontal;" inset="2.0637499999999998mm,0.24694444444444438mm,2.0637499999999998mm,0.24694444444444438mm">
                  <w:txbxContent>
                    <w:p>
                      <w:pPr>
                        <w:pStyle w:val="0"/>
                        <w:spacing w:after="165" w:afterLines="50" w:afterAutospacing="0" w:line="240" w:lineRule="exact"/>
                        <w:ind w:left="0" w:leftChars="0" w:hanging="800" w:hangingChars="500"/>
                        <w:rPr>
                          <w:rFonts w:hint="default"/>
                          <w:color w:val="auto"/>
                          <w:sz w:val="16"/>
                        </w:rPr>
                      </w:pPr>
                      <w:r>
                        <w:rPr>
                          <w:rFonts w:hint="eastAsia"/>
                          <w:color w:val="auto"/>
                          <w:sz w:val="16"/>
                        </w:rPr>
                        <w:t>（注４）</w:t>
                      </w:r>
                      <w:r>
                        <w:rPr>
                          <w:rFonts w:hint="eastAsia" w:ascii="ＭＳ 明朝" w:hAnsi="ＭＳ 明朝" w:eastAsia="ＭＳ 明朝"/>
                          <w:color w:val="auto"/>
                          <w:sz w:val="16"/>
                        </w:rPr>
                        <w:t xml:space="preserve"> SCR</w:t>
                      </w:r>
                      <w:r>
                        <w:rPr>
                          <w:rFonts w:hint="eastAsia" w:ascii="ＭＳ 明朝" w:hAnsi="ＭＳ 明朝" w:eastAsia="ＭＳ 明朝"/>
                          <w:color w:val="auto"/>
                          <w:sz w:val="16"/>
                        </w:rPr>
                        <w:t>：全国の性・年齢階級別レセプト出現率を対象地域にあてはめた場合に計算により求められる期待されるレセプト件数と、実際のレセプト件数を比較したもの。年齢構成の異なる地域間の比較に用いられ、</w:t>
                      </w:r>
                      <w:r>
                        <w:rPr>
                          <w:rFonts w:hint="eastAsia" w:ascii="ＭＳ 明朝" w:hAnsi="ＭＳ 明朝" w:eastAsia="ＭＳ 明朝"/>
                          <w:color w:val="auto"/>
                          <w:sz w:val="16"/>
                        </w:rPr>
                        <w:t>SCR</w:t>
                      </w:r>
                      <w:r>
                        <w:rPr>
                          <w:rFonts w:hint="eastAsia" w:ascii="ＭＳ 明朝" w:hAnsi="ＭＳ 明朝" w:eastAsia="ＭＳ 明朝"/>
                          <w:color w:val="auto"/>
                          <w:sz w:val="16"/>
                        </w:rPr>
                        <w:t>が</w:t>
                      </w:r>
                      <w:r>
                        <w:rPr>
                          <w:rFonts w:hint="eastAsia" w:ascii="ＭＳ 明朝" w:hAnsi="ＭＳ 明朝" w:eastAsia="ＭＳ 明朝"/>
                          <w:color w:val="auto"/>
                          <w:sz w:val="16"/>
                        </w:rPr>
                        <w:t>100</w:t>
                      </w:r>
                      <w:r>
                        <w:rPr>
                          <w:rFonts w:hint="eastAsia" w:ascii="ＭＳ 明朝" w:hAnsi="ＭＳ 明朝" w:eastAsia="ＭＳ 明朝"/>
                          <w:color w:val="auto"/>
                          <w:sz w:val="16"/>
                        </w:rPr>
                        <w:t>以上の場合は全国平均より当該項目の件数が</w:t>
                      </w:r>
                      <w:r>
                        <w:rPr>
                          <w:rFonts w:hint="eastAsia"/>
                          <w:color w:val="auto"/>
                          <w:sz w:val="16"/>
                        </w:rPr>
                        <w:t>多いとされる。</w:t>
                      </w:r>
                    </w:p>
                  </w:txbxContent>
                </v:textbox>
                <v:imagedata o:title=""/>
                <w10:wrap type="none" anchorx="text" anchory="text"/>
              </v:shape>
            </w:pict>
          </mc:Fallback>
        </mc:AlternateContent>
      </w:r>
      <w:r>
        <w:rPr>
          <w:rFonts w:hint="eastAsia" w:ascii="ＭＳ 明朝" w:hAnsi="ＭＳ 明朝" w:eastAsia="ＭＳ 明朝"/>
          <w:b w:val="0"/>
          <w:color w:val="auto"/>
          <w:sz w:val="22"/>
          <w:highlight w:val="none"/>
          <w:u w:val="none" w:color="FF0000"/>
        </w:rPr>
        <w:t>表</w:t>
      </w:r>
      <w:r>
        <w:rPr>
          <w:rFonts w:hint="eastAsia" w:ascii="ＭＳ 明朝" w:hAnsi="ＭＳ 明朝" w:eastAsia="ＭＳ 明朝"/>
          <w:b w:val="0"/>
          <w:color w:val="auto"/>
          <w:sz w:val="22"/>
          <w:highlight w:val="none"/>
          <w:u w:val="none" w:color="FF0000"/>
        </w:rPr>
        <w:t>6-3-23</w:t>
      </w:r>
      <w:r>
        <w:rPr>
          <w:rFonts w:hint="eastAsia" w:ascii="ＭＳ 明朝" w:hAnsi="ＭＳ 明朝" w:eastAsia="ＭＳ 明朝"/>
          <w:b w:val="0"/>
          <w:color w:val="auto"/>
          <w:sz w:val="22"/>
          <w:highlight w:val="none"/>
          <w:u w:val="none" w:color="FF0000"/>
        </w:rPr>
        <w:t>）。</w:t>
      </w: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spacing w:line="240" w:lineRule="exact"/>
        <w:ind w:left="210" w:leftChars="100" w:firstLine="0" w:firstLineChars="0"/>
        <w:rPr>
          <w:rFonts w:hint="eastAsia" w:ascii="ＭＳ 明朝" w:hAnsi="ＭＳ 明朝" w:eastAsia="ＭＳ 明朝"/>
          <w:b w:val="0"/>
          <w:color w:val="auto"/>
          <w:highlight w:val="none"/>
        </w:rPr>
      </w:pPr>
      <w:r>
        <w:rPr>
          <w:rFonts w:hint="eastAsia"/>
        </w:rPr>
        <mc:AlternateContent>
          <mc:Choice Requires="wps">
            <w:drawing>
              <wp:anchor simplePos="0" relativeHeight="7" behindDoc="0" locked="0" layoutInCell="1" hidden="0" allowOverlap="1">
                <wp:simplePos x="0" y="0"/>
                <wp:positionH relativeFrom="page">
                  <wp:posOffset>1152525</wp:posOffset>
                </wp:positionH>
                <wp:positionV relativeFrom="page">
                  <wp:posOffset>2734310</wp:posOffset>
                </wp:positionV>
                <wp:extent cx="5201285" cy="288290"/>
                <wp:effectExtent l="0" t="0" r="635" b="635"/>
                <wp:wrapNone/>
                <wp:docPr id="1081" name="テキスト ボックス 2"/>
                <a:graphic xmlns:a="http://schemas.openxmlformats.org/drawingml/2006/main">
                  <a:graphicData uri="http://schemas.microsoft.com/office/word/2010/wordprocessingShape">
                    <wps:wsp>
                      <wps:cNvPr id="1081" name="テキスト ボックス 2"/>
                      <wps:cNvSpPr txBox="1">
                        <a:spLocks noChangeArrowheads="1"/>
                      </wps:cNvSpPr>
                      <wps:spPr>
                        <a:xfrm>
                          <a:off x="0" y="0"/>
                          <a:ext cx="5201285" cy="288290"/>
                        </a:xfrm>
                        <a:prstGeom prst="rect">
                          <a:avLst/>
                        </a:prstGeom>
                        <a:noFill/>
                        <a:ln w="9525">
                          <a:noFill/>
                          <a:miter lim="800000"/>
                          <a:headEnd/>
                          <a:tailEnd/>
                        </a:ln>
                      </wps:spPr>
                      <wps:txbx>
                        <w:txbxContent>
                          <w:p>
                            <w:pPr>
                              <w:pStyle w:val="0"/>
                              <w:jc w:val="center"/>
                              <w:rPr>
                                <w:rFonts w:hint="eastAsia"/>
                                <w:sz w:val="24"/>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6-3-23</w:t>
                            </w:r>
                            <w:r>
                              <w:rPr>
                                <w:rFonts w:hint="eastAsia" w:ascii="ＭＳ ゴシック" w:hAnsi="ＭＳ ゴシック" w:eastAsia="ＭＳ ゴシック"/>
                                <w:color w:val="000000"/>
                                <w:sz w:val="22"/>
                              </w:rPr>
                              <w:t>）</w:t>
                            </w:r>
                            <w:r>
                              <w:rPr>
                                <w:rFonts w:hint="eastAsia" w:ascii="ＭＳ ゴシック" w:hAnsi="ＭＳ ゴシック" w:eastAsia="ＭＳ ゴシック"/>
                                <w:color w:val="auto"/>
                                <w:sz w:val="22"/>
                                <w:u w:val="none" w:color="auto"/>
                              </w:rPr>
                              <w:t>心大血管リハビリテーション届出医療機関数</w:t>
                            </w:r>
                            <w:r>
                              <w:rPr>
                                <w:rFonts w:hint="eastAsia" w:ascii="ＭＳ ゴシック" w:hAnsi="ＭＳ ゴシック" w:eastAsia="ＭＳ ゴシック"/>
                                <w:sz w:val="22"/>
                              </w:rPr>
                              <w:t>とＳＣＲ</w:t>
                            </w:r>
                            <w:r>
                              <w:rPr>
                                <w:rFonts w:hint="eastAsia" w:ascii="ＭＳ ゴシック" w:hAnsi="ＭＳ ゴシック" w:eastAsia="ＭＳ ゴシック"/>
                                <w:sz w:val="22"/>
                              </w:rPr>
                              <w:t>  </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ボックス 2" style="margin-top:215.3pt;mso-position-vertical-relative:page;mso-position-horizontal-relative:page;position:absolute;height:22.7pt;width:409.55pt;margin-left:90.75pt;z-index:7;" o:spid="_x0000_s1081" o:allowincell="t" o:allowoverlap="t" filled="f" stroked="f" strokeweight="0.75pt" o:spt="202" type="#_x0000_t202">
                <v:fill/>
                <v:stroke miterlimit="8"/>
                <v:textbox style="layout-flow:horizontal;">
                  <w:txbxContent>
                    <w:p>
                      <w:pPr>
                        <w:pStyle w:val="0"/>
                        <w:jc w:val="center"/>
                        <w:rPr>
                          <w:rFonts w:hint="eastAsia"/>
                          <w:sz w:val="24"/>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6-3-23</w:t>
                      </w:r>
                      <w:r>
                        <w:rPr>
                          <w:rFonts w:hint="eastAsia" w:ascii="ＭＳ ゴシック" w:hAnsi="ＭＳ ゴシック" w:eastAsia="ＭＳ ゴシック"/>
                          <w:color w:val="000000"/>
                          <w:sz w:val="22"/>
                        </w:rPr>
                        <w:t>）</w:t>
                      </w:r>
                      <w:r>
                        <w:rPr>
                          <w:rFonts w:hint="eastAsia" w:ascii="ＭＳ ゴシック" w:hAnsi="ＭＳ ゴシック" w:eastAsia="ＭＳ ゴシック"/>
                          <w:color w:val="auto"/>
                          <w:sz w:val="22"/>
                          <w:u w:val="none" w:color="auto"/>
                        </w:rPr>
                        <w:t>心大血管リハビリテーション届出医療機関数</w:t>
                      </w:r>
                      <w:r>
                        <w:rPr>
                          <w:rFonts w:hint="eastAsia" w:ascii="ＭＳ ゴシック" w:hAnsi="ＭＳ ゴシック" w:eastAsia="ＭＳ ゴシック"/>
                          <w:sz w:val="22"/>
                        </w:rPr>
                        <w:t>とＳＣＲ</w:t>
                      </w:r>
                      <w:r>
                        <w:rPr>
                          <w:rFonts w:hint="eastAsia" w:ascii="ＭＳ ゴシック" w:hAnsi="ＭＳ ゴシック" w:eastAsia="ＭＳ ゴシック"/>
                          <w:sz w:val="22"/>
                        </w:rPr>
                        <w:t>  </w:t>
                      </w:r>
                    </w:p>
                  </w:txbxContent>
                </v:textbox>
                <v:imagedata o:title=""/>
                <w10:wrap type="none" anchorx="page" anchory="page"/>
              </v:shape>
            </w:pict>
          </mc:Fallback>
        </mc:AlternateContent>
      </w:r>
    </w:p>
    <w:tbl>
      <w:tblPr>
        <w:tblStyle w:val="11"/>
        <w:tblpPr w:leftFromText="0" w:rightFromText="0" w:topFromText="0" w:bottomFromText="0" w:vertAnchor="text" w:horzAnchor="margin" w:tblpX="201" w:tblpY="270"/>
        <w:tblOverlap w:val="never"/>
        <w:tblW w:w="865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3659"/>
        <w:gridCol w:w="998"/>
        <w:gridCol w:w="998"/>
        <w:gridCol w:w="998"/>
        <w:gridCol w:w="998"/>
        <w:gridCol w:w="1002"/>
      </w:tblGrid>
      <w:tr>
        <w:trPr>
          <w:trHeight w:val="360" w:hRule="atLeast"/>
        </w:trPr>
        <w:tc>
          <w:tcPr>
            <w:tcW w:w="3659" w:type="dxa"/>
            <w:tcBorders>
              <w:top w:val="single" w:color="auto" w:sz="4" w:space="0"/>
              <w:left w:val="single" w:color="auto" w:sz="4" w:space="0"/>
              <w:bottom w:val="single" w:color="auto" w:sz="4" w:space="0"/>
              <w:right w:val="single" w:color="000000" w:sz="4" w:space="0"/>
              <w:tl2br w:val="single" w:color="auto" w:sz="4" w:space="0"/>
              <w:tr2bl w:val="none" w:color="auto" w:sz="0" w:space="0"/>
            </w:tcBorders>
            <w:shd w:val="clear" w:color="auto" w:fill="DAEEF3"/>
            <w:tcMar>
              <w:top w:w="0" w:type="dxa"/>
              <w:left w:w="5" w:type="dxa"/>
              <w:bottom w:w="0" w:type="dxa"/>
              <w:right w:w="5" w:type="dxa"/>
            </w:tcMar>
            <w:vAlign w:val="center"/>
          </w:tcPr>
          <w:p>
            <w:pPr>
              <w:pStyle w:val="0"/>
              <w:rPr>
                <w:rFonts w:hint="eastAsia" w:ascii="ＭＳ 明朝" w:hAnsi="ＭＳ 明朝" w:eastAsia="ＭＳ 明朝"/>
                <w:b w:val="0"/>
                <w:i w:val="0"/>
                <w:smallCaps w:val="0"/>
                <w:color w:val="auto"/>
                <w:sz w:val="16"/>
                <w:highlight w:val="none"/>
              </w:rPr>
            </w:pPr>
          </w:p>
        </w:tc>
        <w:tc>
          <w:tcPr>
            <w:tcW w:w="998"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安芸</w:t>
            </w:r>
          </w:p>
        </w:tc>
        <w:tc>
          <w:tcPr>
            <w:tcW w:w="998"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中央</w:t>
            </w:r>
          </w:p>
        </w:tc>
        <w:tc>
          <w:tcPr>
            <w:tcW w:w="998"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高幡</w:t>
            </w:r>
          </w:p>
        </w:tc>
        <w:tc>
          <w:tcPr>
            <w:tcW w:w="998"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幡多</w:t>
            </w:r>
          </w:p>
        </w:tc>
        <w:tc>
          <w:tcPr>
            <w:tcW w:w="1002"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県</w:t>
            </w:r>
          </w:p>
        </w:tc>
      </w:tr>
      <w:tr>
        <w:trPr>
          <w:trHeight w:val="284" w:hRule="atLeast"/>
        </w:trPr>
        <w:tc>
          <w:tcPr>
            <w:tcW w:w="3659"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心大血管リハビリテーション料（Ⅰ）</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届出施設数　</w:t>
            </w:r>
            <w:r>
              <w:rPr>
                <w:rFonts w:hint="eastAsia" w:ascii="ＭＳ 明朝" w:hAnsi="ＭＳ 明朝" w:eastAsia="ＭＳ 明朝"/>
                <w:b w:val="0"/>
                <w:i w:val="0"/>
                <w:smallCaps w:val="0"/>
                <w:color w:val="auto"/>
                <w:sz w:val="16"/>
                <w:highlight w:val="none"/>
              </w:rPr>
              <w:t>*</w:t>
            </w:r>
          </w:p>
        </w:tc>
        <w:tc>
          <w:tcPr>
            <w:tcW w:w="998"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w:t>
            </w:r>
          </w:p>
        </w:tc>
        <w:tc>
          <w:tcPr>
            <w:tcW w:w="998"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8</w:t>
            </w:r>
          </w:p>
        </w:tc>
        <w:tc>
          <w:tcPr>
            <w:tcW w:w="998"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2</w:t>
            </w:r>
          </w:p>
        </w:tc>
        <w:tc>
          <w:tcPr>
            <w:tcW w:w="998"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w:t>
            </w:r>
          </w:p>
        </w:tc>
        <w:tc>
          <w:tcPr>
            <w:tcW w:w="1002"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12</w:t>
            </w:r>
          </w:p>
        </w:tc>
      </w:tr>
      <w:tr>
        <w:trPr>
          <w:trHeight w:val="230" w:hRule="atLeast"/>
        </w:trPr>
        <w:tc>
          <w:tcPr>
            <w:tcW w:w="3659"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心大血管リハビリテーション料（Ⅰ）</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（入院）</w:t>
            </w:r>
            <w:r>
              <w:rPr>
                <w:rFonts w:hint="eastAsia" w:ascii="ＭＳ 明朝" w:hAnsi="ＭＳ 明朝" w:eastAsia="ＭＳ 明朝"/>
                <w:b w:val="0"/>
                <w:i w:val="0"/>
                <w:smallCaps w:val="0"/>
                <w:color w:val="auto"/>
                <w:sz w:val="16"/>
                <w:highlight w:val="none"/>
              </w:rPr>
              <w:t>SCR</w:t>
            </w:r>
            <w:r>
              <w:rPr>
                <w:rFonts w:hint="eastAsia" w:ascii="ＭＳ 明朝" w:hAnsi="ＭＳ 明朝" w:eastAsia="ＭＳ 明朝"/>
                <w:b w:val="0"/>
                <w:i w:val="0"/>
                <w:smallCaps w:val="0"/>
                <w:color w:val="auto"/>
                <w:sz w:val="16"/>
                <w:highlight w:val="none"/>
              </w:rPr>
              <w:t>　</w:t>
            </w:r>
            <w:r>
              <w:rPr>
                <w:rFonts w:hint="eastAsia" w:ascii="ＭＳ 明朝" w:hAnsi="ＭＳ 明朝" w:eastAsia="ＭＳ 明朝"/>
                <w:b w:val="0"/>
                <w:i w:val="0"/>
                <w:smallCaps w:val="0"/>
                <w:color w:val="auto"/>
                <w:sz w:val="16"/>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r>
              <w:rPr>
                <w:rFonts w:hint="eastAsia" w:ascii="ＭＳ 明朝" w:hAnsi="ＭＳ 明朝" w:eastAsia="ＭＳ 明朝"/>
                <w:b w:val="0"/>
                <w:i w:val="0"/>
                <w:smallCaps w:val="0"/>
                <w:color w:val="auto"/>
                <w:sz w:val="18"/>
                <w:highlight w:val="none"/>
                <w:vertAlign w:val="superscript"/>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116.3</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10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98.4</w:t>
            </w:r>
          </w:p>
        </w:tc>
      </w:tr>
      <w:tr>
        <w:trPr>
          <w:trHeight w:val="35" w:hRule="atLeast"/>
        </w:trPr>
        <w:tc>
          <w:tcPr>
            <w:tcW w:w="3659"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心大血管リハビリテーション料（Ⅰ）</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（外来）</w:t>
            </w:r>
            <w:r>
              <w:rPr>
                <w:rFonts w:hint="eastAsia" w:ascii="ＭＳ 明朝" w:hAnsi="ＭＳ 明朝" w:eastAsia="ＭＳ 明朝"/>
                <w:b w:val="0"/>
                <w:i w:val="0"/>
                <w:smallCaps w:val="0"/>
                <w:color w:val="auto"/>
                <w:sz w:val="16"/>
                <w:highlight w:val="none"/>
              </w:rPr>
              <w:t>SCR</w:t>
            </w:r>
            <w:r>
              <w:rPr>
                <w:rFonts w:hint="eastAsia" w:ascii="ＭＳ 明朝" w:hAnsi="ＭＳ 明朝" w:eastAsia="ＭＳ 明朝"/>
                <w:b w:val="0"/>
                <w:i w:val="0"/>
                <w:smallCaps w:val="0"/>
                <w:color w:val="auto"/>
                <w:sz w:val="16"/>
                <w:highlight w:val="none"/>
              </w:rPr>
              <w:t>　</w:t>
            </w:r>
            <w:r>
              <w:rPr>
                <w:rFonts w:hint="eastAsia" w:ascii="ＭＳ 明朝" w:hAnsi="ＭＳ 明朝" w:eastAsia="ＭＳ 明朝"/>
                <w:b w:val="0"/>
                <w:i w:val="0"/>
                <w:smallCaps w:val="0"/>
                <w:color w:val="auto"/>
                <w:sz w:val="16"/>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108.4</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10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75.3</w:t>
            </w:r>
          </w:p>
        </w:tc>
      </w:tr>
      <w:tr>
        <w:trPr>
          <w:trHeight w:val="122" w:hRule="atLeast"/>
        </w:trPr>
        <w:tc>
          <w:tcPr>
            <w:tcW w:w="3659"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心大血管リハビリテーション料（Ⅱ）</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届出施設数　</w:t>
            </w:r>
            <w:r>
              <w:rPr>
                <w:rFonts w:hint="eastAsia" w:ascii="ＭＳ 明朝" w:hAnsi="ＭＳ 明朝" w:eastAsia="ＭＳ 明朝"/>
                <w:b w:val="0"/>
                <w:i w:val="0"/>
                <w:smallCaps w:val="0"/>
                <w:color w:val="auto"/>
                <w:sz w:val="16"/>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0</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0</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2</w:t>
            </w:r>
          </w:p>
        </w:tc>
        <w:tc>
          <w:tcPr>
            <w:tcW w:w="10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3</w:t>
            </w:r>
          </w:p>
        </w:tc>
      </w:tr>
      <w:tr>
        <w:trPr>
          <w:trHeight w:val="248" w:hRule="atLeast"/>
        </w:trPr>
        <w:tc>
          <w:tcPr>
            <w:tcW w:w="3659"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心大血管リハビリテーション料（Ⅱ）</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（入院）</w:t>
            </w:r>
            <w:r>
              <w:rPr>
                <w:rFonts w:hint="eastAsia" w:ascii="ＭＳ 明朝" w:hAnsi="ＭＳ 明朝" w:eastAsia="ＭＳ 明朝"/>
                <w:b w:val="0"/>
                <w:i w:val="0"/>
                <w:smallCaps w:val="0"/>
                <w:color w:val="auto"/>
                <w:sz w:val="16"/>
                <w:highlight w:val="none"/>
              </w:rPr>
              <w:t>SCR</w:t>
            </w:r>
            <w:r>
              <w:rPr>
                <w:rFonts w:hint="eastAsia" w:ascii="ＭＳ 明朝" w:hAnsi="ＭＳ 明朝" w:eastAsia="ＭＳ 明朝"/>
                <w:b w:val="0"/>
                <w:i w:val="0"/>
                <w:smallCaps w:val="0"/>
                <w:color w:val="auto"/>
                <w:sz w:val="16"/>
                <w:highlight w:val="none"/>
              </w:rPr>
              <w:t>　</w:t>
            </w:r>
            <w:r>
              <w:rPr>
                <w:rFonts w:hint="eastAsia" w:ascii="ＭＳ 明朝" w:hAnsi="ＭＳ 明朝" w:eastAsia="ＭＳ 明朝"/>
                <w:b w:val="0"/>
                <w:i w:val="0"/>
                <w:smallCaps w:val="0"/>
                <w:color w:val="auto"/>
                <w:sz w:val="16"/>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10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r>
      <w:tr>
        <w:trPr>
          <w:trHeight w:val="134" w:hRule="atLeast"/>
        </w:trPr>
        <w:tc>
          <w:tcPr>
            <w:tcW w:w="3659"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心大血管リハビリテーション料（Ⅱ）</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（外来）</w:t>
            </w:r>
            <w:r>
              <w:rPr>
                <w:rFonts w:hint="eastAsia" w:ascii="ＭＳ 明朝" w:hAnsi="ＭＳ 明朝" w:eastAsia="ＭＳ 明朝"/>
                <w:b w:val="0"/>
                <w:i w:val="0"/>
                <w:smallCaps w:val="0"/>
                <w:color w:val="auto"/>
                <w:sz w:val="16"/>
                <w:highlight w:val="none"/>
              </w:rPr>
              <w:t>SCR</w:t>
            </w:r>
            <w:r>
              <w:rPr>
                <w:rFonts w:hint="eastAsia" w:ascii="ＭＳ 明朝" w:hAnsi="ＭＳ 明朝" w:eastAsia="ＭＳ 明朝"/>
                <w:b w:val="0"/>
                <w:i w:val="0"/>
                <w:smallCaps w:val="0"/>
                <w:color w:val="auto"/>
                <w:sz w:val="16"/>
                <w:highlight w:val="none"/>
              </w:rPr>
              <w:t>　</w:t>
            </w:r>
            <w:r>
              <w:rPr>
                <w:rFonts w:hint="eastAsia" w:ascii="ＭＳ 明朝" w:hAnsi="ＭＳ 明朝" w:eastAsia="ＭＳ 明朝"/>
                <w:b w:val="0"/>
                <w:i w:val="0"/>
                <w:smallCaps w:val="0"/>
                <w:color w:val="auto"/>
                <w:sz w:val="16"/>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10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r>
    </w:tbl>
    <w:p>
      <w:pPr>
        <w:pStyle w:val="0"/>
        <w:ind w:left="210" w:leftChars="100" w:firstLine="0" w:firstLineChars="0"/>
        <w:rPr>
          <w:rFonts w:hint="eastAsia" w:ascii="ＭＳ 明朝" w:hAnsi="ＭＳ 明朝" w:eastAsia="ＭＳ 明朝"/>
          <w:b w:val="0"/>
          <w:color w:val="auto"/>
          <w:highlight w:val="none"/>
        </w:rPr>
      </w:pPr>
      <w:r>
        <w:rPr>
          <w:rFonts w:hint="eastAsia"/>
          <w:highlight w:val="none"/>
        </w:rPr>
        <mc:AlternateContent>
          <mc:Choice Requires="wps">
            <w:drawing>
              <wp:anchor simplePos="0" relativeHeight="8" behindDoc="0" locked="0" layoutInCell="1" hidden="0" allowOverlap="1">
                <wp:simplePos x="0" y="0"/>
                <wp:positionH relativeFrom="column">
                  <wp:posOffset>1708150</wp:posOffset>
                </wp:positionH>
                <wp:positionV relativeFrom="paragraph">
                  <wp:posOffset>3325495</wp:posOffset>
                </wp:positionV>
                <wp:extent cx="4034790" cy="513715"/>
                <wp:effectExtent l="0" t="0" r="635" b="635"/>
                <wp:wrapNone/>
                <wp:docPr id="1082" name="オブジェクト 0"/>
                <a:graphic xmlns:a="http://schemas.openxmlformats.org/drawingml/2006/main">
                  <a:graphicData uri="http://schemas.microsoft.com/office/word/2010/wordprocessingShape">
                    <wps:wsp>
                      <wps:cNvPr id="1082" name="オブジェクト 0"/>
                      <wps:cNvSpPr txBox="1">
                        <a:spLocks noChangeArrowheads="1"/>
                      </wps:cNvSpPr>
                      <wps:spPr>
                        <a:xfrm>
                          <a:off x="0" y="0"/>
                          <a:ext cx="4034790" cy="513715"/>
                        </a:xfrm>
                        <a:prstGeom prst="rect">
                          <a:avLst/>
                        </a:prstGeom>
                        <a:noFill/>
                        <a:ln>
                          <a:miter/>
                        </a:ln>
                      </wps:spPr>
                      <wps:txbx>
                        <w:txbxContent>
                          <w:p>
                            <w:pPr>
                              <w:pStyle w:val="0"/>
                              <w:spacing w:line="220" w:lineRule="exact"/>
                              <w:jc w:val="left"/>
                              <w:rPr>
                                <w:rFonts w:hint="eastAsia" w:ascii="ＭＳ 明朝" w:hAnsi="ＭＳ 明朝" w:eastAsia="ＭＳ 明朝"/>
                                <w:sz w:val="16"/>
                              </w:rPr>
                            </w:pPr>
                            <w:r>
                              <w:rPr>
                                <w:rFonts w:hint="eastAsia" w:ascii="ＭＳ 明朝" w:hAnsi="ＭＳ 明朝" w:eastAsia="ＭＳ 明朝"/>
                                <w:color w:val="auto"/>
                                <w:sz w:val="16"/>
                              </w:rPr>
                              <w:t>出典：</w:t>
                            </w:r>
                            <w:r>
                              <w:rPr>
                                <w:rFonts w:hint="eastAsia" w:ascii="ＭＳ 明朝" w:hAnsi="ＭＳ 明朝" w:eastAsia="ＭＳ 明朝"/>
                                <w:sz w:val="16"/>
                              </w:rPr>
                              <w:t>＊四国厚生支局　施設基準の届出受理状況（令和５年</w:t>
                            </w:r>
                            <w:r>
                              <w:rPr>
                                <w:rFonts w:hint="eastAsia" w:ascii="ＭＳ 明朝" w:hAnsi="ＭＳ 明朝" w:eastAsia="ＭＳ 明朝"/>
                                <w:sz w:val="16"/>
                              </w:rPr>
                              <w:t>10</w:t>
                            </w:r>
                            <w:r>
                              <w:rPr>
                                <w:rFonts w:hint="eastAsia" w:ascii="ＭＳ 明朝" w:hAnsi="ＭＳ 明朝" w:eastAsia="ＭＳ 明朝"/>
                                <w:sz w:val="16"/>
                              </w:rPr>
                              <w:t>月）</w:t>
                            </w:r>
                          </w:p>
                          <w:p>
                            <w:pPr>
                              <w:pStyle w:val="0"/>
                              <w:spacing w:line="220" w:lineRule="exact"/>
                              <w:ind w:left="860" w:leftChars="231" w:hanging="336" w:hangingChars="190"/>
                              <w:rPr>
                                <w:rFonts w:hint="eastAsia" w:ascii="ＭＳ 明朝" w:hAnsi="ＭＳ 明朝" w:eastAsia="ＭＳ 明朝"/>
                                <w:color w:val="auto"/>
                                <w:sz w:val="16"/>
                              </w:rPr>
                            </w:pPr>
                            <w:r>
                              <w:rPr>
                                <w:rFonts w:hint="eastAsia" w:ascii="ＭＳ 明朝" w:hAnsi="ＭＳ 明朝" w:eastAsia="ＭＳ 明朝"/>
                                <w:sz w:val="16"/>
                              </w:rPr>
                              <w:t>＊＊経済・財政と暮らしの指標「見える化」ポータルサイト（内閣府）</w:t>
                            </w:r>
                          </w:p>
                          <w:p>
                            <w:pPr>
                              <w:pStyle w:val="0"/>
                              <w:spacing w:line="220" w:lineRule="exact"/>
                              <w:ind w:left="860" w:leftChars="231" w:hanging="336" w:hangingChars="190"/>
                              <w:rPr>
                                <w:rFonts w:hint="eastAsia" w:ascii="ＭＳ 明朝" w:hAnsi="ＭＳ 明朝" w:eastAsia="ＭＳ 明朝"/>
                                <w:color w:val="auto"/>
                                <w:sz w:val="16"/>
                              </w:rPr>
                            </w:pPr>
                            <w:r>
                              <w:rPr>
                                <w:rFonts w:hint="eastAsia" w:ascii="ＭＳ 明朝" w:hAnsi="ＭＳ 明朝" w:eastAsia="ＭＳ 明朝"/>
                                <w:sz w:val="16"/>
                              </w:rPr>
                              <w:t>（レセプトデータは令和２年度）</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261.85000000000002pt;mso-position-vertical-relative:text;mso-position-horizontal-relative:text;position:absolute;height:40.450000000000003pt;width:317.7pt;margin-left:134.5pt;z-index:8;" o:spid="_x0000_s1082" o:allowincell="t" o:allowoverlap="t" filled="f" stroked="f" o:spt="202" type="#_x0000_t202">
                <v:fill/>
                <v:textbox style="layout-flow:horizontal;" inset="2.0637499999999998mm,0.24694444444444438mm,2.0637499999999998mm,0.24694444444444438mm">
                  <w:txbxContent>
                    <w:p>
                      <w:pPr>
                        <w:pStyle w:val="0"/>
                        <w:spacing w:line="220" w:lineRule="exact"/>
                        <w:jc w:val="left"/>
                        <w:rPr>
                          <w:rFonts w:hint="eastAsia" w:ascii="ＭＳ 明朝" w:hAnsi="ＭＳ 明朝" w:eastAsia="ＭＳ 明朝"/>
                          <w:sz w:val="16"/>
                        </w:rPr>
                      </w:pPr>
                      <w:r>
                        <w:rPr>
                          <w:rFonts w:hint="eastAsia" w:ascii="ＭＳ 明朝" w:hAnsi="ＭＳ 明朝" w:eastAsia="ＭＳ 明朝"/>
                          <w:color w:val="auto"/>
                          <w:sz w:val="16"/>
                        </w:rPr>
                        <w:t>出典：</w:t>
                      </w:r>
                      <w:r>
                        <w:rPr>
                          <w:rFonts w:hint="eastAsia" w:ascii="ＭＳ 明朝" w:hAnsi="ＭＳ 明朝" w:eastAsia="ＭＳ 明朝"/>
                          <w:sz w:val="16"/>
                        </w:rPr>
                        <w:t>＊四国厚生支局　施設基準の届出受理状況（令和５年</w:t>
                      </w:r>
                      <w:r>
                        <w:rPr>
                          <w:rFonts w:hint="eastAsia" w:ascii="ＭＳ 明朝" w:hAnsi="ＭＳ 明朝" w:eastAsia="ＭＳ 明朝"/>
                          <w:sz w:val="16"/>
                        </w:rPr>
                        <w:t>10</w:t>
                      </w:r>
                      <w:r>
                        <w:rPr>
                          <w:rFonts w:hint="eastAsia" w:ascii="ＭＳ 明朝" w:hAnsi="ＭＳ 明朝" w:eastAsia="ＭＳ 明朝"/>
                          <w:sz w:val="16"/>
                        </w:rPr>
                        <w:t>月）</w:t>
                      </w:r>
                    </w:p>
                    <w:p>
                      <w:pPr>
                        <w:pStyle w:val="0"/>
                        <w:spacing w:line="220" w:lineRule="exact"/>
                        <w:ind w:left="860" w:leftChars="231" w:hanging="336" w:hangingChars="190"/>
                        <w:rPr>
                          <w:rFonts w:hint="eastAsia" w:ascii="ＭＳ 明朝" w:hAnsi="ＭＳ 明朝" w:eastAsia="ＭＳ 明朝"/>
                          <w:color w:val="auto"/>
                          <w:sz w:val="16"/>
                        </w:rPr>
                      </w:pPr>
                      <w:r>
                        <w:rPr>
                          <w:rFonts w:hint="eastAsia" w:ascii="ＭＳ 明朝" w:hAnsi="ＭＳ 明朝" w:eastAsia="ＭＳ 明朝"/>
                          <w:sz w:val="16"/>
                        </w:rPr>
                        <w:t>＊＊経済・財政と暮らしの指標「見える化」ポータルサイト（内閣府）</w:t>
                      </w:r>
                    </w:p>
                    <w:p>
                      <w:pPr>
                        <w:pStyle w:val="0"/>
                        <w:spacing w:line="220" w:lineRule="exact"/>
                        <w:ind w:left="860" w:leftChars="231" w:hanging="336" w:hangingChars="190"/>
                        <w:rPr>
                          <w:rFonts w:hint="eastAsia" w:ascii="ＭＳ 明朝" w:hAnsi="ＭＳ 明朝" w:eastAsia="ＭＳ 明朝"/>
                          <w:color w:val="auto"/>
                          <w:sz w:val="16"/>
                        </w:rPr>
                      </w:pPr>
                      <w:r>
                        <w:rPr>
                          <w:rFonts w:hint="eastAsia" w:ascii="ＭＳ 明朝" w:hAnsi="ＭＳ 明朝" w:eastAsia="ＭＳ 明朝"/>
                          <w:sz w:val="16"/>
                        </w:rPr>
                        <w:t>（レセプトデータは令和２年度）</w:t>
                      </w:r>
                    </w:p>
                  </w:txbxContent>
                </v:textbox>
                <v:imagedata o:title=""/>
                <w10:wrap type="none" anchorx="text" anchory="text"/>
              </v:shape>
            </w:pict>
          </mc:Fallback>
        </mc:AlternateContent>
      </w:r>
      <w:r>
        <w:rPr>
          <w:rFonts w:hint="eastAsia" w:ascii="ＭＳ 明朝" w:hAnsi="ＭＳ 明朝" w:eastAsia="ＭＳ 明朝"/>
          <w:color w:val="auto"/>
          <w:sz w:val="16"/>
          <w:highlight w:val="none"/>
        </w:rPr>
        <w:t>※</w:t>
      </w:r>
      <w:r>
        <w:rPr>
          <w:rFonts w:hint="eastAsia" w:ascii="ＭＳ 明朝" w:hAnsi="ＭＳ 明朝" w:eastAsia="ＭＳ 明朝"/>
          <w:color w:val="auto"/>
          <w:sz w:val="16"/>
          <w:highlight w:val="none"/>
        </w:rPr>
        <w:t xml:space="preserve"> </w:t>
      </w:r>
      <w:r>
        <w:rPr>
          <w:rFonts w:hint="eastAsia" w:ascii="ＭＳ 明朝" w:hAnsi="ＭＳ 明朝" w:eastAsia="ＭＳ 明朝"/>
          <w:color w:val="auto"/>
          <w:sz w:val="16"/>
          <w:highlight w:val="none"/>
        </w:rPr>
        <w:t>一定よりも数値が少ない場合は表示されないため、０ではない。</w:t>
      </w:r>
    </w:p>
    <w:p>
      <w:pPr>
        <w:pStyle w:val="0"/>
        <w:ind w:leftChars="0" w:firstLine="288" w:firstLineChars="127"/>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spacing w:line="220" w:lineRule="exact"/>
        <w:ind w:left="210" w:leftChars="100" w:firstLine="0" w:firstLineChars="0"/>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　</w:t>
      </w:r>
    </w:p>
    <w:p>
      <w:pPr>
        <w:pStyle w:val="0"/>
        <w:ind w:left="227" w:leftChars="100" w:firstLine="237"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u w:val="none" w:color="auto"/>
        </w:rPr>
        <w:t>一方、本県の実態として、心大血管リハビリテーション料の施設基準には該当していない医療機関においても、心疾患患者へのリハビリテーションを担っている医療機関も多くあると考えられますが、その実態や課題等は把握できていません。</w:t>
      </w:r>
    </w:p>
    <w:p>
      <w:pPr>
        <w:pStyle w:val="0"/>
        <w:spacing w:line="240" w:lineRule="exact"/>
        <w:ind w:left="210" w:leftChars="100" w:firstLine="0" w:firstLineChars="0"/>
        <w:rPr>
          <w:rFonts w:hint="eastAsia" w:ascii="ＭＳ 明朝" w:hAnsi="ＭＳ 明朝" w:eastAsia="ＭＳ 明朝"/>
          <w:b w:val="0"/>
          <w:color w:val="auto"/>
          <w:highlight w:val="none"/>
          <w:u w:val="none" w:color="auto"/>
        </w:rPr>
      </w:pPr>
    </w:p>
    <w:p>
      <w:pPr>
        <w:pStyle w:val="0"/>
        <w:ind w:left="210" w:leftChars="100" w:firstLine="210"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u w:val="none" w:color="auto"/>
        </w:rPr>
        <w:t>維持期には、在宅等の場での再発・再入院予防や繰り返す心血管イベント等による心不全に対する管理も重要となります。</w:t>
      </w:r>
    </w:p>
    <w:p>
      <w:pPr>
        <w:pStyle w:val="0"/>
        <w:autoSpaceDE w:val="0"/>
        <w:autoSpaceDN w:val="0"/>
        <w:adjustRightInd w:val="0"/>
        <w:ind w:left="227" w:leftChars="100" w:firstLine="225" w:firstLineChars="95"/>
        <w:jc w:val="left"/>
        <w:rPr>
          <w:rFonts w:hint="eastAsia" w:ascii="ＭＳ 明朝" w:hAnsi="ＭＳ 明朝" w:eastAsia="ＭＳ 明朝"/>
          <w:b w:val="0"/>
          <w:color w:val="auto"/>
          <w:sz w:val="22"/>
          <w:highlight w:val="none"/>
          <w:u w:val="none" w:color="auto"/>
        </w:rPr>
      </w:pPr>
      <w:r>
        <w:rPr>
          <w:rFonts w:hint="eastAsia" w:ascii="ＭＳ 明朝" w:hAnsi="ＭＳ 明朝" w:eastAsia="ＭＳ 明朝"/>
          <w:color w:val="auto"/>
          <w:kern w:val="0"/>
          <w:sz w:val="22"/>
          <w:highlight w:val="none"/>
          <w:u w:val="none" w:color="auto"/>
        </w:rPr>
        <w:t>心不全は、心臓が悪いために、息切れやむくみが起こり、だんだん悪くなり、生命を縮める病気です。心不全の原因疾患は虚血性心疾患、心筋症、弁膜症、高血圧症等があり、多くの場合、内科的治療が中心となります。</w:t>
      </w:r>
    </w:p>
    <w:p>
      <w:pPr>
        <w:pStyle w:val="0"/>
        <w:autoSpaceDE w:val="0"/>
        <w:autoSpaceDN w:val="0"/>
        <w:adjustRightInd w:val="0"/>
        <w:ind w:left="227" w:leftChars="100" w:firstLine="215" w:firstLineChars="95"/>
        <w:jc w:val="left"/>
        <w:rPr>
          <w:rFonts w:hint="eastAsia" w:ascii="ＭＳ 明朝" w:hAnsi="ＭＳ 明朝" w:eastAsia="ＭＳ 明朝"/>
          <w:b w:val="0"/>
          <w:color w:val="auto"/>
          <w:sz w:val="22"/>
          <w:highlight w:val="none"/>
        </w:rPr>
      </w:pPr>
      <w:r>
        <w:rPr>
          <w:rFonts w:hint="eastAsia" w:ascii="ＭＳ 明朝" w:hAnsi="ＭＳ 明朝" w:eastAsia="ＭＳ 明朝"/>
          <w:b w:val="0"/>
          <w:color w:val="auto"/>
          <w:sz w:val="22"/>
          <w:highlight w:val="none"/>
          <w:u w:val="none" w:color="auto"/>
        </w:rPr>
        <w:t>高知急性非代償性心不全レジストリによると、約</w:t>
      </w:r>
      <w:r>
        <w:rPr>
          <w:rFonts w:hint="eastAsia" w:ascii="ＭＳ 明朝" w:hAnsi="ＭＳ 明朝" w:eastAsia="ＭＳ 明朝"/>
          <w:b w:val="0"/>
          <w:color w:val="auto"/>
          <w:sz w:val="22"/>
          <w:highlight w:val="none"/>
          <w:u w:val="none" w:color="auto"/>
        </w:rPr>
        <w:t>30</w:t>
      </w:r>
      <w:r>
        <w:rPr>
          <w:rFonts w:hint="eastAsia" w:ascii="ＭＳ 明朝" w:hAnsi="ＭＳ 明朝" w:eastAsia="ＭＳ 明朝"/>
          <w:b w:val="0"/>
          <w:color w:val="auto"/>
          <w:sz w:val="22"/>
          <w:highlight w:val="none"/>
          <w:u w:val="none" w:color="auto"/>
        </w:rPr>
        <w:t>％の慢性心不全患者が１年以内に再入院しており、社会的フレイル</w:t>
      </w:r>
      <w:r>
        <w:rPr>
          <w:rFonts w:hint="eastAsia" w:ascii="ＭＳ 明朝" w:hAnsi="ＭＳ 明朝" w:eastAsia="ＭＳ 明朝"/>
          <w:b w:val="0"/>
          <w:color w:val="auto"/>
          <w:sz w:val="22"/>
          <w:highlight w:val="none"/>
          <w:u w:val="none" w:color="auto"/>
          <w:vertAlign w:val="superscript"/>
        </w:rPr>
        <w:t>（注５）</w:t>
      </w:r>
      <w:r>
        <w:rPr>
          <w:rFonts w:hint="eastAsia" w:ascii="ＭＳ 明朝" w:hAnsi="ＭＳ 明朝" w:eastAsia="ＭＳ 明朝"/>
          <w:b w:val="0"/>
          <w:color w:val="auto"/>
          <w:sz w:val="22"/>
          <w:highlight w:val="none"/>
          <w:u w:val="none" w:color="auto"/>
        </w:rPr>
        <w:t>は半年以内の再入院に関連しているとされています。また、入院治療が必要となる心不全増悪の原因として服薬アドヒアランス</w:t>
      </w:r>
      <w:r>
        <w:rPr>
          <w:rFonts w:hint="eastAsia" w:ascii="ＭＳ 明朝" w:hAnsi="ＭＳ 明朝" w:eastAsia="ＭＳ 明朝"/>
          <w:b w:val="0"/>
          <w:color w:val="auto"/>
          <w:sz w:val="22"/>
          <w:highlight w:val="none"/>
          <w:u w:val="none" w:color="auto"/>
          <w:vertAlign w:val="superscript"/>
        </w:rPr>
        <w:t>（注６）</w:t>
      </w:r>
      <w:r>
        <w:rPr>
          <w:rFonts w:hint="eastAsia" w:ascii="ＭＳ 明朝" w:hAnsi="ＭＳ 明朝" w:eastAsia="ＭＳ 明朝"/>
          <w:b w:val="0"/>
          <w:color w:val="auto"/>
          <w:sz w:val="22"/>
          <w:highlight w:val="none"/>
          <w:u w:val="none" w:color="auto"/>
        </w:rPr>
        <w:t>の不良が関連しているとされています。</w:t>
      </w:r>
    </w:p>
    <w:p>
      <w:pPr>
        <w:pStyle w:val="0"/>
        <w:ind w:left="210" w:leftChars="100" w:firstLine="0" w:firstLineChars="0"/>
        <w:rPr>
          <w:rFonts w:hint="eastAsia" w:ascii="ＭＳ 明朝" w:hAnsi="ＭＳ 明朝" w:eastAsia="ＭＳ 明朝"/>
          <w:b w:val="0"/>
          <w:color w:val="auto"/>
          <w:sz w:val="22"/>
          <w:highlight w:val="none"/>
        </w:rPr>
      </w:pPr>
      <w:r>
        <w:rPr>
          <w:rFonts w:hint="eastAsia" w:ascii="ＭＳ 明朝" w:hAnsi="ＭＳ 明朝" w:eastAsia="ＭＳ 明朝"/>
          <w:b w:val="0"/>
          <w:color w:val="auto"/>
          <w:sz w:val="22"/>
          <w:highlight w:val="none"/>
        </w:rPr>
        <w:t>　</w:t>
      </w:r>
      <w:r>
        <w:rPr>
          <w:rFonts w:hint="eastAsia" w:ascii="ＭＳ 明朝" w:hAnsi="ＭＳ 明朝" w:eastAsia="ＭＳ 明朝"/>
          <w:b w:val="0"/>
          <w:color w:val="auto"/>
          <w:sz w:val="22"/>
          <w:highlight w:val="none"/>
          <w:u w:val="none" w:color="auto"/>
        </w:rPr>
        <w:t>心不全対策としては、令和２年度より高知大学医学部附属病院を中心とした９つの医療機関による「高知心不全連携の会」において、心不全患者を中心とした地域連携体制の構築等を実施しています（図表</w:t>
      </w:r>
      <w:r>
        <w:rPr>
          <w:rFonts w:hint="eastAsia" w:ascii="ＭＳ 明朝" w:hAnsi="ＭＳ 明朝" w:eastAsia="ＭＳ 明朝"/>
          <w:b w:val="0"/>
          <w:color w:val="auto"/>
          <w:sz w:val="22"/>
          <w:highlight w:val="none"/>
          <w:u w:val="none" w:color="auto"/>
        </w:rPr>
        <w:t>6-3-24</w:t>
      </w:r>
      <w:r>
        <w:rPr>
          <w:rFonts w:hint="eastAsia" w:ascii="ＭＳ 明朝" w:hAnsi="ＭＳ 明朝" w:eastAsia="ＭＳ 明朝"/>
          <w:b w:val="0"/>
          <w:color w:val="auto"/>
          <w:sz w:val="22"/>
          <w:highlight w:val="none"/>
          <w:u w:val="none" w:color="auto"/>
        </w:rPr>
        <w:t>）。患者・家族、基幹病院、かかりつけ医、かかりつけ薬剤師、地域のケア専門職（介護職等）が共通ツールにより情報共有し、症状増悪時の早期受診及び治療につなげる取組を行っています。このような取組を推進することで、患者や家族のセルフケア能力が向上し、受診や服薬の自己中断を防ぐことができ、再入院の予防につながる可能性があります。</w:t>
      </w:r>
    </w:p>
    <w:p>
      <w:pPr>
        <w:pStyle w:val="0"/>
        <w:ind w:left="210" w:leftChars="100" w:firstLine="0" w:firstLineChars="0"/>
        <w:rPr>
          <w:rFonts w:hint="eastAsia" w:ascii="ＭＳ 明朝" w:hAnsi="ＭＳ 明朝" w:eastAsia="ＭＳ 明朝"/>
          <w:b w:val="0"/>
          <w:color w:val="auto"/>
          <w:highlight w:val="none"/>
        </w:rPr>
      </w:pPr>
      <w:r>
        <w:rPr>
          <w:rFonts w:hint="eastAsia"/>
        </w:rPr>
        <mc:AlternateContent>
          <mc:Choice Requires="wpg">
            <w:drawing>
              <wp:anchor simplePos="0" relativeHeight="95" behindDoc="0" locked="0" layoutInCell="1" hidden="0" allowOverlap="1">
                <wp:simplePos x="0" y="0"/>
                <wp:positionH relativeFrom="column">
                  <wp:posOffset>102870</wp:posOffset>
                </wp:positionH>
                <wp:positionV relativeFrom="paragraph">
                  <wp:posOffset>33020</wp:posOffset>
                </wp:positionV>
                <wp:extent cx="5662930" cy="3251835"/>
                <wp:effectExtent l="0" t="0" r="10795" b="635"/>
                <wp:wrapNone/>
                <wp:docPr id="1083" name="オブジェクト 0"/>
                <a:graphic xmlns:a="http://schemas.openxmlformats.org/drawingml/2006/main">
                  <a:graphicData uri="http://schemas.microsoft.com/office/word/2010/wordprocessingGroup">
                    <wpg:wgp>
                      <wpg:cNvGrpSpPr/>
                      <wpg:grpSpPr>
                        <a:xfrm>
                          <a:off x="0" y="0"/>
                          <a:ext cx="5662930" cy="3251835"/>
                          <a:chOff x="1580" y="3570"/>
                          <a:chExt cx="8918" cy="5121"/>
                        </a:xfrm>
                      </wpg:grpSpPr>
                      <wps:wsp>
                        <wps:cNvPr id="1084" name="オブジェクト 0"/>
                        <wps:cNvSpPr txBox="1">
                          <a:spLocks noChangeArrowheads="1"/>
                        </wps:cNvSpPr>
                        <wps:spPr>
                          <a:xfrm>
                            <a:off x="1580" y="3570"/>
                            <a:ext cx="8331" cy="801"/>
                          </a:xfrm>
                          <a:prstGeom prst="rect">
                            <a:avLst/>
                          </a:prstGeom>
                          <a:noFill/>
                          <a:ln>
                            <a:miter/>
                          </a:ln>
                        </wps:spPr>
                        <wps:txbx>
                          <w:txbxContent>
                            <w:p>
                              <w:pPr>
                                <w:pStyle w:val="0"/>
                                <w:spacing w:line="240" w:lineRule="exact"/>
                                <w:ind w:leftChars="0" w:hanging="2121" w:hangingChars="1200"/>
                                <w:rPr>
                                  <w:rFonts w:hint="default"/>
                                  <w:color w:val="auto"/>
                                  <w:sz w:val="16"/>
                                  <w:highlight w:val="none"/>
                                  <w:u w:val="none" w:color="auto"/>
                                </w:rPr>
                              </w:pPr>
                              <w:r>
                                <w:rPr>
                                  <w:rFonts w:hint="eastAsia"/>
                                  <w:color w:val="auto"/>
                                  <w:sz w:val="16"/>
                                  <w:highlight w:val="none"/>
                                  <w:u w:val="none" w:color="auto"/>
                                </w:rPr>
                                <w:t>（注５）社会的フレイル：独居、支援者の欠如、家族や近隣者との接触機会の少なさなど、社会活動への参加や社会的交流が脆弱な状態</w:t>
                              </w:r>
                            </w:p>
                            <w:p>
                              <w:pPr>
                                <w:pStyle w:val="0"/>
                                <w:spacing w:line="240" w:lineRule="exact"/>
                                <w:ind w:left="480" w:hanging="480" w:hangingChars="300"/>
                                <w:rPr>
                                  <w:rFonts w:hint="default"/>
                                  <w:color w:val="auto"/>
                                  <w:sz w:val="16"/>
                                  <w:highlight w:val="none"/>
                                  <w:u w:val="none" w:color="auto"/>
                                </w:rPr>
                              </w:pPr>
                              <w:r>
                                <w:rPr>
                                  <w:rFonts w:hint="eastAsia"/>
                                  <w:color w:val="auto"/>
                                  <w:sz w:val="16"/>
                                  <w:highlight w:val="none"/>
                                  <w:u w:val="none" w:color="auto"/>
                                </w:rPr>
                                <w:t>（注６）アドヒアランス：医師と患者が連携をとって治療方針を決めていく姿勢のこと。</w:t>
                              </w:r>
                            </w:p>
                          </w:txbxContent>
                        </wps:txbx>
                        <wps:bodyPr vertOverflow="overflow" horzOverflow="overflow" wrap="square" lIns="74295" tIns="8890" rIns="74295" bIns="8890" upright="1"/>
                      </wps:wsp>
                      <wpg:grpSp>
                        <wpg:cNvGrpSpPr/>
                        <wpg:grpSpPr>
                          <a:xfrm>
                            <a:off x="1721" y="4468"/>
                            <a:ext cx="8777" cy="4223"/>
                            <a:chOff x="1721" y="4818"/>
                            <a:chExt cx="8777" cy="4223"/>
                          </a:xfrm>
                        </wpg:grpSpPr>
                        <wps:wsp>
                          <wps:cNvPr id="1086" name="テキスト ボックス 2"/>
                          <wps:cNvSpPr txBox="1">
                            <a:spLocks noChangeArrowheads="1"/>
                          </wps:cNvSpPr>
                          <wps:spPr>
                            <a:xfrm>
                              <a:off x="1813" y="4818"/>
                              <a:ext cx="8685" cy="495"/>
                            </a:xfrm>
                            <a:prstGeom prst="rect">
                              <a:avLst/>
                            </a:prstGeom>
                            <a:noFill/>
                            <a:ln w="9525">
                              <a:noFill/>
                              <a:miter lim="800000"/>
                              <a:headEnd/>
                              <a:tailEnd/>
                            </a:ln>
                          </wps:spPr>
                          <wps:txbx>
                            <w:txbxContent>
                              <w:p>
                                <w:pPr>
                                  <w:pStyle w:val="0"/>
                                  <w:jc w:val="center"/>
                                  <w:rPr>
                                    <w:rFonts w:hint="eastAsia" w:ascii="ＭＳ ゴシック" w:hAnsi="ＭＳ ゴシック" w:eastAsia="ＭＳ ゴシック"/>
                                    <w:sz w:val="20"/>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6-3-24</w:t>
                                </w:r>
                                <w:r>
                                  <w:rPr>
                                    <w:rFonts w:hint="eastAsia" w:ascii="ＭＳ ゴシック" w:hAnsi="ＭＳ ゴシック" w:eastAsia="ＭＳ ゴシック"/>
                                    <w:color w:val="000000"/>
                                    <w:sz w:val="22"/>
                                  </w:rPr>
                                  <w:t>）高知心不全連携の会における基幹病院</w:t>
                                </w:r>
                              </w:p>
                            </w:txbxContent>
                          </wps:txbx>
                          <wps:bodyPr vertOverflow="overflow" horzOverflow="overflow" wrap="square"/>
                        </wps:wsp>
                        <wpg:grpSp>
                          <wpg:cNvGrpSpPr/>
                          <wpg:grpSpPr>
                            <a:xfrm>
                              <a:off x="1721" y="5614"/>
                              <a:ext cx="3989" cy="3063"/>
                              <a:chOff x="227521" y="64693"/>
                              <a:chExt cx="542763" cy="423245"/>
                            </a:xfrm>
                          </wpg:grpSpPr>
                          <wpg:grpSp>
                            <wpg:cNvGrpSpPr/>
                            <wpg:grpSpPr>
                              <a:xfrm>
                                <a:off x="227521" y="64693"/>
                                <a:ext cx="542763" cy="423245"/>
                                <a:chOff x="227521" y="64693"/>
                                <a:chExt cx="542763" cy="423245"/>
                              </a:xfrm>
                            </wpg:grpSpPr>
                            <pic:pic xmlns:pic="http://schemas.openxmlformats.org/drawingml/2006/picture">
                              <pic:nvPicPr>
                                <pic:cNvPr id="1089" name="図 12"/>
                                <pic:cNvPicPr>
                                  <a:picLocks noChangeAspect="1"/>
                                </pic:cNvPicPr>
                              </pic:nvPicPr>
                              <pic:blipFill>
                                <a:blip r:embed="rId27"/>
                                <a:srcRect l="1559" t="11501" r="1949" b="13255"/>
                                <a:stretch>
                                  <a:fillRect/>
                                </a:stretch>
                              </pic:blipFill>
                              <pic:spPr>
                                <a:xfrm>
                                  <a:off x="227521" y="64693"/>
                                  <a:ext cx="542763" cy="423245"/>
                                </a:xfrm>
                                <a:prstGeom prst="rect">
                                  <a:avLst/>
                                </a:prstGeom>
                              </pic:spPr>
                            </pic:pic>
                            <wps:wsp>
                              <wps:cNvPr id="1090" name="図形 13"/>
                              <wps:cNvSpPr/>
                              <wps:spPr>
                                <a:xfrm>
                                  <a:off x="311023" y="393577"/>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91" name="図形 14"/>
                              <wps:cNvSpPr/>
                              <wps:spPr>
                                <a:xfrm>
                                  <a:off x="468503" y="231914"/>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92" name="図形 15"/>
                              <wps:cNvSpPr/>
                              <wps:spPr>
                                <a:xfrm>
                                  <a:off x="547244" y="178887"/>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93" name="図形 16"/>
                              <wps:cNvSpPr/>
                              <wps:spPr>
                                <a:xfrm>
                                  <a:off x="535678" y="178887"/>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94" name="図形 17"/>
                              <wps:cNvSpPr/>
                              <wps:spPr>
                                <a:xfrm>
                                  <a:off x="535678" y="190453"/>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95" name="図形 18"/>
                              <wps:cNvSpPr/>
                              <wps:spPr>
                                <a:xfrm>
                                  <a:off x="507874" y="210383"/>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96" name="図形 19"/>
                              <wps:cNvSpPr/>
                              <wps:spPr>
                                <a:xfrm>
                                  <a:off x="553027" y="105930"/>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97" name="図形 20"/>
                              <wps:cNvSpPr/>
                              <wps:spPr>
                                <a:xfrm>
                                  <a:off x="649606" y="196236"/>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g:grpSp>
                          <wps:wsp>
                            <wps:cNvPr id="1098" name="図形 24"/>
                            <wps:cNvSpPr/>
                            <wps:spPr>
                              <a:xfrm>
                                <a:off x="565238" y="168922"/>
                                <a:ext cx="12110" cy="15753"/>
                              </a:xfrm>
                              <a:prstGeom prst="star5">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g:grpSp>
                        <wpg:grpSp>
                          <wpg:cNvGrpSpPr/>
                          <wpg:grpSpPr>
                            <a:xfrm>
                              <a:off x="6109" y="5340"/>
                              <a:ext cx="4359" cy="3701"/>
                              <a:chOff x="5950" y="5509"/>
                              <a:chExt cx="4359" cy="3701"/>
                            </a:xfrm>
                          </wpg:grpSpPr>
                          <wps:wsp>
                            <wps:cNvPr id="1100" name="直線 49"/>
                            <wps:cNvSpPr/>
                            <wps:spPr>
                              <a:xfrm>
                                <a:off x="8209" y="6165"/>
                                <a:ext cx="533" cy="353"/>
                              </a:xfrm>
                              <a:prstGeom prst="line">
                                <a:avLst/>
                              </a:prstGeom>
                            </wps:spPr>
                            <wps:style>
                              <a:lnRef idx="3">
                                <a:schemeClr val="accent1"/>
                              </a:lnRef>
                              <a:fillRef idx="0">
                                <a:schemeClr val="accent1"/>
                              </a:fillRef>
                              <a:effectRef idx="2">
                                <a:schemeClr val="accent1"/>
                              </a:effectRef>
                              <a:fontRef idx="minor">
                                <a:schemeClr val="tx1"/>
                              </a:fontRef>
                            </wps:style>
                            <wps:bodyPr/>
                          </wps:wsp>
                          <wpg:grpSp>
                            <wpg:cNvGrpSpPr/>
                            <wpg:grpSpPr>
                              <a:xfrm>
                                <a:off x="5950" y="5509"/>
                                <a:ext cx="4359" cy="3701"/>
                                <a:chOff x="5950" y="5509"/>
                                <a:chExt cx="4359" cy="3701"/>
                              </a:xfrm>
                            </wpg:grpSpPr>
                            <wps:wsp>
                              <wps:cNvPr id="1102" name="四角形 33"/>
                              <wps:cNvSpPr/>
                              <wps:spPr>
                                <a:xfrm>
                                  <a:off x="6272" y="5509"/>
                                  <a:ext cx="3818" cy="653"/>
                                </a:xfrm>
                                <a:prstGeom prst="rect">
                                  <a:avLst/>
                                </a:prstGeom>
                                <a:noFill/>
                                <a:ln w="6350" cap="flat" cmpd="sng" algn="ctr">
                                  <a:solidFill>
                                    <a:schemeClr val="accent1"/>
                                  </a:solidFill>
                                  <a:prstDash val="solid"/>
                                  <a:miter lim="800000"/>
                                </a:ln>
                              </wps:spPr>
                              <wps:style>
                                <a:lnRef idx="1">
                                  <a:schemeClr val="accent2"/>
                                </a:lnRef>
                                <a:fillRef idx="2">
                                  <a:schemeClr val="accent2"/>
                                </a:fillRef>
                                <a:effectRef idx="1">
                                  <a:schemeClr val="accent2"/>
                                </a:effectRef>
                                <a:fontRef idx="minor">
                                  <a:schemeClr val="dk1"/>
                                </a:fontRef>
                              </wps:style>
                              <wps:txbx>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高知大学医学部附属病院【★事務局】</w:t>
                                    </w:r>
                                  </w:p>
                                </w:txbxContent>
                              </wps:txbx>
                              <wps:bodyPr vertOverflow="overflow" horzOverflow="overflow" wrap="square" anchor="ctr"/>
                            </wps:wsp>
                            <wps:wsp>
                              <wps:cNvPr id="1103" name="四角形 35"/>
                              <wps:cNvSpPr/>
                              <wps:spPr>
                                <a:xfrm>
                                  <a:off x="5967" y="6494"/>
                                  <a:ext cx="804" cy="508"/>
                                </a:xfrm>
                                <a:prstGeom prst="rect">
                                  <a:avLst/>
                                </a:prstGeom>
                                <a:solidFill>
                                  <a:schemeClr val="accent1">
                                    <a:lumMod val="20000"/>
                                    <a:lumOff val="80000"/>
                                  </a:schemeClr>
                                </a:solidFill>
                                <a:ln w="6350" cap="flat" cmpd="sng" algn="ctr">
                                  <a:solidFill>
                                    <a:schemeClr val="accent1"/>
                                  </a:solidFill>
                                  <a:prstDash val="solid"/>
                                  <a:miter lim="800000"/>
                                </a:ln>
                              </wps:spPr>
                              <wps:style>
                                <a:lnRef idx="1">
                                  <a:schemeClr val="accent2"/>
                                </a:lnRef>
                                <a:fillRef idx="2">
                                  <a:schemeClr val="accent2"/>
                                </a:fillRef>
                                <a:effectRef idx="1">
                                  <a:schemeClr val="accent2"/>
                                </a:effectRef>
                                <a:fontRef idx="minor">
                                  <a:schemeClr val="dk1"/>
                                </a:fontRef>
                              </wps:style>
                              <wps:txbx>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幡多</w:t>
                                    </w:r>
                                  </w:p>
                                </w:txbxContent>
                              </wps:txbx>
                              <wps:bodyPr vertOverflow="overflow" horzOverflow="overflow" wrap="square" anchor="ctr"/>
                            </wps:wsp>
                            <wps:wsp>
                              <wps:cNvPr id="1104" name="四角形 36"/>
                              <wps:cNvSpPr/>
                              <wps:spPr>
                                <a:xfrm>
                                  <a:off x="8309" y="6502"/>
                                  <a:ext cx="790" cy="505"/>
                                </a:xfrm>
                                <a:prstGeom prst="rect">
                                  <a:avLst/>
                                </a:prstGeom>
                                <a:solidFill>
                                  <a:schemeClr val="accent1">
                                    <a:lumMod val="20000"/>
                                    <a:lumOff val="80000"/>
                                  </a:schemeClr>
                                </a:solidFill>
                                <a:ln w="6350" cap="flat" cmpd="sng" algn="ctr">
                                  <a:solidFill>
                                    <a:schemeClr val="accent1"/>
                                  </a:solidFill>
                                  <a:prstDash val="solid"/>
                                  <a:miter lim="800000"/>
                                </a:ln>
                              </wps:spPr>
                              <wps:style>
                                <a:lnRef idx="1">
                                  <a:schemeClr val="accent2"/>
                                </a:lnRef>
                                <a:fillRef idx="2">
                                  <a:schemeClr val="accent2"/>
                                </a:fillRef>
                                <a:effectRef idx="1">
                                  <a:schemeClr val="accent2"/>
                                </a:effectRef>
                                <a:fontRef idx="minor">
                                  <a:schemeClr val="dk1"/>
                                </a:fontRef>
                              </wps:style>
                              <wps:txbx>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中央</w:t>
                                    </w:r>
                                  </w:p>
                                </w:txbxContent>
                              </wps:txbx>
                              <wps:bodyPr vertOverflow="overflow" horzOverflow="overflow" wrap="square" anchor="ctr"/>
                            </wps:wsp>
                            <wps:wsp>
                              <wps:cNvPr id="1105" name="四角形 38"/>
                              <wps:cNvSpPr/>
                              <wps:spPr>
                                <a:xfrm>
                                  <a:off x="9514" y="6512"/>
                                  <a:ext cx="795" cy="494"/>
                                </a:xfrm>
                                <a:prstGeom prst="rect">
                                  <a:avLst/>
                                </a:prstGeom>
                                <a:solidFill>
                                  <a:schemeClr val="accent1">
                                    <a:lumMod val="20000"/>
                                    <a:lumOff val="80000"/>
                                  </a:schemeClr>
                                </a:solidFill>
                                <a:ln w="6350" cap="flat" cmpd="sng" algn="ctr">
                                  <a:solidFill>
                                    <a:schemeClr val="accent1"/>
                                  </a:solidFill>
                                  <a:prstDash val="solid"/>
                                  <a:miter lim="800000"/>
                                </a:ln>
                              </wps:spPr>
                              <wps:style>
                                <a:lnRef idx="1">
                                  <a:schemeClr val="accent2"/>
                                </a:lnRef>
                                <a:fillRef idx="2">
                                  <a:schemeClr val="accent2"/>
                                </a:fillRef>
                                <a:effectRef idx="1">
                                  <a:schemeClr val="accent2"/>
                                </a:effectRef>
                                <a:fontRef idx="minor">
                                  <a:schemeClr val="dk1"/>
                                </a:fontRef>
                              </wps:style>
                              <wps:txbx>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安芸</w:t>
                                    </w:r>
                                  </w:p>
                                </w:txbxContent>
                              </wps:txbx>
                              <wps:bodyPr vertOverflow="overflow" horzOverflow="overflow" wrap="square" anchor="ctr"/>
                            </wps:wsp>
                            <wps:wsp>
                              <wps:cNvPr id="1106" name="テキスト 39"/>
                              <wps:cNvSpPr txBox="1"/>
                              <wps:spPr>
                                <a:xfrm>
                                  <a:off x="5950" y="6995"/>
                                  <a:ext cx="685" cy="1949"/>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幡多けんみん病院</w:t>
                                    </w:r>
                                  </w:p>
                                </w:txbxContent>
                              </wps:txbx>
                              <wps:bodyPr vertOverflow="overflow" horzOverflow="overflow" vert="eaVert" wrap="square"/>
                            </wps:wsp>
                            <wps:wsp>
                              <wps:cNvPr id="1107" name="テキスト 40"/>
                              <wps:cNvSpPr txBox="1"/>
                              <wps:spPr>
                                <a:xfrm>
                                  <a:off x="7067" y="6995"/>
                                  <a:ext cx="685" cy="2203"/>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須崎くろしお病院</w:t>
                                    </w:r>
                                  </w:p>
                                </w:txbxContent>
                              </wps:txbx>
                              <wps:bodyPr vertOverflow="overflow" horzOverflow="overflow" vert="eaVert" wrap="square"/>
                            </wps:wsp>
                            <wps:wsp>
                              <wps:cNvPr id="1108" name="テキスト 41"/>
                              <wps:cNvSpPr txBox="1"/>
                              <wps:spPr>
                                <a:xfrm>
                                  <a:off x="8567" y="6983"/>
                                  <a:ext cx="685" cy="1713"/>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高知医療センター</w:t>
                                    </w:r>
                                  </w:p>
                                </w:txbxContent>
                              </wps:txbx>
                              <wps:bodyPr vertOverflow="overflow" horzOverflow="overflow" vert="eaVert" wrap="square"/>
                            </wps:wsp>
                            <wps:wsp>
                              <wps:cNvPr id="1109" name="テキスト 42"/>
                              <wps:cNvSpPr txBox="1"/>
                              <wps:spPr>
                                <a:xfrm>
                                  <a:off x="8814" y="6995"/>
                                  <a:ext cx="685" cy="1456"/>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嶺北中央病院</w:t>
                                    </w:r>
                                  </w:p>
                                </w:txbxContent>
                              </wps:txbx>
                              <wps:bodyPr vertOverflow="overflow" horzOverflow="overflow" vert="eaVert" wrap="square"/>
                            </wps:wsp>
                            <wps:wsp>
                              <wps:cNvPr id="1110" name="テキスト 43"/>
                              <wps:cNvSpPr txBox="1"/>
                              <wps:spPr>
                                <a:xfrm>
                                  <a:off x="8290" y="6995"/>
                                  <a:ext cx="685" cy="1689"/>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高知赤十字病院</w:t>
                                    </w:r>
                                  </w:p>
                                </w:txbxContent>
                              </wps:txbx>
                              <wps:bodyPr vertOverflow="overflow" horzOverflow="overflow" vert="eaVert" wrap="square"/>
                            </wps:wsp>
                            <wps:wsp>
                              <wps:cNvPr id="1111" name="テキスト 45"/>
                              <wps:cNvSpPr txBox="1"/>
                              <wps:spPr>
                                <a:xfrm>
                                  <a:off x="7776" y="7007"/>
                                  <a:ext cx="685" cy="2203"/>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土佐市民病院</w:t>
                                    </w:r>
                                  </w:p>
                                </w:txbxContent>
                              </wps:txbx>
                              <wps:bodyPr vertOverflow="overflow" horzOverflow="overflow" vert="eaVert" wrap="square"/>
                            </wps:wsp>
                            <wps:wsp>
                              <wps:cNvPr id="1112" name="テキスト 46"/>
                              <wps:cNvSpPr txBox="1"/>
                              <wps:spPr>
                                <a:xfrm>
                                  <a:off x="9474" y="7002"/>
                                  <a:ext cx="685" cy="1449"/>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あき総合病院</w:t>
                                    </w:r>
                                  </w:p>
                                </w:txbxContent>
                              </wps:txbx>
                              <wps:bodyPr vertOverflow="overflow" horzOverflow="overflow" vert="eaVert" wrap="square"/>
                            </wps:wsp>
                            <wps:wsp>
                              <wps:cNvPr id="1113" name="直線 47"/>
                              <wps:cNvSpPr/>
                              <wps:spPr>
                                <a:xfrm flipH="1">
                                  <a:off x="6369" y="6169"/>
                                  <a:ext cx="1812" cy="324"/>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114" name="直線 48"/>
                              <wps:cNvSpPr/>
                              <wps:spPr>
                                <a:xfrm flipH="1">
                                  <a:off x="7481" y="6174"/>
                                  <a:ext cx="728" cy="367"/>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115" name="直線 50"/>
                              <wps:cNvSpPr/>
                              <wps:spPr>
                                <a:xfrm>
                                  <a:off x="8184" y="6161"/>
                                  <a:ext cx="1643" cy="332"/>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116" name="四角形 57"/>
                              <wps:cNvSpPr/>
                              <wps:spPr>
                                <a:xfrm>
                                  <a:off x="7086" y="6502"/>
                                  <a:ext cx="790" cy="505"/>
                                </a:xfrm>
                                <a:prstGeom prst="rect">
                                  <a:avLst/>
                                </a:prstGeom>
                                <a:solidFill>
                                  <a:schemeClr val="accent1">
                                    <a:lumMod val="20000"/>
                                    <a:lumOff val="80000"/>
                                  </a:schemeClr>
                                </a:solidFill>
                                <a:ln w="6350" cap="flat" cmpd="sng" algn="ctr">
                                  <a:solidFill>
                                    <a:schemeClr val="accent1"/>
                                  </a:solidFill>
                                  <a:prstDash val="solid"/>
                                  <a:miter lim="800000"/>
                                </a:ln>
                              </wps:spPr>
                              <wps:style>
                                <a:lnRef idx="1">
                                  <a:schemeClr val="accent2"/>
                                </a:lnRef>
                                <a:fillRef idx="2">
                                  <a:schemeClr val="accent2"/>
                                </a:fillRef>
                                <a:effectRef idx="1">
                                  <a:schemeClr val="accent2"/>
                                </a:effectRef>
                                <a:fontRef idx="minor">
                                  <a:schemeClr val="dk1"/>
                                </a:fontRef>
                              </wps:style>
                              <wps:txbx>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高幡</w:t>
                                    </w:r>
                                  </w:p>
                                </w:txbxContent>
                              </wps:txbx>
                              <wps:bodyPr vertOverflow="overflow" horzOverflow="overflow" wrap="square" anchor="ctr"/>
                            </wps:wsp>
                          </wpg:grpSp>
                        </wpg:grpSp>
                        <wps:wsp>
                          <wps:cNvPr id="1117" name="テキスト 44"/>
                          <wps:cNvSpPr txBox="1"/>
                          <wps:spPr>
                            <a:xfrm>
                              <a:off x="8196" y="6846"/>
                              <a:ext cx="685" cy="1255"/>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近森病院</w:t>
                                </w:r>
                              </w:p>
                            </w:txbxContent>
                          </wps:txbx>
                          <wps:bodyPr vertOverflow="overflow" horzOverflow="overflow" vert="eaVert" wrap="square"/>
                        </wps:wsp>
                        <pic:pic xmlns:pic="http://schemas.openxmlformats.org/drawingml/2006/picture">
                          <pic:nvPicPr>
                            <pic:cNvPr id="1118" name="図 62"/>
                            <pic:cNvPicPr>
                              <a:picLocks noChangeAspect="1"/>
                            </pic:cNvPicPr>
                          </pic:nvPicPr>
                          <pic:blipFill>
                            <a:blip r:embed="rId28"/>
                            <a:stretch>
                              <a:fillRect/>
                            </a:stretch>
                          </pic:blipFill>
                          <pic:spPr>
                            <a:xfrm>
                              <a:off x="4102" y="7213"/>
                              <a:ext cx="1424" cy="1726"/>
                            </a:xfrm>
                            <a:prstGeom prst="rect">
                              <a:avLst/>
                            </a:prstGeom>
                          </pic:spPr>
                        </pic:pic>
                        <pic:pic xmlns:pic="http://schemas.openxmlformats.org/drawingml/2006/picture">
                          <pic:nvPicPr>
                            <pic:cNvPr id="1119" name="図 12"/>
                            <pic:cNvPicPr>
                              <a:picLocks noChangeAspect="1"/>
                            </pic:cNvPicPr>
                          </pic:nvPicPr>
                          <pic:blipFill>
                            <a:blip r:embed="rId29"/>
                            <a:srcRect l="24467" t="12576" r="57396" b="9674"/>
                            <a:stretch>
                              <a:fillRect/>
                            </a:stretch>
                          </pic:blipFill>
                          <pic:spPr>
                            <a:xfrm rot="20700000">
                              <a:off x="3859" y="7025"/>
                              <a:ext cx="1295" cy="1826"/>
                            </a:xfrm>
                            <a:prstGeom prst="rect">
                              <a:avLst/>
                            </a:prstGeom>
                          </pic:spPr>
                        </pic:pic>
                      </wpg:grpSp>
                    </wpg:wgp>
                  </a:graphicData>
                </a:graphic>
              </wp:anchor>
            </w:drawing>
          </mc:Choice>
          <mc:Fallback>
            <w:pict>
              <v:group id="オブジェクト 0" style="margin-top:2.6pt;mso-position-vertical-relative:text;mso-position-horizontal-relative:text;position:absolute;height:256.05pt;width:445.9pt;margin-left:8.1pt;z-index:95;" coordsize="8918,5121" coordorigin="1580,3570" o:spid="_x0000_s1083" o:allowincell="t" o:allowoverlap="t">
                <v:shapetype id="_x0000_t202" coordsize="21600,21600" o:spt="202" path="m,l,21600r21600,l21600,xe">
                  <v:stroke joinstyle="miter"/>
                  <v:path gradientshapeok="t" o:connecttype="rect"/>
                </v:shapetype>
                <v:shape id="オブジェクト 0" style="height:801;width:8331;top:3570;left:1580;position:absolute;" o:spid="_x0000_s1084" filled="f" stroked="f" o:spt="202" type="#_x0000_t202">
                  <v:fill/>
                  <v:textbox style="layout-flow:horizontal;" inset="2.0637499999999998mm,0.24694444444444438mm,2.0637499999999998mm,0.24694444444444438mm">
                    <w:txbxContent>
                      <w:p>
                        <w:pPr>
                          <w:pStyle w:val="0"/>
                          <w:spacing w:line="240" w:lineRule="exact"/>
                          <w:ind w:leftChars="0" w:hanging="2121" w:hangingChars="1200"/>
                          <w:rPr>
                            <w:rFonts w:hint="default"/>
                            <w:color w:val="auto"/>
                            <w:sz w:val="16"/>
                            <w:highlight w:val="none"/>
                            <w:u w:val="none" w:color="auto"/>
                          </w:rPr>
                        </w:pPr>
                        <w:r>
                          <w:rPr>
                            <w:rFonts w:hint="eastAsia"/>
                            <w:color w:val="auto"/>
                            <w:sz w:val="16"/>
                            <w:highlight w:val="none"/>
                            <w:u w:val="none" w:color="auto"/>
                          </w:rPr>
                          <w:t>（注５）社会的フレイル：独居、支援者の欠如、家族や近隣者との接触機会の少なさなど、社会活動への参加や社会的交流が脆弱な状態</w:t>
                        </w:r>
                      </w:p>
                      <w:p>
                        <w:pPr>
                          <w:pStyle w:val="0"/>
                          <w:spacing w:line="240" w:lineRule="exact"/>
                          <w:ind w:left="480" w:hanging="480" w:hangingChars="300"/>
                          <w:rPr>
                            <w:rFonts w:hint="default"/>
                            <w:color w:val="auto"/>
                            <w:sz w:val="16"/>
                            <w:highlight w:val="none"/>
                            <w:u w:val="none" w:color="auto"/>
                          </w:rPr>
                        </w:pPr>
                        <w:r>
                          <w:rPr>
                            <w:rFonts w:hint="eastAsia"/>
                            <w:color w:val="auto"/>
                            <w:sz w:val="16"/>
                            <w:highlight w:val="none"/>
                            <w:u w:val="none" w:color="auto"/>
                          </w:rPr>
                          <w:t>（注６）アドヒアランス：医師と患者が連携をとって治療方針を決めていく姿勢のこと。</w:t>
                        </w:r>
                      </w:p>
                    </w:txbxContent>
                  </v:textbox>
                  <v:imagedata o:title=""/>
                  <w10:wrap type="none" anchorx="text" anchory="text"/>
                </v:shape>
                <v:group id="_x0000_s1085" style="height:4223;width:8777;top:4468;left:1721;position:absolute;" coordsize="8777,4223" coordorigin="1721,4818">
                  <v:shape id="テキスト ボックス 2" style="height:495;width:8685;top:4818;left:1813;position:absolute;" o:spid="_x0000_s1086" filled="f" stroked="f" strokeweight="0.75pt" o:spt="202" type="#_x0000_t202">
                    <v:fill/>
                    <v:stroke miterlimit="8"/>
                    <v:textbox style="layout-flow:horizontal;">
                      <w:txbxContent>
                        <w:p>
                          <w:pPr>
                            <w:pStyle w:val="0"/>
                            <w:jc w:val="center"/>
                            <w:rPr>
                              <w:rFonts w:hint="eastAsia" w:ascii="ＭＳ ゴシック" w:hAnsi="ＭＳ ゴシック" w:eastAsia="ＭＳ ゴシック"/>
                              <w:sz w:val="20"/>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6-3-24</w:t>
                          </w:r>
                          <w:r>
                            <w:rPr>
                              <w:rFonts w:hint="eastAsia" w:ascii="ＭＳ ゴシック" w:hAnsi="ＭＳ ゴシック" w:eastAsia="ＭＳ ゴシック"/>
                              <w:color w:val="000000"/>
                              <w:sz w:val="22"/>
                            </w:rPr>
                            <w:t>）高知心不全連携の会における基幹病院</w:t>
                          </w:r>
                        </w:p>
                      </w:txbxContent>
                    </v:textbox>
                    <v:imagedata o:title=""/>
                    <w10:wrap type="none" anchorx="text" anchory="text"/>
                  </v:shape>
                  <v:group id="_x0000_s1087" style="height:3063;width:3989;top:5614;left:1721;position:absolute;" coordsize="542763,423245" coordorigin="227521,64693">
                    <v:group id="_x0000_s1088" style="height:423245;width:542763;top:64693;left:227521;position:absolute;" coordsize="542763,423245" coordorigin="227521,64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style="height:423245;width:542763;top:64693;left:227521;position:absolute;" o:spid="_x0000_s1089" filled="f" stroked="f" o:spt="75" type="#_x0000_t75">
                        <v:fill/>
                        <v:imagedata cropleft="1022f" croptop="7537f" cropright="1277f" cropbottom="8687f" o:title="" r:id="rId27"/>
                        <w10:wrap type="none" anchorx="text" anchory="tex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図形 13" style="height:11607;width:11566;top:393577;left:311023;v-text-anchor:middle;position:absolute;" o:spid="_x0000_s1090"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v:shape id="図形 14" style="height:11607;width:11566;top:231914;left:468503;v-text-anchor:middle;position:absolute;" o:spid="_x0000_s1091"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v:shape id="図形 15" style="height:11607;width:11566;top:178887;left:547244;v-text-anchor:middle;position:absolute;" o:spid="_x0000_s1092"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v:shape id="図形 16" style="height:11607;width:11566;top:178887;left:535678;v-text-anchor:middle;position:absolute;" o:spid="_x0000_s1093"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v:shape id="図形 17" style="height:11607;width:11566;top:190453;left:535678;v-text-anchor:middle;position:absolute;" o:spid="_x0000_s1094"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v:shape id="図形 18" style="height:11607;width:11566;top:210383;left:507874;v-text-anchor:middle;position:absolute;" o:spid="_x0000_s1095"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v:shape id="図形 19" style="height:11607;width:11566;top:105930;left:553027;v-text-anchor:middle;position:absolute;" o:spid="_x0000_s1096"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v:shape id="図形 20" style="height:11607;width:11566;top:196236;left:649606;v-text-anchor:middle;position:absolute;" o:spid="_x0000_s1097"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w10:wrap type="none" anchorx="text" anchory="text"/>
                    </v:group>
                    <v:shape id="図形 24" style="height:15753;width:12110;top:168922;left:565238;v-text-anchor:middle;position:absolute;" coordsize="21600,21600" o:spid="_x0000_s1098" filled="t" fillcolor="#ff0000" stroked="t" strokecolor="#ff0000" strokeweight="1pt" o:spt="0" path="m0,8250l0,8250l8251,8251l10800,0l13349,8251l21600,8250l14925,13349l17475,21600l10800,16501l4125,21600l6675,13349xe">
                      <v:path textboxrect="6675,8251,14925,16501" o:connecttype="custom" o:connectlocs="10800,0;0,8250;4125,21600;17475,21600;21600,8250" o:connectangles="270,180,90,90,0"/>
                      <v:fill/>
                      <v:stroke linestyle="single" miterlimit="8" joinstyle="miter"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w10:wrap type="none" anchorx="text" anchory="text"/>
                  </v:group>
                  <v:group id="_x0000_s1099" style="height:3701;width:4359;top:5340;left:6109;position:absolute;" coordsize="4359,3701" coordorigin="5950,5509">
                    <v:line id="直線 49" style="height:353;width:533;top:6165;left:8209;position:absolute;" o:spid="_x0000_s1100" filled="f" stroked="t" strokecolor="#5b9bd5 [3204]" strokeweight="1.5pt" o:spt="20" from="8209,6165" to="8742,6518">
                      <v:fill/>
                      <v:stroke linestyle="single" miterlimit="8" endcap="flat" dashstyle="solid" filltype="solid"/>
                      <v:textbox style="layout-flow:horizontal;"/>
                      <v:imagedata o:title=""/>
                      <w10:wrap type="none" anchorx="text" anchory="text"/>
                    </v:line>
                    <v:group id="_x0000_s1101" style="height:3701;width:4359;top:5509;left:5950;position:absolute;" coordsize="4359,3701" coordorigin="5950,5509">
                      <v:rect id="四角形 33" style="height:653;width:3818;top:5509;left:6272;v-text-anchor:middle;position:absolute;" o:spid="_x0000_s1102" filled="f" stroked="t" strokecolor="#5b9bd5 [3204]" strokeweight="0.5pt" o:spt="1">
                        <v:fill/>
                        <v:stroke linestyle="single" miterlimit="8" endcap="flat" dashstyle="solid" filltype="solid"/>
                        <v:textbox style="layout-flow:horizontal;">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高知大学医学部附属病院【★事務局】</w:t>
                              </w:r>
                            </w:p>
                          </w:txbxContent>
                        </v:textbox>
                        <v:imagedata o:title=""/>
                        <w10:wrap type="none" anchorx="text" anchory="text"/>
                      </v:rect>
                      <v:rect id="四角形 35" style="height:508;width:804;top:6494;left:5967;v-text-anchor:middle;position:absolute;" o:spid="_x0000_s1103" filled="t" fillcolor="#dfecf7 [660]" stroked="t" strokecolor="#5b9bd5 [3204]" strokeweight="0.5pt" o:spt="1">
                        <v:fill/>
                        <v:stroke linestyle="single" miterlimit="8" endcap="flat" dashstyle="solid" filltype="solid"/>
                        <v:textbox style="layout-flow:horizontal;">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幡多</w:t>
                              </w:r>
                            </w:p>
                          </w:txbxContent>
                        </v:textbox>
                        <v:imagedata o:title=""/>
                        <w10:wrap type="none" anchorx="text" anchory="text"/>
                      </v:rect>
                      <v:rect id="四角形 36" style="height:505;width:790;top:6502;left:8309;v-text-anchor:middle;position:absolute;" o:spid="_x0000_s1104" filled="t" fillcolor="#dfecf7 [660]" stroked="t" strokecolor="#5b9bd5 [3204]" strokeweight="0.5pt" o:spt="1">
                        <v:fill/>
                        <v:stroke linestyle="single" miterlimit="8" endcap="flat" dashstyle="solid" filltype="solid"/>
                        <v:textbox style="layout-flow:horizontal;">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中央</w:t>
                              </w:r>
                            </w:p>
                          </w:txbxContent>
                        </v:textbox>
                        <v:imagedata o:title=""/>
                        <w10:wrap type="none" anchorx="text" anchory="text"/>
                      </v:rect>
                      <v:rect id="四角形 38" style="height:494;width:795;top:6512;left:9514;v-text-anchor:middle;position:absolute;" o:spid="_x0000_s1105" filled="t" fillcolor="#dfecf7 [660]" stroked="t" strokecolor="#5b9bd5 [3204]" strokeweight="0.5pt" o:spt="1">
                        <v:fill/>
                        <v:stroke linestyle="single" miterlimit="8" endcap="flat" dashstyle="solid" filltype="solid"/>
                        <v:textbox style="layout-flow:horizontal;">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安芸</w:t>
                              </w:r>
                            </w:p>
                          </w:txbxContent>
                        </v:textbox>
                        <v:imagedata o:title=""/>
                        <w10:wrap type="none" anchorx="text" anchory="text"/>
                      </v:rect>
                      <v:shape id="テキスト 39" style="height:1949;width:685;top:6995;left:5950;position:absolute;" o:spid="_x0000_s1106"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幡多けんみん病院</w:t>
                              </w:r>
                            </w:p>
                          </w:txbxContent>
                        </v:textbox>
                        <v:imagedata o:title=""/>
                        <w10:wrap type="none" anchorx="text" anchory="text"/>
                      </v:shape>
                      <v:shape id="テキスト 40" style="height:2203;width:685;top:6995;left:7067;position:absolute;" o:spid="_x0000_s1107"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須崎くろしお病院</w:t>
                              </w:r>
                            </w:p>
                          </w:txbxContent>
                        </v:textbox>
                        <v:imagedata o:title=""/>
                        <w10:wrap type="none" anchorx="text" anchory="text"/>
                      </v:shape>
                      <v:shape id="テキスト 41" style="height:1713;width:685;top:6983;left:8567;position:absolute;" o:spid="_x0000_s1108"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高知医療センター</w:t>
                              </w:r>
                            </w:p>
                          </w:txbxContent>
                        </v:textbox>
                        <v:imagedata o:title=""/>
                        <w10:wrap type="none" anchorx="text" anchory="text"/>
                      </v:shape>
                      <v:shape id="テキスト 42" style="height:1456;width:685;top:6995;left:8814;position:absolute;" o:spid="_x0000_s1109"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嶺北中央病院</w:t>
                              </w:r>
                            </w:p>
                          </w:txbxContent>
                        </v:textbox>
                        <v:imagedata o:title=""/>
                        <w10:wrap type="none" anchorx="text" anchory="text"/>
                      </v:shape>
                      <v:shape id="テキスト 43" style="height:1689;width:685;top:6995;left:8290;position:absolute;" o:spid="_x0000_s1110"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高知赤十字病院</w:t>
                              </w:r>
                            </w:p>
                          </w:txbxContent>
                        </v:textbox>
                        <v:imagedata o:title=""/>
                        <w10:wrap type="none" anchorx="text" anchory="text"/>
                      </v:shape>
                      <v:shape id="テキスト 45" style="height:2203;width:685;top:7007;left:7776;position:absolute;" o:spid="_x0000_s1111"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土佐市民病院</w:t>
                              </w:r>
                            </w:p>
                          </w:txbxContent>
                        </v:textbox>
                        <v:imagedata o:title=""/>
                        <w10:wrap type="none" anchorx="text" anchory="text"/>
                      </v:shape>
                      <v:shape id="テキスト 46" style="height:1449;width:685;top:7002;left:9474;position:absolute;" o:spid="_x0000_s1112"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あき総合病院</w:t>
                              </w:r>
                            </w:p>
                          </w:txbxContent>
                        </v:textbox>
                        <v:imagedata o:title=""/>
                        <w10:wrap type="none" anchorx="text" anchory="text"/>
                      </v:shape>
                      <v:line id="直線 47" style="height:324;width:1812;flip:x;top:6169;left:6369;position:absolute;" o:spid="_x0000_s1113" filled="f" stroked="t" strokecolor="#5b9bd5 [3204]" strokeweight="1.5pt" o:spt="20" from="6369,6169" to="8181,6493">
                        <v:fill/>
                        <v:stroke linestyle="single" miterlimit="8" endcap="flat" dashstyle="solid" filltype="solid"/>
                        <v:textbox style="layout-flow:horizontal;"/>
                        <v:imagedata o:title=""/>
                        <w10:wrap type="none" anchorx="text" anchory="text"/>
                      </v:line>
                      <v:line id="直線 48" style="height:367;width:728;flip:x;top:6174;left:7481;position:absolute;" o:spid="_x0000_s1114" filled="f" stroked="t" strokecolor="#5b9bd5 [3204]" strokeweight="1.5pt" o:spt="20" from="7481,6174" to="8209,6541">
                        <v:fill/>
                        <v:stroke linestyle="single" miterlimit="8" endcap="flat" dashstyle="solid" filltype="solid"/>
                        <v:textbox style="layout-flow:horizontal;"/>
                        <v:imagedata o:title=""/>
                        <w10:wrap type="none" anchorx="text" anchory="text"/>
                      </v:line>
                      <v:line id="直線 50" style="height:332;width:1643;top:6161;left:8184;position:absolute;" o:spid="_x0000_s1115" filled="f" stroked="t" strokecolor="#5b9bd5 [3204]" strokeweight="1.5pt" o:spt="20" from="8184,6161" to="9827,6493">
                        <v:fill/>
                        <v:stroke linestyle="single" miterlimit="8" endcap="flat" dashstyle="solid" filltype="solid"/>
                        <v:textbox style="layout-flow:horizontal;"/>
                        <v:imagedata o:title=""/>
                        <w10:wrap type="none" anchorx="text" anchory="text"/>
                      </v:line>
                      <v:rect id="四角形 57" style="height:505;width:790;top:6502;left:7086;v-text-anchor:middle;position:absolute;" o:spid="_x0000_s1116" filled="t" fillcolor="#dfecf7 [660]" stroked="t" strokecolor="#5b9bd5 [3204]" strokeweight="0.5pt" o:spt="1">
                        <v:fill/>
                        <v:stroke linestyle="single" miterlimit="8" endcap="flat" dashstyle="solid" filltype="solid"/>
                        <v:textbox style="layout-flow:horizontal;">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高幡</w:t>
                              </w:r>
                            </w:p>
                          </w:txbxContent>
                        </v:textbox>
                        <v:imagedata o:title=""/>
                        <w10:wrap type="none" anchorx="text" anchory="text"/>
                      </v:rect>
                      <w10:wrap type="none" anchorx="text" anchory="text"/>
                    </v:group>
                    <w10:wrap type="none" anchorx="text" anchory="text"/>
                  </v:group>
                  <v:shape id="テキスト 44" style="height:1255;width:685;top:6846;left:8196;position:absolute;" o:spid="_x0000_s1117"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近森病院</w:t>
                          </w:r>
                        </w:p>
                      </w:txbxContent>
                    </v:textbox>
                    <v:imagedata o:title=""/>
                    <w10:wrap type="none" anchorx="text" anchory="text"/>
                  </v:shape>
                  <v:shape id="図 62" style="height:1726;width:1424;top:7213;left:4102;position:absolute;" o:spid="_x0000_s1118" filled="f" stroked="f" o:spt="75" type="#_x0000_t75">
                    <v:fill/>
                    <v:imagedata o:title="" r:id="rId28"/>
                    <w10:wrap type="none" anchorx="text" anchory="text"/>
                  </v:shape>
                  <v:shape id="図 12" style="height:1826;width:1295;top:7025;left:3859;position:absolute;rotation:345;" o:spid="_x0000_s1119" filled="f" stroked="f" o:spt="75" type="#_x0000_t75">
                    <v:fill/>
                    <v:imagedata cropleft="16035f" croptop="8242f" cropright="37615f" cropbottom="6340f" o:title="" r:id="rId29"/>
                    <w10:wrap type="none" anchorx="text" anchory="text"/>
                  </v:shape>
                  <w10:wrap type="none" anchorx="text" anchory="text"/>
                </v:group>
                <w10:wrap type="none" anchorx="text" anchory="text"/>
              </v:group>
            </w:pict>
          </mc:Fallback>
        </mc:AlternateContent>
      </w: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 xml:space="preserve"> </w:t>
      </w: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Chars="0" w:firstLineChars="0"/>
        <w:rPr>
          <w:rFonts w:hint="eastAsia" w:ascii="ＭＳ 明朝" w:hAnsi="ＭＳ 明朝" w:eastAsia="ＭＳ 明朝"/>
          <w:b w:val="0"/>
          <w:color w:val="auto"/>
          <w:highlight w:val="none"/>
        </w:rPr>
      </w:pPr>
    </w:p>
    <w:p>
      <w:pPr>
        <w:pStyle w:val="0"/>
        <w:ind w:leftChars="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rPr>
        <w:t>　</w:t>
      </w:r>
      <w:r>
        <w:rPr>
          <w:rFonts w:hint="eastAsia" w:ascii="ＭＳ 明朝" w:hAnsi="ＭＳ 明朝" w:eastAsia="ＭＳ 明朝"/>
          <w:b w:val="0"/>
          <w:color w:val="auto"/>
          <w:sz w:val="22"/>
          <w:highlight w:val="none"/>
          <w:u w:val="none" w:color="auto"/>
        </w:rPr>
        <w:t>また、平成</w:t>
      </w:r>
      <w:r>
        <w:rPr>
          <w:rFonts w:hint="eastAsia" w:ascii="ＭＳ 明朝" w:hAnsi="ＭＳ 明朝" w:eastAsia="ＭＳ 明朝"/>
          <w:b w:val="0"/>
          <w:color w:val="auto"/>
          <w:sz w:val="22"/>
          <w:highlight w:val="none"/>
          <w:u w:val="none" w:color="auto"/>
        </w:rPr>
        <w:t>30</w:t>
      </w:r>
      <w:r>
        <w:rPr>
          <w:rFonts w:hint="eastAsia" w:ascii="ＭＳ 明朝" w:hAnsi="ＭＳ 明朝" w:eastAsia="ＭＳ 明朝"/>
          <w:b w:val="0"/>
          <w:color w:val="auto"/>
          <w:sz w:val="22"/>
          <w:highlight w:val="none"/>
          <w:u w:val="none" w:color="auto"/>
        </w:rPr>
        <w:t>年度の診療報酬改定により、緩和ケア診療加算の対象疾患に末期心不全が追加されました。平成</w:t>
      </w:r>
      <w:r>
        <w:rPr>
          <w:rFonts w:hint="eastAsia" w:ascii="ＭＳ 明朝" w:hAnsi="ＭＳ 明朝" w:eastAsia="ＭＳ 明朝"/>
          <w:b w:val="0"/>
          <w:color w:val="auto"/>
          <w:sz w:val="22"/>
          <w:highlight w:val="none"/>
          <w:u w:val="none" w:color="auto"/>
        </w:rPr>
        <w:t>30</w:t>
      </w:r>
      <w:r>
        <w:rPr>
          <w:rFonts w:hint="eastAsia" w:ascii="ＭＳ 明朝" w:hAnsi="ＭＳ 明朝" w:eastAsia="ＭＳ 明朝"/>
          <w:b w:val="0"/>
          <w:color w:val="auto"/>
          <w:sz w:val="22"/>
          <w:highlight w:val="none"/>
          <w:u w:val="none" w:color="auto"/>
        </w:rPr>
        <w:t>年４月の厚生労働省の報告書</w:t>
      </w:r>
      <w:r>
        <w:rPr>
          <w:rFonts w:hint="eastAsia" w:ascii="ＭＳ 明朝" w:hAnsi="ＭＳ 明朝" w:eastAsia="ＭＳ 明朝"/>
          <w:b w:val="0"/>
          <w:color w:val="auto"/>
          <w:sz w:val="22"/>
          <w:highlight w:val="none"/>
          <w:u w:val="none" w:color="auto"/>
          <w:vertAlign w:val="superscript"/>
        </w:rPr>
        <w:t>（注７）</w:t>
      </w:r>
      <w:r>
        <w:rPr>
          <w:rFonts w:hint="eastAsia" w:ascii="ＭＳ 明朝" w:hAnsi="ＭＳ 明朝" w:eastAsia="ＭＳ 明朝"/>
          <w:b w:val="0"/>
          <w:color w:val="auto"/>
          <w:sz w:val="22"/>
          <w:highlight w:val="none"/>
          <w:u w:val="none" w:color="auto"/>
        </w:rPr>
        <w:t>によると、「循環器疾患の中でも、心不全は、すべての心疾患に共通した終末的な病態であり、今後の患者増加が予想されるものであることから緩和ケアの対象となる主な循環器疾患として心不全を想定し、今後の取組を考える必要がある。」とされています。本県においても、各医療機関の心不全チーム等を中心として、末期心不全患者に対する緩和ケアが実施されています。</w:t>
      </w:r>
    </w:p>
    <w:p>
      <w:pPr>
        <w:pStyle w:val="0"/>
        <w:autoSpaceDE w:val="0"/>
        <w:autoSpaceDN w:val="0"/>
        <w:adjustRightInd w:val="0"/>
        <w:ind w:left="227" w:leftChars="100" w:firstLineChars="0"/>
        <w:jc w:val="left"/>
        <w:rPr>
          <w:rFonts w:hint="eastAsia" w:ascii="ＭＳ 明朝" w:hAnsi="ＭＳ 明朝" w:eastAsia="ＭＳ 明朝"/>
          <w:color w:val="000000" w:themeColor="text1"/>
          <w:kern w:val="0"/>
          <w:sz w:val="22"/>
          <w:highlight w:val="none"/>
          <w:u w:val="none" w:color="auto"/>
        </w:rPr>
      </w:pPr>
      <w:r>
        <w:rPr>
          <w:rFonts w:hint="eastAsia" w:ascii="ＭＳ 明朝" w:hAnsi="ＭＳ 明朝" w:eastAsia="ＭＳ 明朝"/>
          <w:b w:val="0"/>
          <w:color w:val="auto"/>
          <w:sz w:val="22"/>
          <w:highlight w:val="none"/>
          <w:u w:val="none" w:color="auto"/>
        </w:rPr>
        <w:t>　さらに、将来の医療及びケアについて、本人を主体に家族や医療チーム等が話し合いを行い、本人の意思決定を支援する「人生会議（</w:t>
      </w:r>
      <w:r>
        <w:rPr>
          <w:rFonts w:hint="eastAsia" w:ascii="ＭＳ 明朝" w:hAnsi="ＭＳ 明朝" w:eastAsia="ＭＳ 明朝"/>
          <w:b w:val="0"/>
          <w:color w:val="auto"/>
          <w:sz w:val="22"/>
          <w:highlight w:val="none"/>
          <w:u w:val="none" w:color="auto"/>
        </w:rPr>
        <w:t>Advance Care Planning</w:t>
      </w:r>
      <w:r>
        <w:rPr>
          <w:rFonts w:hint="eastAsia" w:ascii="ＭＳ 明朝" w:hAnsi="ＭＳ 明朝" w:eastAsia="ＭＳ 明朝"/>
          <w:b w:val="0"/>
          <w:color w:val="auto"/>
          <w:sz w:val="22"/>
          <w:highlight w:val="none"/>
          <w:u w:val="none" w:color="auto"/>
        </w:rPr>
        <w:t>：ＡＣＰ）」について、医療従事者をはじめとする支援者の理解を促進し、対象者に適切な支援が行えるよう取り組む必要があります。</w:t>
      </w:r>
    </w:p>
    <w:p>
      <w:pPr>
        <w:pStyle w:val="0"/>
        <w:autoSpaceDE w:val="0"/>
        <w:autoSpaceDN w:val="0"/>
        <w:adjustRightInd w:val="0"/>
        <w:ind w:firstLine="237" w:firstLineChars="100"/>
        <w:jc w:val="left"/>
        <w:rPr>
          <w:rFonts w:hint="eastAsia" w:ascii="ＭＳ 明朝" w:hAnsi="ＭＳ 明朝" w:eastAsia="ＭＳ 明朝"/>
          <w:color w:val="000000" w:themeColor="text1"/>
          <w:kern w:val="0"/>
          <w:sz w:val="22"/>
          <w:highlight w:val="none"/>
          <w:u w:val="none" w:color="auto"/>
        </w:rPr>
      </w:pPr>
      <w:r>
        <w:rPr>
          <w:rFonts w:hint="eastAsia"/>
          <w:highlight w:val="none"/>
        </w:rPr>
        <mc:AlternateContent>
          <mc:Choice Requires="wps">
            <w:drawing>
              <wp:anchor simplePos="0" relativeHeight="9" behindDoc="0" locked="0" layoutInCell="1" hidden="0" allowOverlap="1">
                <wp:simplePos x="0" y="0"/>
                <wp:positionH relativeFrom="column">
                  <wp:posOffset>23495</wp:posOffset>
                </wp:positionH>
                <wp:positionV relativeFrom="paragraph">
                  <wp:posOffset>41275</wp:posOffset>
                </wp:positionV>
                <wp:extent cx="5828665" cy="396240"/>
                <wp:effectExtent l="0" t="0" r="635" b="635"/>
                <wp:wrapNone/>
                <wp:docPr id="1120" name="オブジェクト 0"/>
                <a:graphic xmlns:a="http://schemas.openxmlformats.org/drawingml/2006/main">
                  <a:graphicData uri="http://schemas.microsoft.com/office/word/2010/wordprocessingShape">
                    <wps:wsp>
                      <wps:cNvPr id="1120" name="オブジェクト 0"/>
                      <wps:cNvSpPr txBox="1">
                        <a:spLocks noChangeArrowheads="1"/>
                      </wps:cNvSpPr>
                      <wps:spPr>
                        <a:xfrm>
                          <a:off x="0" y="0"/>
                          <a:ext cx="5828665" cy="396240"/>
                        </a:xfrm>
                        <a:prstGeom prst="rect">
                          <a:avLst/>
                        </a:prstGeom>
                        <a:noFill/>
                        <a:ln>
                          <a:miter/>
                        </a:ln>
                      </wps:spPr>
                      <wps:txbx>
                        <w:txbxContent>
                          <w:p>
                            <w:pPr>
                              <w:pStyle w:val="0"/>
                              <w:spacing w:line="240" w:lineRule="exact"/>
                              <w:ind w:leftChars="0" w:hanging="1449" w:hangingChars="820"/>
                              <w:rPr>
                                <w:rFonts w:hint="default"/>
                                <w:color w:val="auto"/>
                                <w:sz w:val="16"/>
                              </w:rPr>
                            </w:pPr>
                            <w:r>
                              <w:rPr>
                                <w:rFonts w:hint="eastAsia"/>
                                <w:color w:val="auto"/>
                                <w:sz w:val="16"/>
                              </w:rPr>
                              <w:t>（注７）</w:t>
                            </w:r>
                            <w:r>
                              <w:rPr>
                                <w:rFonts w:hint="eastAsia"/>
                                <w:color w:val="auto"/>
                                <w:sz w:val="16"/>
                              </w:rPr>
                              <w:t xml:space="preserve"> </w:t>
                            </w:r>
                            <w:r>
                              <w:rPr>
                                <w:rFonts w:hint="eastAsia"/>
                                <w:color w:val="auto"/>
                                <w:sz w:val="16"/>
                              </w:rPr>
                              <w:t>報告書：</w:t>
                            </w:r>
                            <w:r>
                              <w:rPr>
                                <w:rFonts w:hint="eastAsia"/>
                                <w:b w:val="0"/>
                                <w:sz w:val="16"/>
                              </w:rPr>
                              <w:t>循環器疾患の患者に対する緩和ケア提供体制のあり方について（平成</w:t>
                            </w:r>
                            <w:r>
                              <w:rPr>
                                <w:rFonts w:hint="eastAsia" w:asciiTheme="minorEastAsia" w:hAnsiTheme="minorEastAsia" w:eastAsiaTheme="minorEastAsia"/>
                                <w:b w:val="0"/>
                                <w:sz w:val="16"/>
                              </w:rPr>
                              <w:t>30</w:t>
                            </w:r>
                            <w:r>
                              <w:rPr>
                                <w:rFonts w:hint="eastAsia"/>
                                <w:b w:val="0"/>
                                <w:sz w:val="16"/>
                              </w:rPr>
                              <w:t>年４月循環器疾患の患者に対する緩和ケア提供体制のあり方に関するワーキンググループ）</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3.25pt;mso-position-vertical-relative:text;mso-position-horizontal-relative:text;position:absolute;height:31.2pt;width:458.95pt;margin-left:1.85pt;z-index:9;" o:spid="_x0000_s1120" o:allowincell="t" o:allowoverlap="t" filled="f" stroked="f" o:spt="202" type="#_x0000_t202">
                <v:fill/>
                <v:textbox style="layout-flow:horizontal;" inset="2.0637499999999998mm,0.24694444444444438mm,2.0637499999999998mm,0.24694444444444438mm">
                  <w:txbxContent>
                    <w:p>
                      <w:pPr>
                        <w:pStyle w:val="0"/>
                        <w:spacing w:line="240" w:lineRule="exact"/>
                        <w:ind w:leftChars="0" w:hanging="1449" w:hangingChars="820"/>
                        <w:rPr>
                          <w:rFonts w:hint="default"/>
                          <w:color w:val="auto"/>
                          <w:sz w:val="16"/>
                        </w:rPr>
                      </w:pPr>
                      <w:r>
                        <w:rPr>
                          <w:rFonts w:hint="eastAsia"/>
                          <w:color w:val="auto"/>
                          <w:sz w:val="16"/>
                        </w:rPr>
                        <w:t>（注７）</w:t>
                      </w:r>
                      <w:r>
                        <w:rPr>
                          <w:rFonts w:hint="eastAsia"/>
                          <w:color w:val="auto"/>
                          <w:sz w:val="16"/>
                        </w:rPr>
                        <w:t xml:space="preserve"> </w:t>
                      </w:r>
                      <w:r>
                        <w:rPr>
                          <w:rFonts w:hint="eastAsia"/>
                          <w:color w:val="auto"/>
                          <w:sz w:val="16"/>
                        </w:rPr>
                        <w:t>報告書：</w:t>
                      </w:r>
                      <w:r>
                        <w:rPr>
                          <w:rFonts w:hint="eastAsia"/>
                          <w:b w:val="0"/>
                          <w:sz w:val="16"/>
                        </w:rPr>
                        <w:t>循環器疾患の患者に対する緩和ケア提供体制のあり方について（平成</w:t>
                      </w:r>
                      <w:r>
                        <w:rPr>
                          <w:rFonts w:hint="eastAsia" w:asciiTheme="minorEastAsia" w:hAnsiTheme="minorEastAsia" w:eastAsiaTheme="minorEastAsia"/>
                          <w:b w:val="0"/>
                          <w:sz w:val="16"/>
                        </w:rPr>
                        <w:t>30</w:t>
                      </w:r>
                      <w:r>
                        <w:rPr>
                          <w:rFonts w:hint="eastAsia"/>
                          <w:b w:val="0"/>
                          <w:sz w:val="16"/>
                        </w:rPr>
                        <w:t>年４月循環器疾患の患者に対する緩和ケア提供体制のあり方に関するワーキンググループ）</w:t>
                      </w:r>
                    </w:p>
                  </w:txbxContent>
                </v:textbox>
                <v:imagedata o:title=""/>
                <w10:wrap type="none" anchorx="text" anchory="text"/>
              </v:shape>
            </w:pict>
          </mc:Fallback>
        </mc:AlternateContent>
      </w:r>
    </w:p>
    <w:p>
      <w:pPr>
        <w:pStyle w:val="0"/>
        <w:autoSpaceDE w:val="0"/>
        <w:autoSpaceDN w:val="0"/>
        <w:adjustRightInd w:val="0"/>
        <w:ind w:firstLine="237" w:firstLineChars="100"/>
        <w:jc w:val="left"/>
        <w:rPr>
          <w:rFonts w:hint="eastAsia" w:ascii="ＭＳ 明朝" w:hAnsi="ＭＳ 明朝" w:eastAsia="ＭＳ 明朝"/>
          <w:color w:val="000000" w:themeColor="text1"/>
          <w:kern w:val="0"/>
          <w:sz w:val="22"/>
          <w:highlight w:val="none"/>
          <w:u w:val="none" w:color="auto"/>
        </w:rPr>
      </w:pPr>
    </w:p>
    <w:p>
      <w:pPr>
        <w:pStyle w:val="0"/>
        <w:ind w:leftChars="0" w:firstLineChars="0"/>
        <w:rPr>
          <w:rFonts w:hint="eastAsia"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６　包括的な支援体制の整備</w:t>
      </w:r>
    </w:p>
    <w:p>
      <w:pPr>
        <w:pStyle w:val="0"/>
        <w:ind w:left="210" w:leftChars="100" w:firstLine="210" w:firstLineChars="100"/>
        <w:rPr>
          <w:rFonts w:hint="eastAsia" w:ascii="ＭＳ 明朝" w:hAnsi="ＭＳ 明朝" w:eastAsia="ＭＳ 明朝"/>
          <w:strike w:val="0"/>
          <w:dstrike w:val="0"/>
          <w:color w:val="auto"/>
          <w:sz w:val="24"/>
          <w:highlight w:val="none"/>
          <w:u w:val="none" w:color="auto"/>
        </w:rPr>
      </w:pPr>
      <w:r>
        <w:rPr>
          <w:rFonts w:hint="eastAsia" w:ascii="ＭＳ 明朝" w:hAnsi="ＭＳ 明朝" w:eastAsia="ＭＳ 明朝"/>
          <w:strike w:val="0"/>
          <w:dstrike w:val="0"/>
          <w:color w:val="auto"/>
          <w:sz w:val="22"/>
          <w:highlight w:val="none"/>
          <w:u w:val="none" w:color="auto"/>
        </w:rPr>
        <w:t>心血管疾患患者は、再発・合併症への不安をはじめ、診療や生活における疑問、心理社会的・経済的な悩み等、多様なニーズを抱えています。</w:t>
      </w:r>
      <w:r>
        <w:rPr>
          <w:rFonts w:hint="eastAsia" w:ascii="ＭＳ 明朝" w:hAnsi="ＭＳ 明朝" w:eastAsia="ＭＳ 明朝"/>
          <w:b w:val="0"/>
          <w:color w:val="auto"/>
          <w:sz w:val="22"/>
          <w:highlight w:val="none"/>
          <w:u w:val="none" w:color="auto"/>
        </w:rPr>
        <w:t>「高知心不全連携の会」では、高知大学医学部附属病院及び県内８か所の基幹病院に、心不全に関する相談窓口を設置し、家族や支援者等からの相談に対応しています。</w:t>
      </w:r>
    </w:p>
    <w:p>
      <w:pPr>
        <w:pStyle w:val="0"/>
        <w:ind w:left="210" w:leftChars="100" w:firstLine="210" w:firstLineChars="100"/>
        <w:rPr>
          <w:rFonts w:hint="eastAsia" w:ascii="ＭＳ 明朝" w:hAnsi="ＭＳ 明朝" w:eastAsia="ＭＳ 明朝"/>
          <w:strike w:val="0"/>
          <w:dstrike w:val="0"/>
          <w:color w:val="auto"/>
          <w:sz w:val="24"/>
          <w:highlight w:val="none"/>
          <w:u w:val="none" w:color="auto"/>
        </w:rPr>
      </w:pPr>
    </w:p>
    <w:p>
      <w:pPr>
        <w:pStyle w:val="0"/>
        <w:ind w:left="210" w:leftChars="100" w:firstLine="210" w:firstLineChars="100"/>
        <w:rPr>
          <w:rFonts w:hint="eastAsia" w:ascii="ＭＳ 明朝" w:hAnsi="ＭＳ 明朝" w:eastAsia="ＭＳ 明朝"/>
          <w:strike w:val="0"/>
          <w:dstrike w:val="0"/>
          <w:color w:val="auto"/>
          <w:sz w:val="24"/>
          <w:highlight w:val="none"/>
          <w:u w:val="none" w:color="auto"/>
        </w:rPr>
      </w:pPr>
      <w:r>
        <w:rPr>
          <w:rFonts w:hint="eastAsia" w:ascii="ＭＳ 明朝" w:hAnsi="ＭＳ 明朝" w:eastAsia="ＭＳ 明朝"/>
          <w:b w:val="0"/>
          <w:color w:val="auto"/>
          <w:sz w:val="22"/>
          <w:highlight w:val="none"/>
          <w:u w:val="none" w:color="auto"/>
        </w:rPr>
        <w:t>また、平成</w:t>
      </w:r>
      <w:r>
        <w:rPr>
          <w:rFonts w:hint="eastAsia" w:ascii="ＭＳ 明朝" w:hAnsi="ＭＳ 明朝" w:eastAsia="ＭＳ 明朝"/>
          <w:b w:val="0"/>
          <w:color w:val="auto"/>
          <w:sz w:val="22"/>
          <w:highlight w:val="none"/>
          <w:u w:val="none" w:color="auto"/>
        </w:rPr>
        <w:t>30</w:t>
      </w:r>
      <w:r>
        <w:rPr>
          <w:rFonts w:hint="eastAsia" w:ascii="ＭＳ 明朝" w:hAnsi="ＭＳ 明朝" w:eastAsia="ＭＳ 明朝"/>
          <w:b w:val="0"/>
          <w:color w:val="auto"/>
          <w:sz w:val="22"/>
          <w:highlight w:val="none"/>
          <w:u w:val="none" w:color="auto"/>
        </w:rPr>
        <w:t>年</w:t>
      </w:r>
      <w:r>
        <w:rPr>
          <w:rFonts w:hint="eastAsia" w:ascii="ＭＳ 明朝" w:hAnsi="ＭＳ 明朝" w:eastAsia="ＭＳ 明朝"/>
          <w:b w:val="0"/>
          <w:color w:val="auto"/>
          <w:sz w:val="22"/>
          <w:highlight w:val="none"/>
          <w:u w:val="none" w:color="auto"/>
        </w:rPr>
        <w:t>12</w:t>
      </w:r>
      <w:r>
        <w:rPr>
          <w:rFonts w:hint="eastAsia" w:ascii="ＭＳ 明朝" w:hAnsi="ＭＳ 明朝" w:eastAsia="ＭＳ 明朝"/>
          <w:b w:val="0"/>
          <w:color w:val="auto"/>
          <w:sz w:val="22"/>
          <w:highlight w:val="none"/>
          <w:u w:val="none" w:color="auto"/>
        </w:rPr>
        <w:t>月に成立した循環器病対策基本法及び法第９条第１項に基づく「循環器病対策推進基本計画」の理念を踏まえ、本県においても令和４年３月に「高知県循環器病対策推進計画」、令和６年３月には第２期計画を策定して、健康寿命の延伸と循環器病の年齢調整死亡率の減少を目指し、循環器病対策を総合的かつ計画的に推進しています。その中では、治療と仕事の両立支援に関することも含め、循環器病における適切な相談支援や必要な情報提供体制を整えるとともに、地域の病院、かかりつけ医、地域包括支援センター、介護事業者、訪問看護ステーション等との情報ネットワークを強化し、地域全体の患者支援体制の充実を図ることとしています。</w:t>
      </w:r>
    </w:p>
    <w:p>
      <w:pPr>
        <w:pStyle w:val="0"/>
        <w:rPr>
          <w:rFonts w:hint="eastAsia" w:ascii="ＭＳ 明朝" w:hAnsi="ＭＳ 明朝" w:eastAsia="ＭＳ 明朝"/>
          <w:b w:val="1"/>
          <w:sz w:val="22"/>
          <w:highlight w:val="none"/>
          <w:bdr w:val="single" w:color="auto" w:sz="4" w:space="0"/>
          <w:shd w:val="clear" w:color="auto" w:themeFill="accent4" w:themeFillTint="33" w:themeFillShade="FF"/>
        </w:rPr>
      </w:pPr>
    </w:p>
    <w:p>
      <w:pPr>
        <w:pStyle w:val="0"/>
        <w:rPr>
          <w:rFonts w:hint="eastAsia" w:ascii="ＭＳ 明朝" w:hAnsi="ＭＳ 明朝" w:eastAsia="ＭＳ 明朝"/>
          <w:b w:val="1"/>
          <w:sz w:val="22"/>
          <w:highlight w:val="none"/>
          <w:bdr w:val="single" w:color="auto" w:sz="4" w:space="0"/>
          <w:shd w:val="clear" w:color="auto" w:themeFill="accent4" w:themeFillTint="33" w:themeFillShade="FF"/>
        </w:rPr>
      </w:pPr>
      <w:r>
        <w:rPr>
          <w:rFonts w:hint="eastAsia" w:ascii="ＭＳ 明朝" w:hAnsi="ＭＳ 明朝" w:eastAsia="ＭＳ 明朝"/>
          <w:b w:val="1"/>
          <w:color w:val="auto"/>
          <w:kern w:val="2"/>
          <w:sz w:val="22"/>
          <w:highlight w:val="none"/>
          <w:bdr w:val="single" w:color="auto" w:sz="4" w:space="0"/>
          <w:shd w:val="clear" w:color="auto" w:fill="E5DFEC"/>
        </w:rPr>
        <w:t>課題</w:t>
      </w:r>
    </w:p>
    <w:p>
      <w:pPr>
        <w:pStyle w:val="0"/>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2"/>
          <w:highlight w:val="none"/>
        </w:rPr>
        <w:t>１　予防</w:t>
      </w:r>
    </w:p>
    <w:p>
      <w:pPr>
        <w:pStyle w:val="0"/>
        <w:ind w:left="227" w:leftChars="100" w:firstLine="237" w:firstLineChars="100"/>
        <w:rPr>
          <w:rFonts w:hint="eastAsia" w:ascii="ＭＳ 明朝" w:hAnsi="ＭＳ 明朝" w:eastAsia="ＭＳ 明朝"/>
          <w:color w:val="FF0000"/>
          <w:sz w:val="24"/>
          <w:highlight w:val="none"/>
          <w:u w:val="single" w:color="auto"/>
        </w:rPr>
      </w:pPr>
      <w:r>
        <w:rPr>
          <w:rFonts w:hint="eastAsia" w:ascii="ＭＳ 明朝" w:hAnsi="ＭＳ 明朝" w:eastAsia="ＭＳ 明朝"/>
          <w:color w:val="auto"/>
          <w:sz w:val="22"/>
          <w:highlight w:val="none"/>
          <w:u w:val="none" w:color="auto"/>
        </w:rPr>
        <w:t>本県は、内臓脂肪症候群（メタボリックシンドローム）該当者の割合が全国と比べ高くなっていることなどから、生活習慣の改善に向けた</w:t>
      </w:r>
      <w:r>
        <w:rPr>
          <w:rFonts w:hint="eastAsia" w:ascii="ＭＳ 明朝" w:hAnsi="ＭＳ 明朝" w:eastAsia="ＭＳ 明朝"/>
          <w:strike w:val="0"/>
          <w:dstrike w:val="0"/>
          <w:color w:val="auto"/>
          <w:sz w:val="22"/>
          <w:highlight w:val="none"/>
          <w:u w:val="none" w:color="auto"/>
        </w:rPr>
        <w:t>ポピュレーションアプローチの強化が必要です。併せて、高血圧等の</w:t>
      </w:r>
      <w:r>
        <w:rPr>
          <w:rFonts w:hint="eastAsia" w:ascii="ＭＳ 明朝" w:hAnsi="ＭＳ 明朝" w:eastAsia="ＭＳ 明朝"/>
          <w:color w:val="auto"/>
          <w:sz w:val="22"/>
          <w:highlight w:val="none"/>
          <w:u w:val="none" w:color="auto"/>
        </w:rPr>
        <w:t>急性心筋梗塞の危険因子についての啓発や、特定健診及び特定保健指導等による健康状態の把握と生活習慣の改善を通じた発症リスクの低減を図ることも重要です。特に、虚血性心疾患の重症化予防の取組により、動脈硬化性疾患の再発または発症リスクが高い層における脂質異常症の適切な治療が必要であることが明らかとなりましたが、現在の高知県の対策が、高血圧及び喫煙に重点を置く取組が多く、脂質異常症のリスクに関する県民啓発と、適切な治療に関する啓発が必要です。</w:t>
      </w:r>
    </w:p>
    <w:p>
      <w:pPr>
        <w:pStyle w:val="0"/>
        <w:autoSpaceDE w:val="0"/>
        <w:autoSpaceDN w:val="0"/>
        <w:adjustRightInd w:val="0"/>
        <w:ind w:left="237" w:hanging="237" w:hangingChars="100"/>
        <w:jc w:val="left"/>
        <w:rPr>
          <w:rFonts w:hint="eastAsia" w:ascii="ＭＳ 明朝" w:hAnsi="ＭＳ 明朝" w:eastAsia="ＭＳ 明朝"/>
          <w:b w:val="0"/>
          <w:color w:val="000000" w:themeColor="text1"/>
          <w:kern w:val="0"/>
          <w:sz w:val="22"/>
          <w:highlight w:val="none"/>
          <w:u w:val="none" w:color="auto"/>
        </w:rPr>
      </w:pPr>
      <w:r>
        <w:rPr>
          <w:rFonts w:hint="eastAsia" w:ascii="ＭＳ 明朝" w:hAnsi="ＭＳ 明朝" w:eastAsia="ＭＳ 明朝"/>
          <w:b w:val="0"/>
          <w:color w:val="000000" w:themeColor="text1"/>
          <w:sz w:val="22"/>
          <w:highlight w:val="none"/>
          <w:u w:val="none" w:color="auto"/>
        </w:rPr>
        <w:t>　　</w:t>
      </w:r>
    </w:p>
    <w:p>
      <w:pPr>
        <w:pStyle w:val="0"/>
        <w:spacing w:line="240" w:lineRule="auto"/>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2"/>
          <w:highlight w:val="none"/>
        </w:rPr>
        <w:t>２　病院前救護活動</w:t>
      </w:r>
      <w:r>
        <w:rPr>
          <w:rFonts w:hint="eastAsia" w:ascii="ＭＳ 明朝" w:hAnsi="ＭＳ 明朝" w:eastAsia="ＭＳ 明朝"/>
          <w:b w:val="1"/>
          <w:color w:val="0070C0"/>
          <w:sz w:val="22"/>
          <w:highlight w:val="none"/>
          <w:u w:val="none" w:color="auto"/>
        </w:rPr>
        <w:t>・急性期の医療提供体制</w:t>
      </w:r>
    </w:p>
    <w:p>
      <w:pPr>
        <w:pStyle w:val="0"/>
        <w:ind w:left="227" w:leftChars="100" w:firstLine="227" w:firstLineChars="100"/>
        <w:rPr>
          <w:rFonts w:hint="eastAsia" w:ascii="ＭＳ 明朝" w:hAnsi="ＭＳ 明朝" w:eastAsia="ＭＳ 明朝"/>
          <w:b w:val="0"/>
          <w:color w:val="auto"/>
          <w:sz w:val="24"/>
          <w:highlight w:val="none"/>
          <w:u w:val="none" w:color="auto"/>
        </w:rPr>
      </w:pPr>
      <w:r>
        <w:rPr>
          <w:rFonts w:hint="eastAsia" w:ascii="ＭＳ 明朝" w:hAnsi="ＭＳ 明朝" w:eastAsia="ＭＳ 明朝"/>
          <w:color w:val="auto"/>
          <w:sz w:val="22"/>
          <w:highlight w:val="none"/>
          <w:u w:val="none" w:color="auto"/>
        </w:rPr>
        <w:t>心血管疾患の予後改善及びＱＯＬ向上のため、発症から治療を受けるまでの時間短縮に向けて、急性心筋梗塞及び急性心不全の初期症状と早期の救急要請及び</w:t>
      </w:r>
      <w:r>
        <w:rPr>
          <w:rFonts w:hint="eastAsia" w:ascii="ＭＳ 明朝" w:hAnsi="ＭＳ 明朝" w:eastAsia="ＭＳ 明朝"/>
          <w:color w:val="auto"/>
          <w:sz w:val="24"/>
          <w:highlight w:val="none"/>
          <w:u w:val="none" w:color="auto"/>
        </w:rPr>
        <w:t>除細動等の適切な病院前救護活動</w:t>
      </w:r>
      <w:r>
        <w:rPr>
          <w:rFonts w:hint="eastAsia" w:ascii="ＭＳ 明朝" w:hAnsi="ＭＳ 明朝" w:eastAsia="ＭＳ 明朝"/>
          <w:color w:val="auto"/>
          <w:sz w:val="22"/>
          <w:highlight w:val="none"/>
          <w:u w:val="none" w:color="auto"/>
        </w:rPr>
        <w:t>についての啓発を強化する必要があります。</w:t>
      </w:r>
    </w:p>
    <w:p>
      <w:pPr>
        <w:pStyle w:val="0"/>
        <w:ind w:left="227" w:leftChars="100" w:firstLine="227" w:firstLineChars="100"/>
        <w:rPr>
          <w:rFonts w:hint="eastAsia" w:ascii="ＭＳ 明朝" w:hAnsi="ＭＳ 明朝" w:eastAsia="ＭＳ 明朝"/>
          <w:b w:val="0"/>
          <w:color w:val="auto"/>
          <w:sz w:val="24"/>
          <w:highlight w:val="none"/>
          <w:u w:val="none" w:color="auto"/>
        </w:rPr>
      </w:pPr>
      <w:r>
        <w:rPr>
          <w:rFonts w:hint="eastAsia" w:ascii="ＭＳ 明朝" w:hAnsi="ＭＳ 明朝" w:eastAsia="ＭＳ 明朝"/>
          <w:b w:val="0"/>
          <w:color w:val="auto"/>
          <w:sz w:val="22"/>
          <w:highlight w:val="none"/>
          <w:u w:val="none" w:color="auto"/>
        </w:rPr>
        <w:t>本県の急性心筋梗塞による死亡率は全国と比較して高くなっていますが、実態が十分把握されていません。急性心筋梗塞治療センターの治療成績の集約と併せ、本県の診療実態の把握が必要であり、心血管疾患の発症状況等の現状把握のためのデータ集約体制の構築について検討する必要があります。</w:t>
      </w:r>
    </w:p>
    <w:p>
      <w:pPr>
        <w:pStyle w:val="0"/>
        <w:ind w:left="227" w:leftChars="100" w:firstLine="227" w:firstLineChars="100"/>
        <w:rPr>
          <w:rFonts w:hint="eastAsia" w:ascii="ＭＳ 明朝" w:hAnsi="ＭＳ 明朝" w:eastAsia="ＭＳ 明朝"/>
          <w:b w:val="0"/>
          <w:color w:val="000000" w:themeColor="text1"/>
          <w:sz w:val="24"/>
          <w:highlight w:val="none"/>
          <w:u w:val="none" w:color="auto"/>
        </w:rPr>
      </w:pPr>
      <w:r>
        <w:rPr>
          <w:rFonts w:hint="eastAsia" w:ascii="ＭＳ 明朝" w:hAnsi="ＭＳ 明朝" w:eastAsia="ＭＳ 明朝"/>
          <w:b w:val="0"/>
          <w:color w:val="auto"/>
          <w:sz w:val="22"/>
          <w:highlight w:val="none"/>
          <w:u w:val="none" w:color="auto"/>
        </w:rPr>
        <w:t>新興感染症発生・まん延時においても、急性期の患者を速やかに搬送し、適切な医療を提供できる体制の構築をする必要があります。</w:t>
      </w:r>
    </w:p>
    <w:p>
      <w:pPr>
        <w:pStyle w:val="0"/>
        <w:ind w:left="227" w:leftChars="100" w:firstLine="237" w:firstLineChars="100"/>
        <w:rPr>
          <w:rFonts w:hint="eastAsia" w:ascii="ＭＳ 明朝" w:hAnsi="ＭＳ 明朝" w:eastAsia="ＭＳ 明朝"/>
          <w:b w:val="0"/>
          <w:color w:val="000000" w:themeColor="text1"/>
          <w:kern w:val="0"/>
          <w:sz w:val="22"/>
          <w:highlight w:val="none"/>
          <w:u w:val="none" w:color="auto"/>
        </w:rPr>
      </w:pPr>
    </w:p>
    <w:p>
      <w:pPr>
        <w:pStyle w:val="0"/>
        <w:rPr>
          <w:rFonts w:hint="eastAsia" w:ascii="ＭＳ 明朝" w:hAnsi="ＭＳ 明朝" w:eastAsia="ＭＳ 明朝"/>
          <w:b w:val="1"/>
          <w:color w:val="000000" w:themeColor="text1"/>
          <w:kern w:val="0"/>
          <w:sz w:val="22"/>
          <w:highlight w:val="none"/>
          <w:u w:val="none" w:color="auto"/>
        </w:rPr>
      </w:pPr>
      <w:r>
        <w:rPr>
          <w:rFonts w:hint="eastAsia" w:ascii="ＭＳ 明朝" w:hAnsi="ＭＳ 明朝" w:eastAsia="ＭＳ 明朝"/>
          <w:b w:val="1"/>
          <w:color w:val="0070C0"/>
          <w:sz w:val="22"/>
          <w:highlight w:val="none"/>
        </w:rPr>
        <w:t>３　回復期及び維持期の医療提供体制</w:t>
      </w:r>
    </w:p>
    <w:p>
      <w:pPr>
        <w:pStyle w:val="0"/>
        <w:ind w:left="227" w:leftChars="100" w:firstLine="227" w:firstLineChars="100"/>
        <w:rPr>
          <w:rFonts w:hint="eastAsia" w:ascii="ＭＳ 明朝" w:hAnsi="ＭＳ 明朝" w:eastAsia="ＭＳ 明朝"/>
          <w:color w:val="000000" w:themeColor="text1"/>
          <w:kern w:val="0"/>
          <w:sz w:val="24"/>
          <w:highlight w:val="none"/>
          <w:u w:val="none" w:color="auto"/>
        </w:rPr>
      </w:pPr>
      <w:r>
        <w:rPr>
          <w:rFonts w:hint="eastAsia" w:ascii="ＭＳ 明朝" w:hAnsi="ＭＳ 明朝" w:eastAsia="ＭＳ 明朝"/>
          <w:b w:val="0"/>
          <w:color w:val="auto"/>
          <w:sz w:val="22"/>
          <w:highlight w:val="none"/>
          <w:u w:val="none" w:color="auto"/>
        </w:rPr>
        <w:t>心血管疾患の回復期及び維持期の患者実態に関するデータ集約は不十分であり、今後関係機関の協力を得ながらその実態把握と分析を行い、具体的施策を検討する必要があるとともに、維持期の患者については再発・再入院率が高いことから、医療機関だけでなく、地域のケア専門職（介護職等）等と連携した取組を推進する必要があります。在宅療養者の介護者へのサポート体制や終末期にある患者への適切な医療・ケアの提供に向けた取組の強化が必要です。さらに、</w:t>
      </w:r>
      <w:r>
        <w:rPr>
          <w:rFonts w:hint="eastAsia" w:ascii="ＭＳ 明朝" w:hAnsi="ＭＳ 明朝" w:eastAsia="ＭＳ 明朝"/>
          <w:b w:val="0"/>
          <w:strike w:val="0"/>
          <w:dstrike w:val="0"/>
          <w:color w:val="auto"/>
          <w:sz w:val="22"/>
          <w:highlight w:val="none"/>
          <w:u w:val="none" w:color="auto"/>
        </w:rPr>
        <w:t>心不全患者への緩和ケアについても、心不全対策と併せて推進していく必要があります。</w:t>
      </w:r>
    </w:p>
    <w:p>
      <w:pPr>
        <w:pStyle w:val="0"/>
        <w:widowControl w:val="1"/>
        <w:jc w:val="left"/>
        <w:rPr>
          <w:rFonts w:hint="eastAsia" w:ascii="ＭＳ 明朝" w:hAnsi="ＭＳ 明朝" w:eastAsia="ＭＳ 明朝"/>
          <w:b w:val="1"/>
          <w:kern w:val="0"/>
          <w:sz w:val="22"/>
          <w:highlight w:val="none"/>
          <w:bdr w:val="single" w:color="auto" w:sz="4" w:space="0"/>
          <w:shd w:val="clear" w:color="auto" w:themeFill="accent4" w:themeFillTint="33" w:themeFillShade="FF"/>
        </w:rPr>
      </w:pPr>
    </w:p>
    <w:p>
      <w:pPr>
        <w:pStyle w:val="0"/>
        <w:spacing w:line="240" w:lineRule="auto"/>
        <w:ind w:leftChars="0" w:firstLineChars="0"/>
        <w:rPr>
          <w:rFonts w:hint="eastAsia"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４　包括的な支援体制の整備</w:t>
      </w:r>
    </w:p>
    <w:p>
      <w:pPr>
        <w:pStyle w:val="0"/>
        <w:spacing w:line="240" w:lineRule="auto"/>
        <w:ind w:left="230" w:leftChars="106" w:firstLine="223" w:firstLineChars="103"/>
        <w:rPr>
          <w:rFonts w:hint="eastAsia" w:ascii="ＭＳ 明朝" w:hAnsi="ＭＳ 明朝" w:eastAsia="ＭＳ 明朝"/>
          <w:b w:val="0"/>
          <w:color w:val="FF0000"/>
          <w:sz w:val="22"/>
          <w:highlight w:val="none"/>
          <w:u w:val="single" w:color="auto"/>
        </w:rPr>
      </w:pPr>
      <w:r>
        <w:rPr>
          <w:rFonts w:hint="eastAsia" w:ascii="ＭＳ 明朝" w:hAnsi="ＭＳ 明朝" w:eastAsia="ＭＳ 明朝"/>
          <w:b w:val="0"/>
          <w:color w:val="auto"/>
          <w:sz w:val="22"/>
          <w:highlight w:val="none"/>
          <w:u w:val="none" w:color="auto"/>
        </w:rPr>
        <w:t>「高知心不全連携の会」の取組により、維持期にある患者とその家族が必要な情報にアクセスできる支援体制が整備されてきましたが、今後は、地域包括支援センター等の既存の取組との連携・協力など、各ステージに応じた課題の解決につながるよう、急性期から回復期、維持期までの切れ目のない相談支援体制の構築が必要です。</w:t>
      </w:r>
    </w:p>
    <w:p>
      <w:pPr>
        <w:pStyle w:val="0"/>
        <w:widowControl w:val="1"/>
        <w:jc w:val="left"/>
        <w:rPr>
          <w:rFonts w:hint="eastAsia" w:ascii="ＭＳ 明朝" w:hAnsi="ＭＳ 明朝" w:eastAsia="ＭＳ 明朝"/>
          <w:b w:val="1"/>
          <w:kern w:val="0"/>
          <w:sz w:val="22"/>
          <w:highlight w:val="none"/>
          <w:bdr w:val="single" w:color="auto" w:sz="4" w:space="0"/>
          <w:shd w:val="clear" w:color="auto" w:themeFill="accent4" w:themeFillTint="33" w:themeFillShade="FF"/>
        </w:rPr>
      </w:pPr>
    </w:p>
    <w:p>
      <w:pPr>
        <w:pStyle w:val="0"/>
        <w:widowControl w:val="1"/>
        <w:jc w:val="left"/>
        <w:rPr>
          <w:rFonts w:hint="eastAsia" w:ascii="ＭＳ 明朝" w:hAnsi="ＭＳ 明朝" w:eastAsia="ＭＳ 明朝"/>
          <w:b w:val="1"/>
          <w:kern w:val="0"/>
          <w:sz w:val="22"/>
          <w:highlight w:val="none"/>
        </w:rPr>
      </w:pPr>
      <w:r>
        <w:rPr>
          <w:rFonts w:hint="eastAsia" w:ascii="ＭＳ 明朝" w:hAnsi="ＭＳ 明朝" w:eastAsia="ＭＳ 明朝"/>
          <w:b w:val="1"/>
          <w:color w:val="auto"/>
          <w:kern w:val="2"/>
          <w:sz w:val="22"/>
          <w:highlight w:val="none"/>
          <w:bdr w:val="single" w:color="auto" w:sz="4" w:space="0"/>
          <w:shd w:val="clear" w:color="auto" w:fill="E5DFEC"/>
        </w:rPr>
        <w:t>対策</w:t>
      </w:r>
      <w:r>
        <w:rPr>
          <w:rFonts w:hint="eastAsia" w:ascii="ＭＳ 明朝" w:hAnsi="ＭＳ 明朝" w:eastAsia="ＭＳ 明朝"/>
          <w:b w:val="1"/>
          <w:kern w:val="0"/>
          <w:sz w:val="22"/>
          <w:highlight w:val="none"/>
        </w:rPr>
        <w:t>　</w:t>
      </w:r>
    </w:p>
    <w:p>
      <w:pPr>
        <w:pStyle w:val="0"/>
        <w:rPr>
          <w:rFonts w:hint="eastAsia" w:ascii="ＭＳ 明朝" w:hAnsi="ＭＳ 明朝" w:eastAsia="ＭＳ 明朝"/>
          <w:b w:val="1"/>
          <w:color w:val="000000" w:themeColor="text1"/>
          <w:sz w:val="22"/>
          <w:highlight w:val="none"/>
          <w:u w:val="none" w:color="auto"/>
        </w:rPr>
      </w:pPr>
      <w:r>
        <w:rPr>
          <w:rFonts w:hint="eastAsia" w:ascii="ＭＳ 明朝" w:hAnsi="ＭＳ 明朝" w:eastAsia="ＭＳ 明朝"/>
          <w:b w:val="1"/>
          <w:color w:val="0070C0"/>
          <w:sz w:val="22"/>
          <w:highlight w:val="none"/>
        </w:rPr>
        <w:t>１　予防</w:t>
      </w:r>
    </w:p>
    <w:p>
      <w:pPr>
        <w:pStyle w:val="0"/>
        <w:ind w:left="227" w:leftChars="100" w:firstLine="227" w:firstLineChars="100"/>
        <w:rPr>
          <w:rFonts w:hint="eastAsia" w:ascii="ＭＳ 明朝" w:hAnsi="ＭＳ 明朝" w:eastAsia="ＭＳ 明朝"/>
          <w:color w:val="auto"/>
          <w:sz w:val="24"/>
          <w:highlight w:val="none"/>
          <w:u w:val="none" w:color="auto"/>
        </w:rPr>
      </w:pPr>
      <w:r>
        <w:rPr>
          <w:rFonts w:hint="eastAsia" w:ascii="ＭＳ 明朝" w:hAnsi="ＭＳ 明朝" w:eastAsia="ＭＳ 明朝"/>
          <w:color w:val="auto"/>
          <w:sz w:val="22"/>
          <w:highlight w:val="none"/>
          <w:u w:val="none" w:color="auto"/>
        </w:rPr>
        <w:t>急性の心血管疾患の危険因子は、脳卒中と共通するものが多いため、「第６章第２節</w:t>
      </w:r>
      <w:r>
        <w:rPr>
          <w:rFonts w:hint="eastAsia" w:ascii="ＭＳ 明朝" w:hAnsi="ＭＳ 明朝" w:eastAsia="ＭＳ 明朝"/>
          <w:color w:val="auto"/>
          <w:sz w:val="22"/>
          <w:highlight w:val="none"/>
          <w:u w:val="none" w:color="auto"/>
        </w:rPr>
        <w:t xml:space="preserve"> </w:t>
      </w:r>
      <w:r>
        <w:rPr>
          <w:rFonts w:hint="eastAsia" w:ascii="ＭＳ 明朝" w:hAnsi="ＭＳ 明朝" w:eastAsia="ＭＳ 明朝"/>
          <w:color w:val="auto"/>
          <w:sz w:val="22"/>
          <w:highlight w:val="none"/>
          <w:u w:val="none" w:color="auto"/>
        </w:rPr>
        <w:t>脳卒中」における予防対策と連携しつつ、生活習慣の改善に向けたポピュレーションアプローチや、県民に向けた高知県の心血管疾患に関する現状と発症予防・発症時の対応等に関する具体的な啓発活動等を行います。</w:t>
      </w:r>
    </w:p>
    <w:p>
      <w:pPr>
        <w:pStyle w:val="0"/>
        <w:ind w:left="227" w:leftChars="100" w:firstLine="227" w:firstLineChars="100"/>
        <w:rPr>
          <w:rFonts w:hint="eastAsia" w:ascii="ＭＳ 明朝" w:hAnsi="ＭＳ 明朝" w:eastAsia="ＭＳ 明朝"/>
          <w:color w:val="FF0000"/>
          <w:sz w:val="24"/>
          <w:highlight w:val="none"/>
          <w:u w:val="none" w:color="auto"/>
        </w:rPr>
      </w:pPr>
      <w:r>
        <w:rPr>
          <w:rFonts w:hint="eastAsia" w:ascii="ＭＳ 明朝" w:hAnsi="ＭＳ 明朝" w:eastAsia="ＭＳ 明朝"/>
          <w:color w:val="auto"/>
          <w:sz w:val="22"/>
          <w:highlight w:val="none"/>
          <w:u w:val="none" w:color="auto"/>
        </w:rPr>
        <w:t>また、循環器病が重症化するリスクの高い医療機関未治療・治療中断者への受診勧奨を行い、循環器病の重症化を予防する重症化予防プログラムを検討するとともに、保険者が医療機関への受診勧奨を実施できるよう、研修会の開催等を通じて効果的な保健指導の推進の支援を行います。さらに、高血圧、脂質異常症、心房細動等について、かかりつけ医において適切な標準治療が行えるよう医療機関向けの研修会や啓発活動を行います。</w:t>
      </w:r>
    </w:p>
    <w:p>
      <w:pPr>
        <w:pStyle w:val="0"/>
        <w:autoSpaceDE w:val="0"/>
        <w:autoSpaceDN w:val="0"/>
        <w:adjustRightInd w:val="0"/>
        <w:jc w:val="left"/>
        <w:rPr>
          <w:rFonts w:hint="eastAsia" w:ascii="ＭＳ 明朝" w:hAnsi="ＭＳ 明朝" w:eastAsia="ＭＳ 明朝"/>
          <w:color w:val="000000" w:themeColor="text1"/>
          <w:sz w:val="22"/>
          <w:highlight w:val="none"/>
          <w:u w:val="none" w:color="auto"/>
        </w:rPr>
      </w:pPr>
    </w:p>
    <w:p>
      <w:pPr>
        <w:pStyle w:val="0"/>
        <w:spacing w:line="240" w:lineRule="auto"/>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4"/>
          <w:highlight w:val="none"/>
        </w:rPr>
        <w:t>２</w:t>
      </w:r>
      <w:r>
        <w:rPr>
          <w:rFonts w:hint="eastAsia" w:ascii="ＭＳ 明朝" w:hAnsi="ＭＳ 明朝" w:eastAsia="ＭＳ 明朝"/>
          <w:b w:val="1"/>
          <w:color w:val="002060"/>
          <w:sz w:val="22"/>
          <w:highlight w:val="none"/>
          <w:u w:val="none" w:color="auto"/>
        </w:rPr>
        <w:t>　</w:t>
      </w:r>
      <w:r>
        <w:rPr>
          <w:rFonts w:hint="eastAsia" w:ascii="ＭＳ 明朝" w:hAnsi="ＭＳ 明朝" w:eastAsia="ＭＳ 明朝"/>
          <w:b w:val="1"/>
          <w:color w:val="0070C0"/>
          <w:sz w:val="22"/>
          <w:highlight w:val="none"/>
          <w:u w:val="none" w:color="auto"/>
        </w:rPr>
        <w:t>病院前救護活動・急性期の医療提供体制</w:t>
      </w:r>
    </w:p>
    <w:p>
      <w:pPr>
        <w:pStyle w:val="0"/>
        <w:ind w:left="227" w:leftChars="100" w:firstLine="227"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u w:val="none" w:color="auto"/>
        </w:rPr>
        <w:t>心肺機能停止傷病者等に対して救急車が到着するまでに、一般市民による適切な応急手当が実施されるよう、住民の集まる場等様々な機会を活用して啓発を行います。併せて、病院前救護に携わる救急救命士等の資質向上に向け、再教育プログラム等を推進します。</w:t>
      </w:r>
    </w:p>
    <w:p>
      <w:pPr>
        <w:pStyle w:val="0"/>
        <w:ind w:left="210" w:leftChars="100" w:firstLine="210" w:firstLineChars="100"/>
        <w:rPr>
          <w:rFonts w:hint="eastAsia" w:ascii="ＭＳ 明朝" w:hAnsi="ＭＳ 明朝" w:eastAsia="ＭＳ 明朝"/>
          <w:color w:val="auto"/>
          <w:sz w:val="24"/>
          <w:highlight w:val="none"/>
          <w:u w:val="none" w:color="auto"/>
        </w:rPr>
      </w:pPr>
      <w:r>
        <w:rPr>
          <w:rFonts w:hint="eastAsia" w:ascii="ＭＳ 明朝" w:hAnsi="ＭＳ 明朝" w:eastAsia="ＭＳ 明朝"/>
          <w:b w:val="0"/>
          <w:color w:val="auto"/>
          <w:sz w:val="22"/>
          <w:highlight w:val="none"/>
          <w:u w:val="none" w:color="auto"/>
        </w:rPr>
        <w:t>救急搬送時間の短縮に向け、胸痛プロトコールの活用促進及び必要時の見直しを行うとともに、救急車内</w:t>
      </w:r>
      <w:r>
        <w:rPr>
          <w:rFonts w:hint="eastAsia" w:ascii="ＭＳ 明朝" w:hAnsi="ＭＳ 明朝" w:eastAsia="ＭＳ 明朝"/>
          <w:b w:val="0"/>
          <w:color w:val="auto"/>
          <w:sz w:val="22"/>
          <w:highlight w:val="none"/>
          <w:u w:val="none" w:color="auto"/>
        </w:rPr>
        <w:t>12</w:t>
      </w:r>
      <w:r>
        <w:rPr>
          <w:rFonts w:hint="eastAsia" w:ascii="ＭＳ 明朝" w:hAnsi="ＭＳ 明朝" w:eastAsia="ＭＳ 明朝"/>
          <w:b w:val="0"/>
          <w:color w:val="auto"/>
          <w:sz w:val="22"/>
          <w:highlight w:val="none"/>
          <w:u w:val="none" w:color="auto"/>
        </w:rPr>
        <w:t>誘導心電図伝送の現状把握を行い、必要な対策を検討すること等を通して、円滑な搬送体制の整備に努めます。</w:t>
      </w:r>
    </w:p>
    <w:p>
      <w:pPr>
        <w:pStyle w:val="0"/>
        <w:ind w:left="210" w:leftChars="100" w:firstLine="210" w:firstLineChars="100"/>
        <w:rPr>
          <w:rFonts w:hint="eastAsia" w:ascii="ＭＳ 明朝" w:hAnsi="ＭＳ 明朝" w:eastAsia="ＭＳ 明朝"/>
          <w:color w:val="auto"/>
          <w:sz w:val="24"/>
          <w:highlight w:val="none"/>
          <w:u w:val="none" w:color="auto"/>
        </w:rPr>
      </w:pPr>
      <w:r>
        <w:rPr>
          <w:rFonts w:hint="eastAsia" w:ascii="ＭＳ 明朝" w:hAnsi="ＭＳ 明朝" w:eastAsia="ＭＳ 明朝"/>
          <w:b w:val="0"/>
          <w:color w:val="auto"/>
          <w:sz w:val="22"/>
          <w:highlight w:val="none"/>
          <w:u w:val="none" w:color="auto"/>
        </w:rPr>
        <w:t>また、急性心筋梗塞の死亡率減少に向け、心疾患の発症例を把握できるよう、データ集約の体制を検討していきます。</w:t>
      </w:r>
    </w:p>
    <w:p>
      <w:pPr>
        <w:pStyle w:val="0"/>
        <w:ind w:left="210" w:leftChars="100" w:firstLine="210" w:firstLineChars="100"/>
        <w:rPr>
          <w:rFonts w:hint="eastAsia" w:ascii="ＭＳ 明朝" w:hAnsi="ＭＳ 明朝" w:eastAsia="ＭＳ 明朝"/>
          <w:color w:val="002060"/>
          <w:sz w:val="22"/>
          <w:highlight w:val="none"/>
          <w:u w:val="none" w:color="auto"/>
        </w:rPr>
      </w:pPr>
      <w:r>
        <w:rPr>
          <w:rFonts w:hint="eastAsia" w:ascii="ＭＳ 明朝" w:hAnsi="ＭＳ 明朝" w:eastAsia="ＭＳ 明朝"/>
          <w:b w:val="0"/>
          <w:color w:val="auto"/>
          <w:sz w:val="22"/>
          <w:highlight w:val="none"/>
          <w:u w:val="none" w:color="auto"/>
        </w:rPr>
        <w:t>新興感染症発生・まん延時においても</w:t>
      </w:r>
      <w:r>
        <w:rPr>
          <w:rFonts w:hint="eastAsia" w:ascii="ＭＳ 明朝" w:hAnsi="ＭＳ 明朝" w:eastAsia="ＭＳ 明朝"/>
          <w:strike w:val="0"/>
          <w:dstrike w:val="0"/>
          <w:color w:val="auto"/>
          <w:sz w:val="22"/>
          <w:highlight w:val="none"/>
          <w:u w:val="none" w:color="auto"/>
        </w:rPr>
        <w:t>感染症対応と通常の救急医療を両立できるよう</w:t>
      </w:r>
      <w:r>
        <w:rPr>
          <w:rFonts w:hint="eastAsia" w:ascii="ＭＳ 明朝" w:hAnsi="ＭＳ 明朝" w:eastAsia="ＭＳ 明朝"/>
          <w:color w:val="auto"/>
          <w:sz w:val="22"/>
          <w:highlight w:val="none"/>
          <w:u w:val="none" w:color="auto"/>
        </w:rPr>
        <w:t>、「第８章第３節新興感染症を含む感染症」の取組</w:t>
      </w:r>
      <w:r>
        <w:rPr>
          <w:rFonts w:hint="eastAsia" w:ascii="ＭＳ 明朝" w:hAnsi="ＭＳ 明朝" w:eastAsia="ＭＳ 明朝"/>
          <w:b w:val="0"/>
          <w:color w:val="auto"/>
          <w:sz w:val="22"/>
          <w:highlight w:val="none"/>
          <w:u w:val="none" w:color="auto"/>
        </w:rPr>
        <w:t>と連携しながら取り組みます。</w:t>
      </w:r>
    </w:p>
    <w:p>
      <w:pPr>
        <w:pStyle w:val="0"/>
        <w:ind w:left="210" w:leftChars="100" w:firstLine="210" w:firstLineChars="100"/>
        <w:rPr>
          <w:rFonts w:hint="eastAsia" w:ascii="ＭＳ 明朝" w:hAnsi="ＭＳ 明朝" w:eastAsia="ＭＳ 明朝"/>
          <w:color w:val="002060"/>
          <w:sz w:val="22"/>
          <w:highlight w:val="none"/>
          <w:u w:val="none" w:color="auto"/>
        </w:rPr>
      </w:pPr>
    </w:p>
    <w:p>
      <w:pPr>
        <w:pStyle w:val="0"/>
        <w:rPr>
          <w:rFonts w:hint="eastAsia" w:ascii="ＭＳ 明朝" w:hAnsi="ＭＳ 明朝" w:eastAsia="ＭＳ 明朝"/>
          <w:color w:val="002060"/>
          <w:sz w:val="22"/>
          <w:highlight w:val="none"/>
          <w:u w:val="none" w:color="auto"/>
        </w:rPr>
      </w:pPr>
      <w:r>
        <w:rPr>
          <w:rFonts w:hint="eastAsia" w:ascii="ＭＳ 明朝" w:hAnsi="ＭＳ 明朝" w:eastAsia="ＭＳ 明朝"/>
          <w:b w:val="1"/>
          <w:color w:val="0070C0"/>
          <w:sz w:val="22"/>
          <w:highlight w:val="none"/>
        </w:rPr>
        <w:t>３　回復期及び維持期の医療提供体制</w:t>
      </w:r>
    </w:p>
    <w:p>
      <w:pPr>
        <w:pStyle w:val="0"/>
        <w:ind w:left="227" w:leftChars="100" w:firstLine="227"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u w:val="none" w:color="auto"/>
        </w:rPr>
        <w:t>心不全等の再発・再入院予防のため、患者や家族のセルフケア能力向上を図るとともに、地域のかかりつけ医やコメディカル</w:t>
      </w:r>
      <w:r>
        <w:rPr>
          <w:rFonts w:hint="eastAsia" w:ascii="ＭＳ 明朝" w:hAnsi="ＭＳ 明朝" w:eastAsia="ＭＳ 明朝"/>
          <w:b w:val="0"/>
          <w:color w:val="auto"/>
          <w:sz w:val="22"/>
          <w:highlight w:val="none"/>
          <w:u w:val="none" w:color="auto"/>
          <w:vertAlign w:val="superscript"/>
        </w:rPr>
        <w:t>（注</w:t>
      </w:r>
      <w:r>
        <w:rPr>
          <w:rFonts w:hint="eastAsia" w:ascii="ＭＳ 明朝" w:hAnsi="ＭＳ 明朝" w:eastAsia="ＭＳ 明朝"/>
          <w:b w:val="0"/>
          <w:color w:val="auto"/>
          <w:sz w:val="22"/>
          <w:highlight w:val="none"/>
          <w:u w:val="none" w:color="auto"/>
          <w:vertAlign w:val="superscript"/>
        </w:rPr>
        <w:t>8</w:t>
      </w:r>
      <w:r>
        <w:rPr>
          <w:rFonts w:hint="eastAsia" w:ascii="ＭＳ 明朝" w:hAnsi="ＭＳ 明朝" w:eastAsia="ＭＳ 明朝"/>
          <w:b w:val="0"/>
          <w:color w:val="auto"/>
          <w:sz w:val="22"/>
          <w:highlight w:val="none"/>
          <w:u w:val="none" w:color="auto"/>
          <w:vertAlign w:val="superscript"/>
        </w:rPr>
        <w:t>）</w:t>
      </w:r>
      <w:r>
        <w:rPr>
          <w:rFonts w:hint="eastAsia" w:ascii="ＭＳ 明朝" w:hAnsi="ＭＳ 明朝" w:eastAsia="ＭＳ 明朝"/>
          <w:b w:val="0"/>
          <w:color w:val="auto"/>
          <w:sz w:val="22"/>
          <w:highlight w:val="none"/>
          <w:u w:val="none" w:color="auto"/>
        </w:rPr>
        <w:t>、介護職等が症状増悪した患者を適切に専門医療機関につなげられる連携体制構築を推進します。</w:t>
      </w:r>
    </w:p>
    <w:p>
      <w:pPr>
        <w:pStyle w:val="0"/>
        <w:ind w:left="210" w:leftChars="100" w:firstLine="0" w:firstLineChars="0"/>
        <w:rPr>
          <w:rFonts w:hint="eastAsia" w:ascii="ＭＳ 明朝" w:hAnsi="ＭＳ 明朝" w:eastAsia="ＭＳ 明朝"/>
          <w:b w:val="0"/>
          <w:color w:val="auto"/>
          <w:sz w:val="22"/>
          <w:highlight w:val="none"/>
        </w:rPr>
      </w:pPr>
      <w:r>
        <w:rPr>
          <w:rFonts w:hint="eastAsia" w:ascii="ＭＳ 明朝" w:hAnsi="ＭＳ 明朝" w:eastAsia="ＭＳ 明朝"/>
          <w:b w:val="0"/>
          <w:color w:val="auto"/>
          <w:sz w:val="22"/>
          <w:highlight w:val="none"/>
          <w:u w:val="none" w:color="auto"/>
        </w:rPr>
        <w:t>　また、在宅療養者の介護者へのサポート体制の強化や、アドバンス・ケア・プランニングの普及及び心不全患者の緩和ケアの推進に取り組みます。</w:t>
      </w:r>
    </w:p>
    <w:p>
      <w:pPr>
        <w:pStyle w:val="0"/>
        <w:ind w:left="529" w:leftChars="100" w:hanging="302" w:hangingChars="171"/>
        <w:rPr>
          <w:rFonts w:hint="eastAsia" w:ascii="ＭＳ 明朝" w:hAnsi="ＭＳ 明朝" w:eastAsia="ＭＳ 明朝"/>
          <w:color w:val="000000" w:themeColor="text1"/>
          <w:kern w:val="0"/>
          <w:sz w:val="22"/>
          <w:highlight w:val="none"/>
          <w:u w:val="none" w:color="auto"/>
        </w:rPr>
      </w:pPr>
      <w:r>
        <w:rPr>
          <w:rFonts w:hint="eastAsia" w:ascii="ＭＳ 明朝" w:hAnsi="ＭＳ 明朝" w:eastAsia="ＭＳ 明朝"/>
          <w:color w:val="000000" w:themeColor="text1"/>
          <w:kern w:val="0"/>
          <w:sz w:val="16"/>
          <w:highlight w:val="none"/>
          <w:u w:val="none" w:color="auto"/>
        </w:rPr>
        <w:t>（注８）</w:t>
      </w:r>
      <w:r>
        <w:rPr>
          <w:rFonts w:hint="eastAsia" w:ascii="ＭＳ 明朝" w:hAnsi="ＭＳ 明朝" w:eastAsia="ＭＳ 明朝"/>
          <w:color w:val="auto"/>
          <w:sz w:val="16"/>
          <w:highlight w:val="none"/>
        </w:rPr>
        <w:t>コメディカル：医師、歯科医師以外の医療に携わる職種の総称</w:t>
      </w:r>
    </w:p>
    <w:p>
      <w:pPr>
        <w:pStyle w:val="0"/>
        <w:ind w:left="480" w:hanging="480" w:hangingChars="300"/>
        <w:rPr>
          <w:rFonts w:hint="eastAsia" w:ascii="ＭＳ 明朝" w:hAnsi="ＭＳ 明朝" w:eastAsia="ＭＳ 明朝"/>
          <w:color w:val="000000" w:themeColor="text1"/>
          <w:kern w:val="0"/>
          <w:sz w:val="22"/>
          <w:highlight w:val="none"/>
          <w:u w:val="none" w:color="auto"/>
        </w:rPr>
      </w:pPr>
    </w:p>
    <w:p>
      <w:pPr>
        <w:pStyle w:val="0"/>
        <w:tabs>
          <w:tab w:val="left" w:leader="none" w:pos="7704"/>
        </w:tabs>
        <w:spacing w:line="240" w:lineRule="auto"/>
        <w:ind w:leftChars="0" w:firstLineChars="0"/>
        <w:rPr>
          <w:rFonts w:hint="eastAsia"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４　包括的な支援体制の整備</w:t>
      </w:r>
    </w:p>
    <w:p>
      <w:pPr>
        <w:pStyle w:val="0"/>
        <w:ind w:left="228" w:leftChars="105" w:firstLine="234" w:firstLineChars="108"/>
        <w:rPr>
          <w:rFonts w:hint="eastAsia" w:ascii="ＭＳ 明朝" w:hAnsi="ＭＳ 明朝" w:eastAsia="ＭＳ 明朝"/>
          <w:color w:val="FF0000"/>
          <w:sz w:val="22"/>
          <w:highlight w:val="none"/>
          <w:u w:val="single" w:color="auto"/>
        </w:rPr>
      </w:pPr>
      <w:r>
        <w:rPr>
          <w:rFonts w:hint="eastAsia" w:ascii="ＭＳ 明朝" w:hAnsi="ＭＳ 明朝" w:eastAsia="ＭＳ 明朝"/>
          <w:color w:val="auto"/>
          <w:sz w:val="22"/>
          <w:highlight w:val="none"/>
          <w:u w:val="none" w:color="auto"/>
        </w:rPr>
        <w:t>「高知県循環器病対策推進計画」及び本計画「第６章第２節</w:t>
      </w:r>
      <w:r>
        <w:rPr>
          <w:rFonts w:hint="eastAsia" w:ascii="ＭＳ 明朝" w:hAnsi="ＭＳ 明朝" w:eastAsia="ＭＳ 明朝"/>
          <w:color w:val="auto"/>
          <w:sz w:val="22"/>
          <w:highlight w:val="none"/>
          <w:u w:val="none" w:color="auto"/>
        </w:rPr>
        <w:t xml:space="preserve"> </w:t>
      </w:r>
      <w:r>
        <w:rPr>
          <w:rFonts w:hint="eastAsia" w:ascii="ＭＳ 明朝" w:hAnsi="ＭＳ 明朝" w:eastAsia="ＭＳ 明朝"/>
          <w:color w:val="auto"/>
          <w:sz w:val="22"/>
          <w:highlight w:val="none"/>
          <w:u w:val="none" w:color="auto"/>
        </w:rPr>
        <w:t>脳卒中」による取組と連携し、</w:t>
      </w:r>
      <w:r>
        <w:rPr>
          <w:rFonts w:hint="eastAsia" w:ascii="ＭＳ 明朝" w:hAnsi="ＭＳ 明朝" w:eastAsia="ＭＳ 明朝"/>
          <w:b w:val="0"/>
          <w:color w:val="auto"/>
          <w:sz w:val="22"/>
          <w:highlight w:val="none"/>
          <w:u w:val="none" w:color="auto"/>
        </w:rPr>
        <w:t>循環器病における適切な相談支援や必要な情報提供体制を整えるとともに、地域の病院、かかりつけ医、地域包括支援センター、介護事業者、訪問看護ステーション等を対象とした研修会や勉強会の開催等による情報ネットワークの強化や、心不全療養指導士等の再発・重症化予防に携わる人材育成への支援等を通して、地域全体の患者支援体制の充実を図ります。</w:t>
      </w:r>
    </w:p>
    <w:p>
      <w:pPr>
        <w:pStyle w:val="0"/>
        <w:autoSpaceDE w:val="0"/>
        <w:autoSpaceDN w:val="0"/>
        <w:adjustRightInd w:val="0"/>
        <w:snapToGrid w:val="0"/>
        <w:ind w:leftChars="0" w:hanging="453" w:hangingChars="256"/>
        <w:jc w:val="left"/>
        <w:rPr>
          <w:rFonts w:hint="eastAsia" w:ascii="ＭＳ 明朝" w:hAnsi="ＭＳ 明朝" w:eastAsia="ＭＳ 明朝"/>
          <w:color w:val="000000" w:themeColor="text1"/>
          <w:kern w:val="0"/>
          <w:sz w:val="22"/>
          <w:highlight w:val="none"/>
          <w:u w:val="none" w:color="auto"/>
        </w:rPr>
      </w:pPr>
    </w:p>
    <w:p>
      <w:pPr>
        <w:pStyle w:val="0"/>
        <w:jc w:val="left"/>
        <w:rPr>
          <w:rFonts w:hint="eastAsia" w:ascii="ＭＳ 明朝" w:hAnsi="ＭＳ 明朝" w:eastAsia="ＭＳ 明朝"/>
          <w:b w:val="1"/>
          <w:sz w:val="22"/>
          <w:highlight w:val="none"/>
          <w:bdr w:val="single" w:color="auto" w:sz="4" w:space="0"/>
          <w:shd w:val="clear" w:color="auto" w:themeFill="accent4" w:themeFillTint="33" w:themeFillShade="FF"/>
        </w:rPr>
      </w:pPr>
      <w:r>
        <w:rPr>
          <w:rFonts w:hint="eastAsia" w:ascii="ＭＳ 明朝" w:hAnsi="ＭＳ 明朝" w:eastAsia="ＭＳ 明朝"/>
          <w:b w:val="1"/>
          <w:color w:val="auto"/>
          <w:kern w:val="2"/>
          <w:sz w:val="22"/>
          <w:highlight w:val="none"/>
          <w:bdr w:val="single" w:color="auto" w:sz="4" w:space="0"/>
          <w:shd w:val="clear" w:color="auto" w:fill="E5DFEC"/>
        </w:rPr>
        <w:t>目標</w:t>
      </w:r>
    </w:p>
    <w:p>
      <w:pPr>
        <w:pStyle w:val="0"/>
        <w:autoSpaceDE w:val="0"/>
        <w:autoSpaceDN w:val="0"/>
        <w:adjustRightInd w:val="0"/>
        <w:spacing w:line="240" w:lineRule="auto"/>
        <w:rPr>
          <w:rFonts w:hint="eastAsia" w:ascii="ＭＳ 明朝" w:hAnsi="ＭＳ 明朝" w:eastAsia="ＭＳ 明朝"/>
          <w:b w:val="0"/>
          <w:color w:val="FF0000"/>
          <w:sz w:val="22"/>
          <w:highlight w:val="none"/>
          <w:u w:val="single" w:color="auto"/>
        </w:rPr>
      </w:pPr>
      <w:r>
        <w:rPr>
          <w:rFonts w:hint="eastAsia" w:ascii="ＭＳ 明朝" w:hAnsi="ＭＳ 明朝" w:eastAsia="ＭＳ 明朝"/>
          <w:b w:val="1"/>
          <w:color w:val="auto"/>
          <w:sz w:val="22"/>
          <w:highlight w:val="none"/>
          <w:u w:val="none" w:color="auto"/>
        </w:rPr>
        <w:t>【最終アウトカム】　</w:t>
      </w:r>
      <w:r>
        <w:rPr>
          <w:rFonts w:hint="eastAsia" w:ascii="ＭＳ 明朝" w:hAnsi="ＭＳ 明朝" w:eastAsia="ＭＳ 明朝"/>
          <w:b w:val="0"/>
          <w:color w:val="auto"/>
          <w:sz w:val="22"/>
          <w:highlight w:val="none"/>
          <w:u w:val="none" w:color="auto"/>
        </w:rPr>
        <w:t>心血管疾患による死亡率が減少する</w:t>
      </w:r>
    </w:p>
    <w:tbl>
      <w:tblPr>
        <w:tblStyle w:val="11"/>
        <w:tblpPr w:leftFromText="142" w:rightFromText="142" w:topFromText="0" w:bottomFromText="0" w:vertAnchor="text" w:horzAnchor="margin" w:tblpXSpec="center" w:tblpY="24"/>
        <w:tblOverlap w:val="never"/>
        <w:tblW w:w="916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firstRow="1" w:lastRow="1" w:firstColumn="1" w:lastColumn="1" w:noHBand="0" w:noVBand="0" w:val="01E0"/>
      </w:tblPr>
      <w:tblGrid>
        <w:gridCol w:w="2543"/>
        <w:gridCol w:w="1589"/>
        <w:gridCol w:w="1589"/>
        <w:gridCol w:w="1589"/>
        <w:gridCol w:w="1852"/>
      </w:tblGrid>
      <w:tr>
        <w:trPr>
          <w:trHeight w:val="350" w:hRule="atLeast"/>
        </w:trPr>
        <w:tc>
          <w:tcPr>
            <w:tcW w:w="2543" w:type="dxa"/>
            <w:vMerge w:val="restart"/>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項　目</w:t>
            </w:r>
          </w:p>
        </w:tc>
        <w:tc>
          <w:tcPr>
            <w:tcW w:w="3178"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w:t>
            </w:r>
          </w:p>
        </w:tc>
        <w:tc>
          <w:tcPr>
            <w:tcW w:w="1589" w:type="dxa"/>
            <w:vMerge w:val="restart"/>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目標</w:t>
            </w:r>
          </w:p>
          <w:p>
            <w:pPr>
              <w:pStyle w:val="0"/>
              <w:spacing w:line="240" w:lineRule="exact"/>
              <w:ind w:left="-100" w:leftChars="0" w:right="-333" w:rightChars="-147" w:hanging="134" w:firstLine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w:t>
            </w:r>
            <w:r>
              <w:rPr>
                <w:rFonts w:hint="eastAsia" w:ascii="ＭＳ 明朝" w:hAnsi="ＭＳ 明朝" w:eastAsia="ＭＳ 明朝"/>
                <w:color w:val="auto"/>
                <w:sz w:val="20"/>
                <w:highlight w:val="none"/>
                <w:u w:val="none" w:color="auto"/>
              </w:rPr>
              <w:t>11</w:t>
            </w:r>
            <w:r>
              <w:rPr>
                <w:rFonts w:hint="eastAsia" w:ascii="ＭＳ 明朝" w:hAnsi="ＭＳ 明朝" w:eastAsia="ＭＳ 明朝"/>
                <w:color w:val="auto"/>
                <w:sz w:val="20"/>
                <w:highlight w:val="none"/>
                <w:u w:val="none" w:color="auto"/>
              </w:rPr>
              <w:t>年度）</w:t>
            </w:r>
          </w:p>
        </w:tc>
        <w:tc>
          <w:tcPr>
            <w:tcW w:w="1852" w:type="dxa"/>
            <w:vMerge w:val="restart"/>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直近値の出典</w:t>
            </w:r>
          </w:p>
        </w:tc>
      </w:tr>
      <w:tr>
        <w:trPr>
          <w:trHeight w:val="350" w:hRule="atLeast"/>
        </w:trPr>
        <w:tc>
          <w:tcPr>
            <w:tcW w:w="2543" w:type="dxa"/>
            <w:vMerge w:val="continue"/>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1589"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highlight w:val="none"/>
                <w:u w:val="none" w:color="auto"/>
              </w:rPr>
              <w:t>高知県</w:t>
            </w:r>
          </w:p>
        </w:tc>
        <w:tc>
          <w:tcPr>
            <w:tcW w:w="1589"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highlight w:val="none"/>
                <w:u w:val="none" w:color="auto"/>
              </w:rPr>
              <w:t>（参考）全国</w:t>
            </w:r>
          </w:p>
        </w:tc>
        <w:tc>
          <w:tcPr>
            <w:tcW w:w="1589" w:type="dxa"/>
            <w:vMerge w:val="continue"/>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1852" w:type="dxa"/>
            <w:vMerge w:val="continue"/>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r>
      <w:tr>
        <w:trPr>
          <w:trHeight w:val="643" w:hRule="atLeast"/>
        </w:trPr>
        <w:tc>
          <w:tcPr>
            <w:tcW w:w="2543"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spacing w:line="240" w:lineRule="exact"/>
              <w:ind w:left="0" w:leftChars="0" w:hanging="217" w:hangingChars="100"/>
              <w:jc w:val="both"/>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①虚血性心疾患年齢調整死亡率</w:t>
            </w:r>
          </w:p>
        </w:tc>
        <w:tc>
          <w:tcPr>
            <w:tcW w:w="1589" w:type="dxa"/>
            <w:tcBorders>
              <w:top w:val="single" w:color="auto" w:sz="4" w:space="0"/>
              <w:left w:val="single" w:color="auto" w:sz="6" w:space="0"/>
              <w:bottom w:val="single" w:color="auto" w:sz="4" w:space="0"/>
              <w:right w:val="single" w:color="auto" w:sz="4" w:space="0"/>
              <w:tl2br w:val="none" w:color="auto" w:sz="0" w:space="0"/>
              <w:tr2bl w:val="none" w:color="auto" w:sz="0" w:space="0"/>
            </w:tcBorders>
            <w:vAlign w:val="center"/>
          </w:tcPr>
          <w:p>
            <w:pPr>
              <w:pStyle w:val="0"/>
              <w:spacing w:line="240" w:lineRule="auto"/>
              <w:ind w:firstLine="103" w:firstLineChars="5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82.45</w:t>
            </w:r>
          </w:p>
          <w:p>
            <w:pPr>
              <w:pStyle w:val="0"/>
              <w:spacing w:line="240" w:lineRule="auto"/>
              <w:ind w:firstLine="103" w:firstLineChars="5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29.56</w:t>
            </w:r>
          </w:p>
        </w:tc>
        <w:tc>
          <w:tcPr>
            <w:tcW w:w="158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72.76</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29.58</w:t>
            </w:r>
          </w:p>
        </w:tc>
        <w:tc>
          <w:tcPr>
            <w:tcW w:w="158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uto"/>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減少</w:t>
            </w:r>
          </w:p>
        </w:tc>
        <w:tc>
          <w:tcPr>
            <w:tcW w:w="185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平成３年</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人口動態統計※</w:t>
            </w:r>
          </w:p>
        </w:tc>
      </w:tr>
      <w:tr>
        <w:trPr>
          <w:trHeight w:val="643" w:hRule="atLeast"/>
        </w:trPr>
        <w:tc>
          <w:tcPr>
            <w:tcW w:w="2543"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spacing w:line="240" w:lineRule="exact"/>
              <w:ind w:leftChars="0" w:hanging="217" w:hangingChars="10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②急性心筋梗塞年齢調整死亡率</w:t>
            </w:r>
          </w:p>
        </w:tc>
        <w:tc>
          <w:tcPr>
            <w:tcW w:w="1589" w:type="dxa"/>
            <w:tcBorders>
              <w:top w:val="single" w:color="auto" w:sz="4" w:space="0"/>
              <w:left w:val="single" w:color="auto" w:sz="6"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63.77</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20.70</w:t>
            </w:r>
          </w:p>
        </w:tc>
        <w:tc>
          <w:tcPr>
            <w:tcW w:w="158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31.96</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13.69</w:t>
            </w:r>
          </w:p>
        </w:tc>
        <w:tc>
          <w:tcPr>
            <w:tcW w:w="158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uto"/>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減少</w:t>
            </w:r>
          </w:p>
        </w:tc>
        <w:tc>
          <w:tcPr>
            <w:tcW w:w="185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平成３年</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人口動態統計※</w:t>
            </w:r>
          </w:p>
        </w:tc>
      </w:tr>
      <w:tr>
        <w:trPr>
          <w:trHeight w:val="643" w:hRule="atLeast"/>
        </w:trPr>
        <w:tc>
          <w:tcPr>
            <w:tcW w:w="2543"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spacing w:line="240" w:lineRule="exact"/>
              <w:ind w:leftChars="0" w:hanging="217" w:hangingChars="10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③心不全年齢調整死亡率</w:t>
            </w:r>
          </w:p>
        </w:tc>
        <w:tc>
          <w:tcPr>
            <w:tcW w:w="1589" w:type="dxa"/>
            <w:tcBorders>
              <w:top w:val="single" w:color="auto" w:sz="4" w:space="0"/>
              <w:left w:val="single" w:color="auto" w:sz="6"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92.16</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54.29</w:t>
            </w:r>
          </w:p>
        </w:tc>
        <w:tc>
          <w:tcPr>
            <w:tcW w:w="158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71.69</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50.21</w:t>
            </w:r>
          </w:p>
        </w:tc>
        <w:tc>
          <w:tcPr>
            <w:tcW w:w="158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uto"/>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減少</w:t>
            </w:r>
          </w:p>
        </w:tc>
        <w:tc>
          <w:tcPr>
            <w:tcW w:w="185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平成３年</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人口動態統計※</w:t>
            </w:r>
          </w:p>
        </w:tc>
      </w:tr>
      <w:tr>
        <w:trPr>
          <w:trHeight w:val="643" w:hRule="atLeast"/>
        </w:trPr>
        <w:tc>
          <w:tcPr>
            <w:tcW w:w="2543" w:type="dxa"/>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spacing w:line="240" w:lineRule="exact"/>
              <w:ind w:leftChars="0" w:hanging="217" w:hangingChars="10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④大動脈瘤及び解離年齢調整死亡率</w:t>
            </w:r>
          </w:p>
        </w:tc>
        <w:tc>
          <w:tcPr>
            <w:tcW w:w="1589" w:type="dxa"/>
            <w:tcBorders>
              <w:top w:val="single" w:color="auto" w:sz="4" w:space="0"/>
              <w:left w:val="single" w:color="auto" w:sz="6" w:space="0"/>
              <w:bottom w:val="single" w:color="auto" w:sz="6"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17.07</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10.31</w:t>
            </w:r>
          </w:p>
        </w:tc>
        <w:tc>
          <w:tcPr>
            <w:tcW w:w="1589" w:type="dxa"/>
            <w:tcBorders>
              <w:top w:val="single" w:color="auto" w:sz="4" w:space="0"/>
              <w:left w:val="single" w:color="auto" w:sz="4" w:space="0"/>
              <w:bottom w:val="single" w:color="auto" w:sz="6" w:space="0"/>
              <w:right w:val="none" w:color="auto" w:sz="0" w:space="0"/>
              <w:tl2br w:val="none" w:color="auto" w:sz="0" w:space="0"/>
              <w:tr2bl w:val="none" w:color="auto" w:sz="0" w:space="0"/>
            </w:tcBorders>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17.28</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10.77</w:t>
            </w:r>
          </w:p>
        </w:tc>
        <w:tc>
          <w:tcPr>
            <w:tcW w:w="1589"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auto"/>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減少</w:t>
            </w:r>
          </w:p>
        </w:tc>
        <w:tc>
          <w:tcPr>
            <w:tcW w:w="1852"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平成３年</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人口動態統計※</w:t>
            </w:r>
          </w:p>
        </w:tc>
      </w:tr>
    </w:tbl>
    <w:p>
      <w:pPr>
        <w:pStyle w:val="0"/>
        <w:autoSpaceDE w:val="0"/>
        <w:autoSpaceDN w:val="0"/>
        <w:adjustRightInd w:val="0"/>
        <w:jc w:val="left"/>
        <w:rPr>
          <w:rFonts w:hint="eastAsia" w:ascii="ＭＳ 明朝" w:hAnsi="ＭＳ 明朝" w:eastAsia="ＭＳ 明朝"/>
          <w:b w:val="0"/>
          <w:color w:val="FF0000"/>
          <w:sz w:val="16"/>
          <w:highlight w:val="none"/>
          <w:u w:val="single" w:color="auto"/>
        </w:rPr>
      </w:pPr>
      <w:r>
        <w:rPr>
          <w:rFonts w:hint="eastAsia" w:ascii="ＭＳ 明朝" w:hAnsi="ＭＳ 明朝" w:eastAsia="ＭＳ 明朝"/>
          <w:b w:val="0"/>
          <w:color w:val="auto"/>
          <w:sz w:val="16"/>
          <w:highlight w:val="none"/>
          <w:u w:val="none" w:color="auto"/>
        </w:rPr>
        <w:t>※</w:t>
      </w:r>
      <w:r>
        <w:rPr>
          <w:rFonts w:hint="eastAsia" w:ascii="ＭＳ 明朝" w:hAnsi="ＭＳ 明朝" w:eastAsia="ＭＳ 明朝"/>
          <w:color w:val="auto"/>
          <w:sz w:val="16"/>
          <w:highlight w:val="none"/>
          <w:u w:val="none" w:color="auto"/>
        </w:rPr>
        <w:t>年齢調整死亡率の基準人口は平成</w:t>
      </w:r>
      <w:r>
        <w:rPr>
          <w:rFonts w:hint="eastAsia" w:ascii="ＭＳ 明朝" w:hAnsi="ＭＳ 明朝" w:eastAsia="ＭＳ 明朝"/>
          <w:color w:val="auto"/>
          <w:sz w:val="16"/>
          <w:highlight w:val="none"/>
          <w:u w:val="none" w:color="auto"/>
        </w:rPr>
        <w:t>27</w:t>
      </w:r>
      <w:r>
        <w:rPr>
          <w:rFonts w:hint="eastAsia" w:ascii="ＭＳ 明朝" w:hAnsi="ＭＳ 明朝" w:eastAsia="ＭＳ 明朝"/>
          <w:color w:val="auto"/>
          <w:sz w:val="16"/>
          <w:highlight w:val="none"/>
          <w:u w:val="none" w:color="auto"/>
        </w:rPr>
        <w:t>年モデル人口</w:t>
      </w:r>
    </w:p>
    <w:p>
      <w:pPr>
        <w:pStyle w:val="0"/>
        <w:autoSpaceDE w:val="0"/>
        <w:autoSpaceDN w:val="0"/>
        <w:adjustRightInd w:val="0"/>
        <w:jc w:val="left"/>
        <w:rPr>
          <w:rFonts w:hint="eastAsia" w:ascii="ＭＳ 明朝" w:hAnsi="ＭＳ 明朝" w:eastAsia="ＭＳ 明朝"/>
          <w:b w:val="1"/>
          <w:color w:val="002060"/>
          <w:sz w:val="22"/>
          <w:highlight w:val="none"/>
          <w:u w:val="none" w:color="auto"/>
        </w:rPr>
      </w:pPr>
    </w:p>
    <w:p>
      <w:pPr>
        <w:pStyle w:val="0"/>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2"/>
          <w:highlight w:val="none"/>
        </w:rPr>
        <w:t>１　予防</w:t>
      </w:r>
    </w:p>
    <w:tbl>
      <w:tblPr>
        <w:tblStyle w:val="11"/>
        <w:tblpPr w:leftFromText="142" w:rightFromText="142" w:topFromText="0" w:bottomFromText="0" w:vertAnchor="text" w:horzAnchor="margin" w:tblpXSpec="left" w:tblpY="91"/>
        <w:tblOverlap w:val="never"/>
        <w:tblW w:w="908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firstRow="1" w:lastRow="1" w:firstColumn="1" w:lastColumn="1" w:noHBand="0" w:noVBand="0" w:val="01E0"/>
      </w:tblPr>
      <w:tblGrid>
        <w:gridCol w:w="1135"/>
        <w:gridCol w:w="2492"/>
        <w:gridCol w:w="1594"/>
        <w:gridCol w:w="2043"/>
        <w:gridCol w:w="1816"/>
      </w:tblGrid>
      <w:tr>
        <w:trPr>
          <w:trHeight w:val="197" w:hRule="atLeast"/>
        </w:trPr>
        <w:tc>
          <w:tcPr>
            <w:tcW w:w="1135"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区分</w:t>
            </w:r>
          </w:p>
        </w:tc>
        <w:tc>
          <w:tcPr>
            <w:tcW w:w="249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項　目</w:t>
            </w:r>
          </w:p>
        </w:tc>
        <w:tc>
          <w:tcPr>
            <w:tcW w:w="15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w:t>
            </w:r>
          </w:p>
        </w:tc>
        <w:tc>
          <w:tcPr>
            <w:tcW w:w="204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目標</w:t>
            </w:r>
          </w:p>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w:t>
            </w:r>
            <w:r>
              <w:rPr>
                <w:rFonts w:hint="eastAsia" w:ascii="ＭＳ 明朝" w:hAnsi="ＭＳ 明朝" w:eastAsia="ＭＳ 明朝"/>
                <w:color w:val="auto"/>
                <w:sz w:val="20"/>
                <w:highlight w:val="none"/>
                <w:u w:val="none" w:color="auto"/>
              </w:rPr>
              <w:t>11</w:t>
            </w:r>
            <w:r>
              <w:rPr>
                <w:rFonts w:hint="eastAsia" w:ascii="ＭＳ 明朝" w:hAnsi="ＭＳ 明朝" w:eastAsia="ＭＳ 明朝"/>
                <w:color w:val="auto"/>
                <w:sz w:val="20"/>
                <w:highlight w:val="none"/>
                <w:u w:val="none" w:color="auto"/>
              </w:rPr>
              <w:t>年度）</w:t>
            </w:r>
          </w:p>
        </w:tc>
        <w:tc>
          <w:tcPr>
            <w:tcW w:w="1816"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直近値の出典</w:t>
            </w:r>
          </w:p>
        </w:tc>
      </w:tr>
      <w:tr>
        <w:trPr>
          <w:trHeight w:val="643" w:hRule="atLeast"/>
        </w:trPr>
        <w:tc>
          <w:tcPr>
            <w:tcW w:w="1135" w:type="dxa"/>
            <w:vMerge w:val="restart"/>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初期アウトカム</w:t>
            </w:r>
          </w:p>
        </w:tc>
        <w:tc>
          <w:tcPr>
            <w:tcW w:w="2492" w:type="dxa"/>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①特定健診実施率</w:t>
            </w:r>
          </w:p>
        </w:tc>
        <w:tc>
          <w:tcPr>
            <w:tcW w:w="1594"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53.7</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70</w:t>
            </w:r>
            <w:r>
              <w:rPr>
                <w:rFonts w:hint="eastAsia" w:ascii="ＭＳ 明朝" w:hAnsi="ＭＳ 明朝" w:eastAsia="ＭＳ 明朝"/>
                <w:color w:val="auto"/>
                <w:sz w:val="20"/>
                <w:highlight w:val="none"/>
                <w:u w:val="none" w:color="auto"/>
              </w:rPr>
              <w:t>％以上</w:t>
            </w:r>
          </w:p>
        </w:tc>
        <w:tc>
          <w:tcPr>
            <w:tcW w:w="1816"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厚生労働省</w:t>
            </w:r>
            <w:r>
              <w:rPr>
                <w:rFonts w:hint="eastAsia" w:ascii="ＭＳ 明朝" w:hAnsi="ＭＳ 明朝" w:eastAsia="ＭＳ 明朝"/>
                <w:color w:val="auto"/>
                <w:sz w:val="20"/>
                <w:highlight w:val="none"/>
                <w:u w:val="none" w:color="auto"/>
              </w:rPr>
              <w:t>HP</w:t>
            </w:r>
            <w:r>
              <w:rPr>
                <w:rFonts w:hint="eastAsia" w:ascii="ＭＳ 明朝" w:hAnsi="ＭＳ 明朝" w:eastAsia="ＭＳ 明朝"/>
                <w:color w:val="auto"/>
                <w:sz w:val="20"/>
                <w:highlight w:val="none"/>
                <w:u w:val="none" w:color="auto"/>
              </w:rPr>
              <w:t>（令和３年度）</w:t>
            </w:r>
          </w:p>
        </w:tc>
      </w:tr>
      <w:tr>
        <w:trPr>
          <w:trHeight w:val="643" w:hRule="atLeast"/>
        </w:trPr>
        <w:tc>
          <w:tcPr>
            <w:tcW w:w="1135" w:type="dxa"/>
            <w:vMerge w:val="continue"/>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rPr>
            </w:pPr>
          </w:p>
        </w:tc>
        <w:tc>
          <w:tcPr>
            <w:tcW w:w="2492"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②特定保健指導実施率</w:t>
            </w:r>
          </w:p>
        </w:tc>
        <w:tc>
          <w:tcPr>
            <w:tcW w:w="1594" w:type="dxa"/>
            <w:tcBorders>
              <w:top w:val="single" w:color="auto" w:sz="4" w:space="0"/>
              <w:left w:val="single" w:color="auto" w:sz="6"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24.4</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45</w:t>
            </w:r>
            <w:r>
              <w:rPr>
                <w:rFonts w:hint="eastAsia" w:ascii="ＭＳ 明朝" w:hAnsi="ＭＳ 明朝" w:eastAsia="ＭＳ 明朝"/>
                <w:color w:val="auto"/>
                <w:sz w:val="20"/>
                <w:highlight w:val="none"/>
                <w:u w:val="none" w:color="auto"/>
              </w:rPr>
              <w:t>％以上</w:t>
            </w:r>
          </w:p>
        </w:tc>
        <w:tc>
          <w:tcPr>
            <w:tcW w:w="1816"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厚生労働省</w:t>
            </w:r>
            <w:r>
              <w:rPr>
                <w:rFonts w:hint="eastAsia" w:ascii="ＭＳ 明朝" w:hAnsi="ＭＳ 明朝" w:eastAsia="ＭＳ 明朝"/>
                <w:color w:val="auto"/>
                <w:sz w:val="20"/>
                <w:highlight w:val="none"/>
                <w:u w:val="none" w:color="auto"/>
              </w:rPr>
              <w:t>HP</w:t>
            </w:r>
            <w:r>
              <w:rPr>
                <w:rFonts w:hint="eastAsia" w:ascii="ＭＳ 明朝" w:hAnsi="ＭＳ 明朝" w:eastAsia="ＭＳ 明朝"/>
                <w:color w:val="auto"/>
                <w:sz w:val="20"/>
                <w:highlight w:val="none"/>
                <w:u w:val="none" w:color="auto"/>
              </w:rPr>
              <w:t>（令和３年度）</w:t>
            </w:r>
          </w:p>
        </w:tc>
      </w:tr>
      <w:tr>
        <w:trPr>
          <w:trHeight w:val="720" w:hRule="atLeast"/>
        </w:trPr>
        <w:tc>
          <w:tcPr>
            <w:tcW w:w="1135" w:type="dxa"/>
            <w:vMerge w:val="restart"/>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中間アウトカム</w:t>
            </w:r>
          </w:p>
        </w:tc>
        <w:tc>
          <w:tcPr>
            <w:tcW w:w="2492"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spacing w:line="240" w:lineRule="exact"/>
              <w:ind w:left="0" w:leftChars="0" w:hanging="207" w:hangingChars="100"/>
              <w:jc w:val="both"/>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③</w:t>
            </w:r>
            <w:r>
              <w:rPr>
                <w:rFonts w:hint="eastAsia" w:ascii="ＭＳ 明朝" w:hAnsi="ＭＳ 明朝" w:eastAsia="ＭＳ 明朝"/>
                <w:color w:val="auto"/>
                <w:sz w:val="20"/>
                <w:highlight w:val="none"/>
                <w:u w:val="none" w:color="auto"/>
              </w:rPr>
              <w:t>20</w:t>
            </w:r>
            <w:r>
              <w:rPr>
                <w:rFonts w:hint="eastAsia" w:ascii="ＭＳ 明朝" w:hAnsi="ＭＳ 明朝" w:eastAsia="ＭＳ 明朝"/>
                <w:color w:val="auto"/>
                <w:sz w:val="20"/>
                <w:highlight w:val="none"/>
                <w:u w:val="none" w:color="auto"/>
              </w:rPr>
              <w:t>歳以上の喫煙率</w:t>
            </w:r>
          </w:p>
        </w:tc>
        <w:tc>
          <w:tcPr>
            <w:tcW w:w="1594" w:type="dxa"/>
            <w:tcBorders>
              <w:top w:val="single" w:color="auto" w:sz="4" w:space="0"/>
              <w:left w:val="single" w:color="auto" w:sz="6"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27.0</w:t>
            </w:r>
            <w:r>
              <w:rPr>
                <w:rFonts w:hint="eastAsia" w:ascii="ＭＳ 明朝" w:hAnsi="ＭＳ 明朝" w:eastAsia="ＭＳ 明朝"/>
                <w:color w:val="auto"/>
                <w:sz w:val="20"/>
                <w:highlight w:val="none"/>
                <w:u w:val="none" w:color="auto"/>
              </w:rPr>
              <w:t>％</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 xml:space="preserve"> 6.4</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20</w:t>
            </w:r>
            <w:r>
              <w:rPr>
                <w:rFonts w:hint="eastAsia" w:ascii="ＭＳ 明朝" w:hAnsi="ＭＳ 明朝" w:eastAsia="ＭＳ 明朝"/>
                <w:color w:val="auto"/>
                <w:sz w:val="20"/>
                <w:highlight w:val="none"/>
                <w:u w:val="none" w:color="auto"/>
              </w:rPr>
              <w:t>％以下</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５％以下</w:t>
            </w:r>
          </w:p>
        </w:tc>
        <w:tc>
          <w:tcPr>
            <w:tcW w:w="1816" w:type="dxa"/>
            <w:tcBorders>
              <w:top w:val="single" w:color="auto" w:sz="4" w:space="0"/>
              <w:left w:val="none" w:color="auto" w:sz="0" w:space="0"/>
              <w:bottom w:val="single" w:color="auto" w:sz="4" w:space="0"/>
              <w:right w:val="single" w:color="auto" w:sz="4" w:space="0"/>
              <w:tl2br w:val="nil"/>
              <w:tr2bl w:val="nil"/>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令和４年高知県県民健康・栄養調査</w:t>
            </w:r>
          </w:p>
        </w:tc>
      </w:tr>
      <w:tr>
        <w:trPr>
          <w:trHeight w:val="844" w:hRule="atLeast"/>
        </w:trPr>
        <w:tc>
          <w:tcPr>
            <w:tcW w:w="1135" w:type="dxa"/>
            <w:vMerge w:val="continue"/>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rPr>
            </w:pPr>
          </w:p>
        </w:tc>
        <w:tc>
          <w:tcPr>
            <w:tcW w:w="2492"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spacing w:line="240" w:lineRule="exact"/>
              <w:ind w:leftChars="0" w:hanging="111" w:hangingChars="51"/>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④メタボリックシンドロームの該当者及び予備群の減少率</w:t>
            </w:r>
          </w:p>
        </w:tc>
        <w:tc>
          <w:tcPr>
            <w:tcW w:w="1594" w:type="dxa"/>
            <w:tcBorders>
              <w:top w:val="single" w:color="auto" w:sz="4" w:space="0"/>
              <w:left w:val="single" w:color="auto" w:sz="6"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10.5</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4" w:space="0"/>
              <w:right w:val="none" w:color="auto" w:sz="0" w:space="0"/>
              <w:tl2br w:val="nil"/>
              <w:tr2bl w:val="nil"/>
            </w:tcBorders>
            <w:vAlign w:val="center"/>
          </w:tcPr>
          <w:p>
            <w:pPr>
              <w:pStyle w:val="0"/>
              <w:spacing w:line="240" w:lineRule="exac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平成</w:t>
            </w:r>
            <w:r>
              <w:rPr>
                <w:rFonts w:hint="eastAsia" w:ascii="ＭＳ 明朝" w:hAnsi="ＭＳ 明朝" w:eastAsia="ＭＳ 明朝"/>
                <w:color w:val="auto"/>
                <w:sz w:val="20"/>
                <w:highlight w:val="none"/>
                <w:u w:val="none" w:color="auto"/>
              </w:rPr>
              <w:t>20</w:t>
            </w:r>
            <w:r>
              <w:rPr>
                <w:rFonts w:hint="eastAsia" w:ascii="ＭＳ 明朝" w:hAnsi="ＭＳ 明朝" w:eastAsia="ＭＳ 明朝"/>
                <w:color w:val="auto"/>
                <w:sz w:val="20"/>
                <w:highlight w:val="none"/>
                <w:u w:val="none" w:color="auto"/>
              </w:rPr>
              <w:t>年度と比べて</w:t>
            </w:r>
            <w:r>
              <w:rPr>
                <w:rFonts w:hint="eastAsia" w:ascii="ＭＳ 明朝" w:hAnsi="ＭＳ 明朝" w:eastAsia="ＭＳ 明朝"/>
                <w:color w:val="auto"/>
                <w:sz w:val="20"/>
                <w:highlight w:val="none"/>
                <w:u w:val="none" w:color="auto"/>
              </w:rPr>
              <w:t>25</w:t>
            </w:r>
            <w:r>
              <w:rPr>
                <w:rFonts w:hint="eastAsia" w:ascii="ＭＳ 明朝" w:hAnsi="ＭＳ 明朝" w:eastAsia="ＭＳ 明朝"/>
                <w:color w:val="auto"/>
                <w:sz w:val="20"/>
                <w:highlight w:val="none"/>
                <w:u w:val="none" w:color="auto"/>
              </w:rPr>
              <w:t>％以上減少</w:t>
            </w:r>
          </w:p>
        </w:tc>
        <w:tc>
          <w:tcPr>
            <w:tcW w:w="1816" w:type="dxa"/>
            <w:tcBorders>
              <w:top w:val="single" w:color="auto" w:sz="4" w:space="0"/>
              <w:left w:val="none" w:color="auto" w:sz="0" w:space="0"/>
              <w:bottom w:val="single" w:color="auto" w:sz="4" w:space="0"/>
              <w:right w:val="single" w:color="auto" w:sz="4" w:space="0"/>
              <w:tl2br w:val="nil"/>
              <w:tr2bl w:val="nil"/>
            </w:tcBorders>
            <w:vAlign w:val="center"/>
          </w:tcPr>
          <w:p>
            <w:pPr>
              <w:pStyle w:val="0"/>
              <w:spacing w:line="240" w:lineRule="exac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厚生労働省</w:t>
            </w:r>
            <w:r>
              <w:rPr>
                <w:rFonts w:hint="eastAsia" w:ascii="ＭＳ 明朝" w:hAnsi="ＭＳ 明朝" w:eastAsia="ＭＳ 明朝"/>
                <w:color w:val="auto"/>
                <w:sz w:val="20"/>
                <w:highlight w:val="none"/>
                <w:u w:val="none" w:color="auto"/>
              </w:rPr>
              <w:t>HP</w:t>
            </w:r>
            <w:r>
              <w:rPr>
                <w:rFonts w:hint="eastAsia" w:ascii="ＭＳ 明朝" w:hAnsi="ＭＳ 明朝" w:eastAsia="ＭＳ 明朝"/>
                <w:color w:val="auto"/>
                <w:sz w:val="20"/>
                <w:highlight w:val="none"/>
                <w:u w:val="none" w:color="auto"/>
              </w:rPr>
              <w:t>（令和３年度）</w:t>
            </w:r>
          </w:p>
        </w:tc>
      </w:tr>
      <w:tr>
        <w:trPr>
          <w:trHeight w:val="875" w:hRule="atLeast"/>
        </w:trPr>
        <w:tc>
          <w:tcPr>
            <w:tcW w:w="1135" w:type="dxa"/>
            <w:vMerge w:val="continue"/>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rPr>
            </w:pPr>
          </w:p>
        </w:tc>
        <w:tc>
          <w:tcPr>
            <w:tcW w:w="2492" w:type="dxa"/>
            <w:tcBorders>
              <w:top w:val="single" w:color="auto" w:sz="4" w:space="0"/>
              <w:left w:val="single" w:color="auto" w:sz="4" w:space="0"/>
              <w:bottom w:val="single" w:color="auto" w:sz="4" w:space="0"/>
              <w:right w:val="none" w:color="auto" w:sz="0" w:space="0"/>
              <w:tl2br w:val="nil"/>
              <w:tr2bl w:val="nil"/>
            </w:tcBorders>
            <w:shd w:val="clear" w:color="auto" w:fill="DAEEF3"/>
            <w:vAlign w:val="center"/>
          </w:tcPr>
          <w:p>
            <w:pPr>
              <w:pStyle w:val="0"/>
              <w:spacing w:line="240" w:lineRule="exact"/>
              <w:ind w:leftChars="0" w:hanging="180" w:hangingChars="87"/>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⑤収縮期血圧</w:t>
            </w:r>
            <w:r>
              <w:rPr>
                <w:rFonts w:hint="eastAsia" w:ascii="ＭＳ 明朝" w:hAnsi="ＭＳ 明朝" w:eastAsia="ＭＳ 明朝"/>
                <w:color w:val="auto"/>
                <w:sz w:val="20"/>
                <w:highlight w:val="none"/>
                <w:u w:val="none" w:color="auto"/>
              </w:rPr>
              <w:t>130mmHg</w:t>
            </w:r>
            <w:r>
              <w:rPr>
                <w:rFonts w:hint="eastAsia" w:ascii="ＭＳ 明朝" w:hAnsi="ＭＳ 明朝" w:eastAsia="ＭＳ 明朝"/>
                <w:color w:val="auto"/>
                <w:sz w:val="20"/>
                <w:highlight w:val="none"/>
                <w:u w:val="none" w:color="auto"/>
              </w:rPr>
              <w:t>以上の人の割合（</w:t>
            </w:r>
            <w:r>
              <w:rPr>
                <w:rFonts w:hint="eastAsia" w:ascii="ＭＳ 明朝" w:hAnsi="ＭＳ 明朝" w:eastAsia="ＭＳ 明朝"/>
                <w:color w:val="auto"/>
                <w:sz w:val="20"/>
                <w:highlight w:val="none"/>
                <w:u w:val="none" w:color="auto"/>
              </w:rPr>
              <w:t>40</w:t>
            </w:r>
            <w:r>
              <w:rPr>
                <w:rFonts w:hint="eastAsia" w:ascii="ＭＳ 明朝" w:hAnsi="ＭＳ 明朝" w:eastAsia="ＭＳ 明朝"/>
                <w:color w:val="auto"/>
                <w:sz w:val="20"/>
                <w:highlight w:val="none"/>
                <w:u w:val="none" w:color="auto"/>
              </w:rPr>
              <w:t>歳以上）</w:t>
            </w:r>
          </w:p>
        </w:tc>
        <w:tc>
          <w:tcPr>
            <w:tcW w:w="1594"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56.3</w:t>
            </w:r>
            <w:r>
              <w:rPr>
                <w:rFonts w:hint="eastAsia" w:ascii="ＭＳ 明朝" w:hAnsi="ＭＳ 明朝" w:eastAsia="ＭＳ 明朝"/>
                <w:color w:val="auto"/>
                <w:sz w:val="20"/>
                <w:highlight w:val="none"/>
                <w:u w:val="none" w:color="auto"/>
              </w:rPr>
              <w:t>％</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59.6</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男女とも</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45</w:t>
            </w:r>
            <w:r>
              <w:rPr>
                <w:rFonts w:hint="eastAsia" w:ascii="ＭＳ 明朝" w:hAnsi="ＭＳ 明朝" w:eastAsia="ＭＳ 明朝"/>
                <w:color w:val="auto"/>
                <w:sz w:val="20"/>
                <w:highlight w:val="none"/>
                <w:u w:val="none" w:color="auto"/>
              </w:rPr>
              <w:t>％以下</w:t>
            </w:r>
          </w:p>
        </w:tc>
        <w:tc>
          <w:tcPr>
            <w:tcW w:w="1816" w:type="dxa"/>
            <w:tcBorders>
              <w:top w:val="single" w:color="auto" w:sz="4" w:space="0"/>
              <w:left w:val="none" w:color="auto" w:sz="0" w:space="0"/>
              <w:bottom w:val="single" w:color="auto" w:sz="4" w:space="0"/>
              <w:right w:val="single" w:color="auto" w:sz="4" w:space="0"/>
              <w:tl2br w:val="nil"/>
              <w:tr2bl w:val="nil"/>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令和４年高知県県民健康・栄養調査</w:t>
            </w:r>
          </w:p>
        </w:tc>
      </w:tr>
      <w:tr>
        <w:trPr>
          <w:trHeight w:val="860" w:hRule="atLeast"/>
        </w:trPr>
        <w:tc>
          <w:tcPr>
            <w:tcW w:w="1135" w:type="dxa"/>
            <w:vMerge w:val="continue"/>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rPr>
            </w:pPr>
          </w:p>
        </w:tc>
        <w:tc>
          <w:tcPr>
            <w:tcW w:w="2492" w:type="dxa"/>
            <w:tcBorders>
              <w:top w:val="single" w:color="auto" w:sz="4" w:space="0"/>
              <w:left w:val="single" w:color="auto" w:sz="4" w:space="0"/>
              <w:bottom w:val="single" w:color="auto" w:sz="4" w:space="0"/>
              <w:right w:val="none" w:color="auto" w:sz="0" w:space="0"/>
              <w:tl2br w:val="nil"/>
              <w:tr2bl w:val="nil"/>
            </w:tcBorders>
            <w:shd w:val="clear" w:color="auto" w:fill="DAEEF3"/>
            <w:vAlign w:val="center"/>
          </w:tcPr>
          <w:p>
            <w:pPr>
              <w:pStyle w:val="0"/>
              <w:spacing w:line="240" w:lineRule="exact"/>
              <w:ind w:leftChars="0" w:hanging="180" w:hangingChars="87"/>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⑥脂質高値</w:t>
            </w: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ＬＤＬコレステロール</w:t>
            </w:r>
            <w:r>
              <w:rPr>
                <w:rFonts w:hint="eastAsia" w:ascii="ＭＳ 明朝" w:hAnsi="ＭＳ 明朝" w:eastAsia="ＭＳ 明朝"/>
                <w:color w:val="auto"/>
                <w:sz w:val="20"/>
                <w:highlight w:val="none"/>
                <w:u w:val="none" w:color="auto"/>
              </w:rPr>
              <w:t>160mg/dL</w:t>
            </w:r>
            <w:r>
              <w:rPr>
                <w:rFonts w:hint="eastAsia" w:ascii="ＭＳ 明朝" w:hAnsi="ＭＳ 明朝" w:eastAsia="ＭＳ 明朝"/>
                <w:color w:val="auto"/>
                <w:sz w:val="20"/>
                <w:highlight w:val="none"/>
                <w:u w:val="none" w:color="auto"/>
              </w:rPr>
              <w:t>以上</w:t>
            </w: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の人の割合</w:t>
            </w:r>
          </w:p>
        </w:tc>
        <w:tc>
          <w:tcPr>
            <w:tcW w:w="1594"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9.5</w:t>
            </w:r>
            <w:r>
              <w:rPr>
                <w:rFonts w:hint="eastAsia" w:ascii="ＭＳ 明朝" w:hAnsi="ＭＳ 明朝" w:eastAsia="ＭＳ 明朝"/>
                <w:color w:val="auto"/>
                <w:sz w:val="20"/>
                <w:highlight w:val="none"/>
                <w:u w:val="none" w:color="auto"/>
              </w:rPr>
              <w:t>％</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7.1</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7.6</w:t>
            </w:r>
            <w:r>
              <w:rPr>
                <w:rFonts w:hint="eastAsia" w:ascii="ＭＳ 明朝" w:hAnsi="ＭＳ 明朝" w:eastAsia="ＭＳ 明朝"/>
                <w:color w:val="auto"/>
                <w:sz w:val="20"/>
                <w:highlight w:val="none"/>
                <w:u w:val="none" w:color="auto"/>
              </w:rPr>
              <w:t>％</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5.6</w:t>
            </w:r>
            <w:r>
              <w:rPr>
                <w:rFonts w:hint="eastAsia" w:ascii="ＭＳ 明朝" w:hAnsi="ＭＳ 明朝" w:eastAsia="ＭＳ 明朝"/>
                <w:color w:val="auto"/>
                <w:sz w:val="20"/>
                <w:highlight w:val="none"/>
                <w:u w:val="none" w:color="auto"/>
              </w:rPr>
              <w:t>％</w:t>
            </w:r>
          </w:p>
        </w:tc>
        <w:tc>
          <w:tcPr>
            <w:tcW w:w="1816" w:type="dxa"/>
            <w:tcBorders>
              <w:top w:val="single" w:color="auto" w:sz="4" w:space="0"/>
              <w:left w:val="none" w:color="auto" w:sz="0" w:space="0"/>
              <w:bottom w:val="single" w:color="auto" w:sz="4" w:space="0"/>
              <w:right w:val="single" w:color="auto" w:sz="4" w:space="0"/>
              <w:tl2br w:val="nil"/>
              <w:tr2bl w:val="nil"/>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令和４年高知県県民健康・栄養調査</w:t>
            </w:r>
          </w:p>
        </w:tc>
      </w:tr>
      <w:tr>
        <w:trPr>
          <w:trHeight w:val="706" w:hRule="atLeast"/>
        </w:trPr>
        <w:tc>
          <w:tcPr>
            <w:tcW w:w="1135" w:type="dxa"/>
            <w:vMerge w:val="continue"/>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ascii="ＭＳ 明朝" w:hAnsi="ＭＳ 明朝" w:eastAsia="ＭＳ 明朝"/>
                <w:color w:val="auto"/>
                <w:sz w:val="20"/>
                <w:highlight w:val="none"/>
                <w:u w:val="none" w:color="auto"/>
              </w:rPr>
            </w:pPr>
          </w:p>
        </w:tc>
        <w:tc>
          <w:tcPr>
            <w:tcW w:w="2492" w:type="dxa"/>
            <w:tcBorders>
              <w:top w:val="single" w:color="auto" w:sz="4" w:space="0"/>
              <w:left w:val="single" w:color="auto" w:sz="4" w:space="0"/>
              <w:bottom w:val="single" w:color="auto" w:sz="4" w:space="0"/>
              <w:right w:val="none" w:color="auto" w:sz="0" w:space="0"/>
              <w:tl2br w:val="nil"/>
              <w:tr2bl w:val="nil"/>
            </w:tcBorders>
            <w:shd w:val="clear" w:color="auto" w:fill="DAEEF3"/>
            <w:vAlign w:val="center"/>
          </w:tcPr>
          <w:p>
            <w:pPr>
              <w:pStyle w:val="0"/>
              <w:spacing w:line="240" w:lineRule="exact"/>
              <w:ind w:leftChars="0" w:hanging="180" w:hangingChars="87"/>
              <w:jc w:val="lef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⑦高血圧性疾患の年齢調整外来受療率</w:t>
            </w:r>
            <w:r>
              <w:rPr>
                <w:rFonts w:hint="eastAsia" w:ascii="ＭＳ 明朝" w:hAnsi="ＭＳ 明朝" w:eastAsia="ＭＳ 明朝"/>
                <w:color w:val="auto"/>
                <w:spacing w:val="3"/>
                <w:sz w:val="20"/>
                <w:highlight w:val="none"/>
                <w:u w:val="none" w:color="auto"/>
                <w:fitText w:val="2167" w:id="1"/>
              </w:rPr>
              <w:t>（人口</w:t>
            </w:r>
            <w:r>
              <w:rPr>
                <w:rFonts w:hint="eastAsia" w:ascii="ＭＳ 明朝" w:hAnsi="ＭＳ 明朝" w:eastAsia="ＭＳ 明朝"/>
                <w:color w:val="auto"/>
                <w:spacing w:val="3"/>
                <w:sz w:val="20"/>
                <w:highlight w:val="none"/>
                <w:u w:val="none" w:color="auto"/>
                <w:fitText w:val="2167" w:id="1"/>
              </w:rPr>
              <w:t>10</w:t>
            </w:r>
            <w:r>
              <w:rPr>
                <w:rFonts w:hint="eastAsia" w:ascii="ＭＳ 明朝" w:hAnsi="ＭＳ 明朝" w:eastAsia="ＭＳ 明朝"/>
                <w:color w:val="auto"/>
                <w:spacing w:val="3"/>
                <w:sz w:val="20"/>
                <w:highlight w:val="none"/>
                <w:u w:val="none" w:color="auto"/>
                <w:fitText w:val="2167" w:id="1"/>
              </w:rPr>
              <w:t>万人当たり）</w:t>
            </w:r>
          </w:p>
        </w:tc>
        <w:tc>
          <w:tcPr>
            <w:tcW w:w="1594"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211.8</w:t>
            </w:r>
          </w:p>
        </w:tc>
        <w:tc>
          <w:tcPr>
            <w:tcW w:w="2043"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250</w:t>
            </w:r>
            <w:r>
              <w:rPr>
                <w:rFonts w:hint="eastAsia" w:ascii="ＭＳ 明朝" w:hAnsi="ＭＳ 明朝" w:eastAsia="ＭＳ 明朝"/>
                <w:color w:val="auto"/>
                <w:sz w:val="20"/>
                <w:highlight w:val="none"/>
                <w:u w:val="none" w:color="auto"/>
              </w:rPr>
              <w:t>以上</w:t>
            </w:r>
          </w:p>
        </w:tc>
        <w:tc>
          <w:tcPr>
            <w:tcW w:w="1816" w:type="dxa"/>
            <w:tcBorders>
              <w:top w:val="single" w:color="auto" w:sz="4" w:space="0"/>
              <w:left w:val="none" w:color="auto" w:sz="0" w:space="0"/>
              <w:bottom w:val="single" w:color="auto" w:sz="4" w:space="0"/>
              <w:right w:val="single" w:color="auto" w:sz="4" w:space="0"/>
              <w:tl2br w:val="nil"/>
              <w:tr2bl w:val="nil"/>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令和２年医療施設静態調査</w:t>
            </w:r>
          </w:p>
        </w:tc>
      </w:tr>
      <w:tr>
        <w:trPr>
          <w:trHeight w:val="685" w:hRule="atLeast"/>
        </w:trPr>
        <w:tc>
          <w:tcPr>
            <w:tcW w:w="1135" w:type="dxa"/>
            <w:vMerge w:val="continue"/>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rPr>
            </w:pPr>
          </w:p>
        </w:tc>
        <w:tc>
          <w:tcPr>
            <w:tcW w:w="2492" w:type="dxa"/>
            <w:tcBorders>
              <w:top w:val="single" w:color="auto" w:sz="4" w:space="0"/>
              <w:left w:val="single" w:color="auto" w:sz="4" w:space="0"/>
              <w:bottom w:val="single" w:color="auto" w:sz="4" w:space="0"/>
              <w:right w:val="none" w:color="auto" w:sz="0" w:space="0"/>
              <w:tl2br w:val="nil"/>
              <w:tr2bl w:val="nil"/>
            </w:tcBorders>
            <w:shd w:val="clear" w:color="auto" w:fill="DAEEF3"/>
            <w:vAlign w:val="center"/>
          </w:tcPr>
          <w:p>
            <w:pPr>
              <w:pStyle w:val="0"/>
              <w:spacing w:line="240" w:lineRule="exact"/>
              <w:ind w:left="180" w:leftChars="-19" w:hanging="221" w:hangingChars="107"/>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⑧脂質異常症の年齢調整外来受療率</w:t>
            </w:r>
          </w:p>
          <w:p>
            <w:pPr>
              <w:pStyle w:val="0"/>
              <w:spacing w:line="240" w:lineRule="exact"/>
              <w:ind w:left="193" w:leftChars="50" w:hanging="80" w:hangingChars="36"/>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pacing w:val="3"/>
                <w:sz w:val="20"/>
                <w:highlight w:val="none"/>
                <w:u w:val="none" w:color="auto"/>
                <w:fitText w:val="2167" w:id="2"/>
              </w:rPr>
              <w:t>（人口</w:t>
            </w:r>
            <w:r>
              <w:rPr>
                <w:rFonts w:hint="eastAsia" w:ascii="ＭＳ 明朝" w:hAnsi="ＭＳ 明朝" w:eastAsia="ＭＳ 明朝"/>
                <w:color w:val="auto"/>
                <w:spacing w:val="3"/>
                <w:sz w:val="20"/>
                <w:highlight w:val="none"/>
                <w:u w:val="none" w:color="auto"/>
                <w:fitText w:val="2167" w:id="2"/>
              </w:rPr>
              <w:t>10</w:t>
            </w:r>
            <w:r>
              <w:rPr>
                <w:rFonts w:hint="eastAsia" w:ascii="ＭＳ 明朝" w:hAnsi="ＭＳ 明朝" w:eastAsia="ＭＳ 明朝"/>
                <w:color w:val="auto"/>
                <w:spacing w:val="3"/>
                <w:sz w:val="20"/>
                <w:highlight w:val="none"/>
                <w:u w:val="none" w:color="auto"/>
                <w:fitText w:val="2167" w:id="2"/>
              </w:rPr>
              <w:t>万人当たり）</w:t>
            </w:r>
          </w:p>
        </w:tc>
        <w:tc>
          <w:tcPr>
            <w:tcW w:w="1594"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51.1</w:t>
            </w:r>
          </w:p>
        </w:tc>
        <w:tc>
          <w:tcPr>
            <w:tcW w:w="2043"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60</w:t>
            </w:r>
            <w:r>
              <w:rPr>
                <w:rFonts w:hint="eastAsia" w:ascii="ＭＳ 明朝" w:hAnsi="ＭＳ 明朝" w:eastAsia="ＭＳ 明朝"/>
                <w:color w:val="auto"/>
                <w:sz w:val="20"/>
                <w:highlight w:val="none"/>
                <w:u w:val="none" w:color="auto"/>
              </w:rPr>
              <w:t>以上</w:t>
            </w:r>
          </w:p>
        </w:tc>
        <w:tc>
          <w:tcPr>
            <w:tcW w:w="1816" w:type="dxa"/>
            <w:tcBorders>
              <w:top w:val="single" w:color="auto" w:sz="4" w:space="0"/>
              <w:left w:val="none" w:color="auto" w:sz="0" w:space="0"/>
              <w:bottom w:val="single" w:color="auto" w:sz="4" w:space="0"/>
              <w:right w:val="single" w:color="auto" w:sz="4" w:space="0"/>
              <w:tl2br w:val="nil"/>
              <w:tr2bl w:val="nil"/>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令和２年医療施設静態調査</w:t>
            </w:r>
          </w:p>
        </w:tc>
      </w:tr>
    </w:tbl>
    <w:p>
      <w:pPr>
        <w:pStyle w:val="0"/>
        <w:rPr>
          <w:rFonts w:hint="eastAsia" w:ascii="ＭＳ 明朝" w:hAnsi="ＭＳ 明朝" w:eastAsia="ＭＳ 明朝"/>
          <w:color w:val="000000" w:themeColor="text1"/>
          <w:sz w:val="21"/>
          <w:highlight w:val="none"/>
          <w:u w:val="none" w:color="auto"/>
        </w:rPr>
      </w:pPr>
    </w:p>
    <w:p>
      <w:pPr>
        <w:pStyle w:val="0"/>
        <w:rPr>
          <w:rFonts w:hint="eastAsia" w:ascii="ＭＳ 明朝" w:hAnsi="ＭＳ 明朝" w:eastAsia="ＭＳ 明朝"/>
          <w:b w:val="1"/>
          <w:color w:val="002060"/>
          <w:kern w:val="0"/>
          <w:highlight w:val="none"/>
          <w:u w:val="none" w:color="auto"/>
        </w:rPr>
      </w:pPr>
      <w:r>
        <w:rPr>
          <w:rFonts w:hint="eastAsia" w:ascii="ＭＳ 明朝" w:hAnsi="ＭＳ 明朝" w:eastAsia="ＭＳ 明朝"/>
          <w:b w:val="1"/>
          <w:color w:val="0070C0"/>
          <w:sz w:val="22"/>
          <w:highlight w:val="none"/>
        </w:rPr>
        <w:t>２　救護搬送体制・急性期の医療提供体制</w:t>
      </w:r>
    </w:p>
    <w:tbl>
      <w:tblPr>
        <w:tblStyle w:val="11"/>
        <w:tblpPr w:leftFromText="142" w:rightFromText="142" w:topFromText="0" w:bottomFromText="0" w:vertAnchor="text" w:horzAnchor="margin" w:tblpXSpec="center" w:tblpY="24"/>
        <w:tblOverlap w:val="never"/>
        <w:tblW w:w="9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firstRow="1" w:lastRow="1" w:firstColumn="1" w:lastColumn="1" w:noHBand="0" w:noVBand="0" w:val="01E0"/>
      </w:tblPr>
      <w:tblGrid>
        <w:gridCol w:w="1155"/>
        <w:gridCol w:w="2496"/>
        <w:gridCol w:w="1342"/>
        <w:gridCol w:w="2047"/>
        <w:gridCol w:w="2074"/>
      </w:tblGrid>
      <w:tr>
        <w:trPr>
          <w:trHeight w:val="258" w:hRule="atLeast"/>
        </w:trPr>
        <w:tc>
          <w:tcPr>
            <w:tcW w:w="1157"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区分</w:t>
            </w:r>
          </w:p>
        </w:tc>
        <w:tc>
          <w:tcPr>
            <w:tcW w:w="2500"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項　目</w:t>
            </w:r>
          </w:p>
        </w:tc>
        <w:tc>
          <w:tcPr>
            <w:tcW w:w="134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w:t>
            </w:r>
          </w:p>
        </w:tc>
        <w:tc>
          <w:tcPr>
            <w:tcW w:w="2050"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目標</w:t>
            </w:r>
          </w:p>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w:t>
            </w:r>
            <w:r>
              <w:rPr>
                <w:rFonts w:hint="eastAsia" w:ascii="ＭＳ 明朝" w:hAnsi="ＭＳ 明朝" w:eastAsia="ＭＳ 明朝"/>
                <w:color w:val="auto"/>
                <w:sz w:val="20"/>
                <w:highlight w:val="none"/>
                <w:u w:val="none" w:color="auto"/>
              </w:rPr>
              <w:t>11</w:t>
            </w:r>
            <w:r>
              <w:rPr>
                <w:rFonts w:hint="eastAsia" w:ascii="ＭＳ 明朝" w:hAnsi="ＭＳ 明朝" w:eastAsia="ＭＳ 明朝"/>
                <w:color w:val="auto"/>
                <w:sz w:val="20"/>
                <w:highlight w:val="none"/>
                <w:u w:val="none" w:color="auto"/>
              </w:rPr>
              <w:t>年度）</w:t>
            </w:r>
          </w:p>
        </w:tc>
        <w:tc>
          <w:tcPr>
            <w:tcW w:w="2077"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直近値の出典</w:t>
            </w:r>
          </w:p>
        </w:tc>
      </w:tr>
      <w:tr>
        <w:trPr>
          <w:trHeight w:val="960" w:hRule="atLeast"/>
        </w:trPr>
        <w:tc>
          <w:tcPr>
            <w:tcW w:w="1155" w:type="dxa"/>
            <w:vMerge w:val="restart"/>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中間アウトカム</w:t>
            </w:r>
          </w:p>
        </w:tc>
        <w:tc>
          <w:tcPr>
            <w:tcW w:w="2500" w:type="dxa"/>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spacing w:line="240" w:lineRule="exact"/>
              <w:ind w:leftChars="0" w:hanging="161" w:hangingChars="78"/>
              <w:jc w:val="both"/>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①心肺機能停止傷病者全搬送人員のうち、一般市民により除細動が実施された件数</w:t>
            </w:r>
          </w:p>
        </w:tc>
        <w:tc>
          <w:tcPr>
            <w:tcW w:w="1344"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spacing w:line="240" w:lineRule="exact"/>
              <w:ind w:left="0" w:leftChars="0" w:firstLine="0" w:firstLine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７件</w:t>
            </w:r>
          </w:p>
        </w:tc>
        <w:tc>
          <w:tcPr>
            <w:tcW w:w="2050"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left="0" w:left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増加</w:t>
            </w:r>
          </w:p>
        </w:tc>
        <w:tc>
          <w:tcPr>
            <w:tcW w:w="2077"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ind w:leftChars="0" w:firstLine="134" w:firstLineChars="62"/>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令和４年版</w:t>
            </w:r>
            <w:r>
              <w:rPr>
                <w:rFonts w:hint="eastAsia" w:ascii="ＭＳ 明朝" w:hAnsi="ＭＳ 明朝" w:eastAsia="ＭＳ 明朝"/>
                <w:color w:val="auto"/>
                <w:sz w:val="20"/>
                <w:highlight w:val="none"/>
                <w:u w:val="none" w:color="auto"/>
              </w:rPr>
              <w:t xml:space="preserve"> </w:t>
            </w:r>
            <w:r>
              <w:rPr>
                <w:rFonts w:hint="eastAsia" w:ascii="ＭＳ 明朝" w:hAnsi="ＭＳ 明朝" w:eastAsia="ＭＳ 明朝"/>
                <w:color w:val="auto"/>
                <w:sz w:val="20"/>
                <w:highlight w:val="none"/>
                <w:u w:val="none" w:color="auto"/>
              </w:rPr>
              <w:t>救急・救助の現況</w:t>
            </w:r>
          </w:p>
        </w:tc>
      </w:tr>
      <w:tr>
        <w:trPr>
          <w:trHeight w:val="434" w:hRule="atLeast"/>
        </w:trPr>
        <w:tc>
          <w:tcPr>
            <w:tcW w:w="1155" w:type="dxa"/>
            <w:vMerge w:val="continue"/>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rPr>
                <w:rFonts w:hint="eastAsia"/>
                <w:sz w:val="20"/>
              </w:rPr>
            </w:pPr>
          </w:p>
        </w:tc>
        <w:tc>
          <w:tcPr>
            <w:tcW w:w="2500"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spacing w:line="240" w:lineRule="exact"/>
              <w:ind w:leftChars="0" w:hanging="161" w:hangingChars="78"/>
              <w:jc w:val="both"/>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②救急要請から病院到着までに要した平均時間</w:t>
            </w:r>
          </w:p>
        </w:tc>
        <w:tc>
          <w:tcPr>
            <w:tcW w:w="1344" w:type="dxa"/>
            <w:tcBorders>
              <w:top w:val="single" w:color="auto" w:sz="4" w:space="0"/>
              <w:left w:val="single" w:color="auto" w:sz="6" w:space="0"/>
              <w:bottom w:val="single" w:color="auto" w:sz="4" w:space="0"/>
              <w:right w:val="none" w:color="auto" w:sz="0" w:space="0"/>
              <w:tl2br w:val="none" w:color="auto" w:sz="0" w:space="0"/>
              <w:tr2bl w:val="none" w:color="auto" w:sz="0" w:space="0"/>
            </w:tcBorders>
            <w:vAlign w:val="center"/>
          </w:tcPr>
          <w:p>
            <w:pPr>
              <w:pStyle w:val="0"/>
              <w:spacing w:line="240" w:lineRule="exact"/>
              <w:ind w:left="0" w:firstLine="0" w:firstLine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42.0</w:t>
            </w:r>
            <w:r>
              <w:rPr>
                <w:rFonts w:hint="eastAsia" w:ascii="ＭＳ 明朝" w:hAnsi="ＭＳ 明朝" w:eastAsia="ＭＳ 明朝"/>
                <w:color w:val="auto"/>
                <w:sz w:val="20"/>
                <w:highlight w:val="none"/>
                <w:u w:val="none" w:color="auto"/>
              </w:rPr>
              <w:t>分</w:t>
            </w:r>
          </w:p>
        </w:tc>
        <w:tc>
          <w:tcPr>
            <w:tcW w:w="20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left="0" w:leftChars="0" w:firstLine="0" w:firstLine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短縮</w:t>
            </w:r>
          </w:p>
        </w:tc>
        <w:tc>
          <w:tcPr>
            <w:tcW w:w="2077"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ind w:firstLine="10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令和４年版</w:t>
            </w:r>
            <w:r>
              <w:rPr>
                <w:rFonts w:hint="eastAsia" w:ascii="ＭＳ 明朝" w:hAnsi="ＭＳ 明朝" w:eastAsia="ＭＳ 明朝"/>
                <w:color w:val="auto"/>
                <w:sz w:val="20"/>
                <w:highlight w:val="none"/>
                <w:u w:val="none" w:color="auto"/>
              </w:rPr>
              <w:t xml:space="preserve"> </w:t>
            </w:r>
            <w:r>
              <w:rPr>
                <w:rFonts w:hint="eastAsia" w:ascii="ＭＳ 明朝" w:hAnsi="ＭＳ 明朝" w:eastAsia="ＭＳ 明朝"/>
                <w:color w:val="auto"/>
                <w:sz w:val="20"/>
                <w:highlight w:val="none"/>
                <w:u w:val="none" w:color="auto"/>
              </w:rPr>
              <w:t>救急・救助の現況</w:t>
            </w:r>
          </w:p>
        </w:tc>
      </w:tr>
      <w:tr>
        <w:trPr>
          <w:trHeight w:val="1396" w:hRule="atLeast"/>
        </w:trPr>
        <w:tc>
          <w:tcPr>
            <w:tcW w:w="1155" w:type="dxa"/>
            <w:vMerge w:val="continue"/>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rPr>
                <w:rFonts w:hint="eastAsia"/>
              </w:rPr>
            </w:pPr>
          </w:p>
        </w:tc>
        <w:tc>
          <w:tcPr>
            <w:tcW w:w="2500"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spacing w:line="240" w:lineRule="exact"/>
              <w:ind w:leftChars="0" w:hanging="120" w:hangingChars="53"/>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③急性心筋梗塞の発症から急性心筋梗塞治療センター到着までの時間（各施設の平均値の中央値）</w:t>
            </w:r>
          </w:p>
        </w:tc>
        <w:tc>
          <w:tcPr>
            <w:tcW w:w="1344" w:type="dxa"/>
            <w:tcBorders>
              <w:top w:val="single" w:color="auto" w:sz="4" w:space="0"/>
              <w:left w:val="single" w:color="auto" w:sz="6"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w:t>
            </w:r>
            <w:r>
              <w:rPr>
                <w:rFonts w:hint="eastAsia" w:ascii="ＭＳ 明朝" w:hAnsi="ＭＳ 明朝" w:eastAsia="ＭＳ 明朝"/>
                <w:color w:val="auto"/>
                <w:sz w:val="20"/>
                <w:highlight w:val="none"/>
                <w:u w:val="none" w:color="auto"/>
              </w:rPr>
              <w:t>時間</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w:t>
            </w:r>
            <w:r>
              <w:rPr>
                <w:rFonts w:hint="eastAsia" w:ascii="ＭＳ 明朝" w:hAnsi="ＭＳ 明朝" w:eastAsia="ＭＳ 明朝"/>
                <w:color w:val="auto"/>
                <w:sz w:val="20"/>
                <w:highlight w:val="none"/>
                <w:u w:val="none" w:color="auto"/>
              </w:rPr>
              <w:t>分</w:t>
            </w:r>
          </w:p>
        </w:tc>
        <w:tc>
          <w:tcPr>
            <w:tcW w:w="20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短縮</w:t>
            </w:r>
          </w:p>
        </w:tc>
        <w:tc>
          <w:tcPr>
            <w:tcW w:w="2077"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令和４年急性心筋梗塞治療センター治療成績</w:t>
            </w:r>
          </w:p>
        </w:tc>
      </w:tr>
      <w:tr>
        <w:trPr>
          <w:trHeight w:val="1515" w:hRule="atLeast"/>
        </w:trPr>
        <w:tc>
          <w:tcPr>
            <w:tcW w:w="1155" w:type="dxa"/>
            <w:vMerge w:val="continue"/>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rPr>
                <w:rFonts w:hint="eastAsia"/>
                <w:sz w:val="20"/>
              </w:rPr>
            </w:pPr>
          </w:p>
        </w:tc>
        <w:tc>
          <w:tcPr>
            <w:tcW w:w="2500"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spacing w:line="240" w:lineRule="exact"/>
              <w:ind w:leftChars="0" w:hanging="141" w:hangingChars="65"/>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④急性心筋梗塞治療センター到着からバルーン拡張までの時間（</w:t>
            </w:r>
            <w:r>
              <w:rPr>
                <w:rFonts w:hint="eastAsia" w:ascii="ＭＳ 明朝" w:hAnsi="ＭＳ 明朝" w:eastAsia="ＭＳ 明朝"/>
                <w:color w:val="auto"/>
                <w:sz w:val="20"/>
                <w:highlight w:val="none"/>
                <w:u w:val="none" w:color="auto"/>
              </w:rPr>
              <w:t>DTBT</w:t>
            </w:r>
            <w:r>
              <w:rPr>
                <w:rFonts w:hint="eastAsia" w:ascii="ＭＳ 明朝" w:hAnsi="ＭＳ 明朝" w:eastAsia="ＭＳ 明朝"/>
                <w:color w:val="auto"/>
                <w:sz w:val="20"/>
                <w:highlight w:val="none"/>
                <w:u w:val="none" w:color="auto"/>
              </w:rPr>
              <w:t>）（各施設の平均値の中央値）</w:t>
            </w:r>
          </w:p>
        </w:tc>
        <w:tc>
          <w:tcPr>
            <w:tcW w:w="1344" w:type="dxa"/>
            <w:tcBorders>
              <w:top w:val="single" w:color="auto" w:sz="4" w:space="0"/>
              <w:left w:val="single" w:color="auto" w:sz="6"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１時間</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19</w:t>
            </w:r>
            <w:r>
              <w:rPr>
                <w:rFonts w:hint="eastAsia" w:ascii="ＭＳ 明朝" w:hAnsi="ＭＳ 明朝" w:eastAsia="ＭＳ 明朝"/>
                <w:color w:val="auto"/>
                <w:sz w:val="20"/>
                <w:highlight w:val="none"/>
                <w:u w:val="none" w:color="auto"/>
              </w:rPr>
              <w:t>分</w:t>
            </w:r>
          </w:p>
        </w:tc>
        <w:tc>
          <w:tcPr>
            <w:tcW w:w="20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短縮</w:t>
            </w:r>
          </w:p>
        </w:tc>
        <w:tc>
          <w:tcPr>
            <w:tcW w:w="2077"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令和４年急性心筋梗塞治療センター治療成績</w:t>
            </w:r>
          </w:p>
        </w:tc>
      </w:tr>
      <w:tr>
        <w:trPr>
          <w:trHeight w:val="1021" w:hRule="atLeast"/>
        </w:trPr>
        <w:tc>
          <w:tcPr>
            <w:tcW w:w="1155" w:type="dxa"/>
            <w:vMerge w:val="continue"/>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rPr>
                <w:rFonts w:hint="eastAsia"/>
              </w:rPr>
            </w:pPr>
          </w:p>
        </w:tc>
        <w:tc>
          <w:tcPr>
            <w:tcW w:w="2500" w:type="dxa"/>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spacing w:line="240" w:lineRule="exact"/>
              <w:ind w:leftChars="0" w:hanging="120" w:hangingChars="53"/>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⑤急性心筋梗塞治療センターにおける再灌流療法実施率</w:t>
            </w:r>
          </w:p>
        </w:tc>
        <w:tc>
          <w:tcPr>
            <w:tcW w:w="1344"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90.7</w:t>
            </w:r>
            <w:r>
              <w:rPr>
                <w:rFonts w:hint="eastAsia" w:ascii="ＭＳ 明朝" w:hAnsi="ＭＳ 明朝" w:eastAsia="ＭＳ 明朝"/>
                <w:color w:val="auto"/>
                <w:sz w:val="20"/>
                <w:highlight w:val="none"/>
                <w:u w:val="none" w:color="auto"/>
              </w:rPr>
              <w:t>％</w:t>
            </w:r>
          </w:p>
        </w:tc>
        <w:tc>
          <w:tcPr>
            <w:tcW w:w="2050"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維持・増加</w:t>
            </w:r>
          </w:p>
        </w:tc>
        <w:tc>
          <w:tcPr>
            <w:tcW w:w="2077"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令和４年急性心筋梗塞治療センター治療成績</w:t>
            </w:r>
          </w:p>
        </w:tc>
      </w:tr>
    </w:tbl>
    <w:p>
      <w:pPr>
        <w:pStyle w:val="0"/>
        <w:rPr>
          <w:rFonts w:hint="eastAsia" w:ascii="ＭＳ 明朝" w:hAnsi="ＭＳ 明朝" w:eastAsia="ＭＳ 明朝"/>
          <w:b w:val="1"/>
          <w:color w:val="000000" w:themeColor="text1"/>
          <w:sz w:val="22"/>
          <w:highlight w:val="none"/>
          <w:u w:val="none" w:color="auto"/>
        </w:rPr>
      </w:pPr>
    </w:p>
    <w:p>
      <w:pPr>
        <w:pStyle w:val="0"/>
        <w:rPr>
          <w:rFonts w:hint="eastAsia" w:ascii="ＭＳ 明朝" w:hAnsi="ＭＳ 明朝" w:eastAsia="ＭＳ 明朝"/>
          <w:color w:val="002060"/>
          <w:sz w:val="22"/>
          <w:highlight w:val="none"/>
          <w:u w:val="none" w:color="auto"/>
        </w:rPr>
      </w:pPr>
      <w:r>
        <w:rPr>
          <w:rFonts w:hint="eastAsia" w:ascii="ＭＳ 明朝" w:hAnsi="ＭＳ 明朝" w:eastAsia="ＭＳ 明朝"/>
          <w:b w:val="1"/>
          <w:color w:val="0070C0"/>
          <w:sz w:val="22"/>
          <w:highlight w:val="none"/>
        </w:rPr>
        <w:t>３　回復期及び維持期の医療提供体制</w:t>
      </w:r>
    </w:p>
    <w:tbl>
      <w:tblPr>
        <w:tblStyle w:val="11"/>
        <w:tblpPr w:leftFromText="142" w:rightFromText="142" w:topFromText="0" w:bottomFromText="0" w:vertAnchor="text" w:horzAnchor="margin" w:tblpXSpec="center" w:tblpY="24"/>
        <w:tblOverlap w:val="never"/>
        <w:tblW w:w="916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firstRow="1" w:lastRow="1" w:firstColumn="1" w:lastColumn="1" w:noHBand="0" w:noVBand="0" w:val="01E0"/>
      </w:tblPr>
      <w:tblGrid>
        <w:gridCol w:w="1247"/>
        <w:gridCol w:w="2431"/>
        <w:gridCol w:w="1291"/>
        <w:gridCol w:w="2097"/>
        <w:gridCol w:w="2096"/>
      </w:tblGrid>
      <w:tr>
        <w:trPr>
          <w:trHeight w:val="258" w:hRule="atLeast"/>
        </w:trPr>
        <w:tc>
          <w:tcPr>
            <w:tcW w:w="1247"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adjustRightInd w:val="0"/>
              <w:snapToGrid w:val="0"/>
              <w:spacing w:line="240" w:lineRule="auto"/>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区分</w:t>
            </w:r>
          </w:p>
        </w:tc>
        <w:tc>
          <w:tcPr>
            <w:tcW w:w="2431"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top"/>
          </w:tcPr>
          <w:p>
            <w:pPr>
              <w:pStyle w:val="0"/>
              <w:jc w:val="center"/>
              <w:rPr>
                <w:rFonts w:hint="eastAsia" w:ascii="ＭＳ 明朝" w:hAnsi="ＭＳ 明朝" w:eastAsia="ＭＳ 明朝"/>
                <w:color w:val="auto"/>
                <w:highlight w:val="none"/>
              </w:rPr>
            </w:pPr>
            <w:r>
              <w:rPr>
                <w:rFonts w:hint="eastAsia" w:ascii="ＭＳ 明朝" w:hAnsi="ＭＳ 明朝" w:eastAsia="ＭＳ 明朝"/>
                <w:color w:val="auto"/>
                <w:highlight w:val="none"/>
              </w:rPr>
              <w:t>項目</w:t>
            </w:r>
          </w:p>
        </w:tc>
        <w:tc>
          <w:tcPr>
            <w:tcW w:w="1291"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直近値</w:t>
            </w:r>
          </w:p>
        </w:tc>
        <w:tc>
          <w:tcPr>
            <w:tcW w:w="2097"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spacing w:line="240" w:lineRule="exact"/>
              <w:ind w:left="34"/>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目標</w:t>
            </w:r>
          </w:p>
          <w:p>
            <w:pPr>
              <w:pStyle w:val="0"/>
              <w:spacing w:line="240" w:lineRule="exact"/>
              <w:ind w:left="34"/>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（令和</w:t>
            </w:r>
            <w:r>
              <w:rPr>
                <w:rFonts w:hint="eastAsia" w:ascii="ＭＳ 明朝" w:hAnsi="ＭＳ 明朝" w:eastAsia="ＭＳ 明朝"/>
                <w:color w:val="auto"/>
                <w:sz w:val="20"/>
                <w:highlight w:val="none"/>
              </w:rPr>
              <w:t>11</w:t>
            </w:r>
            <w:r>
              <w:rPr>
                <w:rFonts w:hint="eastAsia" w:ascii="ＭＳ 明朝" w:hAnsi="ＭＳ 明朝" w:eastAsia="ＭＳ 明朝"/>
                <w:color w:val="auto"/>
                <w:sz w:val="20"/>
                <w:highlight w:val="none"/>
              </w:rPr>
              <w:t>年度）</w:t>
            </w:r>
          </w:p>
        </w:tc>
        <w:tc>
          <w:tcPr>
            <w:tcW w:w="2096"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直近値の出典</w:t>
            </w:r>
          </w:p>
        </w:tc>
      </w:tr>
      <w:tr>
        <w:trPr>
          <w:trHeight w:val="1031" w:hRule="atLeast"/>
        </w:trPr>
        <w:tc>
          <w:tcPr>
            <w:tcW w:w="1247" w:type="dxa"/>
            <w:tcBorders>
              <w:top w:val="single" w:color="auto" w:sz="4" w:space="0"/>
              <w:left w:val="single" w:color="auto" w:sz="4" w:space="0"/>
              <w:bottom w:val="single" w:color="auto" w:sz="4" w:space="0"/>
              <w:right w:val="none" w:color="auto" w:sz="0" w:space="0"/>
              <w:tl2br w:val="nil"/>
              <w:tr2bl w:val="nil"/>
            </w:tcBorders>
            <w:shd w:val="clear" w:color="auto" w:fill="DAEEF3"/>
            <w:vAlign w:val="center"/>
          </w:tcPr>
          <w:p>
            <w:pPr>
              <w:pStyle w:val="0"/>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中間アウトカム</w:t>
            </w:r>
          </w:p>
        </w:tc>
        <w:tc>
          <w:tcPr>
            <w:tcW w:w="2431" w:type="dxa"/>
            <w:tcBorders>
              <w:top w:val="single" w:color="auto" w:sz="4" w:space="0"/>
              <w:left w:val="single" w:color="auto" w:sz="4" w:space="0"/>
              <w:bottom w:val="single" w:color="auto" w:sz="4" w:space="0"/>
              <w:right w:val="none" w:color="auto" w:sz="0" w:space="0"/>
              <w:tl2br w:val="nil"/>
              <w:tr2bl w:val="nil"/>
            </w:tcBorders>
            <w:shd w:val="clear" w:color="auto" w:fill="DAEEF3"/>
            <w:vAlign w:val="center"/>
          </w:tcPr>
          <w:p>
            <w:pPr>
              <w:pStyle w:val="0"/>
              <w:spacing w:line="240" w:lineRule="exact"/>
              <w:jc w:val="both"/>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在宅等生活の場に復帰した虚血性心疾患患者の割合</w:t>
            </w:r>
          </w:p>
        </w:tc>
        <w:tc>
          <w:tcPr>
            <w:tcW w:w="1291" w:type="dxa"/>
            <w:tcBorders>
              <w:top w:val="single" w:color="auto" w:sz="6" w:space="0"/>
              <w:left w:val="none" w:color="auto" w:sz="0" w:space="0"/>
              <w:bottom w:val="single" w:color="auto" w:sz="6"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91.8</w:t>
            </w:r>
            <w:r>
              <w:rPr>
                <w:rFonts w:hint="eastAsia" w:ascii="ＭＳ 明朝" w:hAnsi="ＭＳ 明朝" w:eastAsia="ＭＳ 明朝"/>
                <w:color w:val="auto"/>
                <w:sz w:val="20"/>
                <w:highlight w:val="none"/>
                <w:u w:val="none" w:color="auto"/>
              </w:rPr>
              <w:t>％</w:t>
            </w:r>
          </w:p>
        </w:tc>
        <w:tc>
          <w:tcPr>
            <w:tcW w:w="2097" w:type="dxa"/>
            <w:tcBorders>
              <w:top w:val="single" w:color="auto" w:sz="6" w:space="0"/>
              <w:left w:val="none" w:color="auto" w:sz="0" w:space="0"/>
              <w:bottom w:val="single" w:color="auto" w:sz="6"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増加</w:t>
            </w:r>
          </w:p>
        </w:tc>
        <w:tc>
          <w:tcPr>
            <w:tcW w:w="2096" w:type="dxa"/>
            <w:tcBorders>
              <w:top w:val="single" w:color="auto" w:sz="6" w:space="0"/>
              <w:left w:val="none" w:color="auto" w:sz="0" w:space="0"/>
              <w:bottom w:val="single" w:color="auto" w:sz="6" w:space="0"/>
              <w:right w:val="single" w:color="auto" w:sz="4" w:space="0"/>
              <w:tl2br w:val="nil"/>
              <w:tr2bl w:val="nil"/>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令和２年患者調査の調査表から国が独自集計</w:t>
            </w:r>
          </w:p>
        </w:tc>
      </w:tr>
    </w:tbl>
    <w:p>
      <w:pPr>
        <w:pStyle w:val="0"/>
        <w:jc w:val="center"/>
        <w:rPr>
          <w:rFonts w:hint="eastAsia" w:ascii="ＭＳ 明朝" w:hAnsi="ＭＳ 明朝" w:eastAsia="ＭＳ 明朝"/>
          <w:b w:val="1"/>
          <w:color w:val="auto"/>
          <w:sz w:val="22"/>
          <w:highlight w:val="none"/>
        </w:rPr>
      </w:pPr>
      <w:r>
        <w:rPr>
          <w:rFonts w:hint="eastAsia" w:ascii="ＭＳ 明朝" w:hAnsi="ＭＳ 明朝" w:eastAsia="ＭＳ 明朝"/>
          <w:highlight w:val="none"/>
        </w:rPr>
        <w:br w:type="page"/>
      </w:r>
    </w:p>
    <w:p>
      <w:pPr>
        <w:pStyle w:val="0"/>
        <w:jc w:val="center"/>
        <w:rPr>
          <w:rFonts w:hint="eastAsia" w:ascii="ＭＳ 明朝" w:hAnsi="ＭＳ 明朝" w:eastAsia="ＭＳ 明朝"/>
          <w:b w:val="1"/>
          <w:color w:val="auto"/>
          <w:sz w:val="22"/>
          <w:highlight w:val="none"/>
        </w:rPr>
      </w:pPr>
      <w:r>
        <w:rPr>
          <w:rFonts w:hint="eastAsia" w:ascii="ＭＳ ゴシック" w:hAnsi="ＭＳ ゴシック" w:eastAsia="ＭＳ ゴシック"/>
          <w:b w:val="0"/>
          <w:color w:val="auto"/>
          <w:sz w:val="22"/>
          <w:highlight w:val="none"/>
        </w:rPr>
        <w:t>（図表</w:t>
      </w:r>
      <w:r>
        <w:rPr>
          <w:rFonts w:hint="eastAsia" w:ascii="ＭＳ ゴシック" w:hAnsi="ＭＳ ゴシック" w:eastAsia="ＭＳ ゴシック"/>
          <w:b w:val="0"/>
          <w:color w:val="auto"/>
          <w:sz w:val="22"/>
          <w:highlight w:val="none"/>
        </w:rPr>
        <w:t>6-3-25</w:t>
      </w:r>
      <w:r>
        <w:rPr>
          <w:rFonts w:hint="eastAsia" w:ascii="ＭＳ ゴシック" w:hAnsi="ＭＳ ゴシック" w:eastAsia="ＭＳ ゴシック"/>
          <w:b w:val="0"/>
          <w:color w:val="auto"/>
          <w:sz w:val="22"/>
          <w:highlight w:val="none"/>
        </w:rPr>
        <w:t>）急性心筋梗塞の医療連携体制図</w:t>
      </w:r>
    </w:p>
    <w:p>
      <w:pPr>
        <w:pStyle w:val="0"/>
        <w:jc w:val="left"/>
        <w:rPr>
          <w:rFonts w:hint="eastAsia" w:ascii="ＭＳ 明朝" w:hAnsi="ＭＳ 明朝" w:eastAsia="ＭＳ 明朝"/>
          <w:b w:val="1"/>
          <w:highlight w:val="none"/>
        </w:rPr>
      </w:pPr>
      <w:r>
        <w:rPr>
          <w:rFonts w:hint="eastAsia"/>
        </w:rPr>
        <mc:AlternateContent>
          <mc:Choice Requires="wpg">
            <w:drawing>
              <wp:anchor simplePos="0" relativeHeight="35" behindDoc="0" locked="0" layoutInCell="1" hidden="0" allowOverlap="1">
                <wp:simplePos x="0" y="0"/>
                <wp:positionH relativeFrom="column">
                  <wp:posOffset>-82550</wp:posOffset>
                </wp:positionH>
                <wp:positionV relativeFrom="paragraph">
                  <wp:posOffset>127635</wp:posOffset>
                </wp:positionV>
                <wp:extent cx="5514340" cy="8527415"/>
                <wp:effectExtent l="17780" t="12065" r="30480" b="39370"/>
                <wp:wrapNone/>
                <wp:docPr id="1121" name="オブジェクト 0"/>
                <a:graphic xmlns:a="http://schemas.openxmlformats.org/drawingml/2006/main">
                  <a:graphicData uri="http://schemas.microsoft.com/office/word/2010/wordprocessingGroup">
                    <wpg:wgp>
                      <wpg:cNvGrpSpPr/>
                      <wpg:grpSpPr>
                        <a:xfrm>
                          <a:off x="0" y="0"/>
                          <a:ext cx="5514340" cy="8527415"/>
                          <a:chOff x="1288" y="1969"/>
                          <a:chExt cx="8684" cy="13429"/>
                        </a:xfrm>
                      </wpg:grpSpPr>
                      <wps:wsp>
                        <wps:cNvPr id="1122" name="オブジェクト 0"/>
                        <wps:cNvSpPr>
                          <a:spLocks noChangeArrowheads="1"/>
                        </wps:cNvSpPr>
                        <wps:spPr>
                          <a:xfrm>
                            <a:off x="8175" y="1969"/>
                            <a:ext cx="1665" cy="54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jc w:val="center"/>
                                <w:rPr>
                                  <w:rFonts w:hint="default"/>
                                  <w:b w:val="1"/>
                                </w:rPr>
                              </w:pPr>
                              <w:r>
                                <w:rPr>
                                  <w:rFonts w:hint="eastAsia"/>
                                  <w:b w:val="1"/>
                                </w:rPr>
                                <w:t>発症予防</w:t>
                              </w:r>
                            </w:p>
                          </w:txbxContent>
                        </wps:txbx>
                        <wps:bodyPr vertOverflow="overflow" horzOverflow="overflow" lIns="74295" tIns="8890" rIns="74295" bIns="8890" upright="1"/>
                      </wps:wsp>
                      <wps:wsp>
                        <wps:cNvPr id="1123" name="オブジェクト 0"/>
                        <wps:cNvSpPr>
                          <a:spLocks noChangeArrowheads="1"/>
                        </wps:cNvSpPr>
                        <wps:spPr>
                          <a:xfrm>
                            <a:off x="4066" y="2435"/>
                            <a:ext cx="3990" cy="975"/>
                          </a:xfrm>
                          <a:prstGeom prst="ellipse">
                            <a:avLst/>
                          </a:prstGeom>
                          <a:gradFill rotWithShape="0">
                            <a:gsLst>
                              <a:gs pos="0">
                                <a:srgbClr val="FFFFFF"/>
                              </a:gs>
                              <a:gs pos="100000">
                                <a:srgbClr val="FBD4B4"/>
                              </a:gs>
                            </a:gsLst>
                            <a:lin ang="5400000" scaled="1"/>
                            <a:tileRect/>
                          </a:gradFill>
                          <a:ln w="12700">
                            <a:solidFill>
                              <a:srgbClr val="FABF8F"/>
                            </a:solidFill>
                          </a:ln>
                          <a:effectLst>
                            <a:outerShdw dist="28398" dir="3806097" algn="ctr" rotWithShape="0">
                              <a:srgbClr val="974706">
                                <a:alpha val="50000"/>
                              </a:srgbClr>
                            </a:outerShdw>
                          </a:effectLst>
                        </wps:spPr>
                        <wps:txbx>
                          <w:txbxContent>
                            <w:p>
                              <w:pPr>
                                <w:pStyle w:val="0"/>
                                <w:spacing w:line="480" w:lineRule="auto"/>
                                <w:jc w:val="center"/>
                                <w:rPr>
                                  <w:rFonts w:hint="default"/>
                                </w:rPr>
                              </w:pPr>
                              <w:r>
                                <w:rPr>
                                  <w:rFonts w:hint="eastAsia"/>
                                </w:rPr>
                                <w:t>急性心筋梗塞の発症</w:t>
                              </w:r>
                            </w:p>
                          </w:txbxContent>
                        </wps:txbx>
                        <wps:bodyPr vertOverflow="overflow" horzOverflow="overflow" wrap="square" lIns="74295" tIns="8890" rIns="74295" bIns="8890" upright="1"/>
                      </wps:wsp>
                      <wps:wsp>
                        <wps:cNvPr id="1124" name="オブジェクト 0"/>
                        <wps:cNvSpPr>
                          <a:spLocks noChangeArrowheads="1"/>
                        </wps:cNvSpPr>
                        <wps:spPr>
                          <a:xfrm>
                            <a:off x="6272" y="3511"/>
                            <a:ext cx="3465" cy="885"/>
                          </a:xfrm>
                          <a:prstGeom prst="rect">
                            <a:avLst/>
                          </a:prstGeom>
                          <a:noFill/>
                          <a:ln>
                            <a:miter/>
                          </a:ln>
                        </wps:spPr>
                        <wps:txbx>
                          <w:txbxContent>
                            <w:p>
                              <w:pPr>
                                <w:pStyle w:val="0"/>
                                <w:rPr>
                                  <w:rFonts w:hint="default"/>
                                  <w:b w:val="1"/>
                                </w:rPr>
                              </w:pPr>
                              <w:r>
                                <w:rPr>
                                  <w:rFonts w:hint="eastAsia"/>
                                  <w:b w:val="1"/>
                                </w:rPr>
                                <w:t>救急要請</w:t>
                              </w:r>
                            </w:p>
                            <w:p>
                              <w:pPr>
                                <w:pStyle w:val="0"/>
                                <w:rPr>
                                  <w:rFonts w:hint="default"/>
                                  <w:b w:val="1"/>
                                </w:rPr>
                              </w:pPr>
                              <w:r>
                                <w:rPr>
                                  <w:rFonts w:hint="eastAsia"/>
                                  <w:b w:val="1"/>
                                </w:rPr>
                                <w:t>病院前救護（ＡＥＤなど）</w:t>
                              </w:r>
                            </w:p>
                          </w:txbxContent>
                        </wps:txbx>
                        <wps:bodyPr vertOverflow="overflow" horzOverflow="overflow" lIns="74295" tIns="8890" rIns="74295" bIns="8890" upright="1"/>
                      </wps:wsp>
                      <wps:wsp>
                        <wps:cNvPr id="1125" name="オブジェクト 0"/>
                        <wps:cNvSpPr>
                          <a:spLocks noChangeArrowheads="1"/>
                        </wps:cNvSpPr>
                        <wps:spPr>
                          <a:xfrm>
                            <a:off x="3149" y="4635"/>
                            <a:ext cx="5835" cy="2600"/>
                          </a:xfrm>
                          <a:prstGeom prst="ellipse">
                            <a:avLst/>
                          </a:prstGeom>
                          <a:gradFill rotWithShape="0">
                            <a:gsLst>
                              <a:gs pos="0">
                                <a:srgbClr val="FFFFFF"/>
                              </a:gs>
                              <a:gs pos="100000">
                                <a:srgbClr val="E5B8B7"/>
                              </a:gs>
                            </a:gsLst>
                            <a:lin ang="5400000" scaled="1"/>
                            <a:tileRect/>
                          </a:gradFill>
                          <a:ln w="12700">
                            <a:solidFill>
                              <a:srgbClr val="D99594"/>
                            </a:solidFill>
                          </a:ln>
                          <a:effectLst>
                            <a:outerShdw dist="28398" dir="3806097" algn="ctr" rotWithShape="0">
                              <a:srgbClr val="622423">
                                <a:alpha val="50000"/>
                              </a:srgbClr>
                            </a:outerShdw>
                          </a:effectLst>
                        </wps:spPr>
                        <wps:txbx>
                          <w:txbxContent>
                            <w:p>
                              <w:pPr>
                                <w:pStyle w:val="0"/>
                                <w:spacing w:line="0" w:lineRule="atLeast"/>
                                <w:ind w:firstLine="453" w:firstLineChars="200"/>
                                <w:rPr>
                                  <w:rFonts w:hint="default"/>
                                </w:rPr>
                              </w:pPr>
                              <w:r>
                                <w:rPr>
                                  <w:rFonts w:hint="eastAsia"/>
                                </w:rPr>
                                <w:t>急性心筋梗塞治療センター</w:t>
                              </w:r>
                            </w:p>
                            <w:p>
                              <w:pPr>
                                <w:pStyle w:val="0"/>
                                <w:spacing w:line="20" w:lineRule="atLeast"/>
                                <w:ind w:firstLine="197" w:firstLineChars="100"/>
                                <w:rPr>
                                  <w:rFonts w:hint="default"/>
                                  <w:sz w:val="18"/>
                                </w:rPr>
                              </w:pPr>
                            </w:p>
                            <w:p>
                              <w:pPr>
                                <w:pStyle w:val="0"/>
                                <w:spacing w:line="20" w:lineRule="atLeast"/>
                                <w:ind w:firstLine="197" w:firstLineChars="100"/>
                                <w:rPr>
                                  <w:rFonts w:hint="default"/>
                                  <w:sz w:val="18"/>
                                </w:rPr>
                              </w:pPr>
                              <w:r>
                                <w:rPr>
                                  <w:rFonts w:hint="eastAsia"/>
                                  <w:sz w:val="18"/>
                                </w:rPr>
                                <w:t>●来院後</w:t>
                              </w:r>
                              <w:r>
                                <w:rPr>
                                  <w:rFonts w:hint="eastAsia" w:ascii="ＭＳ 明朝" w:hAnsi="ＭＳ 明朝" w:eastAsia="ＭＳ 明朝"/>
                                  <w:sz w:val="18"/>
                                </w:rPr>
                                <w:t>90</w:t>
                              </w:r>
                              <w:r>
                                <w:rPr>
                                  <w:rFonts w:hint="eastAsia" w:ascii="ＭＳ 明朝" w:hAnsi="ＭＳ 明朝" w:eastAsia="ＭＳ 明朝"/>
                                  <w:sz w:val="18"/>
                                </w:rPr>
                                <w:t>分</w:t>
                              </w:r>
                              <w:r>
                                <w:rPr>
                                  <w:rFonts w:hint="eastAsia"/>
                                  <w:sz w:val="18"/>
                                </w:rPr>
                                <w:t>以内の専門的治療開始</w:t>
                              </w:r>
                            </w:p>
                            <w:p>
                              <w:pPr>
                                <w:pStyle w:val="0"/>
                                <w:spacing w:line="0" w:lineRule="atLeast"/>
                                <w:ind w:firstLine="197" w:firstLineChars="100"/>
                                <w:rPr>
                                  <w:rFonts w:hint="default"/>
                                  <w:sz w:val="18"/>
                                </w:rPr>
                              </w:pPr>
                              <w:r>
                                <w:rPr>
                                  <w:rFonts w:hint="eastAsia"/>
                                  <w:sz w:val="18"/>
                                </w:rPr>
                                <w:t>●急性期の</w:t>
                              </w:r>
                              <w:r>
                                <w:rPr>
                                  <w:rFonts w:hint="eastAsia" w:ascii="ＭＳ 明朝" w:hAnsi="ＭＳ 明朝"/>
                                  <w:kern w:val="0"/>
                                  <w:sz w:val="18"/>
                                </w:rPr>
                                <w:t>心臓</w:t>
                              </w:r>
                              <w:r>
                                <w:rPr>
                                  <w:rFonts w:hint="eastAsia"/>
                                  <w:sz w:val="18"/>
                                </w:rPr>
                                <w:t>リハビリテーション実施</w:t>
                              </w:r>
                            </w:p>
                            <w:p>
                              <w:pPr>
                                <w:pStyle w:val="0"/>
                                <w:spacing w:line="0" w:lineRule="atLeast"/>
                                <w:ind w:firstLine="197" w:firstLineChars="100"/>
                                <w:rPr>
                                  <w:rFonts w:hint="default"/>
                                  <w:sz w:val="18"/>
                                </w:rPr>
                              </w:pPr>
                              <w:r>
                                <w:rPr>
                                  <w:rFonts w:hint="eastAsia"/>
                                  <w:sz w:val="18"/>
                                </w:rPr>
                                <w:t>●再発予防の定期的専門検査の実施</w:t>
                              </w:r>
                            </w:p>
                          </w:txbxContent>
                        </wps:txbx>
                        <wps:bodyPr vertOverflow="overflow" horzOverflow="overflow" wrap="square" lIns="74295" tIns="8890" rIns="74295" bIns="8890" upright="1"/>
                      </wps:wsp>
                      <wps:wsp>
                        <wps:cNvPr id="1126" name="オブジェクト 0"/>
                        <wps:cNvSpPr>
                          <a:spLocks noChangeArrowheads="1"/>
                        </wps:cNvSpPr>
                        <wps:spPr>
                          <a:xfrm>
                            <a:off x="2033" y="7138"/>
                            <a:ext cx="2235" cy="630"/>
                          </a:xfrm>
                          <a:prstGeom prst="rect">
                            <a:avLst/>
                          </a:prstGeom>
                          <a:noFill/>
                          <a:ln>
                            <a:miter/>
                          </a:ln>
                        </wps:spPr>
                        <wps:txbx>
                          <w:txbxContent>
                            <w:p>
                              <w:pPr>
                                <w:pStyle w:val="0"/>
                                <w:rPr>
                                  <w:rFonts w:hint="default"/>
                                </w:rPr>
                              </w:pPr>
                              <w:r>
                                <w:rPr>
                                  <w:rFonts w:hint="eastAsia"/>
                                </w:rPr>
                                <w:t>退院・通院時の連携</w:t>
                              </w:r>
                            </w:p>
                            <w:p>
                              <w:pPr>
                                <w:pStyle w:val="0"/>
                                <w:rPr>
                                  <w:rFonts w:hint="default"/>
                                </w:rPr>
                              </w:pPr>
                            </w:p>
                          </w:txbxContent>
                        </wps:txbx>
                        <wps:bodyPr vertOverflow="overflow" horzOverflow="overflow" lIns="74295" tIns="8890" rIns="74295" bIns="8890" upright="1"/>
                      </wps:wsp>
                      <wps:wsp>
                        <wps:cNvPr id="1127" name="オブジェクト 0"/>
                        <wps:cNvSpPr>
                          <a:spLocks noChangeArrowheads="1"/>
                        </wps:cNvSpPr>
                        <wps:spPr>
                          <a:xfrm>
                            <a:off x="1351" y="7850"/>
                            <a:ext cx="5157" cy="2225"/>
                          </a:xfrm>
                          <a:prstGeom prst="ellipse">
                            <a:avLst/>
                          </a:prstGeom>
                          <a:gradFill rotWithShape="0">
                            <a:gsLst>
                              <a:gs pos="0">
                                <a:srgbClr val="FFFFFF"/>
                              </a:gs>
                              <a:gs pos="100000">
                                <a:srgbClr val="CCC0D9"/>
                              </a:gs>
                            </a:gsLst>
                            <a:lin ang="5400000" scaled="1"/>
                            <a:tileRect/>
                          </a:gradFill>
                          <a:ln w="12700">
                            <a:solidFill>
                              <a:srgbClr val="B2A1C7"/>
                            </a:solidFill>
                          </a:ln>
                          <a:effectLst>
                            <a:outerShdw dist="28398" dir="3806097" algn="ctr" rotWithShape="0">
                              <a:srgbClr val="3F3151">
                                <a:alpha val="50000"/>
                              </a:srgbClr>
                            </a:outerShdw>
                          </a:effectLst>
                        </wps:spPr>
                        <wps:txbx>
                          <w:txbxContent>
                            <w:p>
                              <w:pPr>
                                <w:pStyle w:val="0"/>
                                <w:spacing w:before="0" w:beforeLines="0" w:beforeAutospacing="0" w:line="0" w:lineRule="atLeast"/>
                                <w:ind w:firstLine="680" w:firstLineChars="300"/>
                                <w:rPr>
                                  <w:rFonts w:hint="default"/>
                                </w:rPr>
                              </w:pPr>
                              <w:r>
                                <w:rPr>
                                  <w:rFonts w:hint="eastAsia"/>
                                </w:rPr>
                                <w:t>身体機能を回復させる</w:t>
                              </w:r>
                            </w:p>
                            <w:p>
                              <w:pPr>
                                <w:pStyle w:val="0"/>
                                <w:spacing w:line="0" w:lineRule="atLeast"/>
                                <w:ind w:firstLine="680" w:firstLineChars="300"/>
                                <w:rPr>
                                  <w:rFonts w:hint="default"/>
                                  <w:sz w:val="18"/>
                                </w:rPr>
                              </w:pPr>
                              <w:r>
                                <w:rPr>
                                  <w:rFonts w:hint="eastAsia"/>
                                </w:rPr>
                                <w:t>心臓リハビリテーション</w:t>
                              </w:r>
                            </w:p>
                            <w:p>
                              <w:pPr>
                                <w:pStyle w:val="0"/>
                                <w:rPr>
                                  <w:rFonts w:hint="default"/>
                                  <w:sz w:val="16"/>
                                </w:rPr>
                              </w:pPr>
                              <w:r>
                                <w:rPr>
                                  <w:rFonts w:hint="eastAsia"/>
                                  <w:sz w:val="18"/>
                                </w:rPr>
                                <w:t>●回復期の心臓リハビリテーション　</w:t>
                              </w:r>
                            </w:p>
                            <w:p>
                              <w:pPr>
                                <w:pStyle w:val="0"/>
                                <w:rPr>
                                  <w:rFonts w:hint="default"/>
                                  <w:sz w:val="18"/>
                                </w:rPr>
                              </w:pPr>
                              <w:r>
                                <w:rPr>
                                  <w:rFonts w:hint="eastAsia"/>
                                  <w:sz w:val="18"/>
                                </w:rPr>
                                <w:t>●再発予防、基礎疾患・危険因子の管理</w:t>
                              </w:r>
                            </w:p>
                            <w:p>
                              <w:pPr>
                                <w:pStyle w:val="0"/>
                                <w:rPr>
                                  <w:rFonts w:hint="default"/>
                                  <w:sz w:val="18"/>
                                </w:rPr>
                              </w:pPr>
                              <w:r>
                                <w:rPr>
                                  <w:rFonts w:hint="eastAsia"/>
                                  <w:sz w:val="18"/>
                                </w:rPr>
                                <w:t>●在宅への復帰支援</w:t>
                              </w:r>
                            </w:p>
                          </w:txbxContent>
                        </wps:txbx>
                        <wps:bodyPr vertOverflow="overflow" horzOverflow="overflow" lIns="74295" tIns="8890" rIns="74295" bIns="8890" upright="1"/>
                      </wps:wsp>
                      <wps:wsp>
                        <wps:cNvPr id="1128" name="オブジェクト 0"/>
                        <wps:cNvSpPr>
                          <a:spLocks noChangeArrowheads="1"/>
                        </wps:cNvSpPr>
                        <wps:spPr>
                          <a:xfrm>
                            <a:off x="6857" y="7887"/>
                            <a:ext cx="2685" cy="945"/>
                          </a:xfrm>
                          <a:prstGeom prst="rect">
                            <a:avLst/>
                          </a:prstGeom>
                          <a:noFill/>
                          <a:ln>
                            <a:miter/>
                          </a:ln>
                        </wps:spPr>
                        <wps:txbx>
                          <w:txbxContent>
                            <w:p>
                              <w:pPr>
                                <w:pStyle w:val="0"/>
                                <w:rPr>
                                  <w:rFonts w:hint="default"/>
                                </w:rPr>
                              </w:pPr>
                              <w:r>
                                <w:rPr>
                                  <w:rFonts w:hint="eastAsia"/>
                                </w:rPr>
                                <w:t>経過観察、合併症併発・</w:t>
                              </w:r>
                            </w:p>
                            <w:p>
                              <w:pPr>
                                <w:pStyle w:val="0"/>
                                <w:rPr>
                                  <w:rFonts w:hint="default"/>
                                </w:rPr>
                              </w:pPr>
                              <w:r>
                                <w:rPr>
                                  <w:rFonts w:hint="eastAsia"/>
                                </w:rPr>
                                <w:t>再発予防時の連携</w:t>
                              </w:r>
                            </w:p>
                          </w:txbxContent>
                        </wps:txbx>
                        <wps:bodyPr vertOverflow="overflow" horzOverflow="overflow" lIns="74295" tIns="8890" rIns="74295" bIns="8890" upright="1"/>
                      </wps:wsp>
                      <wps:wsp>
                        <wps:cNvPr id="1129" name="オブジェクト 0"/>
                        <wps:cNvCnPr/>
                        <wps:spPr>
                          <a:xfrm flipH="1">
                            <a:off x="2315" y="10268"/>
                            <a:ext cx="7654" cy="0"/>
                          </a:xfrm>
                          <a:prstGeom prst="straightConnector1">
                            <a:avLst/>
                          </a:prstGeom>
                          <a:noFill/>
                          <a:ln w="38100" cap="rnd">
                            <a:solidFill>
                              <a:srgbClr val="0070C0"/>
                            </a:solidFill>
                            <a:prstDash val="sysDot"/>
                            <a:miter/>
                          </a:ln>
                        </wps:spPr>
                        <wps:bodyPr/>
                      </wps:wsp>
                      <wps:wsp>
                        <wps:cNvPr id="1130" name="オブジェクト 0"/>
                        <wps:cNvCnPr/>
                        <wps:spPr>
                          <a:xfrm flipV="1">
                            <a:off x="9958" y="10278"/>
                            <a:ext cx="0" cy="5102"/>
                          </a:xfrm>
                          <a:prstGeom prst="straightConnector1">
                            <a:avLst/>
                          </a:prstGeom>
                          <a:noFill/>
                          <a:ln w="38100" cap="rnd">
                            <a:solidFill>
                              <a:srgbClr val="0070C0"/>
                            </a:solidFill>
                            <a:prstDash val="sysDot"/>
                            <a:miter/>
                          </a:ln>
                        </wps:spPr>
                        <wps:bodyPr/>
                      </wps:wsp>
                      <wps:wsp>
                        <wps:cNvPr id="1131" name="オブジェクト 0"/>
                        <wps:cNvCnPr/>
                        <wps:spPr>
                          <a:xfrm>
                            <a:off x="1492" y="10330"/>
                            <a:ext cx="6" cy="5020"/>
                          </a:xfrm>
                          <a:prstGeom prst="straightConnector1">
                            <a:avLst/>
                          </a:prstGeom>
                          <a:noFill/>
                          <a:ln w="38100" cap="rnd">
                            <a:solidFill>
                              <a:srgbClr val="0070C0"/>
                            </a:solidFill>
                            <a:prstDash val="sysDot"/>
                            <a:miter/>
                          </a:ln>
                        </wps:spPr>
                        <wps:bodyPr/>
                      </wps:wsp>
                      <wps:wsp>
                        <wps:cNvPr id="1132" name="オブジェクト 0"/>
                        <wps:cNvSpPr>
                          <a:spLocks noChangeArrowheads="1"/>
                        </wps:cNvSpPr>
                        <wps:spPr>
                          <a:xfrm>
                            <a:off x="2802" y="10348"/>
                            <a:ext cx="6720" cy="2145"/>
                          </a:xfrm>
                          <a:prstGeom prst="ellipse">
                            <a:avLst/>
                          </a:prstGeom>
                          <a:gradFill rotWithShape="0">
                            <a:gsLst>
                              <a:gs pos="0">
                                <a:srgbClr val="FFFFFF"/>
                              </a:gs>
                              <a:gs pos="100000">
                                <a:srgbClr val="D6E3BC"/>
                              </a:gs>
                            </a:gsLst>
                            <a:lin ang="5400000" scaled="1"/>
                            <a:tileRect/>
                          </a:gradFill>
                          <a:ln w="12700">
                            <a:solidFill>
                              <a:srgbClr val="C2D69B"/>
                            </a:solidFill>
                          </a:ln>
                          <a:effectLst>
                            <a:outerShdw dist="28398" dir="3806097" algn="ctr" rotWithShape="0">
                              <a:srgbClr val="4E6128">
                                <a:alpha val="50000"/>
                              </a:srgbClr>
                            </a:outerShdw>
                          </a:effectLst>
                        </wps:spPr>
                        <wps:txbx>
                          <w:txbxContent>
                            <w:p>
                              <w:pPr>
                                <w:pStyle w:val="0"/>
                                <w:spacing w:line="0" w:lineRule="atLeast"/>
                                <w:ind w:firstLine="907" w:firstLineChars="400"/>
                                <w:rPr>
                                  <w:rFonts w:hint="default"/>
                                  <w:color w:val="auto"/>
                                  <w:u w:val="none" w:color="auto"/>
                                </w:rPr>
                              </w:pPr>
                              <w:r>
                                <w:rPr>
                                  <w:rFonts w:hint="eastAsia"/>
                                  <w:color w:val="auto"/>
                                  <w:u w:val="none" w:color="auto"/>
                                </w:rPr>
                                <w:t>再発・重症化予防予防、緩和ケア</w:t>
                              </w:r>
                            </w:p>
                            <w:p>
                              <w:pPr>
                                <w:pStyle w:val="0"/>
                                <w:spacing w:line="0" w:lineRule="atLeast"/>
                                <w:ind w:firstLine="197" w:firstLineChars="100"/>
                                <w:rPr>
                                  <w:rFonts w:hint="default"/>
                                  <w:color w:val="auto"/>
                                  <w:sz w:val="18"/>
                                  <w:u w:val="none" w:color="auto"/>
                                </w:rPr>
                              </w:pPr>
                              <w:r>
                                <w:rPr>
                                  <w:rFonts w:hint="eastAsia"/>
                                  <w:color w:val="auto"/>
                                  <w:sz w:val="18"/>
                                  <w:u w:val="none" w:color="auto"/>
                                </w:rPr>
                                <w:t>●再発予防</w:t>
                              </w:r>
                            </w:p>
                            <w:p>
                              <w:pPr>
                                <w:pStyle w:val="0"/>
                                <w:spacing w:line="0" w:lineRule="atLeast"/>
                                <w:ind w:firstLine="197" w:firstLineChars="100"/>
                                <w:rPr>
                                  <w:rFonts w:hint="default"/>
                                  <w:color w:val="auto"/>
                                  <w:sz w:val="18"/>
                                  <w:u w:val="none" w:color="auto"/>
                                </w:rPr>
                              </w:pPr>
                              <w:r>
                                <w:rPr>
                                  <w:rFonts w:hint="eastAsia"/>
                                  <w:color w:val="auto"/>
                                  <w:sz w:val="18"/>
                                  <w:u w:val="none" w:color="auto"/>
                                </w:rPr>
                                <w:t>●基礎疾患・危険因子の管理</w:t>
                              </w:r>
                            </w:p>
                            <w:p>
                              <w:pPr>
                                <w:pStyle w:val="0"/>
                                <w:spacing w:line="0" w:lineRule="atLeast"/>
                                <w:ind w:firstLine="197" w:firstLineChars="100"/>
                                <w:rPr>
                                  <w:rFonts w:hint="default"/>
                                  <w:color w:val="auto"/>
                                  <w:sz w:val="18"/>
                                  <w:u w:val="none" w:color="auto"/>
                                </w:rPr>
                              </w:pPr>
                              <w:r>
                                <w:rPr>
                                  <w:rFonts w:hint="eastAsia"/>
                                  <w:color w:val="auto"/>
                                  <w:sz w:val="18"/>
                                  <w:u w:val="none" w:color="auto"/>
                                </w:rPr>
                                <w:t>●在宅療養の支援</w:t>
                              </w:r>
                            </w:p>
                            <w:p>
                              <w:pPr>
                                <w:pStyle w:val="0"/>
                                <w:spacing w:line="0" w:lineRule="atLeast"/>
                                <w:ind w:firstLine="197" w:firstLineChars="100"/>
                                <w:rPr>
                                  <w:rFonts w:hint="default"/>
                                  <w:color w:val="auto"/>
                                  <w:sz w:val="18"/>
                                  <w:u w:val="none" w:color="auto"/>
                                </w:rPr>
                              </w:pPr>
                              <w:r>
                                <w:rPr>
                                  <w:rFonts w:hint="eastAsia"/>
                                  <w:color w:val="auto"/>
                                  <w:sz w:val="18"/>
                                  <w:u w:val="none" w:color="auto"/>
                                </w:rPr>
                                <w:t>●口腔管理の支援</w:t>
                              </w:r>
                            </w:p>
                            <w:p>
                              <w:pPr>
                                <w:pStyle w:val="0"/>
                                <w:spacing w:line="0" w:lineRule="atLeast"/>
                                <w:ind w:firstLine="197" w:firstLineChars="100"/>
                                <w:rPr>
                                  <w:rFonts w:hint="default"/>
                                  <w:color w:val="auto"/>
                                  <w:sz w:val="18"/>
                                  <w:u w:val="none" w:color="auto"/>
                                </w:rPr>
                              </w:pPr>
                              <w:r>
                                <w:rPr>
                                  <w:rFonts w:hint="eastAsia"/>
                                  <w:color w:val="auto"/>
                                  <w:sz w:val="18"/>
                                  <w:u w:val="none" w:color="auto"/>
                                </w:rPr>
                                <w:t>●服薬指導の支援</w:t>
                              </w:r>
                            </w:p>
                          </w:txbxContent>
                        </wps:txbx>
                        <wps:bodyPr vertOverflow="overflow" horzOverflow="overflow" wrap="square" lIns="74295" tIns="8890" rIns="74295" bIns="8890" upright="1"/>
                      </wps:wsp>
                      <wps:wsp>
                        <wps:cNvPr id="1133" name="オブジェクト 0"/>
                        <wps:cNvSpPr>
                          <a:spLocks noChangeArrowheads="1"/>
                        </wps:cNvSpPr>
                        <wps:spPr>
                          <a:xfrm>
                            <a:off x="1731" y="13083"/>
                            <a:ext cx="8157" cy="2279"/>
                          </a:xfrm>
                          <a:prstGeom prst="ellipse">
                            <a:avLst/>
                          </a:prstGeom>
                          <a:gradFill rotWithShape="0">
                            <a:gsLst>
                              <a:gs pos="0">
                                <a:sysClr val="window" lastClr="FFFFFF"/>
                              </a:gs>
                              <a:gs pos="100000">
                                <a:srgbClr val="4F81BD">
                                  <a:lumMod val="40000"/>
                                  <a:lumOff val="60000"/>
                                </a:srgbClr>
                              </a:gs>
                            </a:gsLst>
                            <a:lin ang="5400000" scaled="1"/>
                            <a:tileRect/>
                          </a:gradFill>
                          <a:ln w="12700">
                            <a:solidFill>
                              <a:srgbClr val="4F81BD">
                                <a:lumMod val="60000"/>
                                <a:lumOff val="40000"/>
                              </a:srgbClr>
                            </a:solidFill>
                          </a:ln>
                          <a:effectLst>
                            <a:outerShdw dist="28398" dir="3806097" algn="ctr" rotWithShape="0">
                              <a:srgbClr val="4F81BD">
                                <a:lumMod val="50000"/>
                                <a:alpha val="50000"/>
                              </a:srgbClr>
                            </a:outerShdw>
                          </a:effectLst>
                        </wps:spPr>
                        <wps:bodyPr/>
                      </wps:wsp>
                      <wps:wsp>
                        <wps:cNvPr id="1134" name="オブジェクト 0"/>
                        <wps:cNvCnPr/>
                        <wps:spPr>
                          <a:xfrm>
                            <a:off x="6302" y="13556"/>
                            <a:ext cx="555" cy="195"/>
                          </a:xfrm>
                          <a:prstGeom prst="straightConnector1">
                            <a:avLst/>
                          </a:prstGeom>
                          <a:noFill/>
                          <a:ln w="12700">
                            <a:solidFill>
                              <a:sysClr val="windowText" lastClr="000000">
                                <a:lumMod val="60000"/>
                                <a:lumOff val="40000"/>
                              </a:sysClr>
                            </a:solidFill>
                            <a:miter/>
                          </a:ln>
                        </wps:spPr>
                        <wps:bodyPr/>
                      </wps:wsp>
                      <wps:wsp>
                        <wps:cNvPr id="1135" name="オブジェクト 0"/>
                        <wps:cNvSpPr>
                          <a:spLocks noChangeArrowheads="1"/>
                        </wps:cNvSpPr>
                        <wps:spPr>
                          <a:xfrm>
                            <a:off x="6800" y="13556"/>
                            <a:ext cx="2518" cy="435"/>
                          </a:xfrm>
                          <a:prstGeom prst="rect">
                            <a:avLst/>
                          </a:prstGeom>
                          <a:noFill/>
                          <a:ln>
                            <a:miter/>
                          </a:ln>
                        </wps:spPr>
                        <wps:txbx>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介護サービス事業者</w:t>
                              </w:r>
                            </w:p>
                          </w:txbxContent>
                        </wps:txbx>
                        <wps:bodyPr vertOverflow="overflow" horzOverflow="overflow" lIns="74295" tIns="8890" rIns="74295" bIns="8890" upright="1"/>
                      </wps:wsp>
                      <wps:wsp>
                        <wps:cNvPr id="1136" name="オブジェクト 0"/>
                        <wps:cNvCnPr/>
                        <wps:spPr>
                          <a:xfrm>
                            <a:off x="5764" y="13613"/>
                            <a:ext cx="605" cy="626"/>
                          </a:xfrm>
                          <a:prstGeom prst="straightConnector1">
                            <a:avLst/>
                          </a:prstGeom>
                          <a:noFill/>
                          <a:ln w="12700">
                            <a:solidFill>
                              <a:sysClr val="windowText" lastClr="000000">
                                <a:lumMod val="60000"/>
                                <a:lumOff val="40000"/>
                              </a:sysClr>
                            </a:solidFill>
                            <a:miter/>
                          </a:ln>
                        </wps:spPr>
                        <wps:bodyPr/>
                      </wps:wsp>
                      <wps:wsp>
                        <wps:cNvPr id="1137" name="オブジェクト 0"/>
                        <wps:cNvCnPr/>
                        <wps:spPr>
                          <a:xfrm flipH="1">
                            <a:off x="3678" y="13437"/>
                            <a:ext cx="701" cy="313"/>
                          </a:xfrm>
                          <a:prstGeom prst="straightConnector1">
                            <a:avLst/>
                          </a:prstGeom>
                          <a:noFill/>
                          <a:ln w="12700">
                            <a:solidFill>
                              <a:sysClr val="windowText" lastClr="000000">
                                <a:lumMod val="60000"/>
                                <a:lumOff val="40000"/>
                              </a:sysClr>
                            </a:solidFill>
                            <a:miter/>
                          </a:ln>
                        </wps:spPr>
                        <wps:bodyPr/>
                      </wps:wsp>
                      <wps:wsp>
                        <wps:cNvPr id="1138" name="オブジェクト 0"/>
                        <wps:cNvCnPr/>
                        <wps:spPr>
                          <a:xfrm flipH="1">
                            <a:off x="4647" y="13613"/>
                            <a:ext cx="410" cy="630"/>
                          </a:xfrm>
                          <a:prstGeom prst="straightConnector1">
                            <a:avLst/>
                          </a:prstGeom>
                          <a:noFill/>
                          <a:ln w="12700">
                            <a:solidFill>
                              <a:sysClr val="windowText" lastClr="000000">
                                <a:lumMod val="60000"/>
                                <a:lumOff val="40000"/>
                              </a:sysClr>
                            </a:solidFill>
                            <a:miter/>
                          </a:ln>
                        </wps:spPr>
                        <wps:bodyPr/>
                      </wps:wsp>
                      <wps:wsp>
                        <wps:cNvPr id="1139" name="オブジェクト 0"/>
                        <wps:cNvSpPr>
                          <a:spLocks noChangeArrowheads="1"/>
                        </wps:cNvSpPr>
                        <wps:spPr>
                          <a:xfrm>
                            <a:off x="2052" y="13548"/>
                            <a:ext cx="1930" cy="435"/>
                          </a:xfrm>
                          <a:prstGeom prst="rect">
                            <a:avLst/>
                          </a:prstGeom>
                          <a:noFill/>
                          <a:ln>
                            <a:miter/>
                          </a:ln>
                        </wps:spPr>
                        <wps:txbx>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かかりつけ薬局</w:t>
                              </w:r>
                            </w:p>
                          </w:txbxContent>
                        </wps:txbx>
                        <wps:bodyPr vertOverflow="overflow" horzOverflow="overflow" lIns="74295" tIns="8890" rIns="74295" bIns="8890" upright="1"/>
                      </wps:wsp>
                      <wps:wsp>
                        <wps:cNvPr id="1140" name="オブジェクト 0"/>
                        <wps:cNvSpPr>
                          <a:spLocks noChangeArrowheads="1"/>
                        </wps:cNvSpPr>
                        <wps:spPr>
                          <a:xfrm>
                            <a:off x="1878" y="13849"/>
                            <a:ext cx="1605" cy="600"/>
                          </a:xfrm>
                          <a:prstGeom prst="rect">
                            <a:avLst/>
                          </a:prstGeom>
                          <a:noFill/>
                          <a:ln>
                            <a:miter/>
                          </a:ln>
                        </wps:spPr>
                        <wps:txbx>
                          <w:txbxContent>
                            <w:p>
                              <w:pPr>
                                <w:pStyle w:val="0"/>
                                <w:snapToGrid w:val="0"/>
                                <w:rPr>
                                  <w:rFonts w:hint="default"/>
                                  <w:color w:val="auto"/>
                                  <w:u w:val="none" w:color="auto"/>
                                </w:rPr>
                              </w:pPr>
                              <w:r>
                                <w:rPr>
                                  <w:rFonts w:hint="default"/>
                                  <w:color w:val="auto"/>
                                  <w:sz w:val="18"/>
                                  <w:u w:val="none" w:color="auto"/>
                                </w:rPr>
                                <w:t>訪問薬剤</w:t>
                              </w:r>
                            </w:p>
                            <w:p>
                              <w:pPr>
                                <w:pStyle w:val="0"/>
                                <w:snapToGrid w:val="0"/>
                                <w:rPr>
                                  <w:rFonts w:hint="default"/>
                                  <w:color w:val="auto"/>
                                  <w:u w:val="none" w:color="auto"/>
                                </w:rPr>
                              </w:pPr>
                              <w:r>
                                <w:rPr>
                                  <w:rFonts w:hint="default"/>
                                  <w:color w:val="auto"/>
                                  <w:sz w:val="18"/>
                                  <w:u w:val="none" w:color="auto"/>
                                </w:rPr>
                                <w:t>服薬管理・指導</w:t>
                              </w:r>
                            </w:p>
                          </w:txbxContent>
                        </wps:txbx>
                        <wps:bodyPr vertOverflow="overflow" horzOverflow="overflow" lIns="74295" tIns="8890" rIns="74295" bIns="8890" upright="1"/>
                      </wps:wsp>
                      <wps:wsp>
                        <wps:cNvPr id="1141" name="オブジェクト 0"/>
                        <wps:cNvSpPr>
                          <a:spLocks noChangeArrowheads="1"/>
                        </wps:cNvSpPr>
                        <wps:spPr>
                          <a:xfrm>
                            <a:off x="7545" y="13848"/>
                            <a:ext cx="1475" cy="465"/>
                          </a:xfrm>
                          <a:prstGeom prst="rect">
                            <a:avLst/>
                          </a:prstGeom>
                          <a:noFill/>
                          <a:ln>
                            <a:miter/>
                          </a:ln>
                        </wps:spPr>
                        <wps:txbx>
                          <w:txbxContent>
                            <w:p>
                              <w:pPr>
                                <w:pStyle w:val="0"/>
                                <w:rPr>
                                  <w:rFonts w:hint="default"/>
                                  <w:color w:val="auto"/>
                                  <w:sz w:val="18"/>
                                  <w:u w:val="none" w:color="auto"/>
                                </w:rPr>
                              </w:pPr>
                              <w:r>
                                <w:rPr>
                                  <w:rFonts w:hint="eastAsia"/>
                                  <w:color w:val="auto"/>
                                  <w:sz w:val="18"/>
                                  <w:u w:val="none" w:color="auto"/>
                                </w:rPr>
                                <w:t>訪問介護など</w:t>
                              </w:r>
                            </w:p>
                          </w:txbxContent>
                        </wps:txbx>
                        <wps:bodyPr vertOverflow="overflow" horzOverflow="overflow" lIns="74295" tIns="8890" rIns="74295" bIns="8890" upright="1"/>
                      </wps:wsp>
                      <wps:wsp>
                        <wps:cNvPr id="1142" name="オブジェクト 0"/>
                        <wps:cNvSpPr>
                          <a:spLocks noChangeArrowheads="1"/>
                        </wps:cNvSpPr>
                        <wps:spPr>
                          <a:xfrm>
                            <a:off x="5762" y="14239"/>
                            <a:ext cx="2690" cy="435"/>
                          </a:xfrm>
                          <a:prstGeom prst="rect">
                            <a:avLst/>
                          </a:prstGeom>
                          <a:noFill/>
                          <a:ln>
                            <a:miter/>
                          </a:ln>
                        </wps:spPr>
                        <wps:txbx>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訪問看護ステーション</w:t>
                              </w:r>
                            </w:p>
                          </w:txbxContent>
                        </wps:txbx>
                        <wps:bodyPr vertOverflow="overflow" horzOverflow="overflow" lIns="74295" tIns="8890" rIns="74295" bIns="8890" upright="1"/>
                      </wps:wsp>
                      <wps:wsp>
                        <wps:cNvPr id="1143" name="オブジェクト 0"/>
                        <wps:cNvSpPr>
                          <a:spLocks noChangeArrowheads="1"/>
                        </wps:cNvSpPr>
                        <wps:spPr>
                          <a:xfrm>
                            <a:off x="3085" y="14266"/>
                            <a:ext cx="2655" cy="555"/>
                          </a:xfrm>
                          <a:prstGeom prst="rect">
                            <a:avLst/>
                          </a:prstGeom>
                          <a:noFill/>
                          <a:ln>
                            <a:miter/>
                          </a:ln>
                        </wps:spPr>
                        <wps:txbx>
                          <w:txbxContent>
                            <w:p>
                              <w:pPr>
                                <w:pStyle w:val="0"/>
                                <w:snapToGrid w:val="0"/>
                                <w:jc w:val="center"/>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かかりつけ医など</w:t>
                              </w:r>
                            </w:p>
                            <w:p>
                              <w:pPr>
                                <w:pStyle w:val="0"/>
                                <w:snapToGrid w:val="0"/>
                                <w:rPr>
                                  <w:rFonts w:hint="default"/>
                                  <w:color w:val="auto"/>
                                  <w:u w:val="none" w:color="auto"/>
                                </w:rPr>
                              </w:pPr>
                              <w:r>
                                <w:rPr>
                                  <w:rFonts w:hint="default"/>
                                  <w:color w:val="auto"/>
                                  <w:sz w:val="16"/>
                                  <w:u w:val="none" w:color="auto"/>
                                </w:rPr>
                                <w:t>（在宅療養支援病院・診療所）</w:t>
                              </w:r>
                            </w:p>
                          </w:txbxContent>
                        </wps:txbx>
                        <wps:bodyPr vertOverflow="overflow" horzOverflow="overflow" wrap="square" lIns="74295" tIns="8890" rIns="74295" bIns="8890" upright="1"/>
                      </wps:wsp>
                      <wps:wsp>
                        <wps:cNvPr id="1144" name="オブジェクト 0"/>
                        <wps:cNvSpPr>
                          <a:spLocks noChangeArrowheads="1"/>
                        </wps:cNvSpPr>
                        <wps:spPr>
                          <a:xfrm>
                            <a:off x="6080" y="14576"/>
                            <a:ext cx="2710" cy="525"/>
                          </a:xfrm>
                          <a:prstGeom prst="rect">
                            <a:avLst/>
                          </a:prstGeom>
                          <a:noFill/>
                          <a:ln>
                            <a:miter/>
                          </a:ln>
                        </wps:spPr>
                        <wps:txbx>
                          <w:txbxContent>
                            <w:p>
                              <w:pPr>
                                <w:pStyle w:val="0"/>
                                <w:snapToGrid w:val="0"/>
                                <w:rPr>
                                  <w:rFonts w:hint="default"/>
                                  <w:color w:val="auto"/>
                                  <w:u w:val="none" w:color="auto"/>
                                </w:rPr>
                              </w:pPr>
                              <w:r>
                                <w:rPr>
                                  <w:rFonts w:hint="default"/>
                                  <w:color w:val="auto"/>
                                  <w:sz w:val="18"/>
                                  <w:u w:val="none" w:color="auto"/>
                                </w:rPr>
                                <w:t>訪問看護・訪問リハビリ</w:t>
                              </w:r>
                            </w:p>
                          </w:txbxContent>
                        </wps:txbx>
                        <wps:bodyPr vertOverflow="overflow" horzOverflow="overflow" lIns="74295" tIns="8890" rIns="74295" bIns="8890" upright="1"/>
                      </wps:wsp>
                      <wps:wsp>
                        <wps:cNvPr id="1145" name="オブジェクト 0"/>
                        <wps:cNvSpPr>
                          <a:spLocks noChangeArrowheads="1"/>
                        </wps:cNvSpPr>
                        <wps:spPr>
                          <a:xfrm>
                            <a:off x="3121" y="14799"/>
                            <a:ext cx="3240" cy="570"/>
                          </a:xfrm>
                          <a:prstGeom prst="rect">
                            <a:avLst/>
                          </a:prstGeom>
                          <a:noFill/>
                          <a:ln>
                            <a:miter/>
                          </a:ln>
                        </wps:spPr>
                        <wps:txbx>
                          <w:txbxContent>
                            <w:p>
                              <w:pPr>
                                <w:pStyle w:val="0"/>
                                <w:snapToGrid w:val="0"/>
                                <w:ind w:firstLine="0"/>
                                <w:rPr>
                                  <w:rFonts w:hint="default"/>
                                  <w:color w:val="auto"/>
                                  <w:u w:val="none" w:color="auto"/>
                                </w:rPr>
                              </w:pPr>
                              <w:r>
                                <w:rPr>
                                  <w:rFonts w:hint="default"/>
                                  <w:color w:val="auto"/>
                                  <w:sz w:val="18"/>
                                  <w:u w:val="none" w:color="auto"/>
                                </w:rPr>
                                <w:t>療養指導・通所、外来リハビリ</w:t>
                              </w:r>
                            </w:p>
                          </w:txbxContent>
                        </wps:txbx>
                        <wps:bodyPr vertOverflow="overflow" horzOverflow="overflow" lIns="74295" tIns="8890" rIns="74295" bIns="8890" upright="1"/>
                      </wps:wsp>
                      <wps:wsp>
                        <wps:cNvPr id="1146" name="オブジェクト 0"/>
                        <wps:cNvCnPr/>
                        <wps:spPr>
                          <a:xfrm>
                            <a:off x="1498" y="15398"/>
                            <a:ext cx="8474" cy="0"/>
                          </a:xfrm>
                          <a:prstGeom prst="straightConnector1">
                            <a:avLst/>
                          </a:prstGeom>
                          <a:noFill/>
                          <a:ln w="38100" cap="rnd">
                            <a:solidFill>
                              <a:srgbClr val="0070C0"/>
                            </a:solidFill>
                            <a:prstDash val="sysDot"/>
                            <a:miter/>
                          </a:ln>
                        </wps:spPr>
                        <wps:bodyPr/>
                      </wps:wsp>
                      <wps:wsp>
                        <wps:cNvPr id="1147" name="オブジェクト 0"/>
                        <wps:cNvCnPr/>
                        <wps:spPr>
                          <a:xfrm flipH="1">
                            <a:off x="7086" y="2254"/>
                            <a:ext cx="1088" cy="525"/>
                          </a:xfrm>
                          <a:prstGeom prst="straightConnector1">
                            <a:avLst/>
                          </a:prstGeom>
                          <a:noFill/>
                          <a:ln w="38100">
                            <a:solidFill>
                              <a:srgbClr val="F79646"/>
                            </a:solidFill>
                            <a:prstDash val="dash"/>
                            <a:miter/>
                            <a:tailEnd type="triangle"/>
                          </a:ln>
                        </wps:spPr>
                        <wps:bodyPr/>
                      </wps:wsp>
                      <wps:wsp>
                        <wps:cNvPr id="1148" name="オブジェクト 0"/>
                        <wps:cNvSpPr>
                          <a:spLocks noChangeArrowheads="1"/>
                        </wps:cNvSpPr>
                        <wps:spPr>
                          <a:xfrm>
                            <a:off x="5732" y="3343"/>
                            <a:ext cx="540" cy="1194"/>
                          </a:xfrm>
                          <a:prstGeom prst="downArrow">
                            <a:avLst>
                              <a:gd name="adj1" fmla="val 50000"/>
                              <a:gd name="adj2" fmla="val 93750"/>
                            </a:avLst>
                          </a:prstGeom>
                          <a:gradFill rotWithShape="0">
                            <a:gsLst>
                              <a:gs pos="0">
                                <a:srgbClr val="FFFFFF"/>
                              </a:gs>
                              <a:gs pos="100000">
                                <a:srgbClr val="CCC0D9"/>
                              </a:gs>
                            </a:gsLst>
                            <a:lin ang="5400000" scaled="1"/>
                            <a:tileRect/>
                          </a:gradFill>
                          <a:ln w="12700">
                            <a:solidFill>
                              <a:srgbClr val="B2A1C7"/>
                            </a:solidFill>
                            <a:miter/>
                          </a:ln>
                          <a:effectLst>
                            <a:outerShdw dist="28398" dir="3806097" algn="ctr" rotWithShape="0">
                              <a:srgbClr val="3F3151">
                                <a:alpha val="50000"/>
                              </a:srgbClr>
                            </a:outerShdw>
                          </a:effectLst>
                        </wps:spPr>
                        <wps:bodyPr/>
                      </wps:wsp>
                      <wps:wsp>
                        <wps:cNvPr id="1149" name="オブジェクト 0"/>
                        <wps:cNvSpPr>
                          <a:spLocks noChangeArrowheads="1"/>
                        </wps:cNvSpPr>
                        <wps:spPr>
                          <a:xfrm>
                            <a:off x="4562" y="3595"/>
                            <a:ext cx="990" cy="48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rPr>
                                  <w:rFonts w:hint="default"/>
                                  <w:b w:val="1"/>
                                </w:rPr>
                              </w:pPr>
                              <w:r>
                                <w:rPr>
                                  <w:rFonts w:hint="eastAsia"/>
                                  <w:b w:val="1"/>
                                </w:rPr>
                                <w:t>救　護</w:t>
                              </w:r>
                            </w:p>
                          </w:txbxContent>
                        </wps:txbx>
                        <wps:bodyPr vertOverflow="overflow" horzOverflow="overflow" lIns="74295" tIns="8890" rIns="74295" bIns="8890" upright="1"/>
                      </wps:wsp>
                      <wps:wsp>
                        <wps:cNvPr id="1150" name="オブジェクト 0"/>
                        <wps:cNvSpPr>
                          <a:spLocks noChangeArrowheads="1"/>
                        </wps:cNvSpPr>
                        <wps:spPr>
                          <a:xfrm>
                            <a:off x="1994" y="5000"/>
                            <a:ext cx="1500" cy="48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rPr>
                                  <w:rFonts w:hint="default"/>
                                  <w:b w:val="1"/>
                                </w:rPr>
                              </w:pPr>
                              <w:r>
                                <w:rPr>
                                  <w:rFonts w:hint="eastAsia"/>
                                  <w:b w:val="1"/>
                                </w:rPr>
                                <w:t>急　性　期</w:t>
                              </w:r>
                            </w:p>
                          </w:txbxContent>
                        </wps:txbx>
                        <wps:bodyPr vertOverflow="overflow" horzOverflow="overflow" lIns="74295" tIns="8890" rIns="74295" bIns="8890" upright="1"/>
                      </wps:wsp>
                      <wps:wsp>
                        <wps:cNvPr id="1151" name="オブジェクト 0"/>
                        <wps:cNvSpPr>
                          <a:spLocks noChangeArrowheads="1"/>
                        </wps:cNvSpPr>
                        <wps:spPr>
                          <a:xfrm>
                            <a:off x="5228" y="12427"/>
                            <a:ext cx="315" cy="627"/>
                          </a:xfrm>
                          <a:prstGeom prst="downArrow">
                            <a:avLst>
                              <a:gd name="adj1" fmla="val 50000"/>
                              <a:gd name="adj2" fmla="val 147380"/>
                            </a:avLst>
                          </a:prstGeom>
                          <a:gradFill rotWithShape="0">
                            <a:gsLst>
                              <a:gs pos="0">
                                <a:srgbClr val="FFFFFF"/>
                              </a:gs>
                              <a:gs pos="100000">
                                <a:srgbClr val="CCC0D9"/>
                              </a:gs>
                            </a:gsLst>
                            <a:lin ang="5400000" scaled="1"/>
                            <a:tileRect/>
                          </a:gradFill>
                          <a:ln w="12700">
                            <a:solidFill>
                              <a:srgbClr val="B2A1C7"/>
                            </a:solidFill>
                            <a:miter/>
                          </a:ln>
                          <a:effectLst>
                            <a:outerShdw dist="28398" dir="3806097" algn="ctr" rotWithShape="0">
                              <a:srgbClr val="3F3151">
                                <a:alpha val="50000"/>
                              </a:srgbClr>
                            </a:outerShdw>
                          </a:effectLst>
                        </wps:spPr>
                        <wps:bodyPr/>
                      </wps:wsp>
                      <wps:wsp>
                        <wps:cNvPr id="1152" name="オブジェクト 0"/>
                        <wps:cNvSpPr>
                          <a:spLocks noChangeArrowheads="1"/>
                        </wps:cNvSpPr>
                        <wps:spPr>
                          <a:xfrm>
                            <a:off x="2443" y="12427"/>
                            <a:ext cx="2730" cy="855"/>
                          </a:xfrm>
                          <a:prstGeom prst="rect">
                            <a:avLst/>
                          </a:prstGeom>
                          <a:noFill/>
                          <a:ln>
                            <a:miter/>
                          </a:ln>
                        </wps:spPr>
                        <wps:txbx>
                          <w:txbxContent>
                            <w:p>
                              <w:pPr>
                                <w:pStyle w:val="0"/>
                                <w:spacing w:line="280" w:lineRule="exact"/>
                                <w:ind w:firstLine="227" w:firstLineChars="100"/>
                                <w:rPr>
                                  <w:rFonts w:hint="default"/>
                                </w:rPr>
                              </w:pPr>
                              <w:r>
                                <w:rPr>
                                  <w:rFonts w:hint="eastAsia"/>
                                </w:rPr>
                                <w:t>退院・通院時の連携</w:t>
                              </w:r>
                            </w:p>
                            <w:p>
                              <w:pPr>
                                <w:pStyle w:val="0"/>
                                <w:spacing w:line="280" w:lineRule="exact"/>
                                <w:ind w:firstLine="454" w:firstLineChars="200"/>
                                <w:rPr>
                                  <w:rFonts w:hint="default"/>
                                </w:rPr>
                              </w:pPr>
                              <w:r>
                                <w:rPr>
                                  <w:rFonts w:hint="eastAsia"/>
                                </w:rPr>
                                <w:t>在宅療養支援</w:t>
                              </w: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txbxContent>
                        </wps:txbx>
                        <wps:bodyPr vertOverflow="overflow" horzOverflow="overflow" lIns="74295" tIns="8890" rIns="74295" bIns="8890" upright="1"/>
                      </wps:wsp>
                      <wps:wsp>
                        <wps:cNvPr id="1153" name="オブジェクト 0"/>
                        <wps:cNvSpPr>
                          <a:spLocks noChangeArrowheads="1"/>
                        </wps:cNvSpPr>
                        <wps:spPr>
                          <a:xfrm>
                            <a:off x="4420" y="13216"/>
                            <a:ext cx="1880" cy="495"/>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snapToGrid w:val="0"/>
                                <w:rPr>
                                  <w:rFonts w:hint="default"/>
                                  <w:color w:val="auto"/>
                                  <w:u w:val="none" w:color="auto"/>
                                </w:rPr>
                              </w:pPr>
                              <w:r>
                                <w:rPr>
                                  <w:rFonts w:hint="default"/>
                                  <w:b w:val="1"/>
                                  <w:color w:val="auto"/>
                                  <w:u w:val="none" w:color="auto"/>
                                </w:rPr>
                                <w:t>在　宅　療　養</w:t>
                              </w:r>
                            </w:p>
                          </w:txbxContent>
                        </wps:txbx>
                        <wps:bodyPr vertOverflow="overflow" horzOverflow="overflow" lIns="74295" tIns="8890" rIns="74295" bIns="8890" upright="1"/>
                      </wps:wsp>
                      <wps:wsp>
                        <wps:cNvPr id="1154" name="オブジェクト 0"/>
                        <wps:cNvSpPr>
                          <a:spLocks noChangeArrowheads="1"/>
                        </wps:cNvSpPr>
                        <wps:spPr>
                          <a:xfrm>
                            <a:off x="1394" y="7731"/>
                            <a:ext cx="1361" cy="48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jc w:val="center"/>
                                <w:rPr>
                                  <w:rFonts w:hint="default"/>
                                  <w:b w:val="1"/>
                                </w:rPr>
                              </w:pPr>
                              <w:r>
                                <w:rPr>
                                  <w:rFonts w:hint="eastAsia"/>
                                  <w:b w:val="1"/>
                                </w:rPr>
                                <w:t>回復期</w:t>
                              </w:r>
                            </w:p>
                          </w:txbxContent>
                        </wps:txbx>
                        <wps:bodyPr vertOverflow="overflow" horzOverflow="overflow" wrap="square" lIns="74295" tIns="8890" rIns="74295" bIns="8890" upright="1"/>
                      </wps:wsp>
                      <wps:wsp>
                        <wps:cNvPr id="1155" name="オブジェクト 0"/>
                        <wps:cNvSpPr>
                          <a:spLocks noChangeArrowheads="1"/>
                        </wps:cNvSpPr>
                        <wps:spPr>
                          <a:xfrm>
                            <a:off x="1288" y="10075"/>
                            <a:ext cx="1515" cy="51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jc w:val="center"/>
                                <w:rPr>
                                  <w:rFonts w:hint="default"/>
                                  <w:b w:val="1"/>
                                  <w:color w:val="auto"/>
                                  <w:u w:val="none" w:color="auto"/>
                                </w:rPr>
                              </w:pPr>
                              <w:r>
                                <w:rPr>
                                  <w:rFonts w:hint="eastAsia"/>
                                  <w:b w:val="1"/>
                                  <w:color w:val="auto"/>
                                  <w:u w:val="none" w:color="auto"/>
                                </w:rPr>
                                <w:t>維　持　期</w:t>
                              </w:r>
                            </w:p>
                          </w:txbxContent>
                        </wps:txbx>
                        <wps:bodyPr vertOverflow="overflow" horzOverflow="overflow" lIns="74295" tIns="8890" rIns="74295" bIns="8890" upright="1"/>
                      </wps:wsp>
                      <wps:wsp>
                        <wps:cNvPr id="1156" name="オブジェクト 0"/>
                        <wps:cNvSpPr>
                          <a:spLocks noChangeArrowheads="1"/>
                        </wps:cNvSpPr>
                        <wps:spPr>
                          <a:xfrm>
                            <a:off x="4174" y="6930"/>
                            <a:ext cx="285" cy="1077"/>
                          </a:xfrm>
                          <a:prstGeom prst="downArrow">
                            <a:avLst>
                              <a:gd name="adj1" fmla="val 50000"/>
                              <a:gd name="adj2" fmla="val 147380"/>
                            </a:avLst>
                          </a:prstGeom>
                          <a:gradFill rotWithShape="0">
                            <a:gsLst>
                              <a:gs pos="0">
                                <a:srgbClr val="FFFFFF"/>
                              </a:gs>
                              <a:gs pos="100000">
                                <a:srgbClr val="CCC0D9"/>
                              </a:gs>
                            </a:gsLst>
                            <a:lin ang="5400000" scaled="1"/>
                            <a:tileRect/>
                          </a:gradFill>
                          <a:ln w="12700">
                            <a:solidFill>
                              <a:srgbClr val="B2A1C7"/>
                            </a:solidFill>
                            <a:miter/>
                          </a:ln>
                          <a:effectLst>
                            <a:outerShdw dist="28398" dir="3806097" algn="ctr" rotWithShape="0">
                              <a:srgbClr val="3F3151">
                                <a:alpha val="50000"/>
                              </a:srgbClr>
                            </a:outerShdw>
                          </a:effectLst>
                        </wps:spPr>
                        <wps:bodyPr/>
                      </wps:wsp>
                      <wps:wsp>
                        <wps:cNvPr id="1157" name="オブジェクト 0"/>
                        <wps:cNvSpPr>
                          <a:spLocks noChangeArrowheads="1"/>
                        </wps:cNvSpPr>
                        <wps:spPr>
                          <a:xfrm>
                            <a:off x="3734" y="10131"/>
                            <a:ext cx="315" cy="627"/>
                          </a:xfrm>
                          <a:prstGeom prst="downArrow">
                            <a:avLst>
                              <a:gd name="adj1" fmla="val 50000"/>
                              <a:gd name="adj2" fmla="val 147380"/>
                            </a:avLst>
                          </a:prstGeom>
                          <a:gradFill rotWithShape="0">
                            <a:gsLst>
                              <a:gs pos="0">
                                <a:srgbClr val="FFFFFF"/>
                              </a:gs>
                              <a:gs pos="100000">
                                <a:srgbClr val="CCC0D9"/>
                              </a:gs>
                            </a:gsLst>
                            <a:lin ang="5400000" scaled="1"/>
                            <a:tileRect/>
                          </a:gradFill>
                          <a:ln w="12700">
                            <a:solidFill>
                              <a:srgbClr val="B2A1C7"/>
                            </a:solidFill>
                            <a:miter/>
                          </a:ln>
                          <a:effectLst>
                            <a:outerShdw dist="28398" dir="3806097" algn="ctr" rotWithShape="0">
                              <a:srgbClr val="3F3151">
                                <a:alpha val="50000"/>
                              </a:srgbClr>
                            </a:outerShdw>
                          </a:effectLst>
                        </wps:spPr>
                        <wps:bodyPr/>
                      </wps:wsp>
                      <wps:wsp>
                        <wps:cNvPr id="1158" name="オブジェクト 0"/>
                        <wps:cNvSpPr>
                          <a:spLocks noChangeArrowheads="1"/>
                        </wps:cNvSpPr>
                        <wps:spPr>
                          <a:xfrm>
                            <a:off x="6618" y="7138"/>
                            <a:ext cx="283" cy="3336"/>
                          </a:xfrm>
                          <a:prstGeom prst="downArrow">
                            <a:avLst>
                              <a:gd name="adj1" fmla="val 50000"/>
                              <a:gd name="adj2" fmla="val 185950"/>
                            </a:avLst>
                          </a:prstGeom>
                          <a:gradFill rotWithShape="0">
                            <a:gsLst>
                              <a:gs pos="0">
                                <a:srgbClr val="FFFFFF"/>
                              </a:gs>
                              <a:gs pos="100000">
                                <a:srgbClr val="CCC0D9"/>
                              </a:gs>
                            </a:gsLst>
                            <a:lin ang="5400000" scaled="1"/>
                            <a:tileRect/>
                          </a:gradFill>
                          <a:ln w="12700">
                            <a:solidFill>
                              <a:srgbClr val="B2A1C7"/>
                            </a:solidFill>
                            <a:miter/>
                          </a:ln>
                          <a:effectLst>
                            <a:outerShdw dist="28398" dir="3806097" algn="ctr" rotWithShape="0">
                              <a:srgbClr val="3F3151">
                                <a:alpha val="50000"/>
                              </a:srgbClr>
                            </a:outerShdw>
                          </a:effectLst>
                        </wps:spPr>
                        <wps:bodyPr/>
                      </wps:wsp>
                    </wpg:wgp>
                  </a:graphicData>
                </a:graphic>
              </wp:anchor>
            </w:drawing>
          </mc:Choice>
          <mc:Fallback>
            <w:pict>
              <v:group id="オブジェクト 0" style="margin-top:10.050000000000001pt;mso-position-vertical-relative:text;mso-position-horizontal-relative:text;position:absolute;height:671.45pt;width:434.2pt;margin-left:-6.5pt;z-index:35;" coordsize="8684,13429" coordorigin="1288,1969" o:spid="_x0000_s1121" o:allowincell="t" o:allowoverlap="t">
                <v:rect id="オブジェクト 0" style="height:540;width:1665;top:1969;left:8175;position:absolute;" o:spid="_x0000_s1122"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jc w:val="center"/>
                          <w:rPr>
                            <w:rFonts w:hint="default"/>
                            <w:b w:val="1"/>
                          </w:rPr>
                        </w:pPr>
                        <w:r>
                          <w:rPr>
                            <w:rFonts w:hint="eastAsia"/>
                            <w:b w:val="1"/>
                          </w:rPr>
                          <w:t>発症予防</w:t>
                        </w:r>
                      </w:p>
                    </w:txbxContent>
                  </v:textbox>
                  <v:imagedata o:title=""/>
                  <w10:wrap type="none" anchorx="text" anchory="text"/>
                </v:rect>
                <v:oval id="オブジェクト 0" style="height:975;width:3990;top:2435;left:4066;position:absolute;" o:spid="_x0000_s1123" filled="t" fillcolor="#ffffff" stroked="t" strokecolor="#fabf8f" strokeweight="1pt" o:spt="3">
                  <v:fill type="gradient" color2="#fbd4b4" focus="100%"/>
                  <v:stroke filltype="solid"/>
                  <v:shadow on="t" color="#974706" opacity="32768f" offset="1pt,2pt" matrix="65536f,,,65536f,,"/>
                  <v:textbox style="layout-flow:horizontal;" inset="2.0637499999999998mm,0.24694444444444438mm,2.0637499999999998mm,0.24694444444444438mm">
                    <w:txbxContent>
                      <w:p>
                        <w:pPr>
                          <w:pStyle w:val="0"/>
                          <w:spacing w:line="480" w:lineRule="auto"/>
                          <w:jc w:val="center"/>
                          <w:rPr>
                            <w:rFonts w:hint="default"/>
                          </w:rPr>
                        </w:pPr>
                        <w:r>
                          <w:rPr>
                            <w:rFonts w:hint="eastAsia"/>
                          </w:rPr>
                          <w:t>急性心筋梗塞の発症</w:t>
                        </w:r>
                      </w:p>
                    </w:txbxContent>
                  </v:textbox>
                  <v:imagedata o:title=""/>
                  <w10:wrap type="none" anchorx="text" anchory="text"/>
                </v:oval>
                <v:rect id="オブジェクト 0" style="height:885;width:3465;top:3511;left:6272;position:absolute;" o:spid="_x0000_s1124" filled="f" stroked="f" o:spt="1">
                  <v:fill/>
                  <v:textbox style="layout-flow:horizontal;" inset="2.0637499999999998mm,0.24694444444444438mm,2.0637499999999998mm,0.24694444444444438mm">
                    <w:txbxContent>
                      <w:p>
                        <w:pPr>
                          <w:pStyle w:val="0"/>
                          <w:rPr>
                            <w:rFonts w:hint="default"/>
                            <w:b w:val="1"/>
                          </w:rPr>
                        </w:pPr>
                        <w:r>
                          <w:rPr>
                            <w:rFonts w:hint="eastAsia"/>
                            <w:b w:val="1"/>
                          </w:rPr>
                          <w:t>救急要請</w:t>
                        </w:r>
                      </w:p>
                      <w:p>
                        <w:pPr>
                          <w:pStyle w:val="0"/>
                          <w:rPr>
                            <w:rFonts w:hint="default"/>
                            <w:b w:val="1"/>
                          </w:rPr>
                        </w:pPr>
                        <w:r>
                          <w:rPr>
                            <w:rFonts w:hint="eastAsia"/>
                            <w:b w:val="1"/>
                          </w:rPr>
                          <w:t>病院前救護（ＡＥＤなど）</w:t>
                        </w:r>
                      </w:p>
                    </w:txbxContent>
                  </v:textbox>
                  <v:imagedata o:title=""/>
                  <w10:wrap type="none" anchorx="text" anchory="text"/>
                </v:rect>
                <v:oval id="オブジェクト 0" style="height:2600;width:5835;top:4635;left:3149;position:absolute;" o:spid="_x0000_s1125" filled="t" fillcolor="#ffffff" stroked="t" strokecolor="#d99594" strokeweight="1pt" o:spt="3">
                  <v:fill type="gradient" color2="#e5b8b7" focus="100%"/>
                  <v:stroke filltype="solid"/>
                  <v:shadow on="t" color="#622423" opacity="32768f" offset="1pt,2pt" matrix="65536f,,,65536f,,"/>
                  <v:textbox style="layout-flow:horizontal;" inset="2.0637499999999998mm,0.24694444444444438mm,2.0637499999999998mm,0.24694444444444438mm">
                    <w:txbxContent>
                      <w:p>
                        <w:pPr>
                          <w:pStyle w:val="0"/>
                          <w:spacing w:line="0" w:lineRule="atLeast"/>
                          <w:ind w:firstLine="453" w:firstLineChars="200"/>
                          <w:rPr>
                            <w:rFonts w:hint="default"/>
                          </w:rPr>
                        </w:pPr>
                        <w:r>
                          <w:rPr>
                            <w:rFonts w:hint="eastAsia"/>
                          </w:rPr>
                          <w:t>急性心筋梗塞治療センター</w:t>
                        </w:r>
                      </w:p>
                      <w:p>
                        <w:pPr>
                          <w:pStyle w:val="0"/>
                          <w:spacing w:line="20" w:lineRule="atLeast"/>
                          <w:ind w:firstLine="197" w:firstLineChars="100"/>
                          <w:rPr>
                            <w:rFonts w:hint="default"/>
                            <w:sz w:val="18"/>
                          </w:rPr>
                        </w:pPr>
                      </w:p>
                      <w:p>
                        <w:pPr>
                          <w:pStyle w:val="0"/>
                          <w:spacing w:line="20" w:lineRule="atLeast"/>
                          <w:ind w:firstLine="197" w:firstLineChars="100"/>
                          <w:rPr>
                            <w:rFonts w:hint="default"/>
                            <w:sz w:val="18"/>
                          </w:rPr>
                        </w:pPr>
                        <w:r>
                          <w:rPr>
                            <w:rFonts w:hint="eastAsia"/>
                            <w:sz w:val="18"/>
                          </w:rPr>
                          <w:t>●来院後</w:t>
                        </w:r>
                        <w:r>
                          <w:rPr>
                            <w:rFonts w:hint="eastAsia" w:ascii="ＭＳ 明朝" w:hAnsi="ＭＳ 明朝" w:eastAsia="ＭＳ 明朝"/>
                            <w:sz w:val="18"/>
                          </w:rPr>
                          <w:t>90</w:t>
                        </w:r>
                        <w:r>
                          <w:rPr>
                            <w:rFonts w:hint="eastAsia" w:ascii="ＭＳ 明朝" w:hAnsi="ＭＳ 明朝" w:eastAsia="ＭＳ 明朝"/>
                            <w:sz w:val="18"/>
                          </w:rPr>
                          <w:t>分</w:t>
                        </w:r>
                        <w:r>
                          <w:rPr>
                            <w:rFonts w:hint="eastAsia"/>
                            <w:sz w:val="18"/>
                          </w:rPr>
                          <w:t>以内の専門的治療開始</w:t>
                        </w:r>
                      </w:p>
                      <w:p>
                        <w:pPr>
                          <w:pStyle w:val="0"/>
                          <w:spacing w:line="0" w:lineRule="atLeast"/>
                          <w:ind w:firstLine="197" w:firstLineChars="100"/>
                          <w:rPr>
                            <w:rFonts w:hint="default"/>
                            <w:sz w:val="18"/>
                          </w:rPr>
                        </w:pPr>
                        <w:r>
                          <w:rPr>
                            <w:rFonts w:hint="eastAsia"/>
                            <w:sz w:val="18"/>
                          </w:rPr>
                          <w:t>●急性期の</w:t>
                        </w:r>
                        <w:r>
                          <w:rPr>
                            <w:rFonts w:hint="eastAsia" w:ascii="ＭＳ 明朝" w:hAnsi="ＭＳ 明朝"/>
                            <w:kern w:val="0"/>
                            <w:sz w:val="18"/>
                          </w:rPr>
                          <w:t>心臓</w:t>
                        </w:r>
                        <w:r>
                          <w:rPr>
                            <w:rFonts w:hint="eastAsia"/>
                            <w:sz w:val="18"/>
                          </w:rPr>
                          <w:t>リハビリテーション実施</w:t>
                        </w:r>
                      </w:p>
                      <w:p>
                        <w:pPr>
                          <w:pStyle w:val="0"/>
                          <w:spacing w:line="0" w:lineRule="atLeast"/>
                          <w:ind w:firstLine="197" w:firstLineChars="100"/>
                          <w:rPr>
                            <w:rFonts w:hint="default"/>
                            <w:sz w:val="18"/>
                          </w:rPr>
                        </w:pPr>
                        <w:r>
                          <w:rPr>
                            <w:rFonts w:hint="eastAsia"/>
                            <w:sz w:val="18"/>
                          </w:rPr>
                          <w:t>●再発予防の定期的専門検査の実施</w:t>
                        </w:r>
                      </w:p>
                    </w:txbxContent>
                  </v:textbox>
                  <v:imagedata o:title=""/>
                  <w10:wrap type="none" anchorx="text" anchory="text"/>
                </v:oval>
                <v:rect id="オブジェクト 0" style="height:630;width:2235;top:7138;left:2033;position:absolute;" o:spid="_x0000_s1126" filled="f" stroked="f" o:spt="1">
                  <v:fill/>
                  <v:textbox style="layout-flow:horizontal;" inset="2.0637499999999998mm,0.24694444444444438mm,2.0637499999999998mm,0.24694444444444438mm">
                    <w:txbxContent>
                      <w:p>
                        <w:pPr>
                          <w:pStyle w:val="0"/>
                          <w:rPr>
                            <w:rFonts w:hint="default"/>
                          </w:rPr>
                        </w:pPr>
                        <w:r>
                          <w:rPr>
                            <w:rFonts w:hint="eastAsia"/>
                          </w:rPr>
                          <w:t>退院・通院時の連携</w:t>
                        </w:r>
                      </w:p>
                      <w:p>
                        <w:pPr>
                          <w:pStyle w:val="0"/>
                          <w:rPr>
                            <w:rFonts w:hint="default"/>
                          </w:rPr>
                        </w:pPr>
                      </w:p>
                    </w:txbxContent>
                  </v:textbox>
                  <v:imagedata o:title=""/>
                  <w10:wrap type="none" anchorx="text" anchory="text"/>
                </v:rect>
                <v:oval id="オブジェクト 0" style="height:2225;width:5157;top:7850;left:1351;position:absolute;" o:spid="_x0000_s1127" filled="t" fillcolor="#ffffff" stroked="t" strokecolor="#b2a1c7" strokeweight="1pt" o:spt="3">
                  <v:fill type="gradient" color2="#ccc0d9" focus="100%"/>
                  <v:stroke filltype="solid"/>
                  <v:shadow on="t" color="#3f3151" opacity="32768f" offset="1pt,2pt" matrix="65536f,,,65536f,,"/>
                  <v:textbox style="layout-flow:horizontal;" inset="2.0637499999999998mm,0.24694444444444438mm,2.0637499999999998mm,0.24694444444444438mm">
                    <w:txbxContent>
                      <w:p>
                        <w:pPr>
                          <w:pStyle w:val="0"/>
                          <w:spacing w:before="0" w:beforeLines="0" w:beforeAutospacing="0" w:line="0" w:lineRule="atLeast"/>
                          <w:ind w:firstLine="680" w:firstLineChars="300"/>
                          <w:rPr>
                            <w:rFonts w:hint="default"/>
                          </w:rPr>
                        </w:pPr>
                        <w:r>
                          <w:rPr>
                            <w:rFonts w:hint="eastAsia"/>
                          </w:rPr>
                          <w:t>身体機能を回復させる</w:t>
                        </w:r>
                      </w:p>
                      <w:p>
                        <w:pPr>
                          <w:pStyle w:val="0"/>
                          <w:spacing w:line="0" w:lineRule="atLeast"/>
                          <w:ind w:firstLine="680" w:firstLineChars="300"/>
                          <w:rPr>
                            <w:rFonts w:hint="default"/>
                            <w:sz w:val="18"/>
                          </w:rPr>
                        </w:pPr>
                        <w:r>
                          <w:rPr>
                            <w:rFonts w:hint="eastAsia"/>
                          </w:rPr>
                          <w:t>心臓リハビリテーション</w:t>
                        </w:r>
                      </w:p>
                      <w:p>
                        <w:pPr>
                          <w:pStyle w:val="0"/>
                          <w:rPr>
                            <w:rFonts w:hint="default"/>
                            <w:sz w:val="16"/>
                          </w:rPr>
                        </w:pPr>
                        <w:r>
                          <w:rPr>
                            <w:rFonts w:hint="eastAsia"/>
                            <w:sz w:val="18"/>
                          </w:rPr>
                          <w:t>●回復期の心臓リハビリテーション　</w:t>
                        </w:r>
                      </w:p>
                      <w:p>
                        <w:pPr>
                          <w:pStyle w:val="0"/>
                          <w:rPr>
                            <w:rFonts w:hint="default"/>
                            <w:sz w:val="18"/>
                          </w:rPr>
                        </w:pPr>
                        <w:r>
                          <w:rPr>
                            <w:rFonts w:hint="eastAsia"/>
                            <w:sz w:val="18"/>
                          </w:rPr>
                          <w:t>●再発予防、基礎疾患・危険因子の管理</w:t>
                        </w:r>
                      </w:p>
                      <w:p>
                        <w:pPr>
                          <w:pStyle w:val="0"/>
                          <w:rPr>
                            <w:rFonts w:hint="default"/>
                            <w:sz w:val="18"/>
                          </w:rPr>
                        </w:pPr>
                        <w:r>
                          <w:rPr>
                            <w:rFonts w:hint="eastAsia"/>
                            <w:sz w:val="18"/>
                          </w:rPr>
                          <w:t>●在宅への復帰支援</w:t>
                        </w:r>
                      </w:p>
                    </w:txbxContent>
                  </v:textbox>
                  <v:imagedata o:title=""/>
                  <w10:wrap type="none" anchorx="text" anchory="text"/>
                </v:oval>
                <v:rect id="オブジェクト 0" style="height:945;width:2685;top:7887;left:6857;position:absolute;" o:spid="_x0000_s1128" filled="f" stroked="f" o:spt="1">
                  <v:fill/>
                  <v:textbox style="layout-flow:horizontal;" inset="2.0637499999999998mm,0.24694444444444438mm,2.0637499999999998mm,0.24694444444444438mm">
                    <w:txbxContent>
                      <w:p>
                        <w:pPr>
                          <w:pStyle w:val="0"/>
                          <w:rPr>
                            <w:rFonts w:hint="default"/>
                          </w:rPr>
                        </w:pPr>
                        <w:r>
                          <w:rPr>
                            <w:rFonts w:hint="eastAsia"/>
                          </w:rPr>
                          <w:t>経過観察、合併症併発・</w:t>
                        </w:r>
                      </w:p>
                      <w:p>
                        <w:pPr>
                          <w:pStyle w:val="0"/>
                          <w:rPr>
                            <w:rFonts w:hint="default"/>
                          </w:rPr>
                        </w:pPr>
                        <w:r>
                          <w:rPr>
                            <w:rFonts w:hint="eastAsia"/>
                          </w:rPr>
                          <w:t>再発予防時の連携</w:t>
                        </w:r>
                      </w:p>
                    </w:txbxContent>
                  </v:textbox>
                  <v:imagedata o:title=""/>
                  <w10:wrap type="none" anchorx="text" anchory="text"/>
                </v:rect>
                <v:shapetype id="_x0000_t32" coordsize="21600,21600" o:spt="32" o:oned="t" path="m,l21600,21600e" filled="f">
                  <v:path arrowok="t" fillok="f" o:connecttype="none"/>
                  <o:lock v:ext="edit" shapetype="t"/>
                </v:shapetype>
                <v:shape id="オブジェクト 0" style="height:0;width:7654;flip:x;top:10268;left:2315;position:absolute;" o:spid="_x0000_s1129" filled="f" stroked="t" strokecolor="#0070c0" strokeweight="3pt" o:spt="32" type="#_x0000_t32">
                  <v:fill/>
                  <v:stroke endcap="round" dashstyle="shortdot" filltype="solid"/>
                  <v:imagedata o:title=""/>
                  <w10:wrap type="none" anchorx="text" anchory="text"/>
                </v:shape>
                <v:shape id="オブジェクト 0" style="height:5102;width:0;flip:y;top:10278;left:9958;position:absolute;" o:spid="_x0000_s1130" filled="f" stroked="t" strokecolor="#0070c0" strokeweight="3pt" o:spt="32" type="#_x0000_t32">
                  <v:fill/>
                  <v:stroke endcap="round" dashstyle="shortdot" filltype="solid"/>
                  <v:imagedata o:title=""/>
                  <w10:wrap type="none" anchorx="text" anchory="text"/>
                </v:shape>
                <v:shape id="オブジェクト 0" style="height:5020;width:6;top:10330;left:1492;position:absolute;" o:spid="_x0000_s1131" filled="f" stroked="t" strokecolor="#0070c0" strokeweight="3pt" o:spt="32" type="#_x0000_t32">
                  <v:fill/>
                  <v:stroke endcap="round" dashstyle="shortdot" filltype="solid"/>
                  <v:imagedata o:title=""/>
                  <w10:wrap type="none" anchorx="text" anchory="text"/>
                </v:shape>
                <v:oval id="オブジェクト 0" style="height:2145;width:6720;top:10348;left:2802;position:absolute;" o:spid="_x0000_s1132" filled="t" fillcolor="#ffffff" stroked="t" strokecolor="#c2d69b" strokeweight="1pt" o:spt="3">
                  <v:fill type="gradient" color2="#d6e3bc" focus="100%"/>
                  <v:stroke filltype="solid"/>
                  <v:shadow on="t" color="#4e6128" opacity="32768f" offset="1pt,2pt" matrix="65536f,,,65536f,,"/>
                  <v:textbox style="layout-flow:horizontal;" inset="2.0637499999999998mm,0.24694444444444438mm,2.0637499999999998mm,0.24694444444444438mm">
                    <w:txbxContent>
                      <w:p>
                        <w:pPr>
                          <w:pStyle w:val="0"/>
                          <w:spacing w:line="0" w:lineRule="atLeast"/>
                          <w:ind w:firstLine="907" w:firstLineChars="400"/>
                          <w:rPr>
                            <w:rFonts w:hint="default"/>
                            <w:color w:val="auto"/>
                            <w:u w:val="none" w:color="auto"/>
                          </w:rPr>
                        </w:pPr>
                        <w:r>
                          <w:rPr>
                            <w:rFonts w:hint="eastAsia"/>
                            <w:color w:val="auto"/>
                            <w:u w:val="none" w:color="auto"/>
                          </w:rPr>
                          <w:t>再発・重症化予防予防、緩和ケア</w:t>
                        </w:r>
                      </w:p>
                      <w:p>
                        <w:pPr>
                          <w:pStyle w:val="0"/>
                          <w:spacing w:line="0" w:lineRule="atLeast"/>
                          <w:ind w:firstLine="197" w:firstLineChars="100"/>
                          <w:rPr>
                            <w:rFonts w:hint="default"/>
                            <w:color w:val="auto"/>
                            <w:sz w:val="18"/>
                            <w:u w:val="none" w:color="auto"/>
                          </w:rPr>
                        </w:pPr>
                        <w:r>
                          <w:rPr>
                            <w:rFonts w:hint="eastAsia"/>
                            <w:color w:val="auto"/>
                            <w:sz w:val="18"/>
                            <w:u w:val="none" w:color="auto"/>
                          </w:rPr>
                          <w:t>●再発予防</w:t>
                        </w:r>
                      </w:p>
                      <w:p>
                        <w:pPr>
                          <w:pStyle w:val="0"/>
                          <w:spacing w:line="0" w:lineRule="atLeast"/>
                          <w:ind w:firstLine="197" w:firstLineChars="100"/>
                          <w:rPr>
                            <w:rFonts w:hint="default"/>
                            <w:color w:val="auto"/>
                            <w:sz w:val="18"/>
                            <w:u w:val="none" w:color="auto"/>
                          </w:rPr>
                        </w:pPr>
                        <w:r>
                          <w:rPr>
                            <w:rFonts w:hint="eastAsia"/>
                            <w:color w:val="auto"/>
                            <w:sz w:val="18"/>
                            <w:u w:val="none" w:color="auto"/>
                          </w:rPr>
                          <w:t>●基礎疾患・危険因子の管理</w:t>
                        </w:r>
                      </w:p>
                      <w:p>
                        <w:pPr>
                          <w:pStyle w:val="0"/>
                          <w:spacing w:line="0" w:lineRule="atLeast"/>
                          <w:ind w:firstLine="197" w:firstLineChars="100"/>
                          <w:rPr>
                            <w:rFonts w:hint="default"/>
                            <w:color w:val="auto"/>
                            <w:sz w:val="18"/>
                            <w:u w:val="none" w:color="auto"/>
                          </w:rPr>
                        </w:pPr>
                        <w:r>
                          <w:rPr>
                            <w:rFonts w:hint="eastAsia"/>
                            <w:color w:val="auto"/>
                            <w:sz w:val="18"/>
                            <w:u w:val="none" w:color="auto"/>
                          </w:rPr>
                          <w:t>●在宅療養の支援</w:t>
                        </w:r>
                      </w:p>
                      <w:p>
                        <w:pPr>
                          <w:pStyle w:val="0"/>
                          <w:spacing w:line="0" w:lineRule="atLeast"/>
                          <w:ind w:firstLine="197" w:firstLineChars="100"/>
                          <w:rPr>
                            <w:rFonts w:hint="default"/>
                            <w:color w:val="auto"/>
                            <w:sz w:val="18"/>
                            <w:u w:val="none" w:color="auto"/>
                          </w:rPr>
                        </w:pPr>
                        <w:r>
                          <w:rPr>
                            <w:rFonts w:hint="eastAsia"/>
                            <w:color w:val="auto"/>
                            <w:sz w:val="18"/>
                            <w:u w:val="none" w:color="auto"/>
                          </w:rPr>
                          <w:t>●口腔管理の支援</w:t>
                        </w:r>
                      </w:p>
                      <w:p>
                        <w:pPr>
                          <w:pStyle w:val="0"/>
                          <w:spacing w:line="0" w:lineRule="atLeast"/>
                          <w:ind w:firstLine="197" w:firstLineChars="100"/>
                          <w:rPr>
                            <w:rFonts w:hint="default"/>
                            <w:color w:val="auto"/>
                            <w:sz w:val="18"/>
                            <w:u w:val="none" w:color="auto"/>
                          </w:rPr>
                        </w:pPr>
                        <w:r>
                          <w:rPr>
                            <w:rFonts w:hint="eastAsia"/>
                            <w:color w:val="auto"/>
                            <w:sz w:val="18"/>
                            <w:u w:val="none" w:color="auto"/>
                          </w:rPr>
                          <w:t>●服薬指導の支援</w:t>
                        </w:r>
                      </w:p>
                    </w:txbxContent>
                  </v:textbox>
                  <v:imagedata o:title=""/>
                  <w10:wrap type="none" anchorx="text" anchory="text"/>
                </v:oval>
                <v:oval id="オブジェクト 0" style="height:2279;width:8157;top:13083;left:1731;position:absolute;" o:spid="_x0000_s1133" filled="t" fillcolor="#ffffff" stroked="t" strokecolor="#96b4d8" strokeweight="1pt" o:spt="3">
                  <v:fill type="gradient" color2="#b8cce4" focus="100%"/>
                  <v:stroke filltype="solid"/>
                  <v:shadow on="t" color="#244062" opacity="32768f" offset="1pt,2pt" matrix="65536f,,,65536f,,"/>
                  <v:textbox style="layout-flow:horizontal;"/>
                  <v:imagedata o:title=""/>
                  <w10:wrap type="none" anchorx="text" anchory="text"/>
                </v:oval>
                <v:shape id="オブジェクト 0" style="height:195;width:555;top:13556;left:6302;position:absolute;" o:spid="_x0000_s1134" filled="f" stroked="t" strokecolor="#666666" strokeweight="1pt" o:spt="32" type="#_x0000_t32">
                  <v:fill/>
                  <v:stroke filltype="solid"/>
                  <v:imagedata o:title=""/>
                  <w10:wrap type="none" anchorx="text" anchory="text"/>
                </v:shape>
                <v:rect id="オブジェクト 0" style="height:435;width:2518;top:13556;left:6800;position:absolute;" o:spid="_x0000_s1135" filled="f" stroked="f" o:spt="1">
                  <v:fill/>
                  <v:textbox style="layout-flow:horizontal;" inset="2.0637499999999998mm,0.24694444444444438mm,2.0637499999999998mm,0.24694444444444438mm">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介護サービス事業者</w:t>
                        </w:r>
                      </w:p>
                    </w:txbxContent>
                  </v:textbox>
                  <v:imagedata o:title=""/>
                  <w10:wrap type="none" anchorx="text" anchory="text"/>
                </v:rect>
                <v:shape id="オブジェクト 0" style="height:626;width:605;top:13613;left:5764;position:absolute;" o:spid="_x0000_s1136" filled="f" stroked="t" strokecolor="#666666" strokeweight="1pt" o:spt="32" type="#_x0000_t32">
                  <v:fill/>
                  <v:stroke filltype="solid"/>
                  <v:imagedata o:title=""/>
                  <w10:wrap type="none" anchorx="text" anchory="text"/>
                </v:shape>
                <v:shape id="オブジェクト 0" style="height:313;width:701;flip:x;top:13437;left:3678;position:absolute;" o:spid="_x0000_s1137" filled="f" stroked="t" strokecolor="#666666" strokeweight="1pt" o:spt="32" type="#_x0000_t32">
                  <v:fill/>
                  <v:stroke filltype="solid"/>
                  <v:imagedata o:title=""/>
                  <w10:wrap type="none" anchorx="text" anchory="text"/>
                </v:shape>
                <v:shape id="オブジェクト 0" style="height:630;width:410;flip:x;top:13613;left:4647;position:absolute;" o:spid="_x0000_s1138" filled="f" stroked="t" strokecolor="#666666" strokeweight="1pt" o:spt="32" type="#_x0000_t32">
                  <v:fill/>
                  <v:stroke filltype="solid"/>
                  <v:imagedata o:title=""/>
                  <w10:wrap type="none" anchorx="text" anchory="text"/>
                </v:shape>
                <v:rect id="オブジェクト 0" style="height:435;width:1930;top:13548;left:2052;position:absolute;" o:spid="_x0000_s1139" filled="f" stroked="f" o:spt="1">
                  <v:fill/>
                  <v:textbox style="layout-flow:horizontal;" inset="2.0637499999999998mm,0.24694444444444438mm,2.0637499999999998mm,0.24694444444444438mm">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かかりつけ薬局</w:t>
                        </w:r>
                      </w:p>
                    </w:txbxContent>
                  </v:textbox>
                  <v:imagedata o:title=""/>
                  <w10:wrap type="none" anchorx="text" anchory="text"/>
                </v:rect>
                <v:rect id="オブジェクト 0" style="height:600;width:1605;top:13849;left:1878;position:absolute;" o:spid="_x0000_s1140" filled="f" stroked="f" o:spt="1">
                  <v:fill/>
                  <v:textbox style="layout-flow:horizontal;" inset="2.0637499999999998mm,0.24694444444444438mm,2.0637499999999998mm,0.24694444444444438mm">
                    <w:txbxContent>
                      <w:p>
                        <w:pPr>
                          <w:pStyle w:val="0"/>
                          <w:snapToGrid w:val="0"/>
                          <w:rPr>
                            <w:rFonts w:hint="default"/>
                            <w:color w:val="auto"/>
                            <w:u w:val="none" w:color="auto"/>
                          </w:rPr>
                        </w:pPr>
                        <w:r>
                          <w:rPr>
                            <w:rFonts w:hint="default"/>
                            <w:color w:val="auto"/>
                            <w:sz w:val="18"/>
                            <w:u w:val="none" w:color="auto"/>
                          </w:rPr>
                          <w:t>訪問薬剤</w:t>
                        </w:r>
                      </w:p>
                      <w:p>
                        <w:pPr>
                          <w:pStyle w:val="0"/>
                          <w:snapToGrid w:val="0"/>
                          <w:rPr>
                            <w:rFonts w:hint="default"/>
                            <w:color w:val="auto"/>
                            <w:u w:val="none" w:color="auto"/>
                          </w:rPr>
                        </w:pPr>
                        <w:r>
                          <w:rPr>
                            <w:rFonts w:hint="default"/>
                            <w:color w:val="auto"/>
                            <w:sz w:val="18"/>
                            <w:u w:val="none" w:color="auto"/>
                          </w:rPr>
                          <w:t>服薬管理・指導</w:t>
                        </w:r>
                      </w:p>
                    </w:txbxContent>
                  </v:textbox>
                  <v:imagedata o:title=""/>
                  <w10:wrap type="none" anchorx="text" anchory="text"/>
                </v:rect>
                <v:rect id="オブジェクト 0" style="height:465;width:1475;top:13848;left:7545;position:absolute;" o:spid="_x0000_s1141" filled="f" stroked="f" o:spt="1">
                  <v:fill/>
                  <v:textbox style="layout-flow:horizontal;" inset="2.0637499999999998mm,0.24694444444444438mm,2.0637499999999998mm,0.24694444444444438mm">
                    <w:txbxContent>
                      <w:p>
                        <w:pPr>
                          <w:pStyle w:val="0"/>
                          <w:rPr>
                            <w:rFonts w:hint="default"/>
                            <w:color w:val="auto"/>
                            <w:sz w:val="18"/>
                            <w:u w:val="none" w:color="auto"/>
                          </w:rPr>
                        </w:pPr>
                        <w:r>
                          <w:rPr>
                            <w:rFonts w:hint="eastAsia"/>
                            <w:color w:val="auto"/>
                            <w:sz w:val="18"/>
                            <w:u w:val="none" w:color="auto"/>
                          </w:rPr>
                          <w:t>訪問介護など</w:t>
                        </w:r>
                      </w:p>
                    </w:txbxContent>
                  </v:textbox>
                  <v:imagedata o:title=""/>
                  <w10:wrap type="none" anchorx="text" anchory="text"/>
                </v:rect>
                <v:rect id="オブジェクト 0" style="height:435;width:2690;top:14239;left:5762;position:absolute;" o:spid="_x0000_s1142" filled="f" stroked="f" o:spt="1">
                  <v:fill/>
                  <v:textbox style="layout-flow:horizontal;" inset="2.0637499999999998mm,0.24694444444444438mm,2.0637499999999998mm,0.24694444444444438mm">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訪問看護ステーション</w:t>
                        </w:r>
                      </w:p>
                    </w:txbxContent>
                  </v:textbox>
                  <v:imagedata o:title=""/>
                  <w10:wrap type="none" anchorx="text" anchory="text"/>
                </v:rect>
                <v:rect id="オブジェクト 0" style="height:555;width:2655;top:14266;left:3085;position:absolute;" o:spid="_x0000_s1143" filled="f" stroked="f" o:spt="1">
                  <v:fill/>
                  <v:textbox style="layout-flow:horizontal;" inset="2.0637499999999998mm,0.24694444444444438mm,2.0637499999999998mm,0.24694444444444438mm">
                    <w:txbxContent>
                      <w:p>
                        <w:pPr>
                          <w:pStyle w:val="0"/>
                          <w:snapToGrid w:val="0"/>
                          <w:jc w:val="center"/>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かかりつけ医など</w:t>
                        </w:r>
                      </w:p>
                      <w:p>
                        <w:pPr>
                          <w:pStyle w:val="0"/>
                          <w:snapToGrid w:val="0"/>
                          <w:rPr>
                            <w:rFonts w:hint="default"/>
                            <w:color w:val="auto"/>
                            <w:u w:val="none" w:color="auto"/>
                          </w:rPr>
                        </w:pPr>
                        <w:r>
                          <w:rPr>
                            <w:rFonts w:hint="default"/>
                            <w:color w:val="auto"/>
                            <w:sz w:val="16"/>
                            <w:u w:val="none" w:color="auto"/>
                          </w:rPr>
                          <w:t>（在宅療養支援病院・診療所）</w:t>
                        </w:r>
                      </w:p>
                    </w:txbxContent>
                  </v:textbox>
                  <v:imagedata o:title=""/>
                  <w10:wrap type="none" anchorx="text" anchory="text"/>
                </v:rect>
                <v:rect id="オブジェクト 0" style="height:525;width:2710;top:14576;left:6080;position:absolute;" o:spid="_x0000_s1144" filled="f" stroked="f" o:spt="1">
                  <v:fill/>
                  <v:textbox style="layout-flow:horizontal;" inset="2.0637499999999998mm,0.24694444444444438mm,2.0637499999999998mm,0.24694444444444438mm">
                    <w:txbxContent>
                      <w:p>
                        <w:pPr>
                          <w:pStyle w:val="0"/>
                          <w:snapToGrid w:val="0"/>
                          <w:rPr>
                            <w:rFonts w:hint="default"/>
                            <w:color w:val="auto"/>
                            <w:u w:val="none" w:color="auto"/>
                          </w:rPr>
                        </w:pPr>
                        <w:r>
                          <w:rPr>
                            <w:rFonts w:hint="default"/>
                            <w:color w:val="auto"/>
                            <w:sz w:val="18"/>
                            <w:u w:val="none" w:color="auto"/>
                          </w:rPr>
                          <w:t>訪問看護・訪問リハビリ</w:t>
                        </w:r>
                      </w:p>
                    </w:txbxContent>
                  </v:textbox>
                  <v:imagedata o:title=""/>
                  <w10:wrap type="none" anchorx="text" anchory="text"/>
                </v:rect>
                <v:rect id="オブジェクト 0" style="height:570;width:3240;top:14799;left:3121;position:absolute;" o:spid="_x0000_s1145" filled="f" stroked="f" o:spt="1">
                  <v:fill/>
                  <v:textbox style="layout-flow:horizontal;" inset="2.0637499999999998mm,0.24694444444444438mm,2.0637499999999998mm,0.24694444444444438mm">
                    <w:txbxContent>
                      <w:p>
                        <w:pPr>
                          <w:pStyle w:val="0"/>
                          <w:snapToGrid w:val="0"/>
                          <w:ind w:firstLine="0"/>
                          <w:rPr>
                            <w:rFonts w:hint="default"/>
                            <w:color w:val="auto"/>
                            <w:u w:val="none" w:color="auto"/>
                          </w:rPr>
                        </w:pPr>
                        <w:r>
                          <w:rPr>
                            <w:rFonts w:hint="default"/>
                            <w:color w:val="auto"/>
                            <w:sz w:val="18"/>
                            <w:u w:val="none" w:color="auto"/>
                          </w:rPr>
                          <w:t>療養指導・通所、外来リハビリ</w:t>
                        </w:r>
                      </w:p>
                    </w:txbxContent>
                  </v:textbox>
                  <v:imagedata o:title=""/>
                  <w10:wrap type="none" anchorx="text" anchory="text"/>
                </v:rect>
                <v:shape id="オブジェクト 0" style="height:0;width:8474;top:15398;left:1498;position:absolute;" o:spid="_x0000_s1146" filled="f" stroked="t" strokecolor="#0070c0" strokeweight="3pt" o:spt="32" type="#_x0000_t32">
                  <v:fill/>
                  <v:stroke endcap="round" dashstyle="shortdot" filltype="solid"/>
                  <v:imagedata o:title=""/>
                  <w10:wrap type="none" anchorx="text" anchory="text"/>
                </v:shape>
                <v:shape id="オブジェクト 0" style="height:525;width:1088;flip:x;top:2254;left:7086;position:absolute;" o:spid="_x0000_s1147" filled="f" stroked="t" strokecolor="#f79646" strokeweight="3pt" o:spt="32" type="#_x0000_t32">
                  <v:fill/>
                  <v:stroke dashstyle="dash" filltype="solid" endarrow="block"/>
                  <v:imagedata o:title=""/>
                  <w10:wrap type="none" anchorx="text" anchory="tex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height:1194;width:540;top:3343;left:5732;position:absolute;" o:spid="_x0000_s1148" filled="t" fillcolor="#ffffff" stroked="t" strokecolor="#b2a1c7" strokeweight="1pt" o:spt="67" type="#_x0000_t67" adj="1350,5400">
                  <v:fill type="gradient" color2="#ccc0d9" focus="100%"/>
                  <v:stroke filltype="solid"/>
                  <v:shadow on="t" color="#3f3151" opacity="32768f" offset="1pt,2pt" matrix="65536f,,,65536f,,"/>
                  <v:textbox style="layout-flow:horizontal;"/>
                  <v:imagedata o:title=""/>
                  <w10:wrap type="none" anchorx="text" anchory="text"/>
                </v:shape>
                <v:rect id="オブジェクト 0" style="height:480;width:990;top:3595;left:4562;position:absolute;" o:spid="_x0000_s1149"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rPr>
                            <w:rFonts w:hint="default"/>
                            <w:b w:val="1"/>
                          </w:rPr>
                        </w:pPr>
                        <w:r>
                          <w:rPr>
                            <w:rFonts w:hint="eastAsia"/>
                            <w:b w:val="1"/>
                          </w:rPr>
                          <w:t>救　護</w:t>
                        </w:r>
                      </w:p>
                    </w:txbxContent>
                  </v:textbox>
                  <v:imagedata o:title=""/>
                  <w10:wrap type="none" anchorx="text" anchory="text"/>
                </v:rect>
                <v:rect id="オブジェクト 0" style="height:480;width:1500;top:5000;left:1994;position:absolute;" o:spid="_x0000_s1150"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rPr>
                            <w:rFonts w:hint="default"/>
                            <w:b w:val="1"/>
                          </w:rPr>
                        </w:pPr>
                        <w:r>
                          <w:rPr>
                            <w:rFonts w:hint="eastAsia"/>
                            <w:b w:val="1"/>
                          </w:rPr>
                          <w:t>急　性　期</w:t>
                        </w:r>
                      </w:p>
                    </w:txbxContent>
                  </v:textbox>
                  <v:imagedata o:title=""/>
                  <w10:wrap type="none" anchorx="text" anchory="text"/>
                </v:rect>
                <v:shape id="オブジェクト 0" style="height:627;width:315;top:12427;left:5228;position:absolute;" o:spid="_x0000_s1151" filled="t" fillcolor="#ffffff" stroked="t" strokecolor="#b2a1c7" strokeweight="1pt" o:spt="67" type="#_x0000_t67" adj="0,5400">
                  <v:fill type="gradient" color2="#ccc0d9" focus="100%"/>
                  <v:stroke filltype="solid"/>
                  <v:shadow on="t" color="#3f3151" opacity="32768f" offset="1pt,2pt" matrix="65536f,,,65536f,,"/>
                  <v:textbox style="layout-flow:horizontal;"/>
                  <v:imagedata o:title=""/>
                  <w10:wrap type="none" anchorx="text" anchory="text"/>
                </v:shape>
                <v:rect id="オブジェクト 0" style="height:855;width:2730;top:12427;left:2443;position:absolute;" o:spid="_x0000_s1152" filled="f" stroked="f" o:spt="1">
                  <v:fill/>
                  <v:textbox style="layout-flow:horizontal;" inset="2.0637499999999998mm,0.24694444444444438mm,2.0637499999999998mm,0.24694444444444438mm">
                    <w:txbxContent>
                      <w:p>
                        <w:pPr>
                          <w:pStyle w:val="0"/>
                          <w:spacing w:line="280" w:lineRule="exact"/>
                          <w:ind w:firstLine="227" w:firstLineChars="100"/>
                          <w:rPr>
                            <w:rFonts w:hint="default"/>
                          </w:rPr>
                        </w:pPr>
                        <w:r>
                          <w:rPr>
                            <w:rFonts w:hint="eastAsia"/>
                          </w:rPr>
                          <w:t>退院・通院時の連携</w:t>
                        </w:r>
                      </w:p>
                      <w:p>
                        <w:pPr>
                          <w:pStyle w:val="0"/>
                          <w:spacing w:line="280" w:lineRule="exact"/>
                          <w:ind w:firstLine="454" w:firstLineChars="200"/>
                          <w:rPr>
                            <w:rFonts w:hint="default"/>
                          </w:rPr>
                        </w:pPr>
                        <w:r>
                          <w:rPr>
                            <w:rFonts w:hint="eastAsia"/>
                          </w:rPr>
                          <w:t>在宅療養支援</w:t>
                        </w: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txbxContent>
                  </v:textbox>
                  <v:imagedata o:title=""/>
                  <w10:wrap type="none" anchorx="text" anchory="text"/>
                </v:rect>
                <v:rect id="オブジェクト 0" style="height:495;width:1880;top:13216;left:4420;position:absolute;" o:spid="_x0000_s1153"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snapToGrid w:val="0"/>
                          <w:rPr>
                            <w:rFonts w:hint="default"/>
                            <w:color w:val="auto"/>
                            <w:u w:val="none" w:color="auto"/>
                          </w:rPr>
                        </w:pPr>
                        <w:r>
                          <w:rPr>
                            <w:rFonts w:hint="default"/>
                            <w:b w:val="1"/>
                            <w:color w:val="auto"/>
                            <w:u w:val="none" w:color="auto"/>
                          </w:rPr>
                          <w:t>在　宅　療　養</w:t>
                        </w:r>
                      </w:p>
                    </w:txbxContent>
                  </v:textbox>
                  <v:imagedata o:title=""/>
                  <w10:wrap type="none" anchorx="text" anchory="text"/>
                </v:rect>
                <v:rect id="オブジェクト 0" style="height:480;width:1361;top:7731;left:1394;position:absolute;" o:spid="_x0000_s1154"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jc w:val="center"/>
                          <w:rPr>
                            <w:rFonts w:hint="default"/>
                            <w:b w:val="1"/>
                          </w:rPr>
                        </w:pPr>
                        <w:r>
                          <w:rPr>
                            <w:rFonts w:hint="eastAsia"/>
                            <w:b w:val="1"/>
                          </w:rPr>
                          <w:t>回復期</w:t>
                        </w:r>
                      </w:p>
                    </w:txbxContent>
                  </v:textbox>
                  <v:imagedata o:title=""/>
                  <w10:wrap type="none" anchorx="text" anchory="text"/>
                </v:rect>
                <v:rect id="オブジェクト 0" style="height:510;width:1515;top:10075;left:1288;position:absolute;" o:spid="_x0000_s1155"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jc w:val="center"/>
                          <w:rPr>
                            <w:rFonts w:hint="default"/>
                            <w:b w:val="1"/>
                            <w:color w:val="auto"/>
                            <w:u w:val="none" w:color="auto"/>
                          </w:rPr>
                        </w:pPr>
                        <w:r>
                          <w:rPr>
                            <w:rFonts w:hint="eastAsia"/>
                            <w:b w:val="1"/>
                            <w:color w:val="auto"/>
                            <w:u w:val="none" w:color="auto"/>
                          </w:rPr>
                          <w:t>維　持　期</w:t>
                        </w:r>
                      </w:p>
                    </w:txbxContent>
                  </v:textbox>
                  <v:imagedata o:title=""/>
                  <w10:wrap type="none" anchorx="text" anchory="text"/>
                </v:rect>
                <v:shape id="オブジェクト 0" style="height:1077;width:285;top:6930;left:4174;position:absolute;" o:spid="_x0000_s1156" filled="t" fillcolor="#ffffff" stroked="t" strokecolor="#b2a1c7" strokeweight="1pt" o:spt="67" type="#_x0000_t67" adj="0,5400">
                  <v:fill type="gradient" color2="#ccc0d9" focus="100%"/>
                  <v:stroke filltype="solid"/>
                  <v:shadow on="t" color="#3f3151" opacity="32768f" offset="1pt,2pt" matrix="65536f,,,65536f,,"/>
                  <v:textbox style="layout-flow:horizontal;"/>
                  <v:imagedata o:title=""/>
                  <w10:wrap type="none" anchorx="text" anchory="text"/>
                </v:shape>
                <v:shape id="オブジェクト 0" style="height:627;width:315;top:10131;left:3734;position:absolute;" o:spid="_x0000_s1157" filled="t" fillcolor="#ffffff" stroked="t" strokecolor="#b2a1c7" strokeweight="1pt" o:spt="67" type="#_x0000_t67" adj="0,5400">
                  <v:fill type="gradient" color2="#ccc0d9" focus="100%"/>
                  <v:stroke filltype="solid"/>
                  <v:shadow on="t" color="#3f3151" opacity="32768f" offset="1pt,2pt" matrix="65536f,,,65536f,,"/>
                  <v:textbox style="layout-flow:horizontal;"/>
                  <v:imagedata o:title=""/>
                  <w10:wrap type="none" anchorx="text" anchory="text"/>
                </v:shape>
                <v:shape id="オブジェクト 0" style="height:3336;width:283;top:7138;left:6618;position:absolute;" o:spid="_x0000_s1158" filled="t" fillcolor="#ffffff" stroked="t" strokecolor="#b2a1c7" strokeweight="1pt" o:spt="67" type="#_x0000_t67" adj="0,5400">
                  <v:fill type="gradient" color2="#ccc0d9" focus="100%"/>
                  <v:stroke filltype="solid"/>
                  <v:shadow on="t" color="#3f3151" opacity="32768f" offset="1pt,2pt" matrix="65536f,,,65536f,,"/>
                  <v:textbox style="layout-flow:horizontal;"/>
                  <v:imagedata o:title=""/>
                  <w10:wrap type="none" anchorx="text" anchory="text"/>
                </v:shape>
                <w10:wrap type="none" anchorx="text" anchory="text"/>
              </v:group>
            </w:pict>
          </mc:Fallback>
        </mc:AlternateContent>
      </w:r>
    </w:p>
    <w:p>
      <w:pPr>
        <w:pStyle w:val="0"/>
        <w:jc w:val="left"/>
        <w:rPr>
          <w:rFonts w:hint="eastAsia" w:ascii="ＭＳ 明朝" w:hAnsi="ＭＳ 明朝" w:eastAsia="ＭＳ 明朝"/>
          <w:b w:val="1"/>
          <w:highlight w:val="none"/>
        </w:rPr>
      </w:pPr>
    </w:p>
    <w:p>
      <w:pPr>
        <w:pStyle w:val="0"/>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highlight w:val="none"/>
        </w:rPr>
      </w:pPr>
    </w:p>
    <w:p>
      <w:pPr>
        <w:pStyle w:val="0"/>
        <w:rPr>
          <w:rFonts w:hint="eastAsia" w:ascii="ＭＳ 明朝" w:hAnsi="ＭＳ 明朝" w:eastAsia="ＭＳ 明朝"/>
          <w:highlight w:val="none"/>
        </w:rPr>
      </w:pPr>
    </w:p>
    <w:p>
      <w:pPr>
        <w:pStyle w:val="0"/>
        <w:rPr>
          <w:rFonts w:hint="eastAsia" w:ascii="ＭＳ 明朝" w:hAnsi="ＭＳ 明朝" w:eastAsia="ＭＳ 明朝"/>
          <w:highlight w:val="none"/>
        </w:rPr>
      </w:pPr>
    </w:p>
    <w:p>
      <w:pPr>
        <w:pStyle w:val="0"/>
        <w:rPr>
          <w:rFonts w:hint="eastAsia" w:ascii="ＭＳ 明朝" w:hAnsi="ＭＳ 明朝" w:eastAsia="ＭＳ 明朝"/>
          <w:highlight w:val="none"/>
        </w:rPr>
      </w:pPr>
    </w:p>
    <w:p>
      <w:pPr>
        <w:pStyle w:val="0"/>
        <w:rPr>
          <w:rFonts w:hint="eastAsia" w:ascii="ＭＳ 明朝" w:hAnsi="ＭＳ 明朝" w:eastAsia="ＭＳ 明朝"/>
          <w:highlight w:val="none"/>
        </w:rPr>
      </w:pPr>
    </w:p>
    <w:p>
      <w:pPr>
        <w:pStyle w:val="0"/>
        <w:rPr>
          <w:rFonts w:hint="eastAsia" w:ascii="ＭＳ 明朝" w:hAnsi="ＭＳ 明朝" w:eastAsia="ＭＳ 明朝"/>
          <w:highlight w:val="none"/>
        </w:rPr>
      </w:pPr>
    </w:p>
    <w:p>
      <w:pPr>
        <w:pStyle w:val="0"/>
        <w:rPr>
          <w:rFonts w:hint="eastAsia" w:ascii="ＭＳ 明朝" w:hAnsi="ＭＳ 明朝" w:eastAsia="ＭＳ 明朝"/>
          <w:highlight w:val="none"/>
        </w:rPr>
      </w:pPr>
    </w:p>
    <w:p>
      <w:pPr>
        <w:pStyle w:val="0"/>
        <w:rPr>
          <w:rFonts w:hint="eastAsia" w:ascii="ＭＳ 明朝" w:hAnsi="ＭＳ 明朝" w:eastAsia="ＭＳ 明朝"/>
          <w:highlight w:val="none"/>
        </w:rPr>
      </w:pPr>
      <w:r>
        <w:rPr>
          <w:rFonts w:hint="eastAsia"/>
          <w:highlight w:val="none"/>
        </w:rPr>
        <mc:AlternateContent>
          <mc:Choice Requires="wps">
            <w:drawing>
              <wp:anchor simplePos="0" relativeHeight="10" behindDoc="0" locked="0" layoutInCell="1" hidden="0" allowOverlap="1">
                <wp:simplePos x="0" y="0"/>
                <wp:positionH relativeFrom="column">
                  <wp:posOffset>33655</wp:posOffset>
                </wp:positionH>
                <wp:positionV relativeFrom="paragraph">
                  <wp:posOffset>1612265</wp:posOffset>
                </wp:positionV>
                <wp:extent cx="5459095" cy="66675"/>
                <wp:effectExtent l="19685" t="19685" r="28575" b="20320"/>
                <wp:wrapNone/>
                <wp:docPr id="1159" name="オブジェクト 0"/>
                <a:graphic xmlns:a="http://schemas.openxmlformats.org/drawingml/2006/main">
                  <a:graphicData uri="http://schemas.microsoft.com/office/word/2010/wordprocessingShape">
                    <wps:wsp>
                      <wps:cNvPr id="1159" name="オブジェクト 0"/>
                      <wps:cNvCnPr/>
                      <wps:spPr>
                        <a:xfrm flipV="1">
                          <a:off x="0" y="0"/>
                          <a:ext cx="5459095" cy="66675"/>
                        </a:xfrm>
                        <a:prstGeom prst="straightConnector1">
                          <a:avLst/>
                        </a:prstGeom>
                        <a:noFill/>
                        <a:ln w="38100" cap="rnd">
                          <a:solidFill>
                            <a:srgbClr val="0070C0"/>
                          </a:solidFill>
                          <a:prstDash val="sysDot"/>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y;margin-top:126.95pt;mso-position-vertical-relative:text;mso-position-horizontal-relative:text;position:absolute;height:5.25pt;width:429.85pt;margin-left:2.65pt;z-index:10;" o:spid="_x0000_s1159" o:allowincell="t" o:allowoverlap="t" filled="f" stroked="t" strokecolor="#0070c0" strokeweight="3pt" o:spt="32" type="#_x0000_t32">
                <v:fill/>
                <v:stroke endcap="round" dashstyle="shortdot" filltype="solid"/>
                <v:imagedata o:title=""/>
                <w10:wrap type="none" anchorx="text" anchory="text"/>
              </v:shape>
            </w:pict>
          </mc:Fallback>
        </mc:AlternateContent>
      </w:r>
    </w:p>
    <w:p>
      <w:pPr>
        <w:pStyle w:val="0"/>
        <w:rPr>
          <w:rFonts w:hint="eastAsia" w:ascii="ＭＳ 明朝" w:hAnsi="ＭＳ 明朝" w:eastAsia="ＭＳ 明朝"/>
          <w:b w:val="1"/>
          <w:color w:val="auto"/>
          <w:sz w:val="10"/>
          <w:highlight w:val="none"/>
        </w:rPr>
      </w:pPr>
      <w:r>
        <w:rPr>
          <w:rFonts w:hint="eastAsia" w:ascii="ＭＳ 明朝" w:hAnsi="ＭＳ 明朝" w:eastAsia="ＭＳ 明朝"/>
          <w:b w:val="1"/>
          <w:color w:val="auto"/>
          <w:highlight w:val="none"/>
        </w:rPr>
        <w:t>＜参考＞</w:t>
      </w:r>
      <w:r>
        <w:rPr>
          <w:rFonts w:hint="eastAsia" w:ascii="ＭＳ 明朝" w:hAnsi="ＭＳ 明朝" w:eastAsia="ＭＳ 明朝"/>
          <w:b w:val="1"/>
          <w:color w:val="auto"/>
          <w:highlight w:val="none"/>
        </w:rPr>
        <w:t xml:space="preserve"> </w:t>
      </w:r>
      <w:r>
        <w:rPr>
          <w:rFonts w:hint="eastAsia" w:ascii="ＭＳ 明朝" w:hAnsi="ＭＳ 明朝" w:eastAsia="ＭＳ 明朝"/>
          <w:b w:val="1"/>
          <w:color w:val="auto"/>
          <w:highlight w:val="none"/>
        </w:rPr>
        <w:t>医療機能別医療機関情報</w:t>
      </w:r>
    </w:p>
    <w:p>
      <w:pPr>
        <w:pStyle w:val="0"/>
        <w:snapToGrid w:val="0"/>
        <w:rPr>
          <w:rFonts w:hint="eastAsia" w:ascii="ＭＳ 明朝" w:hAnsi="ＭＳ 明朝" w:eastAsia="ＭＳ 明朝"/>
          <w:b w:val="1"/>
          <w:sz w:val="16"/>
          <w:highlight w:val="none"/>
        </w:rPr>
      </w:pPr>
    </w:p>
    <w:p>
      <w:pPr>
        <w:pStyle w:val="0"/>
        <w:rPr>
          <w:rFonts w:hint="eastAsia" w:ascii="ＭＳ 明朝" w:hAnsi="ＭＳ 明朝" w:eastAsia="ＭＳ 明朝"/>
          <w:b w:val="1"/>
          <w:color w:val="44546A" w:themeColor="text2"/>
          <w:sz w:val="22"/>
          <w:highlight w:val="none"/>
        </w:rPr>
      </w:pPr>
      <w:r>
        <w:rPr>
          <w:rFonts w:hint="eastAsia" w:ascii="ＭＳ 明朝" w:hAnsi="ＭＳ 明朝" w:eastAsia="ＭＳ 明朝"/>
          <w:b w:val="1"/>
          <w:color w:val="44546A" w:themeColor="text2"/>
          <w:sz w:val="22"/>
          <w:highlight w:val="none"/>
        </w:rPr>
        <w:t>１　急性心筋梗塞治療センター</w:t>
      </w:r>
    </w:p>
    <w:p>
      <w:pPr>
        <w:pStyle w:val="0"/>
        <w:ind w:left="444" w:leftChars="100" w:hanging="217" w:hangingChars="100"/>
        <w:rPr>
          <w:rFonts w:hint="eastAsia" w:ascii="ＭＳ 明朝" w:hAnsi="ＭＳ 明朝" w:eastAsia="ＭＳ 明朝"/>
          <w:sz w:val="20"/>
          <w:highlight w:val="none"/>
        </w:rPr>
      </w:pPr>
      <w:r>
        <w:rPr>
          <w:rFonts w:hint="eastAsia" w:ascii="ＭＳ 明朝" w:hAnsi="ＭＳ 明朝" w:eastAsia="ＭＳ 明朝"/>
          <w:sz w:val="20"/>
          <w:highlight w:val="none"/>
        </w:rPr>
        <w:t>急性心筋梗塞患者を常時、受入可能であることや心臓カテーテル術が実施可能な病院です。</w:t>
      </w:r>
    </w:p>
    <w:p>
      <w:pPr>
        <w:pStyle w:val="0"/>
        <w:spacing w:before="165" w:beforeLines="50" w:beforeAutospacing="0" w:after="165" w:afterLines="50" w:afterAutospacing="0" w:line="0" w:lineRule="atLeast"/>
        <w:ind w:firstLine="433" w:firstLineChars="200"/>
        <w:rPr>
          <w:rFonts w:hint="eastAsia" w:ascii="ＭＳ 明朝" w:hAnsi="ＭＳ 明朝" w:eastAsia="ＭＳ 明朝"/>
          <w:sz w:val="20"/>
          <w:highlight w:val="none"/>
        </w:rPr>
      </w:pPr>
      <w:r>
        <w:rPr>
          <w:rFonts w:hint="eastAsia" w:ascii="ＭＳ 明朝" w:hAnsi="ＭＳ 明朝" w:eastAsia="ＭＳ 明朝"/>
          <w:sz w:val="20"/>
          <w:highlight w:val="none"/>
        </w:rPr>
        <w:t>「急性心筋梗塞治療センター」の基本要件　</w:t>
      </w:r>
      <w:r>
        <w:rPr>
          <w:rFonts w:hint="eastAsia" w:ascii="ＭＳ 明朝" w:hAnsi="ＭＳ 明朝" w:eastAsia="ＭＳ 明朝"/>
          <w:sz w:val="20"/>
          <w:highlight w:val="none"/>
        </w:rPr>
        <w:t xml:space="preserve">  </w:t>
      </w:r>
      <w:r>
        <w:rPr>
          <w:rFonts w:hint="eastAsia" w:ascii="ＭＳ 明朝" w:hAnsi="ＭＳ 明朝" w:eastAsia="ＭＳ 明朝"/>
          <w:sz w:val="20"/>
          <w:highlight w:val="none"/>
        </w:rPr>
        <w:t>＊は必須要件</w:t>
      </w:r>
    </w:p>
    <w:p>
      <w:pPr>
        <w:pStyle w:val="0"/>
        <w:widowControl w:val="1"/>
        <w:ind w:firstLine="650" w:firstLineChars="300"/>
        <w:jc w:val="left"/>
        <w:rPr>
          <w:rFonts w:hint="eastAsia" w:ascii="ＭＳ 明朝" w:hAnsi="ＭＳ 明朝" w:eastAsia="ＭＳ 明朝"/>
          <w:sz w:val="20"/>
          <w:highlight w:val="none"/>
        </w:rPr>
      </w:pPr>
      <w:r>
        <w:rPr>
          <w:rFonts w:hint="eastAsia" w:ascii="ＭＳ 明朝" w:hAnsi="ＭＳ 明朝" w:eastAsia="ＭＳ 明朝"/>
          <w:sz w:val="20"/>
          <w:highlight w:val="none"/>
        </w:rPr>
        <w:t>＊</w:t>
      </w:r>
      <w:r>
        <w:rPr>
          <w:rFonts w:hint="eastAsia" w:ascii="ＭＳ 明朝" w:hAnsi="ＭＳ 明朝" w:eastAsia="ＭＳ 明朝"/>
          <w:sz w:val="20"/>
          <w:highlight w:val="none"/>
        </w:rPr>
        <w:t>(1)</w:t>
      </w:r>
      <w:r>
        <w:rPr>
          <w:rFonts w:hint="eastAsia" w:ascii="ＭＳ 明朝" w:hAnsi="ＭＳ 明朝" w:eastAsia="ＭＳ 明朝"/>
          <w:sz w:val="20"/>
          <w:highlight w:val="none"/>
        </w:rPr>
        <w:t>心筋梗塞患者常時受入れ可能　　　　　　　</w:t>
      </w:r>
      <w:r>
        <w:rPr>
          <w:rFonts w:hint="eastAsia" w:ascii="ＭＳ 明朝" w:hAnsi="ＭＳ 明朝" w:eastAsia="ＭＳ 明朝"/>
          <w:sz w:val="20"/>
          <w:highlight w:val="none"/>
        </w:rPr>
        <w:t xml:space="preserve"> </w:t>
      </w:r>
      <w:r>
        <w:rPr>
          <w:rFonts w:hint="eastAsia" w:ascii="ＭＳ 明朝" w:hAnsi="ＭＳ 明朝" w:eastAsia="ＭＳ 明朝"/>
          <w:sz w:val="20"/>
          <w:highlight w:val="none"/>
        </w:rPr>
        <w:t>　＊</w:t>
      </w:r>
      <w:r>
        <w:rPr>
          <w:rFonts w:hint="eastAsia" w:ascii="ＭＳ 明朝" w:hAnsi="ＭＳ 明朝" w:eastAsia="ＭＳ 明朝"/>
          <w:sz w:val="20"/>
          <w:highlight w:val="none"/>
        </w:rPr>
        <w:t>(2)</w:t>
      </w:r>
      <w:r>
        <w:rPr>
          <w:rFonts w:hint="eastAsia" w:ascii="ＭＳ 明朝" w:hAnsi="ＭＳ 明朝" w:eastAsia="ＭＳ 明朝"/>
          <w:sz w:val="20"/>
          <w:highlight w:val="none"/>
        </w:rPr>
        <w:t>常勤循環器専門医２人以上</w:t>
      </w:r>
    </w:p>
    <w:p>
      <w:pPr>
        <w:pStyle w:val="0"/>
        <w:widowControl w:val="1"/>
        <w:ind w:firstLine="650" w:firstLineChars="300"/>
        <w:jc w:val="left"/>
        <w:rPr>
          <w:rFonts w:hint="eastAsia" w:ascii="ＭＳ 明朝" w:hAnsi="ＭＳ 明朝" w:eastAsia="ＭＳ 明朝"/>
          <w:sz w:val="20"/>
          <w:highlight w:val="none"/>
        </w:rPr>
      </w:pPr>
      <w:r>
        <w:rPr>
          <w:rFonts w:hint="eastAsia" w:ascii="ＭＳ 明朝" w:hAnsi="ＭＳ 明朝" w:eastAsia="ＭＳ 明朝"/>
          <w:sz w:val="20"/>
          <w:highlight w:val="none"/>
        </w:rPr>
        <w:t>＊</w:t>
      </w:r>
      <w:r>
        <w:rPr>
          <w:rFonts w:hint="eastAsia" w:ascii="ＭＳ 明朝" w:hAnsi="ＭＳ 明朝" w:eastAsia="ＭＳ 明朝"/>
          <w:sz w:val="20"/>
          <w:highlight w:val="none"/>
        </w:rPr>
        <w:t>(3)</w:t>
      </w:r>
      <w:r>
        <w:rPr>
          <w:rFonts w:hint="eastAsia" w:ascii="ＭＳ 明朝" w:hAnsi="ＭＳ 明朝" w:eastAsia="ＭＳ 明朝"/>
          <w:sz w:val="20"/>
          <w:highlight w:val="none"/>
        </w:rPr>
        <w:t>緊急経皮的冠動脈形成術</w:t>
      </w:r>
      <w:r>
        <w:rPr>
          <w:rFonts w:hint="eastAsia" w:ascii="ＭＳ 明朝" w:hAnsi="ＭＳ 明朝" w:eastAsia="ＭＳ 明朝"/>
          <w:sz w:val="20"/>
          <w:highlight w:val="none"/>
        </w:rPr>
        <w:t>(PCI)24</w:t>
      </w:r>
      <w:r>
        <w:rPr>
          <w:rFonts w:hint="eastAsia" w:ascii="ＭＳ 明朝" w:hAnsi="ＭＳ 明朝" w:eastAsia="ＭＳ 明朝"/>
          <w:sz w:val="20"/>
          <w:highlight w:val="none"/>
        </w:rPr>
        <w:t>時間</w:t>
      </w:r>
      <w:r>
        <w:rPr>
          <w:rFonts w:hint="eastAsia" w:ascii="ＭＳ 明朝" w:hAnsi="ＭＳ 明朝" w:eastAsia="ＭＳ 明朝"/>
          <w:sz w:val="20"/>
          <w:highlight w:val="none"/>
        </w:rPr>
        <w:t>365</w:t>
      </w:r>
      <w:r>
        <w:rPr>
          <w:rFonts w:hint="eastAsia" w:ascii="ＭＳ 明朝" w:hAnsi="ＭＳ 明朝" w:eastAsia="ＭＳ 明朝"/>
          <w:sz w:val="20"/>
          <w:highlight w:val="none"/>
        </w:rPr>
        <w:t>日体制あり</w:t>
      </w:r>
    </w:p>
    <w:p>
      <w:pPr>
        <w:pStyle w:val="0"/>
        <w:widowControl w:val="1"/>
        <w:ind w:firstLine="650" w:firstLineChars="300"/>
        <w:jc w:val="left"/>
        <w:rPr>
          <w:rFonts w:hint="eastAsia" w:ascii="ＭＳ 明朝" w:hAnsi="ＭＳ 明朝" w:eastAsia="ＭＳ 明朝"/>
          <w:sz w:val="20"/>
          <w:highlight w:val="none"/>
        </w:rPr>
      </w:pPr>
      <w:r>
        <w:rPr>
          <w:rFonts w:hint="eastAsia" w:ascii="ＭＳ 明朝" w:hAnsi="ＭＳ 明朝" w:eastAsia="ＭＳ 明朝"/>
          <w:sz w:val="20"/>
          <w:highlight w:val="none"/>
        </w:rPr>
        <w:t>＊</w:t>
      </w:r>
      <w:r>
        <w:rPr>
          <w:rFonts w:hint="eastAsia" w:ascii="ＭＳ 明朝" w:hAnsi="ＭＳ 明朝" w:eastAsia="ＭＳ 明朝"/>
          <w:sz w:val="20"/>
          <w:highlight w:val="none"/>
        </w:rPr>
        <w:t>(4)</w:t>
      </w:r>
      <w:r>
        <w:rPr>
          <w:rFonts w:hint="eastAsia" w:ascii="ＭＳ 明朝" w:hAnsi="ＭＳ 明朝" w:eastAsia="ＭＳ 明朝"/>
          <w:sz w:val="20"/>
          <w:highlight w:val="none"/>
        </w:rPr>
        <w:t>冠動脈集中治療室</w:t>
      </w:r>
      <w:r>
        <w:rPr>
          <w:rFonts w:hint="eastAsia" w:ascii="ＭＳ 明朝" w:hAnsi="ＭＳ 明朝" w:eastAsia="ＭＳ 明朝"/>
          <w:sz w:val="20"/>
          <w:highlight w:val="none"/>
        </w:rPr>
        <w:t>(CCU)24</w:t>
      </w:r>
      <w:r>
        <w:rPr>
          <w:rFonts w:hint="eastAsia" w:ascii="ＭＳ 明朝" w:hAnsi="ＭＳ 明朝" w:eastAsia="ＭＳ 明朝"/>
          <w:sz w:val="20"/>
          <w:highlight w:val="none"/>
        </w:rPr>
        <w:t>時間</w:t>
      </w:r>
      <w:r>
        <w:rPr>
          <w:rFonts w:hint="eastAsia" w:ascii="ＭＳ 明朝" w:hAnsi="ＭＳ 明朝" w:eastAsia="ＭＳ 明朝"/>
          <w:sz w:val="20"/>
          <w:highlight w:val="none"/>
        </w:rPr>
        <w:t>365</w:t>
      </w:r>
      <w:r>
        <w:rPr>
          <w:rFonts w:hint="eastAsia" w:ascii="ＭＳ 明朝" w:hAnsi="ＭＳ 明朝" w:eastAsia="ＭＳ 明朝"/>
          <w:sz w:val="20"/>
          <w:highlight w:val="none"/>
        </w:rPr>
        <w:t>日体制あり　</w:t>
      </w:r>
      <w:r>
        <w:rPr>
          <w:rFonts w:hint="eastAsia" w:ascii="ＭＳ 明朝" w:hAnsi="ＭＳ 明朝" w:eastAsia="ＭＳ 明朝"/>
          <w:sz w:val="20"/>
          <w:highlight w:val="none"/>
        </w:rPr>
        <w:t xml:space="preserve"> (5)</w:t>
      </w:r>
      <w:r>
        <w:rPr>
          <w:rFonts w:hint="eastAsia" w:ascii="ＭＳ 明朝" w:hAnsi="ＭＳ 明朝" w:eastAsia="ＭＳ 明朝"/>
          <w:sz w:val="20"/>
          <w:highlight w:val="none"/>
        </w:rPr>
        <w:t>年間</w:t>
      </w:r>
      <w:r>
        <w:rPr>
          <w:rFonts w:hint="eastAsia" w:ascii="ＭＳ 明朝" w:hAnsi="ＭＳ 明朝" w:eastAsia="ＭＳ 明朝"/>
          <w:sz w:val="20"/>
          <w:highlight w:val="none"/>
        </w:rPr>
        <w:t>PCI</w:t>
      </w:r>
      <w:r>
        <w:rPr>
          <w:rFonts w:hint="eastAsia" w:ascii="ＭＳ 明朝" w:hAnsi="ＭＳ 明朝" w:eastAsia="ＭＳ 明朝"/>
          <w:sz w:val="20"/>
          <w:highlight w:val="none"/>
        </w:rPr>
        <w:t>数</w:t>
      </w:r>
      <w:r>
        <w:rPr>
          <w:rFonts w:hint="eastAsia" w:ascii="ＭＳ 明朝" w:hAnsi="ＭＳ 明朝" w:eastAsia="ＭＳ 明朝"/>
          <w:sz w:val="20"/>
          <w:highlight w:val="none"/>
        </w:rPr>
        <w:t>200</w:t>
      </w:r>
      <w:r>
        <w:rPr>
          <w:rFonts w:hint="eastAsia" w:ascii="ＭＳ 明朝" w:hAnsi="ＭＳ 明朝" w:eastAsia="ＭＳ 明朝"/>
          <w:sz w:val="20"/>
          <w:highlight w:val="none"/>
        </w:rPr>
        <w:t>例以上</w:t>
      </w:r>
    </w:p>
    <w:p>
      <w:pPr>
        <w:pStyle w:val="0"/>
        <w:ind w:firstLine="867" w:firstLineChars="400"/>
        <w:rPr>
          <w:rFonts w:hint="eastAsia" w:ascii="ＭＳ 明朝" w:hAnsi="ＭＳ 明朝" w:eastAsia="ＭＳ 明朝"/>
          <w:sz w:val="20"/>
          <w:highlight w:val="none"/>
        </w:rPr>
      </w:pPr>
      <w:r>
        <w:rPr>
          <w:rFonts w:hint="eastAsia" w:ascii="ＭＳ 明朝" w:hAnsi="ＭＳ 明朝" w:eastAsia="ＭＳ 明朝"/>
          <w:sz w:val="20"/>
          <w:highlight w:val="none"/>
        </w:rPr>
        <w:t>(6)</w:t>
      </w:r>
      <w:r>
        <w:rPr>
          <w:rFonts w:hint="eastAsia" w:ascii="ＭＳ 明朝" w:hAnsi="ＭＳ 明朝" w:eastAsia="ＭＳ 明朝"/>
          <w:sz w:val="20"/>
          <w:highlight w:val="none"/>
        </w:rPr>
        <w:t>年間入院急性心筋梗塞患者数</w:t>
      </w:r>
      <w:r>
        <w:rPr>
          <w:rFonts w:hint="eastAsia" w:ascii="ＭＳ 明朝" w:hAnsi="ＭＳ 明朝" w:eastAsia="ＭＳ 明朝"/>
          <w:sz w:val="20"/>
          <w:highlight w:val="none"/>
        </w:rPr>
        <w:t>100</w:t>
      </w:r>
      <w:r>
        <w:rPr>
          <w:rFonts w:hint="eastAsia" w:ascii="ＭＳ 明朝" w:hAnsi="ＭＳ 明朝" w:eastAsia="ＭＳ 明朝"/>
          <w:sz w:val="20"/>
          <w:highlight w:val="none"/>
        </w:rPr>
        <w:t>例以上</w:t>
      </w:r>
    </w:p>
    <w:p>
      <w:pPr>
        <w:pStyle w:val="0"/>
        <w:widowControl w:val="1"/>
        <w:ind w:firstLine="867" w:firstLineChars="400"/>
        <w:jc w:val="left"/>
        <w:rPr>
          <w:rFonts w:hint="eastAsia" w:ascii="ＭＳ 明朝" w:hAnsi="ＭＳ 明朝" w:eastAsia="ＭＳ 明朝"/>
          <w:sz w:val="20"/>
          <w:highlight w:val="none"/>
        </w:rPr>
      </w:pPr>
      <w:r>
        <w:rPr>
          <w:rFonts w:hint="eastAsia" w:ascii="ＭＳ 明朝" w:hAnsi="ＭＳ 明朝" w:eastAsia="ＭＳ 明朝"/>
          <w:sz w:val="20"/>
          <w:highlight w:val="none"/>
        </w:rPr>
        <w:t>(7)</w:t>
      </w:r>
      <w:r>
        <w:rPr>
          <w:rFonts w:hint="eastAsia" w:ascii="ＭＳ 明朝" w:hAnsi="ＭＳ 明朝" w:eastAsia="ＭＳ 明朝"/>
          <w:sz w:val="20"/>
          <w:highlight w:val="none"/>
        </w:rPr>
        <w:t>常勤心臓外科医と常勤麻酔科医各</w:t>
      </w:r>
      <w:r>
        <w:rPr>
          <w:rFonts w:hint="eastAsia" w:ascii="ＭＳ 明朝" w:hAnsi="ＭＳ 明朝" w:eastAsia="ＭＳ 明朝"/>
          <w:sz w:val="20"/>
          <w:highlight w:val="none"/>
        </w:rPr>
        <w:t>1</w:t>
      </w:r>
      <w:r>
        <w:rPr>
          <w:rFonts w:hint="eastAsia" w:ascii="ＭＳ 明朝" w:hAnsi="ＭＳ 明朝" w:eastAsia="ＭＳ 明朝"/>
          <w:sz w:val="20"/>
          <w:highlight w:val="none"/>
        </w:rPr>
        <w:t>名以上　</w:t>
      </w:r>
      <w:r>
        <w:rPr>
          <w:rFonts w:hint="eastAsia" w:ascii="ＭＳ 明朝" w:hAnsi="ＭＳ 明朝" w:eastAsia="ＭＳ 明朝"/>
          <w:sz w:val="20"/>
          <w:highlight w:val="none"/>
        </w:rPr>
        <w:t xml:space="preserve">   </w:t>
      </w:r>
      <w:r>
        <w:rPr>
          <w:rFonts w:hint="eastAsia" w:ascii="ＭＳ 明朝" w:hAnsi="ＭＳ 明朝" w:eastAsia="ＭＳ 明朝"/>
          <w:sz w:val="20"/>
          <w:highlight w:val="none"/>
        </w:rPr>
        <w:t>　</w:t>
      </w:r>
      <w:r>
        <w:rPr>
          <w:rFonts w:hint="eastAsia" w:ascii="ＭＳ 明朝" w:hAnsi="ＭＳ 明朝" w:eastAsia="ＭＳ 明朝"/>
          <w:sz w:val="20"/>
          <w:highlight w:val="none"/>
        </w:rPr>
        <w:t>(8)</w:t>
      </w:r>
      <w:r>
        <w:rPr>
          <w:rFonts w:hint="eastAsia" w:ascii="ＭＳ 明朝" w:hAnsi="ＭＳ 明朝" w:eastAsia="ＭＳ 明朝"/>
          <w:sz w:val="20"/>
          <w:highlight w:val="none"/>
        </w:rPr>
        <w:t>年間開心術数</w:t>
      </w:r>
      <w:r>
        <w:rPr>
          <w:rFonts w:hint="eastAsia" w:ascii="ＭＳ 明朝" w:hAnsi="ＭＳ 明朝" w:eastAsia="ＭＳ 明朝"/>
          <w:sz w:val="20"/>
          <w:highlight w:val="none"/>
        </w:rPr>
        <w:t>50</w:t>
      </w:r>
      <w:r>
        <w:rPr>
          <w:rFonts w:hint="eastAsia" w:ascii="ＭＳ 明朝" w:hAnsi="ＭＳ 明朝" w:eastAsia="ＭＳ 明朝"/>
          <w:sz w:val="20"/>
          <w:highlight w:val="none"/>
        </w:rPr>
        <w:t>例以上</w:t>
      </w:r>
    </w:p>
    <w:p>
      <w:pPr>
        <w:pStyle w:val="0"/>
        <w:widowControl w:val="1"/>
        <w:ind w:firstLine="867" w:firstLineChars="400"/>
        <w:jc w:val="left"/>
        <w:rPr>
          <w:rFonts w:hint="eastAsia" w:ascii="ＭＳ 明朝" w:hAnsi="ＭＳ 明朝" w:eastAsia="ＭＳ 明朝"/>
          <w:sz w:val="20"/>
          <w:highlight w:val="none"/>
        </w:rPr>
      </w:pPr>
      <w:r>
        <w:rPr>
          <w:rFonts w:hint="eastAsia" w:ascii="ＭＳ 明朝" w:hAnsi="ＭＳ 明朝" w:eastAsia="ＭＳ 明朝"/>
          <w:sz w:val="20"/>
          <w:highlight w:val="none"/>
        </w:rPr>
        <w:t>(9)</w:t>
      </w:r>
      <w:r>
        <w:rPr>
          <w:rFonts w:hint="eastAsia" w:ascii="ＭＳ 明朝" w:hAnsi="ＭＳ 明朝" w:eastAsia="ＭＳ 明朝"/>
          <w:sz w:val="20"/>
          <w:highlight w:val="none"/>
        </w:rPr>
        <w:t>緊急冠動脈バイパス術</w:t>
      </w:r>
      <w:r>
        <w:rPr>
          <w:rFonts w:hint="eastAsia" w:ascii="ＭＳ 明朝" w:hAnsi="ＭＳ 明朝" w:eastAsia="ＭＳ 明朝"/>
          <w:sz w:val="20"/>
          <w:highlight w:val="none"/>
        </w:rPr>
        <w:t>(CABG)24</w:t>
      </w:r>
      <w:r>
        <w:rPr>
          <w:rFonts w:hint="eastAsia" w:ascii="ＭＳ 明朝" w:hAnsi="ＭＳ 明朝" w:eastAsia="ＭＳ 明朝"/>
          <w:sz w:val="20"/>
          <w:highlight w:val="none"/>
        </w:rPr>
        <w:t>時間</w:t>
      </w:r>
      <w:r>
        <w:rPr>
          <w:rFonts w:hint="eastAsia" w:ascii="ＭＳ 明朝" w:hAnsi="ＭＳ 明朝" w:eastAsia="ＭＳ 明朝"/>
          <w:sz w:val="20"/>
          <w:highlight w:val="none"/>
        </w:rPr>
        <w:t>365</w:t>
      </w:r>
      <w:r>
        <w:rPr>
          <w:rFonts w:hint="eastAsia" w:ascii="ＭＳ 明朝" w:hAnsi="ＭＳ 明朝" w:eastAsia="ＭＳ 明朝"/>
          <w:sz w:val="20"/>
          <w:highlight w:val="none"/>
        </w:rPr>
        <w:t>日体制あり</w:t>
      </w:r>
    </w:p>
    <w:p>
      <w:pPr>
        <w:pStyle w:val="0"/>
        <w:ind w:firstLine="867" w:firstLineChars="400"/>
        <w:rPr>
          <w:rFonts w:hint="eastAsia" w:ascii="ＭＳ 明朝" w:hAnsi="ＭＳ 明朝" w:eastAsia="ＭＳ 明朝"/>
          <w:sz w:val="20"/>
          <w:highlight w:val="none"/>
        </w:rPr>
      </w:pPr>
      <w:r>
        <w:rPr>
          <w:rFonts w:hint="eastAsia" w:ascii="ＭＳ 明朝" w:hAnsi="ＭＳ 明朝" w:eastAsia="ＭＳ 明朝"/>
          <w:sz w:val="20"/>
          <w:highlight w:val="none"/>
        </w:rPr>
        <w:t>(10)</w:t>
      </w:r>
      <w:r>
        <w:rPr>
          <w:rFonts w:hint="eastAsia" w:ascii="ＭＳ 明朝" w:hAnsi="ＭＳ 明朝" w:eastAsia="ＭＳ 明朝"/>
          <w:sz w:val="20"/>
          <w:highlight w:val="none"/>
        </w:rPr>
        <w:t>急性期心臓リハビリテーション実施体制あり</w:t>
      </w:r>
      <w:r>
        <w:rPr>
          <w:rFonts w:hint="eastAsia" w:ascii="ＭＳ 明朝" w:hAnsi="ＭＳ 明朝" w:eastAsia="ＭＳ 明朝"/>
          <w:sz w:val="20"/>
          <w:highlight w:val="none"/>
        </w:rPr>
        <w:t xml:space="preserve">  </w:t>
      </w:r>
      <w:r>
        <w:rPr>
          <w:rFonts w:hint="eastAsia" w:ascii="ＭＳ 明朝" w:hAnsi="ＭＳ 明朝" w:eastAsia="ＭＳ 明朝"/>
          <w:sz w:val="20"/>
          <w:highlight w:val="none"/>
        </w:rPr>
        <w:t>＊</w:t>
      </w:r>
      <w:r>
        <w:rPr>
          <w:rFonts w:hint="eastAsia" w:ascii="ＭＳ 明朝" w:hAnsi="ＭＳ 明朝" w:eastAsia="ＭＳ 明朝"/>
          <w:sz w:val="20"/>
          <w:highlight w:val="none"/>
        </w:rPr>
        <w:t>(11)</w:t>
      </w:r>
      <w:r>
        <w:rPr>
          <w:rFonts w:hint="eastAsia" w:ascii="ＭＳ 明朝" w:hAnsi="ＭＳ 明朝" w:eastAsia="ＭＳ 明朝"/>
          <w:sz w:val="20"/>
          <w:highlight w:val="none"/>
        </w:rPr>
        <w:t>治療成績の公表</w:t>
      </w:r>
    </w:p>
    <w:p>
      <w:pPr>
        <w:pStyle w:val="0"/>
        <w:spacing w:before="165" w:beforeLines="50" w:beforeAutospacing="0"/>
        <w:ind w:firstLine="340" w:firstLineChars="150"/>
        <w:jc w:val="center"/>
        <w:rPr>
          <w:rFonts w:hint="eastAsia" w:ascii="ＭＳ ゴシック" w:hAnsi="ＭＳ ゴシック" w:eastAsia="ＭＳ ゴシック"/>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6-3-26</w:t>
      </w:r>
      <w:r>
        <w:rPr>
          <w:rFonts w:hint="eastAsia" w:ascii="ＭＳ ゴシック" w:hAnsi="ＭＳ ゴシック" w:eastAsia="ＭＳ ゴシック"/>
          <w:sz w:val="22"/>
          <w:highlight w:val="none"/>
        </w:rPr>
        <w:t>）急性心筋梗塞治療センター</w:t>
      </w:r>
    </w:p>
    <w:tbl>
      <w:tblPr>
        <w:tblStyle w:val="11"/>
        <w:tblW w:w="8505" w:type="dxa"/>
        <w:jc w:val="left"/>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1559"/>
        <w:gridCol w:w="6946"/>
      </w:tblGrid>
      <w:tr>
        <w:trPr/>
        <w:tc>
          <w:tcPr>
            <w:tcW w:w="1559"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6946"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　療　機　関</w:t>
            </w:r>
          </w:p>
        </w:tc>
      </w:tr>
      <w:tr>
        <w:trPr/>
        <w:tc>
          <w:tcPr>
            <w:tcW w:w="1559"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安芸（</w:t>
            </w:r>
            <w:r>
              <w:rPr>
                <w:rFonts w:hint="eastAsia" w:ascii="ＭＳ 明朝" w:hAnsi="ＭＳ 明朝" w:eastAsia="ＭＳ 明朝"/>
                <w:sz w:val="20"/>
                <w:highlight w:val="none"/>
              </w:rPr>
              <w:t>1</w:t>
            </w:r>
            <w:r>
              <w:rPr>
                <w:rFonts w:hint="eastAsia" w:ascii="ＭＳ 明朝" w:hAnsi="ＭＳ 明朝" w:eastAsia="ＭＳ 明朝"/>
                <w:sz w:val="20"/>
                <w:highlight w:val="none"/>
              </w:rPr>
              <w:t>）</w:t>
            </w:r>
          </w:p>
        </w:tc>
        <w:tc>
          <w:tcPr>
            <w:tcW w:w="6946" w:type="dxa"/>
            <w:vAlign w:val="top"/>
          </w:tcPr>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あき総合病院</w:t>
            </w:r>
          </w:p>
        </w:tc>
      </w:tr>
      <w:tr>
        <w:trPr/>
        <w:tc>
          <w:tcPr>
            <w:tcW w:w="1559"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中央</w:t>
            </w:r>
            <w:r>
              <w:rPr>
                <w:rFonts w:hint="eastAsia" w:ascii="ＭＳ 明朝" w:hAnsi="ＭＳ 明朝" w:eastAsia="ＭＳ 明朝"/>
                <w:sz w:val="20"/>
                <w:highlight w:val="none"/>
              </w:rPr>
              <w:t>(4)</w:t>
            </w:r>
          </w:p>
        </w:tc>
        <w:tc>
          <w:tcPr>
            <w:tcW w:w="6946" w:type="dxa"/>
            <w:vAlign w:val="top"/>
          </w:tcPr>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近森病院　　　　　　　　高知医療センター　　　　　　　　</w:t>
            </w:r>
          </w:p>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高知赤十字病院　　　　　高知大学医学部附属病院　　　　　</w:t>
            </w:r>
          </w:p>
        </w:tc>
      </w:tr>
      <w:tr>
        <w:trPr/>
        <w:tc>
          <w:tcPr>
            <w:tcW w:w="1559"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幡多</w:t>
            </w:r>
            <w:r>
              <w:rPr>
                <w:rFonts w:hint="eastAsia" w:ascii="ＭＳ 明朝" w:hAnsi="ＭＳ 明朝" w:eastAsia="ＭＳ 明朝"/>
                <w:sz w:val="20"/>
                <w:highlight w:val="none"/>
              </w:rPr>
              <w:t>(1)</w:t>
            </w:r>
          </w:p>
        </w:tc>
        <w:tc>
          <w:tcPr>
            <w:tcW w:w="6946" w:type="dxa"/>
            <w:vAlign w:val="center"/>
          </w:tcPr>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幡多けんみん病院</w:t>
            </w:r>
          </w:p>
        </w:tc>
      </w:tr>
    </w:tbl>
    <w:p>
      <w:pPr>
        <w:pStyle w:val="0"/>
        <w:spacing w:line="0" w:lineRule="atLeast"/>
        <w:ind w:leftChars="0" w:firstLineChars="0"/>
        <w:rPr>
          <w:rFonts w:hint="eastAsia" w:ascii="ＭＳ 明朝" w:hAnsi="ＭＳ 明朝" w:eastAsia="ＭＳ 明朝"/>
          <w:b w:val="1"/>
          <w:color w:val="44546A" w:themeColor="text2"/>
          <w:sz w:val="21"/>
          <w:highlight w:val="none"/>
        </w:rPr>
      </w:pPr>
    </w:p>
    <w:p>
      <w:pPr>
        <w:pStyle w:val="0"/>
        <w:rPr>
          <w:rFonts w:hint="eastAsia" w:ascii="ＭＳ 明朝" w:hAnsi="ＭＳ 明朝" w:eastAsia="ＭＳ 明朝"/>
          <w:b w:val="1"/>
          <w:color w:val="44546A" w:themeColor="text2"/>
          <w:sz w:val="22"/>
          <w:highlight w:val="none"/>
        </w:rPr>
      </w:pPr>
      <w:r>
        <w:rPr>
          <w:rFonts w:hint="eastAsia" w:ascii="ＭＳ 明朝" w:hAnsi="ＭＳ 明朝" w:eastAsia="ＭＳ 明朝"/>
          <w:b w:val="1"/>
          <w:color w:val="44546A" w:themeColor="text2"/>
          <w:sz w:val="22"/>
          <w:highlight w:val="none"/>
        </w:rPr>
        <w:t>２　急性心筋梗塞治療機能別病院情報</w:t>
      </w:r>
    </w:p>
    <w:p>
      <w:pPr>
        <w:pStyle w:val="0"/>
        <w:ind w:firstLine="340" w:firstLineChars="150"/>
        <w:jc w:val="center"/>
        <w:rPr>
          <w:rFonts w:hint="eastAsia" w:ascii="ＭＳ 明朝" w:hAnsi="ＭＳ 明朝" w:eastAsia="ＭＳ 明朝"/>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6-3-27</w:t>
      </w:r>
      <w:r>
        <w:rPr>
          <w:rFonts w:hint="eastAsia" w:ascii="ＭＳ ゴシック" w:hAnsi="ＭＳ ゴシック" w:eastAsia="ＭＳ ゴシック"/>
          <w:sz w:val="22"/>
          <w:highlight w:val="none"/>
        </w:rPr>
        <w:t>）救命救急センタ－を有する医療機関</w:t>
      </w:r>
    </w:p>
    <w:tbl>
      <w:tblPr>
        <w:tblStyle w:val="11"/>
        <w:tblW w:w="8505" w:type="dxa"/>
        <w:jc w:val="left"/>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1559"/>
        <w:gridCol w:w="6946"/>
      </w:tblGrid>
      <w:tr>
        <w:trPr/>
        <w:tc>
          <w:tcPr>
            <w:tcW w:w="1559"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6946"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　療　機　関</w:t>
            </w:r>
          </w:p>
        </w:tc>
      </w:tr>
      <w:tr>
        <w:trPr/>
        <w:tc>
          <w:tcPr>
            <w:tcW w:w="1559"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中央</w:t>
            </w:r>
            <w:r>
              <w:rPr>
                <w:rFonts w:hint="eastAsia" w:ascii="ＭＳ 明朝" w:hAnsi="ＭＳ 明朝" w:eastAsia="ＭＳ 明朝"/>
                <w:sz w:val="20"/>
                <w:highlight w:val="none"/>
              </w:rPr>
              <w:t>(3)</w:t>
            </w:r>
          </w:p>
        </w:tc>
        <w:tc>
          <w:tcPr>
            <w:tcW w:w="6946" w:type="dxa"/>
            <w:vAlign w:val="top"/>
          </w:tcPr>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近森病院　　　高知医療センター　　　　高知赤十字病院　　　　</w:t>
            </w:r>
          </w:p>
        </w:tc>
      </w:tr>
    </w:tbl>
    <w:p>
      <w:pPr>
        <w:pStyle w:val="0"/>
        <w:spacing w:line="0" w:lineRule="atLeast"/>
        <w:ind w:leftChars="0" w:firstLine="4079" w:firstLineChars="2308"/>
        <w:rPr>
          <w:rFonts w:hint="eastAsia" w:ascii="ＭＳ 明朝" w:hAnsi="ＭＳ 明朝" w:eastAsia="ＭＳ 明朝"/>
          <w:sz w:val="16"/>
          <w:highlight w:val="none"/>
        </w:rPr>
      </w:pPr>
      <w:r>
        <w:rPr>
          <w:rFonts w:hint="eastAsia" w:ascii="ＭＳ 明朝" w:hAnsi="ＭＳ 明朝" w:eastAsia="ＭＳ 明朝"/>
          <w:sz w:val="16"/>
          <w:highlight w:val="none"/>
        </w:rPr>
        <w:t>　　出典：日本救急医学会「全国救命救急センター設置状況」</w:t>
      </w:r>
    </w:p>
    <w:p>
      <w:pPr>
        <w:pStyle w:val="0"/>
        <w:spacing w:line="0" w:lineRule="atLeast"/>
        <w:ind w:firstLine="1679" w:firstLineChars="950"/>
        <w:rPr>
          <w:rFonts w:hint="eastAsia" w:ascii="ＭＳ 明朝" w:hAnsi="ＭＳ 明朝" w:eastAsia="ＭＳ 明朝"/>
          <w:sz w:val="16"/>
          <w:highlight w:val="none"/>
        </w:rPr>
      </w:pPr>
    </w:p>
    <w:p>
      <w:pPr>
        <w:pStyle w:val="0"/>
        <w:spacing w:before="165" w:beforeLines="50" w:beforeAutospacing="0"/>
        <w:ind w:firstLine="340" w:firstLineChars="150"/>
        <w:jc w:val="center"/>
        <w:rPr>
          <w:rFonts w:hint="eastAsia" w:ascii="ＭＳ 明朝" w:hAnsi="ＭＳ 明朝" w:eastAsia="ＭＳ 明朝"/>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6-3-28</w:t>
      </w:r>
      <w:r>
        <w:rPr>
          <w:rFonts w:hint="eastAsia" w:ascii="ＭＳ ゴシック" w:hAnsi="ＭＳ ゴシック" w:eastAsia="ＭＳ ゴシック"/>
          <w:sz w:val="22"/>
          <w:highlight w:val="none"/>
        </w:rPr>
        <w:t>）心臓血管手術（冠動脈バイパス術）が実施可能な医療機関</w:t>
      </w:r>
    </w:p>
    <w:tbl>
      <w:tblPr>
        <w:tblStyle w:val="11"/>
        <w:tblW w:w="8505" w:type="dxa"/>
        <w:jc w:val="left"/>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1559"/>
        <w:gridCol w:w="6946"/>
      </w:tblGrid>
      <w:tr>
        <w:trPr/>
        <w:tc>
          <w:tcPr>
            <w:tcW w:w="1559"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6946"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　療　機　関</w:t>
            </w:r>
          </w:p>
        </w:tc>
      </w:tr>
      <w:tr>
        <w:trPr/>
        <w:tc>
          <w:tcPr>
            <w:tcW w:w="1559"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中央</w:t>
            </w:r>
            <w:r>
              <w:rPr>
                <w:rFonts w:hint="eastAsia" w:ascii="ＭＳ 明朝" w:hAnsi="ＭＳ 明朝" w:eastAsia="ＭＳ 明朝"/>
                <w:sz w:val="20"/>
                <w:highlight w:val="none"/>
              </w:rPr>
              <w:t>(4)</w:t>
            </w:r>
          </w:p>
        </w:tc>
        <w:tc>
          <w:tcPr>
            <w:tcW w:w="6946" w:type="dxa"/>
            <w:vAlign w:val="top"/>
          </w:tcPr>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近森病院　　　　　　　　高知医療センター　　　　　　　　</w:t>
            </w:r>
          </w:p>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高知赤十字病院　　　　　高知大学医学部附属病院　　　　　</w:t>
            </w:r>
          </w:p>
        </w:tc>
      </w:tr>
    </w:tbl>
    <w:p>
      <w:pPr>
        <w:pStyle w:val="0"/>
        <w:autoSpaceDE w:val="0"/>
        <w:autoSpaceDN w:val="0"/>
        <w:adjustRightInd w:val="0"/>
        <w:snapToGrid w:val="0"/>
        <w:ind w:firstLine="947" w:firstLineChars="400"/>
        <w:jc w:val="right"/>
        <w:rPr>
          <w:rFonts w:hint="eastAsia" w:ascii="ＭＳ 明朝" w:hAnsi="ＭＳ 明朝" w:eastAsia="ＭＳ 明朝"/>
          <w:highlight w:val="none"/>
        </w:rPr>
      </w:pP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令和５年医療機能情報</w:t>
      </w:r>
    </w:p>
    <w:p>
      <w:pPr>
        <w:pStyle w:val="0"/>
        <w:spacing w:before="165" w:beforeLines="50" w:beforeAutospacing="0"/>
        <w:ind w:right="190" w:rightChars="84" w:firstLine="340" w:firstLineChars="150"/>
        <w:jc w:val="center"/>
        <w:rPr>
          <w:rFonts w:hint="eastAsia" w:ascii="ＭＳ 明朝" w:hAnsi="ＭＳ 明朝" w:eastAsia="ＭＳ 明朝"/>
          <w:sz w:val="16"/>
          <w:highlight w:val="none"/>
        </w:rPr>
      </w:pP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6-3-29</w:t>
      </w:r>
      <w:r>
        <w:rPr>
          <w:rFonts w:hint="eastAsia" w:ascii="ＭＳ ゴシック" w:hAnsi="ＭＳ ゴシック" w:eastAsia="ＭＳ ゴシック"/>
          <w:color w:val="auto"/>
          <w:sz w:val="22"/>
          <w:highlight w:val="none"/>
          <w:u w:val="none" w:color="auto"/>
        </w:rPr>
        <w:t>）心大血管リハビリテーション届出医療機関</w:t>
      </w:r>
    </w:p>
    <w:tbl>
      <w:tblPr>
        <w:tblStyle w:val="11"/>
        <w:tblW w:w="8505" w:type="dxa"/>
        <w:jc w:val="left"/>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559"/>
        <w:gridCol w:w="6946"/>
      </w:tblGrid>
      <w:tr>
        <w:trPr/>
        <w:tc>
          <w:tcPr>
            <w:tcW w:w="1559" w:type="dxa"/>
            <w:shd w:val="clear" w:color="auto" w:fill="DAEEF3"/>
            <w:vAlign w:val="top"/>
          </w:tcPr>
          <w:p>
            <w:pPr>
              <w:pStyle w:val="0"/>
              <w:tabs>
                <w:tab w:val="left" w:leader="none" w:pos="7704"/>
              </w:tabs>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6946" w:type="dxa"/>
            <w:shd w:val="clear" w:color="auto" w:fill="DAEEF3"/>
            <w:vAlign w:val="center"/>
          </w:tcPr>
          <w:p>
            <w:pPr>
              <w:pStyle w:val="0"/>
              <w:tabs>
                <w:tab w:val="left" w:leader="none" w:pos="7704"/>
              </w:tabs>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　療　機　関</w:t>
            </w:r>
          </w:p>
        </w:tc>
      </w:tr>
      <w:tr>
        <w:trPr>
          <w:trHeight w:val="350" w:hRule="atLeast"/>
        </w:trPr>
        <w:tc>
          <w:tcPr>
            <w:tcW w:w="1559" w:type="dxa"/>
            <w:shd w:val="clear" w:color="auto" w:fill="DAEEF3"/>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安芸</w:t>
            </w:r>
            <w:r>
              <w:rPr>
                <w:rFonts w:hint="eastAsia" w:ascii="ＭＳ 明朝" w:hAnsi="ＭＳ 明朝" w:eastAsia="ＭＳ 明朝"/>
                <w:color w:val="auto"/>
                <w:sz w:val="20"/>
                <w:highlight w:val="none"/>
                <w:u w:val="none" w:color="auto"/>
              </w:rPr>
              <w:t>(1)</w:t>
            </w:r>
          </w:p>
        </w:tc>
        <w:tc>
          <w:tcPr>
            <w:tcW w:w="6946" w:type="dxa"/>
            <w:vAlign w:val="top"/>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あき総合病院</w:t>
            </w:r>
          </w:p>
        </w:tc>
      </w:tr>
      <w:tr>
        <w:trPr>
          <w:trHeight w:val="350" w:hRule="atLeast"/>
        </w:trPr>
        <w:tc>
          <w:tcPr>
            <w:tcW w:w="1559" w:type="dxa"/>
            <w:shd w:val="clear" w:color="auto" w:fill="DAEEF3"/>
            <w:vAlign w:val="center"/>
          </w:tcPr>
          <w:p>
            <w:pPr>
              <w:pStyle w:val="0"/>
              <w:tabs>
                <w:tab w:val="left" w:leader="none" w:pos="7704"/>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中央</w:t>
            </w:r>
            <w:r>
              <w:rPr>
                <w:rFonts w:hint="eastAsia" w:ascii="ＭＳ 明朝" w:hAnsi="ＭＳ 明朝" w:eastAsia="ＭＳ 明朝"/>
                <w:color w:val="auto"/>
                <w:sz w:val="20"/>
                <w:highlight w:val="none"/>
                <w:u w:val="none" w:color="auto"/>
              </w:rPr>
              <w:t>(8)</w:t>
            </w:r>
          </w:p>
        </w:tc>
        <w:tc>
          <w:tcPr>
            <w:tcW w:w="6946" w:type="dxa"/>
            <w:vAlign w:val="top"/>
          </w:tcPr>
          <w:p>
            <w:pPr>
              <w:pStyle w:val="0"/>
              <w:tabs>
                <w:tab w:val="left" w:leader="none" w:pos="7704"/>
              </w:tabs>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近森病院　　細木病院　　福田心臓・消化器科内科</w:t>
            </w:r>
          </w:p>
          <w:p>
            <w:pPr>
              <w:pStyle w:val="0"/>
              <w:tabs>
                <w:tab w:val="left" w:leader="none" w:pos="7704"/>
              </w:tabs>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いずみの病院　　高知医療センター　　帯屋町ハートクリニック</w:t>
            </w:r>
          </w:p>
          <w:p>
            <w:pPr>
              <w:pStyle w:val="0"/>
              <w:tabs>
                <w:tab w:val="left" w:leader="none" w:pos="7704"/>
              </w:tabs>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高知赤十字病院　　　高知大学医学部附属病院</w:t>
            </w:r>
          </w:p>
        </w:tc>
      </w:tr>
      <w:tr>
        <w:trPr>
          <w:trHeight w:val="303" w:hRule="atLeast"/>
        </w:trPr>
        <w:tc>
          <w:tcPr>
            <w:tcW w:w="1559" w:type="dxa"/>
            <w:shd w:val="clear" w:color="auto" w:fill="DAEEF3"/>
            <w:vAlign w:val="center"/>
          </w:tcPr>
          <w:p>
            <w:pPr>
              <w:pStyle w:val="0"/>
              <w:tabs>
                <w:tab w:val="left" w:leader="none" w:pos="7704"/>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高幡</w:t>
            </w:r>
            <w:r>
              <w:rPr>
                <w:rFonts w:hint="eastAsia" w:ascii="ＭＳ 明朝" w:hAnsi="ＭＳ 明朝" w:eastAsia="ＭＳ 明朝"/>
                <w:color w:val="auto"/>
                <w:sz w:val="20"/>
                <w:highlight w:val="none"/>
                <w:u w:val="none" w:color="auto"/>
              </w:rPr>
              <w:t>(3)</w:t>
            </w:r>
          </w:p>
        </w:tc>
        <w:tc>
          <w:tcPr>
            <w:tcW w:w="6946" w:type="dxa"/>
            <w:vAlign w:val="top"/>
          </w:tcPr>
          <w:p>
            <w:pPr>
              <w:pStyle w:val="0"/>
              <w:tabs>
                <w:tab w:val="left" w:leader="none" w:pos="7704"/>
              </w:tabs>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高陵病院　　須崎くろしお病院</w:t>
            </w:r>
            <w:r>
              <w:rPr>
                <w:rFonts w:hint="eastAsia" w:ascii="ＭＳ 明朝" w:hAnsi="ＭＳ 明朝" w:eastAsia="ＭＳ 明朝"/>
                <w:color w:val="auto"/>
                <w:sz w:val="20"/>
                <w:highlight w:val="none"/>
                <w:u w:val="none" w:color="auto"/>
              </w:rPr>
              <w:t xml:space="preserve">    </w:t>
            </w:r>
            <w:r>
              <w:rPr>
                <w:rFonts w:hint="eastAsia" w:ascii="ＭＳ 明朝" w:hAnsi="ＭＳ 明朝" w:eastAsia="ＭＳ 明朝"/>
                <w:color w:val="auto"/>
                <w:sz w:val="20"/>
                <w:highlight w:val="none"/>
                <w:u w:val="none" w:color="auto"/>
              </w:rPr>
              <w:t>くぼかわ病院</w:t>
            </w:r>
          </w:p>
        </w:tc>
      </w:tr>
      <w:tr>
        <w:trPr>
          <w:trHeight w:val="303" w:hRule="atLeast"/>
        </w:trPr>
        <w:tc>
          <w:tcPr>
            <w:tcW w:w="1559" w:type="dxa"/>
            <w:shd w:val="clear" w:color="auto" w:fill="DAEEF3"/>
            <w:vAlign w:val="center"/>
          </w:tcPr>
          <w:p>
            <w:pPr>
              <w:pStyle w:val="0"/>
              <w:tabs>
                <w:tab w:val="left" w:leader="none" w:pos="7704"/>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幡多</w:t>
            </w:r>
            <w:r>
              <w:rPr>
                <w:rFonts w:hint="eastAsia" w:ascii="ＭＳ 明朝" w:hAnsi="ＭＳ 明朝" w:eastAsia="ＭＳ 明朝"/>
                <w:color w:val="auto"/>
                <w:sz w:val="20"/>
                <w:highlight w:val="none"/>
                <w:u w:val="none" w:color="auto"/>
              </w:rPr>
              <w:t>(3)</w:t>
            </w:r>
          </w:p>
        </w:tc>
        <w:tc>
          <w:tcPr>
            <w:tcW w:w="6946" w:type="dxa"/>
            <w:vAlign w:val="top"/>
          </w:tcPr>
          <w:p>
            <w:pPr>
              <w:pStyle w:val="0"/>
              <w:tabs>
                <w:tab w:val="left" w:leader="none" w:pos="7704"/>
              </w:tabs>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竹本病院　　温クリニック四万十　　幡多けんみん病院</w:t>
            </w:r>
          </w:p>
        </w:tc>
      </w:tr>
    </w:tbl>
    <w:p>
      <w:pPr>
        <w:pStyle w:val="0"/>
        <w:spacing w:line="0" w:lineRule="atLeast"/>
        <w:ind w:left="696" w:leftChars="307" w:right="190" w:rightChars="84" w:firstLine="177" w:firstLineChars="100"/>
        <w:jc w:val="right"/>
        <w:rPr>
          <w:rFonts w:hint="eastAsia"/>
          <w:highlight w:val="none"/>
        </w:rPr>
      </w:pPr>
      <w:r>
        <w:rPr>
          <w:rFonts w:hint="eastAsia" w:ascii="ＭＳ 明朝" w:hAnsi="ＭＳ 明朝" w:eastAsia="ＭＳ 明朝"/>
          <w:sz w:val="16"/>
          <w:highlight w:val="none"/>
        </w:rPr>
        <w:t>出典：</w:t>
      </w:r>
      <w:r>
        <w:rPr>
          <w:rFonts w:hint="eastAsia" w:asciiTheme="minorEastAsia" w:hAnsiTheme="minorEastAsia"/>
          <w:color w:val="auto"/>
          <w:sz w:val="16"/>
          <w:highlight w:val="none"/>
          <w:u w:val="none" w:color="auto"/>
        </w:rPr>
        <w:t>四国厚生支局　施設基準の届出受理状況</w:t>
      </w:r>
      <w:r>
        <w:rPr>
          <w:rFonts w:hint="eastAsia" w:ascii="ＭＳ 明朝" w:hAnsi="ＭＳ 明朝" w:eastAsia="ＭＳ 明朝"/>
          <w:color w:val="auto"/>
          <w:sz w:val="16"/>
          <w:highlight w:val="none"/>
          <w:u w:val="none" w:color="auto"/>
        </w:rPr>
        <w:t>(</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年</w:t>
      </w:r>
      <w:r>
        <w:rPr>
          <w:rFonts w:hint="eastAsia" w:ascii="ＭＳ 明朝" w:hAnsi="ＭＳ 明朝" w:eastAsia="ＭＳ 明朝"/>
          <w:color w:val="auto"/>
          <w:sz w:val="16"/>
          <w:highlight w:val="none"/>
          <w:u w:val="none" w:color="auto"/>
        </w:rPr>
        <w:t>10</w:t>
      </w:r>
      <w:r>
        <w:rPr>
          <w:rFonts w:hint="eastAsia" w:ascii="ＭＳ 明朝" w:hAnsi="ＭＳ 明朝" w:eastAsia="ＭＳ 明朝"/>
          <w:color w:val="auto"/>
          <w:sz w:val="16"/>
          <w:highlight w:val="none"/>
          <w:u w:val="none" w:color="auto"/>
        </w:rPr>
        <w:t>月</w:t>
      </w:r>
      <w:r>
        <w:rPr>
          <w:rFonts w:hint="eastAsia" w:ascii="ＭＳ 明朝" w:hAnsi="ＭＳ 明朝" w:eastAsia="ＭＳ 明朝"/>
          <w:color w:val="auto"/>
          <w:sz w:val="16"/>
          <w:highlight w:val="none"/>
          <w:u w:val="none" w:color="auto"/>
        </w:rPr>
        <w:t>)</w:t>
      </w:r>
    </w:p>
    <w:sectPr>
      <w:footerReference r:id="rId5" w:type="default"/>
      <w:pgSz w:w="11906" w:h="16838"/>
      <w:pgMar w:top="1418" w:right="1418" w:bottom="1418" w:left="1418" w:header="567" w:footer="720" w:gutter="0"/>
      <w:pgNumType w:fmt="numberInDash" w:start="140"/>
      <w:cols w:space="720"/>
      <w:noEndnote w:val="1"/>
      <w:textDirection w:val="lrTb"/>
      <w:docGrid w:type="linesAndChars" w:linePitch="350" w:charSpace="1228"/>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lr SVbN">
    <w:panose1 w:val="00000000000000000000"/>
    <w:charset w:val="00"/>
    <w:family w:val="roman"/>
    <w:pitch w:val="fixed"/>
    <w:sig w:usb0="00000000" w:usb1="00000000" w:usb2="00000000" w:usb3="00000000" w:csb0="00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2"/>
            <w:rFonts w:hint="eastAsia"/>
          </w:rPr>
          <w:t>- 147 -</w:t>
        </w:r>
        <w:r>
          <w:rPr>
            <w:rFonts w:hint="eastAsia"/>
          </w:rPr>
          <w:fldChar w:fldCharType="end"/>
        </w:r>
      </w:p>
    </w:sdtContent>
  </w:sdt>
  <w:p>
    <w:pPr>
      <w:pStyle w:val="0"/>
      <w:rPr>
        <w:rFonts w:hint="eastAsia"/>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oNotTrackMoves/>
  <w:doNotTrackFormatting/>
  <w:defaultTabStop w:val="720"/>
  <w:hyphenationZone w:val="0"/>
  <w:doNotHyphenateCaps/>
  <w:defaultTableStyle w:val="45"/>
  <w:drawingGridHorizontalSpacing w:val="225"/>
  <w:drawingGridVerticalSpacing w:val="175"/>
  <w:displayVerticalDrawingGridEvery w:val="2"/>
  <w:doNotShadeFormData/>
  <w:characterSpacingControl w:val="compressPunctuationAndJapaneseKana"/>
  <w:strictFirstAndLastChars/>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o:rules v:ext="edit">
        <o:r id="V:Rule2" type="connector" idref="#_x0000_s1147">
          <o:proxy start="" idref="#_x0000_s0" connectloc="-1"/>
          <o:proxy end="" idref="#_x0000_s0" connectloc="-1"/>
        </o:r>
        <o:r id="V:Rule4" type="connector" idref="#_x0000_s1130">
          <o:proxy start="" idref="#_x0000_s0" connectloc="-1"/>
          <o:proxy end="" idref="#_x0000_s0" connectloc="-1"/>
        </o:r>
        <o:r id="V:Rule52" type="connector" idref="#_x0000_s1138">
          <o:proxy start="" idref="#_x0000_s0" connectloc="-1"/>
          <o:proxy end="" idref="#_x0000_s0" connectloc="-1"/>
        </o:r>
        <o:r id="V:Rule98" type="connector" idref="#_x0000_s1146">
          <o:proxy start="" idref="#_x0000_s0" connectloc="-1"/>
          <o:proxy end="" idref="#_x0000_s0" connectloc="-1"/>
        </o:r>
        <o:r id="V:Rule100" type="connector" idref="#_x0000_s1129">
          <o:proxy start="" idref="#_x0000_s0" connectloc="-1"/>
          <o:proxy end="" idref="#_x0000_s0" connectloc="-1"/>
        </o:r>
        <o:r id="V:Rule144" type="connector" idref="#_x0000_s1137">
          <o:proxy start="" idref="#_x0000_s0" connectloc="-1"/>
          <o:proxy end="" idref="#_x0000_s0" connectloc="-1"/>
        </o:r>
        <o:r id="V:Rule160" type="connector" idref="#_x0000_s1134">
          <o:proxy start="" idref="#_x0000_s0" connectloc="-1"/>
          <o:proxy end="" idref="#_x0000_s0" connectloc="-1"/>
        </o:r>
        <o:r id="V:Rule176" type="connector" idref="#_x0000_s1131">
          <o:proxy start="" idref="#_x0000_s0" connectloc="-1"/>
          <o:proxy end="" idref="#_x0000_s0" connectloc="-1"/>
        </o:r>
        <o:r id="V:Rule206" type="connector" idref="#_x0000_s1159">
          <o:proxy start="" idref="#_x0000_s0" connectloc="-1"/>
          <o:proxy end="" idref="#_x0000_s0" connectloc="-1"/>
        </o:r>
        <o:r id="V:Rule240" type="connector" idref="#_x0000_s1136">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overflowPunct w:val="0"/>
      <w:adjustRightInd w:val="0"/>
      <w:jc w:val="both"/>
      <w:textAlignment w:val="baseline"/>
    </w:pPr>
    <w:rPr>
      <w:rFonts w:ascii="ＭＳ 明朝" w:hAnsi="ＭＳ 明朝"/>
      <w:color w:val="000000"/>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footnote text"/>
    <w:basedOn w:val="0"/>
    <w:next w:val="15"/>
    <w:link w:val="0"/>
    <w:uiPriority w:val="0"/>
    <w:semiHidden/>
    <w:pPr>
      <w:overflowPunct w:val="1"/>
      <w:adjustRightInd w:val="1"/>
      <w:snapToGrid w:val="0"/>
      <w:jc w:val="left"/>
      <w:textAlignment w:val="auto"/>
    </w:pPr>
    <w:rPr>
      <w:rFonts w:ascii="Century" w:hAnsi="Century" w:eastAsia="HG丸ｺﾞｼｯｸM-PRO"/>
      <w:color w:val="auto"/>
      <w:kern w:val="2"/>
      <w:sz w:val="20"/>
    </w:rPr>
  </w:style>
  <w:style w:type="character" w:styleId="16">
    <w:name w:val="footnote reference"/>
    <w:basedOn w:val="10"/>
    <w:next w:val="16"/>
    <w:link w:val="0"/>
    <w:uiPriority w:val="0"/>
    <w:semiHidden/>
    <w:rPr>
      <w:vertAlign w:val="superscript"/>
    </w:rPr>
  </w:style>
  <w:style w:type="character" w:styleId="17" w:customStyle="1">
    <w:name w:val="section031"/>
    <w:basedOn w:val="10"/>
    <w:next w:val="17"/>
    <w:link w:val="0"/>
    <w:uiPriority w:val="0"/>
    <w:qFormat/>
    <w:rPr>
      <w:rFonts w:ascii="lr SVbN" w:hAnsi="lr SVbN"/>
      <w:color w:val="333333"/>
      <w:sz w:val="27"/>
      <w:u w:val="none" w:color="auto"/>
    </w:rPr>
  </w:style>
  <w:style w:type="paragraph" w:styleId="18">
    <w:name w:val="Body Text Indent"/>
    <w:basedOn w:val="0"/>
    <w:next w:val="18"/>
    <w:link w:val="0"/>
    <w:uiPriority w:val="0"/>
    <w:pPr>
      <w:overflowPunct w:val="1"/>
      <w:adjustRightInd w:val="1"/>
      <w:ind w:left="210" w:hanging="210" w:hangingChars="100"/>
      <w:textAlignment w:val="auto"/>
    </w:pPr>
    <w:rPr>
      <w:kern w:val="2"/>
      <w:sz w:val="21"/>
    </w:rPr>
  </w:style>
  <w:style w:type="paragraph" w:styleId="19">
    <w:name w:val="caption"/>
    <w:basedOn w:val="0"/>
    <w:next w:val="0"/>
    <w:link w:val="0"/>
    <w:uiPriority w:val="0"/>
    <w:semiHidden/>
    <w:qFormat/>
    <w:pPr>
      <w:overflowPunct w:val="1"/>
      <w:adjustRightInd w:val="1"/>
      <w:textAlignment w:val="auto"/>
    </w:pPr>
    <w:rPr>
      <w:rFonts w:ascii="Century" w:hAnsi="Century" w:eastAsia="HG丸ｺﾞｼｯｸM-PRO"/>
      <w:b w:val="1"/>
      <w:color w:val="auto"/>
      <w:kern w:val="2"/>
      <w:sz w:val="21"/>
    </w:rPr>
  </w:style>
  <w:style w:type="paragraph" w:styleId="20">
    <w:name w:val="Balloon Text"/>
    <w:basedOn w:val="0"/>
    <w:next w:val="20"/>
    <w:link w:val="0"/>
    <w:uiPriority w:val="0"/>
    <w:semiHidden/>
    <w:rPr>
      <w:rFonts w:ascii="Arial" w:hAnsi="Arial" w:eastAsia="ＭＳ ゴシック"/>
      <w:sz w:val="18"/>
    </w:rPr>
  </w:style>
  <w:style w:type="paragraph" w:styleId="21">
    <w:name w:val="footer"/>
    <w:basedOn w:val="0"/>
    <w:next w:val="21"/>
    <w:link w:val="27"/>
    <w:uiPriority w:val="0"/>
    <w:pPr>
      <w:tabs>
        <w:tab w:val="center" w:leader="none" w:pos="4252"/>
        <w:tab w:val="right" w:leader="none" w:pos="8504"/>
      </w:tabs>
      <w:snapToGrid w:val="0"/>
    </w:pPr>
  </w:style>
  <w:style w:type="character" w:styleId="22">
    <w:name w:val="page number"/>
    <w:basedOn w:val="10"/>
    <w:next w:val="22"/>
    <w:link w:val="0"/>
    <w:uiPriority w:val="0"/>
  </w:style>
  <w:style w:type="character" w:styleId="23" w:customStyle="1">
    <w:name w:val="font051"/>
    <w:basedOn w:val="10"/>
    <w:next w:val="23"/>
    <w:link w:val="0"/>
    <w:uiPriority w:val="0"/>
    <w:qFormat/>
    <w:rPr>
      <w:sz w:val="20"/>
    </w:rPr>
  </w:style>
  <w:style w:type="paragraph" w:styleId="24">
    <w:name w:val="header"/>
    <w:basedOn w:val="0"/>
    <w:next w:val="24"/>
    <w:link w:val="0"/>
    <w:uiPriority w:val="0"/>
    <w:pPr>
      <w:tabs>
        <w:tab w:val="center" w:leader="none" w:pos="4252"/>
        <w:tab w:val="right" w:leader="none" w:pos="8504"/>
      </w:tabs>
      <w:snapToGrid w:val="0"/>
    </w:pPr>
  </w:style>
  <w:style w:type="paragraph" w:styleId="25">
    <w:name w:val="Date"/>
    <w:basedOn w:val="0"/>
    <w:next w:val="0"/>
    <w:link w:val="26"/>
    <w:uiPriority w:val="0"/>
  </w:style>
  <w:style w:type="character" w:styleId="26" w:customStyle="1">
    <w:name w:val="日付 (文字)"/>
    <w:basedOn w:val="10"/>
    <w:next w:val="26"/>
    <w:link w:val="25"/>
    <w:uiPriority w:val="0"/>
    <w:qFormat/>
    <w:rPr>
      <w:rFonts w:ascii="ＭＳ 明朝" w:hAnsi="ＭＳ 明朝"/>
      <w:color w:val="000000"/>
      <w:sz w:val="22"/>
    </w:rPr>
  </w:style>
  <w:style w:type="character" w:styleId="27" w:customStyle="1">
    <w:name w:val="フッター (文字)"/>
    <w:basedOn w:val="10"/>
    <w:next w:val="27"/>
    <w:link w:val="21"/>
    <w:uiPriority w:val="0"/>
    <w:qFormat/>
    <w:rPr>
      <w:rFonts w:ascii="ＭＳ 明朝" w:hAnsi="ＭＳ 明朝"/>
      <w:color w:val="000000"/>
      <w:sz w:val="22"/>
    </w:rPr>
  </w:style>
  <w:style w:type="character" w:styleId="28">
    <w:name w:val="endnote reference"/>
    <w:basedOn w:val="10"/>
    <w:next w:val="28"/>
    <w:link w:val="0"/>
    <w:uiPriority w:val="0"/>
    <w:semiHidden/>
    <w:rPr>
      <w:vertAlign w:val="superscript"/>
    </w:rPr>
  </w:style>
  <w:style w:type="paragraph" w:styleId="29">
    <w:name w:val="List Paragraph"/>
    <w:basedOn w:val="0"/>
    <w:next w:val="29"/>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360" w:lineRule="exact"/>
      <w:ind w:left="840" w:leftChars="400" w:rightChars="0" w:firstLineChars="0"/>
      <w:contextualSpacing w:val="0"/>
      <w:mirrorIndents w:val="0"/>
      <w:jc w:val="both"/>
      <w:textAlignment w:val="auto"/>
      <w:outlineLvl w:val="9"/>
      <w15:collapsed w:val="0"/>
    </w:pPr>
    <w:rPr>
      <w:rFonts w:ascii="Century" w:hAnsi="Century" w:eastAsia="ＭＳ 明朝"/>
      <w:dstrike w:val="0"/>
      <w:color w:val="auto"/>
      <w:w w:val="100"/>
      <w:kern w:val="2"/>
      <w:sz w:val="24"/>
      <w:highlight w:val="none"/>
      <w:u w:val="none" w:color="auto"/>
      <w:bdr w:val="none" w:color="auto" w:sz="0" w:space="0"/>
      <w:shd w:val="clear" w:color="auto" w:fill="auto"/>
      <w:vertAlign w:val="baseline"/>
      <w:em w:val="none"/>
    </w:rPr>
  </w:style>
  <w:style w:type="character" w:styleId="30">
    <w:name w:val="HTML Typewriter"/>
    <w:basedOn w:val="10"/>
    <w:next w:val="30"/>
    <w:link w:val="0"/>
    <w:uiPriority w:val="0"/>
    <w:rPr>
      <w:rFonts w:ascii="ＭＳ ゴシック" w:hAnsi="ＭＳ ゴシック" w:eastAsia="ＭＳ ゴシック"/>
      <w:sz w:val="24"/>
    </w:rPr>
  </w:style>
  <w:style w:type="paragraph" w:styleId="31">
    <w:name w:val="Body Text Indent 2"/>
    <w:basedOn w:val="0"/>
    <w:next w:val="31"/>
    <w:link w:val="32"/>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851" w:leftChars="400" w:rightChars="0" w:firstLineChars="0"/>
      <w:contextualSpacing w:val="0"/>
      <w:mirrorIndents w:val="0"/>
      <w:jc w:val="both"/>
      <w:outlineLvl w:val="9"/>
      <w15:collapsed w:val="0"/>
    </w:pPr>
    <w:rPr>
      <w:rFonts w:ascii="HG丸ｺﾞｼｯｸM-PRO" w:hAnsi="HG丸ｺﾞｼｯｸM-PRO" w:eastAsia="HG丸ｺﾞｼｯｸM-PRO"/>
      <w:dstrike w:val="0"/>
      <w:color w:val="auto"/>
      <w:w w:val="100"/>
      <w:sz w:val="22"/>
      <w:highlight w:val="none"/>
      <w:u w:val="none" w:color="auto"/>
      <w:bdr w:val="none" w:color="auto" w:sz="0" w:space="0"/>
      <w:shd w:val="clear" w:color="auto" w:fill="auto"/>
      <w:vertAlign w:val="baseline"/>
      <w:em w:val="none"/>
    </w:rPr>
  </w:style>
  <w:style w:type="character" w:styleId="32" w:customStyle="1">
    <w:name w:val="本文インデント 2 (文字)"/>
    <w:basedOn w:val="10"/>
    <w:next w:val="32"/>
    <w:link w:val="31"/>
    <w:uiPriority w:val="0"/>
    <w:rPr>
      <w:rFonts w:ascii="HG丸ｺﾞｼｯｸM-PRO" w:hAnsi="HG丸ｺﾞｼｯｸM-PRO" w:eastAsia="HG丸ｺﾞｼｯｸM-PRO"/>
      <w:sz w:val="22"/>
    </w:rPr>
  </w:style>
  <w:style w:type="character" w:styleId="33" w:customStyle="1">
    <w:name w:val="ft"/>
    <w:basedOn w:val="10"/>
    <w:next w:val="33"/>
    <w:link w:val="0"/>
    <w:uiPriority w:val="0"/>
  </w:style>
  <w:style w:type="character" w:styleId="34" w:customStyle="1">
    <w:name w:val="ヘッダー (文字)"/>
    <w:basedOn w:val="10"/>
    <w:next w:val="34"/>
    <w:link w:val="24"/>
    <w:uiPriority w:val="0"/>
    <w:rPr>
      <w:rFonts w:ascii="Century" w:hAnsi="Century" w:eastAsia="ＭＳ 明朝"/>
    </w:rPr>
  </w:style>
  <w:style w:type="character" w:styleId="35" w:customStyle="1">
    <w:name w:val="脚注文字列 (文字)"/>
    <w:basedOn w:val="10"/>
    <w:next w:val="35"/>
    <w:link w:val="15"/>
    <w:uiPriority w:val="0"/>
    <w:rPr>
      <w:rFonts w:ascii="Times New Roman" w:hAnsi="Times New Roman"/>
      <w:color w:val="000000"/>
      <w:sz w:val="24"/>
    </w:rPr>
  </w:style>
  <w:style w:type="character" w:styleId="36">
    <w:name w:val="Hyperlink"/>
    <w:next w:val="36"/>
    <w:link w:val="0"/>
    <w:uiPriority w:val="0"/>
    <w:rPr>
      <w:color w:val="0000FF"/>
      <w:u w:val="single" w:color="auto"/>
    </w:rPr>
  </w:style>
  <w:style w:type="paragraph" w:styleId="37">
    <w:name w:val="No Spacing"/>
    <w:next w:val="37"/>
    <w:link w:val="0"/>
    <w:uiPriority w:val="0"/>
    <w:qFormat/>
    <w:pPr>
      <w:widowControl w:val="0"/>
      <w:overflowPunct w:val="0"/>
      <w:adjustRightInd w:val="0"/>
      <w:jc w:val="both"/>
      <w:textAlignment w:val="baseline"/>
    </w:pPr>
    <w:rPr>
      <w:rFonts w:ascii="ＭＳ 明朝" w:hAnsi="ＭＳ 明朝"/>
      <w:color w:val="000000"/>
      <w:sz w:val="22"/>
    </w:rPr>
  </w:style>
  <w:style w:type="character" w:styleId="38" w:customStyle="1">
    <w:name w:val="font11"/>
    <w:basedOn w:val="10"/>
    <w:next w:val="38"/>
    <w:link w:val="0"/>
    <w:uiPriority w:val="0"/>
    <w:qFormat/>
    <w:rPr>
      <w:rFonts w:ascii="ＭＳ 明朝" w:hAnsi="ＭＳ 明朝" w:eastAsia="ＭＳ 明朝"/>
      <w:color w:val="000000"/>
      <w:sz w:val="18"/>
    </w:rPr>
  </w:style>
  <w:style w:type="character" w:styleId="39" w:customStyle="1">
    <w:name w:val="font16"/>
    <w:basedOn w:val="10"/>
    <w:next w:val="39"/>
    <w:link w:val="0"/>
    <w:uiPriority w:val="0"/>
    <w:qFormat/>
    <w:rPr>
      <w:rFonts w:ascii="ＭＳ 明朝" w:hAnsi="ＭＳ 明朝" w:eastAsia="ＭＳ 明朝"/>
      <w:color w:val="000000"/>
      <w:sz w:val="18"/>
    </w:rPr>
  </w:style>
  <w:style w:type="paragraph" w:styleId="40">
    <w:name w:val="Body Text"/>
    <w:basedOn w:val="0"/>
    <w:next w:val="40"/>
    <w:link w:val="41"/>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Chars="0" w:rightChars="0" w:firstLineChars="0"/>
      <w:contextualSpacing w:val="0"/>
      <w:mirrorIndents w:val="0"/>
      <w:jc w:val="both"/>
      <w:textAlignment w:val="auto"/>
      <w:outlineLvl w:val="9"/>
      <w15:collapsed w:val="0"/>
    </w:pPr>
    <w:rPr>
      <w:rFonts w:ascii="ＭＳ 明朝" w:hAnsi="ＭＳ 明朝" w:eastAsia="ＭＳ 明朝"/>
      <w:dstrike w:val="0"/>
      <w:color w:val="auto"/>
      <w:w w:val="100"/>
      <w:kern w:val="2"/>
      <w:sz w:val="22"/>
      <w:highlight w:val="none"/>
      <w:u w:val="none" w:color="auto"/>
      <w:bdr w:val="none" w:color="auto" w:sz="0" w:space="0"/>
      <w:shd w:val="clear" w:color="auto" w:fill="auto"/>
      <w:vertAlign w:val="baseline"/>
      <w:em w:val="none"/>
    </w:rPr>
  </w:style>
  <w:style w:type="character" w:styleId="41" w:customStyle="1">
    <w:name w:val="本文 (文字)"/>
    <w:basedOn w:val="10"/>
    <w:next w:val="41"/>
    <w:link w:val="40"/>
    <w:uiPriority w:val="0"/>
    <w:qFormat/>
    <w:rPr>
      <w:rFonts w:ascii="ＭＳ 明朝" w:hAnsi="ＭＳ 明朝"/>
      <w:kern w:val="2"/>
      <w:sz w:val="22"/>
    </w:rPr>
  </w:style>
  <w:style w:type="paragraph" w:styleId="42" w:customStyle="1">
    <w:name w:val="Default"/>
    <w:next w:val="42"/>
    <w:link w:val="0"/>
    <w:uiPriority w:val="0"/>
    <w:qFormat/>
    <w:pPr>
      <w:widowControl w:val="0"/>
      <w:autoSpaceDE w:val="0"/>
      <w:autoSpaceDN w:val="0"/>
      <w:adjustRightInd w:val="0"/>
    </w:pPr>
    <w:rPr>
      <w:rFonts w:ascii="ＭＳ 明朝" w:hAnsi="ＭＳ 明朝"/>
      <w:color w:val="000000"/>
      <w:sz w:val="24"/>
    </w:rPr>
  </w:style>
  <w:style w:type="paragraph" w:styleId="43">
    <w:name w:val="Body Text 2"/>
    <w:basedOn w:val="0"/>
    <w:next w:val="43"/>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Chars="0" w:rightChars="0" w:firstLineChars="0"/>
      <w:contextualSpacing w:val="0"/>
      <w:mirrorIndents w:val="0"/>
      <w:jc w:val="both"/>
      <w:textAlignment w:val="baseline"/>
      <w:outlineLvl w:val="9"/>
      <w15:collapsed w:val="0"/>
    </w:pPr>
    <w:rPr>
      <w:rFonts w:ascii="HG丸ｺﾞｼｯｸM-PRO" w:hAnsi="HG丸ｺﾞｼｯｸM-PRO" w:eastAsia="HG丸ｺﾞｼｯｸM-PRO"/>
      <w:dstrike w:val="0"/>
      <w:color w:val="auto"/>
      <w:w w:val="100"/>
      <w:kern w:val="2"/>
      <w:sz w:val="22"/>
      <w:highlight w:val="none"/>
      <w:u w:val="none" w:color="auto"/>
      <w:bdr w:val="none" w:color="auto" w:sz="0" w:space="0"/>
      <w:shd w:val="clear" w:color="auto" w:fill="auto"/>
      <w:vertAlign w:val="baseline"/>
      <w:em w:val="none"/>
    </w:rPr>
  </w:style>
  <w:style w:type="table" w:styleId="44">
    <w:name w:val="Table Grid"/>
    <w:basedOn w:val="11"/>
    <w:next w:val="44"/>
    <w:link w:val="0"/>
    <w:uiPriority w:val="0"/>
    <w:pPr>
      <w:widowControl w:val="0"/>
      <w:overflowPunct w:val="0"/>
      <w:adjustRightInd w:val="0"/>
      <w:jc w:val="both"/>
      <w:textAlignment w:val="baseline"/>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5" w:customStyle="1">
    <w:name w:val="表（シンプル 1）"/>
    <w:basedOn w:val="11"/>
    <w:next w:val="4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46" w:customStyle="1">
    <w:name w:val="表 (青)  111"/>
    <w:basedOn w:val="11"/>
    <w:next w:val="46"/>
    <w:link w:val="0"/>
    <w:uiPriority w:val="0"/>
    <w:rPr>
      <w:color w:val="2E74B4" w:themeColor="accent1" w:themeShade="BF"/>
    </w:rPr>
    <w:tblPr>
      <w:tblStyleRowBandSize w:val="1"/>
      <w:tblStyleColBandSize w:val="1"/>
      <w:tblInd w:w="0" w:type="dxa"/>
      <w:tblBorders>
        <w:top w:val="single" w:color="5B9BD5" w:themeColor="accent1" w:sz="8" w:space="0"/>
        <w:left w:val="none" w:color="auto" w:sz="2" w:space="0"/>
        <w:bottom w:val="single" w:color="5B9BD5" w:themeColor="accent1" w:sz="8" w:space="0"/>
        <w:right w:val="none" w:color="auto" w:sz="2" w:space="0"/>
        <w:insideH w:val="none" w:color="auto" w:sz="2" w:space="0"/>
        <w:insideV w:val="none" w:color="auto" w:sz="2" w:space="0"/>
      </w:tblBorders>
      <w:tblCellMar>
        <w:top w:w="0" w:type="dxa"/>
        <w:bottom w:w="0" w:type="dxa"/>
        <w:left w:w="108" w:type="dxa"/>
        <w:right w:w="108" w:type="dxa"/>
      </w:tblCellMar>
    </w:tblPr>
    <w:trPr/>
    <w:tcPr/>
    <w:tblStylePr w:type="band1Horz">
      <w:tblPr/>
      <w:trPr/>
      <w:tcPr>
        <w:tcBorders>
          <w:left w:val="nil"/>
          <w:right w:val="nil"/>
          <w:insideH w:val="nil"/>
          <w:insideV w:val="nil"/>
        </w:tcBorders>
        <w:shd w:val="clear" w:color="auto" w:themeFill="accent1" w:themeFillTint="3F" w:themeFillShade="FF"/>
      </w:tcPr>
    </w:tblStylePr>
    <w:tblStylePr w:type="band1Vert">
      <w:tblPr/>
      <w:trPr/>
      <w:tcPr>
        <w:tcBorders>
          <w:left w:val="nil"/>
          <w:right w:val="nil"/>
          <w:insideH w:val="nil"/>
          <w:insideV w:val="nil"/>
        </w:tcBorders>
        <w:shd w:val="clear" w:color="auto" w:themeFill="accen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chart" Target="charts/chart1.xml" /><Relationship Id="rId7" Type="http://schemas.openxmlformats.org/officeDocument/2006/relationships/image" Target="media/image1.png" /><Relationship Id="rId8" Type="http://schemas.openxmlformats.org/officeDocument/2006/relationships/chart" Target="charts/chart2.xml" /><Relationship Id="rId9" Type="http://schemas.openxmlformats.org/officeDocument/2006/relationships/image" Target="media/image2.png" /><Relationship Id="rId10" Type="http://schemas.openxmlformats.org/officeDocument/2006/relationships/chart" Target="charts/chart3.xml" /><Relationship Id="rId11" Type="http://schemas.openxmlformats.org/officeDocument/2006/relationships/chart" Target="charts/chart4.xml" /><Relationship Id="rId12" Type="http://schemas.openxmlformats.org/officeDocument/2006/relationships/chart" Target="charts/chart5.xml" /><Relationship Id="rId13" Type="http://schemas.openxmlformats.org/officeDocument/2006/relationships/chart" Target="charts/chart6.xml"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chart" Target="charts/chart7.xml" /><Relationship Id="rId19" Type="http://schemas.openxmlformats.org/officeDocument/2006/relationships/image" Target="media/image7.png" /><Relationship Id="rId20" Type="http://schemas.openxmlformats.org/officeDocument/2006/relationships/image" Target="media/image8.png" /><Relationship Id="rId21" Type="http://schemas.openxmlformats.org/officeDocument/2006/relationships/chart" Target="charts/chart8.xml" /><Relationship Id="rId22" Type="http://schemas.openxmlformats.org/officeDocument/2006/relationships/image" Target="media/image9.png" /><Relationship Id="rId23" Type="http://schemas.openxmlformats.org/officeDocument/2006/relationships/chart" Target="charts/chart9.xml" /><Relationship Id="rId24" Type="http://schemas.openxmlformats.org/officeDocument/2006/relationships/image" Target="media/image10.png" /><Relationship Id="rId25" Type="http://schemas.openxmlformats.org/officeDocument/2006/relationships/chart" Target="charts/chart10.xml" /><Relationship Id="rId26" Type="http://schemas.openxmlformats.org/officeDocument/2006/relationships/image" Target="media/image11.png" /><Relationship Id="rId27" Type="http://schemas.openxmlformats.org/officeDocument/2006/relationships/image" Target="media/image12.png" /><Relationship Id="rId28" Type="http://schemas.openxmlformats.org/officeDocument/2006/relationships/image" Target="media/image13.emf" /><Relationship Id="rId29" Type="http://schemas.openxmlformats.org/officeDocument/2006/relationships/image" Target="media/image14.png" /><Relationship Id="rId30" Type="http://schemas.microsoft.com/office/2011/relationships/commentsExtended" Target="commentsExtended.xml" /></Relationships>
</file>

<file path=word/charts/_rels/chart1.xml.rels><?xml version="1.0" encoding="UTF-8"?><Relationships xmlns="http://schemas.openxmlformats.org/package/2006/relationships"><Relationship Id="rId1" Type="http://schemas.openxmlformats.org/officeDocument/2006/relationships/oleObject" Target="file:///\\nas2023\intra\131601\10%20&#22320;&#22495;&#20445;&#20581;&#25285;&#24403;\02%20&#12424;&#12373;&#12371;&#12356;&#20581;&#24247;&#12503;&#12521;&#12531;21\&#31532;&#65301;&#26399;\&#12487;&#12540;&#12479;&#31561;\&#12513;&#12479;&#12508;&#21106;&#21512;.xlsx" TargetMode="External" /><Relationship Id="rId2" Type="http://schemas.openxmlformats.org/officeDocument/2006/relationships/themeOverride" Target="../theme/themeOverride1.xml" /></Relationships>
</file>

<file path=word/charts/_rels/chart10.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13&#12305;JROAD&#65288;&#21271;&#23713;&#25945;&#25480;&#25552;&#20379;&#65289;.xlsx" TargetMode="External" /><Relationship Id="rId2" Type="http://schemas.openxmlformats.org/officeDocument/2006/relationships/themeOverride" Target="../theme/themeOverride8.xml" /><Relationship Id="rId3" Type="http://schemas.microsoft.com/office/2011/relationships/chartColorStyle" Target="colors9.xml" /><Relationship Id="rId4" Type="http://schemas.microsoft.com/office/2011/relationships/chartStyle" Target="style9.xml" /></Relationships>
</file>

<file path=word/charts/_rels/chart2.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13&#12305;JROAD&#65288;&#21271;&#23713;&#25945;&#25480;&#25552;&#20379;&#65289;.xlsx" TargetMode="External" /><Relationship Id="rId2" Type="http://schemas.openxmlformats.org/officeDocument/2006/relationships/themeOverride" Target="../theme/themeOverride2.xml" /><Relationship Id="rId3" Type="http://schemas.microsoft.com/office/2011/relationships/chartColorStyle" Target="colors1.xml" /><Relationship Id="rId4" Type="http://schemas.microsoft.com/office/2011/relationships/chartStyle" Target="style1.xml" /></Relationships>
</file>

<file path=word/charts/_rels/chart3.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12487;&#12540;&#12479;\&#12304;&#12487;&#12540;&#12479;02&#12305;&#27515;&#20129;.xlsx" TargetMode="External" /><Relationship Id="rId2" Type="http://schemas.openxmlformats.org/officeDocument/2006/relationships/themeOverride" Target="../theme/themeOverride3.xml" /><Relationship Id="rId3" Type="http://schemas.microsoft.com/office/2011/relationships/chartColorStyle" Target="colors2.xml" /><Relationship Id="rId4" Type="http://schemas.microsoft.com/office/2011/relationships/chartStyle" Target="style2.xml" /></Relationships>
</file>

<file path=word/charts/_rels/chart4.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12487;&#12540;&#12479;\&#12304;&#12487;&#12540;&#12479;02&#12305;&#27515;&#20129;.xlsx" TargetMode="External" /><Relationship Id="rId2" Type="http://schemas.microsoft.com/office/2011/relationships/chartColorStyle" Target="colors3.xml" /><Relationship Id="rId3" Type="http://schemas.microsoft.com/office/2011/relationships/chartStyle" Target="style3.xml" /></Relationships>
</file>

<file path=word/charts/_rels/chart5.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11&#12305;&#21463;&#30274;&#29575;.xlsx" TargetMode="External" /><Relationship Id="rId2" Type="http://schemas.openxmlformats.org/officeDocument/2006/relationships/themeOverride" Target="../theme/themeOverride4.xml" /><Relationship Id="rId3" Type="http://schemas.microsoft.com/office/2011/relationships/chartColorStyle" Target="colors4.xml" /><Relationship Id="rId4" Type="http://schemas.microsoft.com/office/2011/relationships/chartStyle" Target="style4.xml" /></Relationships>
</file>

<file path=word/charts/_rels/chart6.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11&#12305;&#21463;&#30274;&#29575;.xlsx" TargetMode="External" /><Relationship Id="rId2" Type="http://schemas.openxmlformats.org/officeDocument/2006/relationships/themeOverride" Target="../theme/themeOverride5.xml" /><Relationship Id="rId3" Type="http://schemas.microsoft.com/office/2011/relationships/chartColorStyle" Target="colors5.xml" /><Relationship Id="rId4" Type="http://schemas.microsoft.com/office/2011/relationships/chartStyle" Target="style5.xml" /></Relationships>
</file>

<file path=word/charts/_rels/chart7.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07&#12305;&#24613;&#24615;&#24515;&#31563;&#26775;&#22622;&#27835;&#30274;&#12475;&#12531;&#12479;&#12540;&#27835;&#30274;&#25104;&#32318;.xlsx" TargetMode="External" /><Relationship Id="rId2" Type="http://schemas.microsoft.com/office/2011/relationships/chartColorStyle" Target="colors6.xml" /><Relationship Id="rId3" Type="http://schemas.microsoft.com/office/2011/relationships/chartStyle" Target="style6.xml" /></Relationships>
</file>

<file path=word/charts/_rels/chart8.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07&#12305;&#24613;&#24615;&#24515;&#31563;&#26775;&#22622;&#27835;&#30274;&#12475;&#12531;&#12479;&#12540;&#27835;&#30274;&#25104;&#32318;.xlsx" TargetMode="External" /><Relationship Id="rId2" Type="http://schemas.openxmlformats.org/officeDocument/2006/relationships/themeOverride" Target="../theme/themeOverride6.xml" /><Relationship Id="rId3" Type="http://schemas.microsoft.com/office/2011/relationships/chartColorStyle" Target="colors7.xml" /><Relationship Id="rId4" Type="http://schemas.microsoft.com/office/2011/relationships/chartStyle" Target="style7.xml" /></Relationships>
</file>

<file path=word/charts/_rels/chart9.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07&#12305;&#24613;&#24615;&#24515;&#31563;&#26775;&#22622;&#27835;&#30274;&#12475;&#12531;&#12479;&#12540;&#27835;&#30274;&#25104;&#32318;.xlsx" TargetMode="External" /><Relationship Id="rId2" Type="http://schemas.openxmlformats.org/officeDocument/2006/relationships/themeOverride" Target="../theme/themeOverride7.xml" /><Relationship Id="rId3" Type="http://schemas.microsoft.com/office/2011/relationships/chartColorStyle" Target="colors8.xml" /><Relationship Id="rId4" Type="http://schemas.microsoft.com/office/2011/relationships/chartStyle" Target="style8.xml" /></Relationships>
</file>

<file path=word/charts/chart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68369351669937e-002"/>
          <c:y val="6.8292682926829273e-002"/>
          <c:w val="0.9076620825147349"/>
          <c:h val="0.69756097560975605"/>
        </c:manualLayout>
      </c:layout>
      <c:lineChart>
        <c:grouping val="standard"/>
        <c:varyColors val="0"/>
        <c:ser>
          <c:idx val="0"/>
          <c:order val="0"/>
          <c:tx>
            <c:strRef>
              <c:f>=Sheet1!$C$4</c:f>
              <c:strCache>
                <c:ptCount val="1"/>
                <c:pt idx="0">
                  <c:v>高知県</c:v>
                </c:pt>
              </c:strCache>
            </c:strRef>
          </c:tx>
          <c:spPr>
            <a:solidFill>
              <a:srgbClr val="00B0F0"/>
            </a:solidFill>
            <a:ln w="6350" cmpd="sng">
              <a:solidFill>
                <a:srgbClr val="00B0F0"/>
              </a:solidFill>
            </a:ln>
          </c:spPr>
          <c:marker>
            <c:symbol val="square"/>
            <c:size val="5"/>
            <c:spPr>
              <a:solidFill>
                <a:srgbClr val="00B0F0"/>
              </a:solidFill>
              <a:ln>
                <a:solidFill>
                  <a:srgbClr val="00B0F0"/>
                </a:solidFill>
              </a:ln>
            </c:spPr>
          </c:marker>
          <c:dPt>
            <c:idx val="0"/>
            <c:invertIfNegative val="0"/>
            <c:marker>
              <c:symbol val="square"/>
              <c:size val="5"/>
              <c:spPr>
                <a:solidFill>
                  <a:srgbClr val="00B0F0"/>
                </a:solidFill>
                <a:ln>
                  <a:solidFill>
                    <a:srgbClr val="00B0F0"/>
                  </a:solidFill>
                </a:ln>
              </c:spPr>
            </c:marker>
            <c:bubble3D val="0"/>
            <c:spPr>
              <a:solidFill>
                <a:srgbClr val="00B0F0"/>
              </a:solidFill>
              <a:ln w="6350" cmpd="sng">
                <a:solidFill>
                  <a:srgbClr val="00B0F0"/>
                </a:solidFill>
              </a:ln>
            </c:spPr>
          </c:dPt>
          <c:dPt>
            <c:idx val="1"/>
            <c:invertIfNegative val="0"/>
            <c:marker>
              <c:symbol val="square"/>
              <c:size val="5"/>
              <c:spPr>
                <a:solidFill>
                  <a:srgbClr val="00B0F0"/>
                </a:solidFill>
                <a:ln>
                  <a:solidFill>
                    <a:srgbClr val="00B0F0"/>
                  </a:solidFill>
                </a:ln>
              </c:spPr>
            </c:marker>
            <c:bubble3D val="0"/>
            <c:spPr>
              <a:solidFill>
                <a:srgbClr val="00B0F0"/>
              </a:solidFill>
              <a:ln w="6350" cmpd="sng">
                <a:solidFill>
                  <a:srgbClr val="00B0F0"/>
                </a:solidFill>
              </a:ln>
            </c:spPr>
          </c:dPt>
          <c:dPt>
            <c:idx val="2"/>
            <c:invertIfNegative val="0"/>
            <c:marker>
              <c:symbol val="square"/>
              <c:size val="5"/>
              <c:spPr>
                <a:solidFill>
                  <a:srgbClr val="00B0F0"/>
                </a:solidFill>
                <a:ln>
                  <a:solidFill>
                    <a:srgbClr val="00B0F0"/>
                  </a:solidFill>
                </a:ln>
              </c:spPr>
            </c:marker>
            <c:bubble3D val="0"/>
            <c:spPr>
              <a:solidFill>
                <a:srgbClr val="00B0F0"/>
              </a:solidFill>
              <a:ln w="6350" cmpd="sng">
                <a:solidFill>
                  <a:srgbClr val="00B0F0"/>
                </a:solidFill>
              </a:ln>
            </c:spPr>
          </c:dPt>
          <c:dPt>
            <c:idx val="3"/>
            <c:invertIfNegative val="0"/>
            <c:marker>
              <c:symbol val="square"/>
              <c:size val="5"/>
              <c:spPr>
                <a:solidFill>
                  <a:srgbClr val="00B0F0"/>
                </a:solidFill>
                <a:ln>
                  <a:solidFill>
                    <a:srgbClr val="00B0F0"/>
                  </a:solidFill>
                </a:ln>
              </c:spPr>
            </c:marker>
            <c:bubble3D val="0"/>
            <c:spPr>
              <a:solidFill>
                <a:srgbClr val="00B0F0"/>
              </a:solidFill>
              <a:ln w="6350" cmpd="sng">
                <a:solidFill>
                  <a:srgbClr val="00B0F0"/>
                </a:solidFill>
              </a:ln>
            </c:spPr>
          </c:dPt>
          <c:dPt>
            <c:idx val="4"/>
            <c:invertIfNegative val="0"/>
            <c:marker>
              <c:symbol val="square"/>
              <c:size val="5"/>
              <c:spPr>
                <a:solidFill>
                  <a:srgbClr val="00B0F0"/>
                </a:solidFill>
                <a:ln>
                  <a:solidFill>
                    <a:srgbClr val="00B0F0"/>
                  </a:solidFill>
                </a:ln>
              </c:spPr>
            </c:marker>
            <c:bubble3D val="0"/>
            <c:spPr>
              <a:solidFill>
                <a:srgbClr val="00B0F0"/>
              </a:solidFill>
              <a:ln w="6350" cmpd="sng">
                <a:solidFill>
                  <a:srgbClr val="00B0F0"/>
                </a:solidFill>
              </a:ln>
            </c:spPr>
          </c:dPt>
          <c:dPt>
            <c:idx val="5"/>
            <c:invertIfNegative val="0"/>
            <c:marker>
              <c:symbol val="square"/>
              <c:size val="5"/>
            </c:marker>
            <c:bubble3D val="0"/>
            <c:spPr>
              <a:solidFill>
                <a:srgbClr val="00B0F0"/>
              </a:solidFill>
              <a:ln w="6350" cmpd="sng">
                <a:solidFill>
                  <a:srgbClr val="00B0F0"/>
                </a:solidFill>
              </a:ln>
            </c:spPr>
          </c:dPt>
          <c:dLbls>
            <c:dLbl>
              <c:idx val="0"/>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t"/>
              <c:showLegendKey val="0"/>
              <c:showVal val="1"/>
              <c:showCatName val="0"/>
              <c:showSerName val="0"/>
              <c:showPercent val="0"/>
              <c:showBubbleSize val="0"/>
            </c:dLbl>
            <c:dLbl>
              <c:idx val="1"/>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t"/>
              <c:showLegendKey val="0"/>
              <c:showVal val="1"/>
              <c:showCatName val="0"/>
              <c:showSerName val="0"/>
              <c:showPercent val="0"/>
              <c:showBubbleSize val="0"/>
            </c:dLbl>
            <c:dLbl>
              <c:idx val="2"/>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t"/>
              <c:showLegendKey val="0"/>
              <c:showVal val="1"/>
              <c:showCatName val="0"/>
              <c:showSerName val="0"/>
              <c:showPercent val="0"/>
              <c:showBubbleSize val="0"/>
            </c:dLbl>
            <c:dLbl>
              <c:idx val="3"/>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t"/>
              <c:showLegendKey val="0"/>
              <c:showVal val="1"/>
              <c:showCatName val="0"/>
              <c:showSerName val="0"/>
              <c:showPercent val="0"/>
              <c:showBubbleSize val="0"/>
            </c:dLbl>
            <c:dLbl>
              <c:idx val="4"/>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t"/>
              <c:showLegendKey val="0"/>
              <c:showVal val="1"/>
              <c:showCatName val="0"/>
              <c:showSerName val="0"/>
              <c:showPercent val="0"/>
              <c:showBubbleSize val="0"/>
            </c:dLbl>
            <c:dLbl>
              <c:idx val="5"/>
              <c:layout/>
              <c:spPr>
                <a:noFill/>
              </c:spPr>
              <c:txPr>
                <a:bodyPr lIns="36576" tIns="18288" rIns="36576" bIns="18288">
                  <a:spAutoFit/>
                </a:bodyPr>
                <a:lstStyle/>
                <a:p>
                  <a:pPr>
                    <a:defRPr kumimoji="0" sz="900" kern="1200">
                      <a:solidFill>
                        <a:schemeClr val="tx1"/>
                      </a:solidFill>
                      <a:latin typeface="ＭＳ ゴシック"/>
                      <a:ea typeface="ＭＳ ゴシック"/>
                    </a:defRPr>
                  </a:pPr>
                  <a:endParaRPr lang="ja-JP" altLang="en-US">
                    <a:latin typeface="ＭＳ ゴシック"/>
                    <a:ea typeface="ＭＳ ゴシック"/>
                  </a:endParaRPr>
                </a:p>
              </c:txPr>
              <c:dLblPos val="t"/>
              <c:showLegendKey val="0"/>
              <c:showVal val="1"/>
              <c:showCatName val="0"/>
              <c:showSerName val="0"/>
              <c:showPercent val="0"/>
              <c:showBubbleSize val="0"/>
            </c:dLbl>
            <c:spPr>
              <a:noFill/>
            </c:spPr>
            <c:txPr>
              <a:bodyPr rot="0" horzOverflow="overflow" lIns="36576" tIns="18288" rIns="36576" bIns="18288" anchor="ctr" anchorCtr="1">
                <a:spAutoFit/>
              </a:bodyPr>
              <a:lstStyle/>
              <a:p>
                <a:pPr algn="ctr" rtl="0">
                  <a:defRPr kumimoji="0" sz="900" kern="1200">
                    <a:solidFill>
                      <a:schemeClr val="tx1"/>
                    </a:solidFill>
                    <a:latin typeface="ＭＳ ゴシック"/>
                    <a:ea typeface="ＭＳ ゴシック"/>
                  </a:defRPr>
                </a:pPr>
                <a:endParaRPr lang="ja-JP" altLang="en-US"/>
              </a:p>
            </c:txPr>
            <c:dLblPos val="t"/>
            <c:showLegendKey val="0"/>
            <c:showVal val="1"/>
            <c:showCatName val="0"/>
            <c:showSerName val="0"/>
            <c:showPercent val="0"/>
            <c:showBubbleSize val="0"/>
          </c:dLbls>
          <c:cat>
            <c:strRef>
              <c:f>=Sheet1!$D$3:$I$3</c:f>
              <c:strCache>
                <c:ptCount val="6"/>
                <c:pt idx="0">
                  <c:v>H28</c:v>
                </c:pt>
                <c:pt idx="1">
                  <c:v>H29</c:v>
                </c:pt>
                <c:pt idx="2">
                  <c:v>H30</c:v>
                </c:pt>
                <c:pt idx="3">
                  <c:v>R1</c:v>
                </c:pt>
                <c:pt idx="4">
                  <c:v>R2</c:v>
                </c:pt>
                <c:pt idx="5">
                  <c:v>R3</c:v>
                </c:pt>
              </c:strCache>
            </c:strRef>
          </c:cat>
          <c:val>
            <c:numRef>
              <c:f>=Sheet1!$D$4:$I$4</c:f>
              <c:numCache>
                <c:formatCode>General</c:formatCode>
                <c:ptCount val="6"/>
                <c:pt idx="0">
                  <c:v>16.5</c:v>
                </c:pt>
                <c:pt idx="1">
                  <c:v>16.7</c:v>
                </c:pt>
                <c:pt idx="2">
                  <c:v>17.2</c:v>
                </c:pt>
                <c:pt idx="3">
                  <c:v>17.5</c:v>
                </c:pt>
                <c:pt idx="4">
                  <c:v>18.2</c:v>
                </c:pt>
                <c:pt idx="5">
                  <c:v>18.2</c:v>
                </c:pt>
              </c:numCache>
            </c:numRef>
          </c:val>
          <c:smooth val="0"/>
        </c:ser>
        <c:ser>
          <c:idx val="1"/>
          <c:order val="1"/>
          <c:tx>
            <c:strRef>
              <c:f>=Sheet1!$C$5</c:f>
              <c:strCache>
                <c:ptCount val="1"/>
                <c:pt idx="0">
                  <c:v>全国</c:v>
                </c:pt>
              </c:strCache>
            </c:strRef>
          </c:tx>
          <c:spPr>
            <a:solidFill>
              <a:srgbClr val="F09C9C"/>
            </a:solidFill>
            <a:ln w="6350" cmpd="sng">
              <a:solidFill>
                <a:srgbClr val="F09C9C"/>
              </a:solidFill>
              <a:prstDash val="sysDash"/>
            </a:ln>
          </c:spPr>
          <c:marker>
            <c:symbol val="triangle"/>
            <c:size val="5"/>
            <c:spPr>
              <a:solidFill>
                <a:srgbClr val="F09C9C"/>
              </a:solidFill>
              <a:ln>
                <a:solidFill>
                  <a:srgbClr val="F09C9C"/>
                </a:solidFill>
              </a:ln>
            </c:spPr>
          </c:marker>
          <c:dPt>
            <c:idx val="0"/>
            <c:invertIfNegative val="0"/>
            <c:marker>
              <c:symbol val="triangle"/>
              <c:size val="5"/>
              <c:spPr>
                <a:solidFill>
                  <a:srgbClr val="F09C9C"/>
                </a:solidFill>
                <a:ln>
                  <a:solidFill>
                    <a:srgbClr val="F09C9C"/>
                  </a:solidFill>
                </a:ln>
              </c:spPr>
            </c:marker>
            <c:bubble3D val="0"/>
            <c:spPr>
              <a:solidFill>
                <a:srgbClr val="F09C9C"/>
              </a:solidFill>
              <a:ln w="6350" cmpd="sng">
                <a:solidFill>
                  <a:srgbClr val="F09C9C"/>
                </a:solidFill>
                <a:prstDash val="sysDash"/>
              </a:ln>
            </c:spPr>
          </c:dPt>
          <c:dPt>
            <c:idx val="1"/>
            <c:invertIfNegative val="0"/>
            <c:marker>
              <c:symbol val="triangle"/>
              <c:size val="5"/>
              <c:spPr>
                <a:solidFill>
                  <a:srgbClr val="F09C9C"/>
                </a:solidFill>
                <a:ln>
                  <a:solidFill>
                    <a:srgbClr val="F09C9C"/>
                  </a:solidFill>
                </a:ln>
              </c:spPr>
            </c:marker>
            <c:bubble3D val="0"/>
            <c:spPr>
              <a:solidFill>
                <a:srgbClr val="F09C9C"/>
              </a:solidFill>
              <a:ln w="6350" cmpd="sng">
                <a:solidFill>
                  <a:srgbClr val="F09C9C"/>
                </a:solidFill>
                <a:prstDash val="sysDash"/>
              </a:ln>
            </c:spPr>
          </c:dPt>
          <c:dPt>
            <c:idx val="2"/>
            <c:invertIfNegative val="0"/>
            <c:marker>
              <c:symbol val="triangle"/>
              <c:size val="5"/>
              <c:spPr>
                <a:solidFill>
                  <a:srgbClr val="F09C9C"/>
                </a:solidFill>
                <a:ln>
                  <a:solidFill>
                    <a:srgbClr val="F09C9C"/>
                  </a:solidFill>
                </a:ln>
              </c:spPr>
            </c:marker>
            <c:bubble3D val="0"/>
            <c:spPr>
              <a:solidFill>
                <a:srgbClr val="F09C9C"/>
              </a:solidFill>
              <a:ln w="6350" cmpd="sng">
                <a:solidFill>
                  <a:srgbClr val="F09C9C"/>
                </a:solidFill>
                <a:prstDash val="sysDash"/>
              </a:ln>
            </c:spPr>
          </c:dPt>
          <c:dPt>
            <c:idx val="3"/>
            <c:invertIfNegative val="0"/>
            <c:marker>
              <c:symbol val="triangle"/>
              <c:size val="5"/>
              <c:spPr>
                <a:solidFill>
                  <a:srgbClr val="F09C9C"/>
                </a:solidFill>
                <a:ln>
                  <a:solidFill>
                    <a:srgbClr val="F09C9C"/>
                  </a:solidFill>
                </a:ln>
              </c:spPr>
            </c:marker>
            <c:bubble3D val="0"/>
            <c:spPr>
              <a:solidFill>
                <a:srgbClr val="F09C9C"/>
              </a:solidFill>
              <a:ln w="6350" cmpd="sng">
                <a:solidFill>
                  <a:srgbClr val="F09C9C"/>
                </a:solidFill>
                <a:prstDash val="sysDash"/>
              </a:ln>
            </c:spPr>
          </c:dPt>
          <c:dPt>
            <c:idx val="4"/>
            <c:invertIfNegative val="0"/>
            <c:marker>
              <c:symbol val="triangle"/>
              <c:size val="5"/>
              <c:spPr>
                <a:solidFill>
                  <a:srgbClr val="F09C9C"/>
                </a:solidFill>
                <a:ln>
                  <a:solidFill>
                    <a:srgbClr val="F09C9C"/>
                  </a:solidFill>
                </a:ln>
              </c:spPr>
            </c:marker>
            <c:bubble3D val="0"/>
            <c:spPr>
              <a:solidFill>
                <a:srgbClr val="F09C9C"/>
              </a:solidFill>
              <a:ln w="6350" cmpd="sng">
                <a:solidFill>
                  <a:srgbClr val="F09C9C"/>
                </a:solidFill>
                <a:prstDash val="sysDash"/>
              </a:ln>
            </c:spPr>
          </c:dPt>
          <c:dLbls>
            <c:dLbl>
              <c:idx val="0"/>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b"/>
              <c:showLegendKey val="0"/>
              <c:showVal val="1"/>
              <c:showCatName val="0"/>
              <c:showSerName val="0"/>
              <c:showPercent val="0"/>
              <c:showBubbleSize val="0"/>
            </c:dLbl>
            <c:dLbl>
              <c:idx val="1"/>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b"/>
              <c:showLegendKey val="0"/>
              <c:showVal val="1"/>
              <c:showCatName val="0"/>
              <c:showSerName val="0"/>
              <c:showPercent val="0"/>
              <c:showBubbleSize val="0"/>
            </c:dLbl>
            <c:dLbl>
              <c:idx val="2"/>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b"/>
              <c:showLegendKey val="0"/>
              <c:showVal val="1"/>
              <c:showCatName val="0"/>
              <c:showSerName val="0"/>
              <c:showPercent val="0"/>
              <c:showBubbleSize val="0"/>
            </c:dLbl>
            <c:dLbl>
              <c:idx val="3"/>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b"/>
              <c:showLegendKey val="0"/>
              <c:showVal val="1"/>
              <c:showCatName val="0"/>
              <c:showSerName val="0"/>
              <c:showPercent val="0"/>
              <c:showBubbleSize val="0"/>
            </c:dLbl>
            <c:dLbl>
              <c:idx val="4"/>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b"/>
              <c:showLegendKey val="0"/>
              <c:showVal val="1"/>
              <c:showCatName val="0"/>
              <c:showSerName val="0"/>
              <c:showPercent val="0"/>
              <c:showBubbleSize val="0"/>
            </c:dLbl>
            <c:spPr>
              <a:noFill/>
            </c:spPr>
            <c:txPr>
              <a:bodyPr rot="0" horzOverflow="overflow" lIns="36576" tIns="18288" rIns="36576" bIns="18288" anchor="ctr" anchorCtr="1">
                <a:spAutoFit/>
              </a:bodyPr>
              <a:lstStyle/>
              <a:p>
                <a:pPr algn="ctr" rtl="0">
                  <a:defRPr kumimoji="0" sz="900" kern="1200">
                    <a:solidFill>
                      <a:schemeClr val="tx1"/>
                    </a:solidFill>
                    <a:latin typeface="ＭＳ ゴシック"/>
                    <a:ea typeface="ＭＳ ゴシック"/>
                  </a:defRPr>
                </a:pPr>
                <a:endParaRPr lang="ja-JP" altLang="en-US"/>
              </a:p>
            </c:txPr>
            <c:dLblPos val="b"/>
            <c:showLegendKey val="0"/>
            <c:showVal val="1"/>
            <c:showCatName val="0"/>
            <c:showSerName val="0"/>
            <c:showPercent val="0"/>
            <c:showBubbleSize val="0"/>
          </c:dLbls>
          <c:cat>
            <c:strRef>
              <c:f>=Sheet1!$D$3:$I$3</c:f>
              <c:strCache>
                <c:ptCount val="6"/>
                <c:pt idx="0">
                  <c:v>H28</c:v>
                </c:pt>
                <c:pt idx="1">
                  <c:v>H29</c:v>
                </c:pt>
                <c:pt idx="2">
                  <c:v>H30</c:v>
                </c:pt>
                <c:pt idx="3">
                  <c:v>R1</c:v>
                </c:pt>
                <c:pt idx="4">
                  <c:v>R2</c:v>
                </c:pt>
                <c:pt idx="5">
                  <c:v>R3</c:v>
                </c:pt>
              </c:strCache>
            </c:strRef>
          </c:cat>
          <c:val>
            <c:numRef>
              <c:f>=Sheet1!$D$5:$I$5</c:f>
              <c:numCache>
                <c:formatCode>General</c:formatCode>
                <c:ptCount val="6"/>
                <c:pt idx="0">
                  <c:v>14.8</c:v>
                </c:pt>
                <c:pt idx="1">
                  <c:v>15.1</c:v>
                </c:pt>
                <c:pt idx="2">
                  <c:v>15.5</c:v>
                </c:pt>
                <c:pt idx="3">
                  <c:v>15.9</c:v>
                </c:pt>
                <c:pt idx="4">
                  <c:v>16.8</c:v>
                </c:pt>
                <c:pt idx="5">
                  <c:v>16.600000000000001</c:v>
                </c:pt>
              </c:numCache>
            </c:numRef>
          </c:val>
          <c:smooth val="0"/>
        </c:ser>
        <c:dLbls>
          <c:txPr>
            <a:bodyPr rot="0" horzOverflow="overflow" anchor="ctr" anchorCtr="1"/>
            <a:lstStyle/>
            <a:p>
              <a:pPr algn="ctr" rtl="0">
                <a:defRPr sz="1000">
                  <a:solidFill>
                    <a:schemeClr val="tx1"/>
                  </a:solidFill>
                </a:defRPr>
              </a:pPr>
              <a:endParaRPr lang="ja-JP" altLang="en-US"/>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out"/>
        <c:minorTickMark val="none"/>
        <c:tickLblPos val="nextTo"/>
        <c:txPr>
          <a:bodyPr horzOverflow="overflow" anchor="ctr" anchorCtr="1"/>
          <a:lstStyle/>
          <a:p>
            <a:pPr algn="ctr" rtl="0">
              <a:defRPr kumimoji="0" sz="900" kern="1200">
                <a:solidFill>
                  <a:sysClr val="windowText" lastClr="000000"/>
                </a:solidFill>
                <a:latin typeface="ＭＳ ゴシック"/>
                <a:ea typeface="ＭＳ ゴシック"/>
              </a:defRPr>
            </a:pPr>
            <a:endParaRPr lang="ja-JP" altLang="en-US"/>
          </a:p>
        </c:txPr>
        <c:crossAx val="2"/>
        <c:crosses val="autoZero"/>
        <c:auto val="1"/>
        <c:lblAlgn val="ctr"/>
        <c:lblOffset val="100"/>
        <c:noMultiLvlLbl val="0"/>
      </c:catAx>
      <c:valAx>
        <c:axId val="2"/>
        <c:scaling>
          <c:orientation val="minMax"/>
          <c:max val="20"/>
          <c:min val="10"/>
        </c:scaling>
        <c:delete val="0"/>
        <c:axPos val="l"/>
        <c:majorGridlines/>
        <c:numFmt formatCode="General" sourceLinked="1"/>
        <c:majorTickMark val="out"/>
        <c:minorTickMark val="none"/>
        <c:tickLblPos val="nextTo"/>
        <c:txPr>
          <a:bodyPr horzOverflow="overflow" anchor="ctr" anchorCtr="1"/>
          <a:lstStyle/>
          <a:p>
            <a:pPr algn="ctr" rtl="0">
              <a:defRPr kumimoji="0" sz="900" kern="1200">
                <a:solidFill>
                  <a:sysClr val="windowText" lastClr="000000"/>
                </a:solidFill>
                <a:latin typeface="ＭＳ ゴシック"/>
                <a:ea typeface="ＭＳ ゴシック"/>
              </a:defRPr>
            </a:pPr>
            <a:endParaRPr lang="ja-JP" altLang="en-US"/>
          </a:p>
        </c:txPr>
        <c:crossAx val="1"/>
        <c:crosses val="autoZero"/>
        <c:crossBetween val="between"/>
        <c:majorUnit val="2"/>
      </c:valAx>
    </c:plotArea>
    <c:legend>
      <c:legendPos val="b"/>
      <c:layout>
        <c:manualLayout>
          <c:xMode val="edge"/>
          <c:yMode val="edge"/>
          <c:x val="0.35363457760314343"/>
          <c:y val="0.91382113821138211"/>
          <c:w val="0.29076620825147348"/>
          <c:h val="8.7804878048780483e-002"/>
        </c:manualLayout>
      </c:layout>
      <c:overlay val="0"/>
      <c:txPr>
        <a:bodyPr horzOverflow="overflow" anchor="ctr" anchorCtr="1"/>
        <a:lstStyle/>
        <a:p>
          <a:pPr algn="l" rtl="0">
            <a:defRPr kumimoji="0" sz="900" kern="1200">
              <a:solidFill>
                <a:schemeClr val="tx1"/>
              </a:solidFill>
              <a:latin typeface="ＭＳ ゴシック"/>
              <a:ea typeface="ＭＳ ゴシック"/>
            </a:defRPr>
          </a:pPr>
          <a:endParaRPr lang="ja-JP" altLang="en-US"/>
        </a:p>
      </c:txPr>
    </c:legend>
    <c:plotVisOnly val="1"/>
    <c:dispBlanksAs val="gap"/>
    <c:showDLblsOverMax val="0"/>
  </c:chart>
  <c:spPr>
    <a:ln>
      <a:noFill/>
    </a:ln>
  </c:spPr>
  <c:txPr>
    <a:bodyPr horzOverflow="overflow" anchor="ctr" anchorCtr="1"/>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10.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04984452001239e-002"/>
          <c:y val="0.1153846153846154"/>
          <c:w val="0.76495644741866853"/>
          <c:h val="0.67307692307692313"/>
        </c:manualLayout>
      </c:layout>
      <c:lineChart>
        <c:grouping val="standard"/>
        <c:varyColors val="0"/>
        <c:ser>
          <c:idx val="0"/>
          <c:order val="0"/>
          <c:tx>
            <c:strRef>
              <c:f>死亡率!$A$3</c:f>
              <c:strCache>
                <c:ptCount val="1"/>
                <c:pt idx="0">
                  <c:v>全国</c:v>
                </c:pt>
              </c:strCache>
            </c:strRef>
          </c:tx>
          <c:spPr>
            <a:noFill/>
            <a:ln w="28575" cap="rnd">
              <a:solidFill>
                <a:schemeClr val="accent1"/>
              </a:solidFill>
              <a:round/>
            </a:ln>
            <a:effectLst/>
          </c:spPr>
          <c:marker>
            <c:symbol val="triangle"/>
            <c:size val="7"/>
            <c:spPr>
              <a:solidFill>
                <a:schemeClr val="accent1"/>
              </a:solidFill>
              <a:ln w="9525">
                <a:solidFill>
                  <a:schemeClr val="accent1"/>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死亡率!$B$2:$G$2</c:f>
              <c:strCache>
                <c:ptCount val="6"/>
                <c:pt idx="0">
                  <c:v>H28</c:v>
                </c:pt>
                <c:pt idx="1">
                  <c:v>H29</c:v>
                </c:pt>
                <c:pt idx="2">
                  <c:v>H30</c:v>
                </c:pt>
                <c:pt idx="3">
                  <c:v>R1</c:v>
                </c:pt>
                <c:pt idx="4">
                  <c:v>R2</c:v>
                </c:pt>
                <c:pt idx="5">
                  <c:v>R3</c:v>
                </c:pt>
              </c:strCache>
            </c:strRef>
          </c:cat>
          <c:val>
            <c:numRef>
              <c:f>'[【データ13】JROAD（北岡教授提供）.xlsx]死亡率'!$B$3:$G$3</c:f>
              <c:numCache>
                <c:formatCode>General</c:formatCode>
                <c:ptCount val="6"/>
                <c:pt idx="0">
                  <c:v>11.4</c:v>
                </c:pt>
                <c:pt idx="1">
                  <c:v>12.1</c:v>
                </c:pt>
                <c:pt idx="2">
                  <c:v>12.2</c:v>
                </c:pt>
                <c:pt idx="3">
                  <c:v>12.7</c:v>
                </c:pt>
                <c:pt idx="4">
                  <c:v>12.9</c:v>
                </c:pt>
                <c:pt idx="5">
                  <c:v>11.8</c:v>
                </c:pt>
              </c:numCache>
            </c:numRef>
          </c:val>
          <c:smooth val="0"/>
        </c:ser>
        <c:ser>
          <c:idx val="1"/>
          <c:order val="1"/>
          <c:tx>
            <c:strRef>
              <c:f>死亡率!$A$4</c:f>
              <c:strCache>
                <c:ptCount val="1"/>
                <c:pt idx="0">
                  <c:v>高知県</c:v>
                </c:pt>
              </c:strCache>
            </c:strRef>
          </c:tx>
          <c:spPr>
            <a:noFill/>
            <a:ln w="28575" cap="rnd">
              <a:solidFill>
                <a:schemeClr val="accent2"/>
              </a:solidFill>
              <a:round/>
            </a:ln>
            <a:effectLst/>
          </c:spPr>
          <c:marker>
            <c:symbol val="circle"/>
            <c:size val="7"/>
            <c:spPr>
              <a:solidFill>
                <a:schemeClr val="accent2"/>
              </a:solidFill>
              <a:ln w="9525">
                <a:solidFill>
                  <a:schemeClr val="accent2"/>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死亡率!$B$2:$G$2</c:f>
              <c:strCache>
                <c:ptCount val="6"/>
                <c:pt idx="0">
                  <c:v>H28</c:v>
                </c:pt>
                <c:pt idx="1">
                  <c:v>H29</c:v>
                </c:pt>
                <c:pt idx="2">
                  <c:v>H30</c:v>
                </c:pt>
                <c:pt idx="3">
                  <c:v>R1</c:v>
                </c:pt>
                <c:pt idx="4">
                  <c:v>R2</c:v>
                </c:pt>
                <c:pt idx="5">
                  <c:v>R3</c:v>
                </c:pt>
              </c:strCache>
            </c:strRef>
          </c:cat>
          <c:val>
            <c:numRef>
              <c:f>'[【データ13】JROAD（北岡教授提供）.xlsx]死亡率'!$B$4:$G$4</c:f>
              <c:numCache>
                <c:formatCode>General</c:formatCode>
                <c:ptCount val="6"/>
                <c:pt idx="0">
                  <c:v>4.3</c:v>
                </c:pt>
                <c:pt idx="1">
                  <c:v>6.6</c:v>
                </c:pt>
                <c:pt idx="2">
                  <c:v>7.5</c:v>
                </c:pt>
                <c:pt idx="3">
                  <c:v>6.9</c:v>
                </c:pt>
                <c:pt idx="4">
                  <c:v>6.3</c:v>
                </c:pt>
                <c:pt idx="5">
                  <c:v>8.4</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1"/>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max val="14"/>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majorUnit val="2"/>
      </c:valAx>
      <c:spPr>
        <a:noFill/>
        <a:ln>
          <a:noFill/>
        </a:ln>
        <a:effectLst/>
      </c:spPr>
    </c:plotArea>
    <c:legend>
      <c:legendPos val="r"/>
      <c:layout>
        <c:manualLayout>
          <c:xMode val="edge"/>
          <c:yMode val="edge"/>
          <c:x val="0.83150984682713347"/>
          <c:y val="0.37179487179487192"/>
          <c:w val="0.16849015317286653"/>
          <c:h val="0.25641025641025639"/>
        </c:manualLayout>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2.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31497418244406e-002"/>
          <c:y val="8.3636363636363634e-002"/>
          <c:w val="0.89845094664371772"/>
          <c:h val="0.70545454545454556"/>
        </c:manualLayout>
      </c:layout>
      <c:lineChart>
        <c:grouping val="standard"/>
        <c:varyColors val="0"/>
        <c:ser>
          <c:idx val="0"/>
          <c:order val="0"/>
          <c:tx>
            <c:strRef>
              <c:f>=患者数!$A$3</c:f>
              <c:strCache>
                <c:ptCount val="1"/>
                <c:pt idx="0">
                  <c:v>急性心筋梗塞</c:v>
                </c:pt>
              </c:strCache>
            </c:strRef>
          </c:tx>
          <c:spPr>
            <a:noFill/>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=患者数!$B$2:$G$2</c:f>
              <c:strCache>
                <c:ptCount val="6"/>
                <c:pt idx="0">
                  <c:v>H28</c:v>
                </c:pt>
                <c:pt idx="1">
                  <c:v>H29</c:v>
                </c:pt>
                <c:pt idx="2">
                  <c:v>H30</c:v>
                </c:pt>
                <c:pt idx="3">
                  <c:v>R1</c:v>
                </c:pt>
                <c:pt idx="4">
                  <c:v>R2</c:v>
                </c:pt>
                <c:pt idx="5">
                  <c:v>R3</c:v>
                </c:pt>
              </c:strCache>
            </c:strRef>
          </c:cat>
          <c:val>
            <c:numRef>
              <c:f>=患者数!$B$3:$G$3</c:f>
              <c:numCache>
                <c:formatCode>General</c:formatCode>
                <c:ptCount val="6"/>
                <c:pt idx="0">
                  <c:v>567</c:v>
                </c:pt>
                <c:pt idx="1">
                  <c:v>562</c:v>
                </c:pt>
                <c:pt idx="2">
                  <c:v>541</c:v>
                </c:pt>
                <c:pt idx="3">
                  <c:v>557</c:v>
                </c:pt>
                <c:pt idx="4">
                  <c:v>512</c:v>
                </c:pt>
                <c:pt idx="5">
                  <c:v>540</c:v>
                </c:pt>
              </c:numCache>
            </c:numRef>
          </c:val>
          <c:smooth val="0"/>
        </c:ser>
        <c:ser>
          <c:idx val="1"/>
          <c:order val="1"/>
          <c:tx>
            <c:strRef>
              <c:f>=患者数!$A$4</c:f>
              <c:strCache>
                <c:ptCount val="1"/>
                <c:pt idx="0">
                  <c:v>急性大動脈解離</c:v>
                </c:pt>
              </c:strCache>
            </c:strRef>
          </c:tx>
          <c:spPr>
            <a:noFill/>
            <a:ln w="28575" cap="rnd">
              <a:solidFill>
                <a:schemeClr val="accent2"/>
              </a:solidFill>
              <a:round/>
            </a:ln>
            <a:effectLst/>
          </c:spPr>
          <c:marker>
            <c:symbol val="triangle"/>
            <c:size val="5"/>
            <c:spPr>
              <a:solidFill>
                <a:schemeClr val="accent2"/>
              </a:solidFill>
              <a:ln w="9525">
                <a:solidFill>
                  <a:schemeClr val="accent2"/>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=患者数!$B$2:$G$2</c:f>
              <c:strCache>
                <c:ptCount val="6"/>
                <c:pt idx="0">
                  <c:v>H28</c:v>
                </c:pt>
                <c:pt idx="1">
                  <c:v>H29</c:v>
                </c:pt>
                <c:pt idx="2">
                  <c:v>H30</c:v>
                </c:pt>
                <c:pt idx="3">
                  <c:v>R1</c:v>
                </c:pt>
                <c:pt idx="4">
                  <c:v>R2</c:v>
                </c:pt>
                <c:pt idx="5">
                  <c:v>R3</c:v>
                </c:pt>
              </c:strCache>
            </c:strRef>
          </c:cat>
          <c:val>
            <c:numRef>
              <c:f>=患者数!$B$4:$G$4</c:f>
              <c:numCache>
                <c:formatCode>General</c:formatCode>
                <c:ptCount val="6"/>
                <c:pt idx="0">
                  <c:v>187</c:v>
                </c:pt>
                <c:pt idx="1">
                  <c:v>196</c:v>
                </c:pt>
                <c:pt idx="2">
                  <c:v>200</c:v>
                </c:pt>
                <c:pt idx="3">
                  <c:v>173</c:v>
                </c:pt>
                <c:pt idx="4">
                  <c:v>126</c:v>
                </c:pt>
                <c:pt idx="5">
                  <c:v>131</c:v>
                </c:pt>
              </c:numCache>
            </c:numRef>
          </c:val>
          <c:smooth val="0"/>
        </c:ser>
        <c:ser>
          <c:idx val="2"/>
          <c:order val="2"/>
          <c:tx>
            <c:strRef>
              <c:f>=患者数!$A$5</c:f>
              <c:strCache>
                <c:ptCount val="1"/>
                <c:pt idx="0">
                  <c:v>心不全入院</c:v>
                </c:pt>
              </c:strCache>
            </c:strRef>
          </c:tx>
          <c:spPr>
            <a:noFill/>
            <a:ln w="28575" cap="rnd">
              <a:solidFill>
                <a:schemeClr val="accent3"/>
              </a:solidFill>
              <a:round/>
            </a:ln>
            <a:effectLst/>
          </c:spPr>
          <c:marker>
            <c:symbol val="square"/>
            <c:size val="5"/>
            <c:spPr>
              <a:solidFill>
                <a:schemeClr val="accent3"/>
              </a:solidFill>
              <a:ln w="9525">
                <a:solidFill>
                  <a:schemeClr val="accent3"/>
                </a:solidFill>
              </a:ln>
              <a:effectLst/>
            </c:spPr>
          </c:marker>
          <c:dPt>
            <c:idx val="5"/>
            <c:invertIfNegative val="0"/>
            <c:marker>
              <c:symbol val="square"/>
              <c:size val="5"/>
              <c:spPr>
                <a:solidFill>
                  <a:schemeClr val="accent3"/>
                </a:solidFill>
                <a:ln w="9525">
                  <a:solidFill>
                    <a:schemeClr val="accent3"/>
                  </a:solidFill>
                </a:ln>
                <a:effectLst/>
              </c:spPr>
            </c:marker>
            <c:bubble3D val="0"/>
            <c:spPr>
              <a:noFill/>
              <a:ln w="28575" cap="rnd">
                <a:solidFill>
                  <a:schemeClr val="accent3"/>
                </a:solidFill>
                <a:round/>
              </a:ln>
              <a:effectLst/>
            </c:spPr>
          </c:dPt>
          <c:dLbls>
            <c:dLbl>
              <c:idx val="5"/>
              <c:layout>
                <c:manualLayout>
                  <c:x val="-5.6079790026246717e-002"/>
                  <c:y val="-3.4926884139482563e-002"/>
                </c:manualLayout>
              </c:layout>
              <c:numFmt formatCode="#,##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showLegendKey val="0"/>
              <c:showVal val="1"/>
              <c:showCatName val="0"/>
              <c:showSerName val="0"/>
              <c:showPercent val="0"/>
              <c:showBubbleSize val="0"/>
            </c:dLbl>
            <c:numFmt formatCode="#,##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=患者数!$B$2:$G$2</c:f>
              <c:strCache>
                <c:ptCount val="6"/>
                <c:pt idx="0">
                  <c:v>H28</c:v>
                </c:pt>
                <c:pt idx="1">
                  <c:v>H29</c:v>
                </c:pt>
                <c:pt idx="2">
                  <c:v>H30</c:v>
                </c:pt>
                <c:pt idx="3">
                  <c:v>R1</c:v>
                </c:pt>
                <c:pt idx="4">
                  <c:v>R2</c:v>
                </c:pt>
                <c:pt idx="5">
                  <c:v>R3</c:v>
                </c:pt>
              </c:strCache>
            </c:strRef>
          </c:cat>
          <c:val>
            <c:numRef>
              <c:f>=患者数!$B$5:$G$5</c:f>
              <c:numCache>
                <c:formatCode>General</c:formatCode>
                <c:ptCount val="6"/>
                <c:pt idx="0">
                  <c:v>1336</c:v>
                </c:pt>
                <c:pt idx="1">
                  <c:v>1725</c:v>
                </c:pt>
                <c:pt idx="2">
                  <c:v>1683</c:v>
                </c:pt>
                <c:pt idx="3">
                  <c:v>1591</c:v>
                </c:pt>
                <c:pt idx="4">
                  <c:v>1572</c:v>
                </c:pt>
                <c:pt idx="5">
                  <c:v>1762</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max val="1800"/>
        </c:scaling>
        <c:delete val="0"/>
        <c:axPos val="l"/>
        <c:majorGridlines>
          <c:spPr>
            <a:noFill/>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valAx>
      <c:spPr>
        <a:noFill/>
        <a:ln>
          <a:noFill/>
        </a:ln>
        <a:effectLst/>
      </c:spPr>
    </c:plotArea>
    <c:legend>
      <c:legendPos val="b"/>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3.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'[0]年齢調整死亡率（虚血性心疾患）'!$C$7:$C$8</c:f>
              <c:strCache>
                <c:ptCount val="1"/>
                <c:pt idx="0">
                  <c:v>男性 （高知県）</c:v>
                </c:pt>
              </c:strCache>
            </c:strRef>
          </c:tx>
          <c:spPr>
            <a:solidFill>
              <a:srgbClr val="00B0F0"/>
            </a:solidFill>
            <a:ln w="28575" cap="rnd">
              <a:solidFill>
                <a:srgbClr val="00B0F0"/>
              </a:solidFill>
              <a:prstDash val="solid"/>
              <a:round/>
            </a:ln>
            <a:effectLst/>
          </c:spPr>
          <c:marker>
            <c:symbol val="triangle"/>
            <c:size val="7"/>
            <c:spPr>
              <a:solidFill>
                <a:srgbClr val="00B0F0"/>
              </a:solidFill>
              <a:ln w="9525">
                <a:solidFill>
                  <a:srgbClr val="00B0F0"/>
                </a:solidFill>
                <a:prstDash val="solid"/>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'[0]年齢調整死亡率（虚血性心疾患）'!$B$9:$B$18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'[【データ02】死亡.xlsx]年齢調整死亡率（虚血性心疾患）'!$C$9:$C$18</c:f>
              <c:numCache>
                <c:formatCode>General</c:formatCode>
                <c:ptCount val="10"/>
                <c:pt idx="0">
                  <c:v>112.96</c:v>
                </c:pt>
                <c:pt idx="1">
                  <c:v>113.85</c:v>
                </c:pt>
                <c:pt idx="2">
                  <c:v>97.19</c:v>
                </c:pt>
                <c:pt idx="3">
                  <c:v>96.09</c:v>
                </c:pt>
                <c:pt idx="4">
                  <c:v>98.55</c:v>
                </c:pt>
                <c:pt idx="5" formatCode="0.00_ ">
                  <c:v>92.3</c:v>
                </c:pt>
                <c:pt idx="6">
                  <c:v>84.11</c:v>
                </c:pt>
                <c:pt idx="7">
                  <c:v>83.82</c:v>
                </c:pt>
                <c:pt idx="8" formatCode="0.00_ ">
                  <c:v>75.8</c:v>
                </c:pt>
                <c:pt idx="9">
                  <c:v>82.45</c:v>
                </c:pt>
              </c:numCache>
            </c:numRef>
          </c:val>
          <c:smooth val="0"/>
        </c:ser>
        <c:ser>
          <c:idx val="0"/>
          <c:order val="1"/>
          <c:tx>
            <c:strRef>
              <c:f>'[0]年齢調整死亡率（虚血性心疾患）'!$D$7:$D$8</c:f>
              <c:strCache>
                <c:ptCount val="1"/>
                <c:pt idx="0">
                  <c:v>男性 （全国）</c:v>
                </c:pt>
              </c:strCache>
            </c:strRef>
          </c:tx>
          <c:spPr>
            <a:solidFill>
              <a:srgbClr val="0070C0"/>
            </a:solidFill>
            <a:ln w="28575" cap="rnd">
              <a:solidFill>
                <a:srgbClr val="0070C0"/>
              </a:solidFill>
              <a:prstDash val="sysDash"/>
              <a:round/>
            </a:ln>
            <a:effectLst/>
          </c:spPr>
          <c:marker>
            <c:symbol val="diamond"/>
            <c:size val="7"/>
            <c:spPr>
              <a:solidFill>
                <a:srgbClr val="0070C0"/>
              </a:solidFill>
              <a:ln w="9525">
                <a:solidFill>
                  <a:srgbClr val="0070C0"/>
                </a:solidFill>
                <a:prstDash val="sysDash"/>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'[0]年齢調整死亡率（虚血性心疾患）'!$B$9:$B$18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'[【データ02】死亡.xlsx]年齢調整死亡率（虚血性心疾患）'!$D$9:$D$18</c:f>
              <c:numCache>
                <c:formatCode>General</c:formatCode>
                <c:ptCount val="10"/>
                <c:pt idx="0">
                  <c:v>97.16</c:v>
                </c:pt>
                <c:pt idx="1">
                  <c:v>90.86</c:v>
                </c:pt>
                <c:pt idx="2">
                  <c:v>88.17</c:v>
                </c:pt>
                <c:pt idx="3">
                  <c:v>84.59</c:v>
                </c:pt>
                <c:pt idx="4">
                  <c:v>80.989999999999995</c:v>
                </c:pt>
                <c:pt idx="5">
                  <c:v>78.930000000000007</c:v>
                </c:pt>
                <c:pt idx="6">
                  <c:v>77.819999999999993</c:v>
                </c:pt>
                <c:pt idx="7">
                  <c:v>73.539999999999992</c:v>
                </c:pt>
                <c:pt idx="8">
                  <c:v>72.990000000000009</c:v>
                </c:pt>
                <c:pt idx="9">
                  <c:v>72.759999999999991</c:v>
                </c:pt>
              </c:numCache>
            </c:numRef>
          </c:val>
          <c:smooth val="0"/>
        </c:ser>
        <c:ser>
          <c:idx val="3"/>
          <c:order val="2"/>
          <c:tx>
            <c:strRef>
              <c:f>'[0]年齢調整死亡率（虚血性心疾患）'!$E$7:$E$8</c:f>
              <c:strCache>
                <c:ptCount val="1"/>
                <c:pt idx="0">
                  <c:v>女性 （高知県）</c:v>
                </c:pt>
              </c:strCache>
            </c:strRef>
          </c:tx>
          <c:spPr>
            <a:solidFill>
              <a:srgbClr val="FF5780"/>
            </a:solidFill>
            <a:ln w="28575" cap="rnd">
              <a:solidFill>
                <a:srgbClr val="FF5780"/>
              </a:solidFill>
              <a:prstDash val="solid"/>
              <a:round/>
            </a:ln>
            <a:effectLst/>
          </c:spPr>
          <c:marker>
            <c:symbol val="square"/>
            <c:size val="6"/>
            <c:spPr>
              <a:solidFill>
                <a:srgbClr val="FF5780"/>
              </a:solidFill>
              <a:ln w="9525">
                <a:solidFill>
                  <a:srgbClr val="FF5780"/>
                </a:solidFill>
                <a:prstDash val="solid"/>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'[0]年齢調整死亡率（虚血性心疾患）'!$B$9:$B$18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'[【データ02】死亡.xlsx]年齢調整死亡率（虚血性心疾患）'!$E$9:$E$18</c:f>
              <c:numCache>
                <c:formatCode>General</c:formatCode>
                <c:ptCount val="10"/>
                <c:pt idx="0">
                  <c:v>52.07</c:v>
                </c:pt>
                <c:pt idx="1">
                  <c:v>50.510000000000005</c:v>
                </c:pt>
                <c:pt idx="2">
                  <c:v>52.08</c:v>
                </c:pt>
                <c:pt idx="3">
                  <c:v>40.08</c:v>
                </c:pt>
                <c:pt idx="4">
                  <c:v>51.58</c:v>
                </c:pt>
                <c:pt idx="5">
                  <c:v>45.38</c:v>
                </c:pt>
                <c:pt idx="6">
                  <c:v>36.68</c:v>
                </c:pt>
                <c:pt idx="7" formatCode="0.00_ ">
                  <c:v>34.1</c:v>
                </c:pt>
                <c:pt idx="8">
                  <c:v>36.659999999999997</c:v>
                </c:pt>
                <c:pt idx="9">
                  <c:v>29.56</c:v>
                </c:pt>
              </c:numCache>
            </c:numRef>
          </c:val>
          <c:smooth val="0"/>
        </c:ser>
        <c:ser>
          <c:idx val="2"/>
          <c:order val="3"/>
          <c:tx>
            <c:strRef>
              <c:f>'[0]年齢調整死亡率（虚血性心疾患）'!$F$7:$F$8</c:f>
              <c:strCache>
                <c:ptCount val="1"/>
                <c:pt idx="0">
                  <c:v>女性 （全国）</c:v>
                </c:pt>
              </c:strCache>
            </c:strRef>
          </c:tx>
          <c:spPr>
            <a:solidFill>
              <a:srgbClr val="FFA6A6"/>
            </a:solidFill>
            <a:ln w="28575" cap="rnd">
              <a:solidFill>
                <a:srgbClr val="FFA6A6"/>
              </a:solidFill>
              <a:prstDash val="sysDash"/>
              <a:round/>
            </a:ln>
            <a:effectLst/>
          </c:spPr>
          <c:marker>
            <c:symbol val="circle"/>
            <c:size val="5"/>
            <c:spPr>
              <a:solidFill>
                <a:srgbClr val="FFA6A6"/>
              </a:solidFill>
              <a:ln w="9525">
                <a:solidFill>
                  <a:srgbClr val="FFA6A6"/>
                </a:solidFill>
                <a:prstDash val="sysDash"/>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'[0]年齢調整死亡率（虚血性心疾患）'!$B$9:$B$18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'[【データ02】死亡.xlsx]年齢調整死亡率（虚血性心疾患）'!$F$9:$F$18</c:f>
              <c:numCache>
                <c:formatCode>General</c:formatCode>
                <c:ptCount val="10"/>
                <c:pt idx="0">
                  <c:v>47.11</c:v>
                </c:pt>
                <c:pt idx="1">
                  <c:v>43.849999999999994</c:v>
                </c:pt>
                <c:pt idx="2">
                  <c:v>41.63</c:v>
                </c:pt>
                <c:pt idx="3">
                  <c:v>38.81</c:v>
                </c:pt>
                <c:pt idx="4">
                  <c:v>36.99</c:v>
                </c:pt>
                <c:pt idx="5">
                  <c:v>35.14</c:v>
                </c:pt>
                <c:pt idx="6">
                  <c:v>34.090000000000003</c:v>
                </c:pt>
                <c:pt idx="7">
                  <c:v>31.63</c:v>
                </c:pt>
                <c:pt idx="8">
                  <c:v>30.22</c:v>
                </c:pt>
                <c:pt idx="9">
                  <c:v>29.58</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min val="0"/>
        </c:scaling>
        <c:delete val="0"/>
        <c:axPos val="l"/>
        <c:majorGridlines>
          <c:spPr>
            <a:noFill/>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valAx>
      <c:spPr>
        <a:noFill/>
        <a:ln>
          <a:noFill/>
        </a:ln>
        <a:effectLst/>
      </c:spPr>
    </c:plotArea>
    <c:legend>
      <c:legendPos val="b"/>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Ｐゴシック"/>
              <a:ea typeface="ＭＳ Ｐ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4.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837743642700398e-002"/>
          <c:y val="4.2071197411003236e-002"/>
          <c:w val="0.89362127275074221"/>
          <c:h val="0.78640776699029125"/>
        </c:manualLayout>
      </c:layout>
      <c:lineChart>
        <c:grouping val="standard"/>
        <c:varyColors val="0"/>
        <c:ser>
          <c:idx val="1"/>
          <c:order val="0"/>
          <c:tx>
            <c:strRef>
              <c:f>'[0]年齢調整死亡率（急性心筋梗塞）'!$C$7:$C$8</c:f>
              <c:strCache>
                <c:ptCount val="1"/>
                <c:pt idx="0">
                  <c:v>男性 （高知県）</c:v>
                </c:pt>
              </c:strCache>
            </c:strRef>
          </c:tx>
          <c:spPr>
            <a:solidFill>
              <a:srgbClr val="00B0F0"/>
            </a:solidFill>
            <a:ln w="28575" cap="rnd">
              <a:solidFill>
                <a:srgbClr val="00B0F0"/>
              </a:solidFill>
              <a:prstDash val="solid"/>
              <a:round/>
            </a:ln>
            <a:effectLst/>
          </c:spPr>
          <c:marker>
            <c:symbol val="triangle"/>
            <c:size val="7"/>
            <c:spPr>
              <a:solidFill>
                <a:srgbClr val="00B0F0"/>
              </a:solidFill>
              <a:ln w="9525">
                <a:solidFill>
                  <a:srgbClr val="00B0F0"/>
                </a:solidFill>
                <a:prstDash val="solid"/>
              </a:ln>
              <a:effectLst/>
            </c:spPr>
          </c:marker>
          <c:dPt>
            <c:idx val="2"/>
            <c:invertIfNegative val="0"/>
            <c:marker>
              <c:symbol val="triangle"/>
              <c:size val="7"/>
              <c:spPr>
                <a:solidFill>
                  <a:srgbClr val="00B0F0"/>
                </a:solidFill>
                <a:ln w="9525">
                  <a:solidFill>
                    <a:srgbClr val="00B0F0"/>
                  </a:solidFill>
                  <a:prstDash val="solid"/>
                </a:ln>
                <a:effectLst/>
              </c:spPr>
            </c:marker>
            <c:bubble3D val="0"/>
            <c:spPr>
              <a:solidFill>
                <a:srgbClr val="00B0F0"/>
              </a:solidFill>
              <a:ln w="28575" cap="rnd">
                <a:solidFill>
                  <a:srgbClr val="00B0F0"/>
                </a:solidFill>
                <a:prstDash val="solid"/>
                <a:round/>
              </a:ln>
              <a:effectLst/>
            </c:spPr>
          </c:dPt>
          <c:dPt>
            <c:idx val="3"/>
            <c:invertIfNegative val="0"/>
            <c:marker>
              <c:symbol val="triangle"/>
              <c:size val="7"/>
              <c:spPr>
                <a:solidFill>
                  <a:srgbClr val="00B0F0"/>
                </a:solidFill>
                <a:ln w="9525">
                  <a:solidFill>
                    <a:srgbClr val="00B0F0"/>
                  </a:solidFill>
                  <a:prstDash val="solid"/>
                </a:ln>
                <a:effectLst/>
              </c:spPr>
            </c:marker>
            <c:bubble3D val="0"/>
            <c:spPr>
              <a:solidFill>
                <a:srgbClr val="00B0F0"/>
              </a:solidFill>
              <a:ln w="28575" cap="rnd">
                <a:solidFill>
                  <a:srgbClr val="00B0F0"/>
                </a:solidFill>
                <a:prstDash val="solid"/>
                <a:round/>
              </a:ln>
              <a:effectLst/>
            </c:spPr>
          </c:dPt>
          <c:dLbls>
            <c:dLbl>
              <c:idx val="2"/>
              <c:layout/>
              <c:numFmt formatCode="0.0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dLbl>
            <c:dLbl>
              <c:idx val="3"/>
              <c:layout/>
              <c:numFmt formatCode="0.0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dLbl>
            <c:numFmt formatCode="0.0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'[0]年齢調整死亡率（急性心筋梗塞）'!$B$9:$B$18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'[【データ02】死亡.xlsx]年齢調整死亡率（急性心筋梗塞）'!$C$9:$C$18</c:f>
              <c:numCache>
                <c:formatCode>General</c:formatCode>
                <c:ptCount val="10"/>
                <c:pt idx="0">
                  <c:v>88.13</c:v>
                </c:pt>
                <c:pt idx="1">
                  <c:v>89.26</c:v>
                </c:pt>
                <c:pt idx="2">
                  <c:v>78.88</c:v>
                </c:pt>
                <c:pt idx="3">
                  <c:v>75</c:v>
                </c:pt>
                <c:pt idx="4">
                  <c:v>66.88</c:v>
                </c:pt>
                <c:pt idx="5">
                  <c:v>62.79</c:v>
                </c:pt>
                <c:pt idx="6">
                  <c:v>52.14</c:v>
                </c:pt>
                <c:pt idx="7">
                  <c:v>56.15</c:v>
                </c:pt>
                <c:pt idx="8">
                  <c:v>53.35</c:v>
                </c:pt>
                <c:pt idx="9">
                  <c:v>63.77</c:v>
                </c:pt>
              </c:numCache>
            </c:numRef>
          </c:val>
          <c:smooth val="0"/>
        </c:ser>
        <c:ser>
          <c:idx val="0"/>
          <c:order val="1"/>
          <c:tx>
            <c:strRef>
              <c:f>'[0]年齢調整死亡率（急性心筋梗塞）'!$D$7:$D$8</c:f>
              <c:strCache>
                <c:ptCount val="1"/>
                <c:pt idx="0">
                  <c:v>男性 （全国）</c:v>
                </c:pt>
              </c:strCache>
            </c:strRef>
          </c:tx>
          <c:spPr>
            <a:solidFill>
              <a:srgbClr val="0070C0"/>
            </a:solidFill>
            <a:ln w="28575" cap="rnd">
              <a:solidFill>
                <a:srgbClr val="0070C0"/>
              </a:solidFill>
              <a:prstDash val="sysDash"/>
              <a:round/>
            </a:ln>
            <a:effectLst/>
          </c:spPr>
          <c:marker>
            <c:symbol val="diamond"/>
            <c:size val="7"/>
            <c:spPr>
              <a:solidFill>
                <a:srgbClr val="0070C0"/>
              </a:solidFill>
              <a:ln w="9525">
                <a:solidFill>
                  <a:srgbClr val="0070C0"/>
                </a:solidFill>
                <a:prstDash val="sysDash"/>
              </a:ln>
              <a:effectLst/>
            </c:spPr>
          </c:marker>
          <c:dLbls>
            <c:numFmt formatCode="0.0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'[0]年齢調整死亡率（急性心筋梗塞）'!$B$9:$B$18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'[【データ02】死亡.xlsx]年齢調整死亡率（急性心筋梗塞）'!$D$9:$D$18</c:f>
              <c:numCache>
                <c:formatCode>General</c:formatCode>
                <c:ptCount val="10"/>
                <c:pt idx="0">
                  <c:v>52.03</c:v>
                </c:pt>
                <c:pt idx="1">
                  <c:v>47.66</c:v>
                </c:pt>
                <c:pt idx="2">
                  <c:v>45.6</c:v>
                </c:pt>
                <c:pt idx="3">
                  <c:v>43.32</c:v>
                </c:pt>
                <c:pt idx="4">
                  <c:v>40.869999999999997</c:v>
                </c:pt>
                <c:pt idx="5">
                  <c:v>38.76</c:v>
                </c:pt>
                <c:pt idx="6">
                  <c:v>36.409999999999997</c:v>
                </c:pt>
                <c:pt idx="7">
                  <c:v>33.61</c:v>
                </c:pt>
                <c:pt idx="8">
                  <c:v>32.450000000000003</c:v>
                </c:pt>
                <c:pt idx="9">
                  <c:v>31.96</c:v>
                </c:pt>
              </c:numCache>
            </c:numRef>
          </c:val>
          <c:smooth val="0"/>
        </c:ser>
        <c:ser>
          <c:idx val="3"/>
          <c:order val="2"/>
          <c:tx>
            <c:strRef>
              <c:f>'[0]年齢調整死亡率（急性心筋梗塞）'!$E$7:$E$8</c:f>
              <c:strCache>
                <c:ptCount val="1"/>
                <c:pt idx="0">
                  <c:v>女性 （高知県）</c:v>
                </c:pt>
              </c:strCache>
            </c:strRef>
          </c:tx>
          <c:spPr>
            <a:noFill/>
            <a:ln w="28575" cap="rnd">
              <a:solidFill>
                <a:srgbClr val="FF5780"/>
              </a:solidFill>
              <a:round/>
            </a:ln>
            <a:effectLst/>
          </c:spPr>
          <c:marker>
            <c:symbol val="circle"/>
            <c:size val="6"/>
            <c:spPr>
              <a:solidFill>
                <a:srgbClr val="FF5780"/>
              </a:solidFill>
              <a:ln w="9525">
                <a:solidFill>
                  <a:srgbClr val="FF5780"/>
                </a:solidFill>
              </a:ln>
              <a:effectLst/>
            </c:spPr>
          </c:marker>
          <c:dPt>
            <c:idx val="3"/>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4"/>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5"/>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6"/>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7"/>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8"/>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9"/>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Lbls>
            <c:dLbl>
              <c:idx val="3"/>
              <c:layout>
                <c:manualLayout>
                  <c:x val="-4.7024642752989211e-002"/>
                  <c:y val="3.5341844405371657e-002"/>
                </c:manualLayout>
              </c:layout>
              <c:numFmt formatCode="#,##0.0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4"/>
              <c:layout/>
              <c:numFmt formatCode="#,##0.0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b"/>
              <c:showLegendKey val="0"/>
              <c:showVal val="1"/>
              <c:showCatName val="0"/>
              <c:showSerName val="0"/>
              <c:showPercent val="0"/>
              <c:showBubbleSize val="0"/>
            </c:dLbl>
            <c:dLbl>
              <c:idx val="5"/>
              <c:layout/>
              <c:numFmt formatCode="#,##0.0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b"/>
              <c:showLegendKey val="0"/>
              <c:showVal val="1"/>
              <c:showCatName val="0"/>
              <c:showSerName val="0"/>
              <c:showPercent val="0"/>
              <c:showBubbleSize val="0"/>
            </c:dLbl>
            <c:dLbl>
              <c:idx val="6"/>
              <c:layout>
                <c:manualLayout>
                  <c:x val="-4.9205125400991541e-002"/>
                  <c:y val="3.5723058889483475e-002"/>
                </c:manualLayout>
              </c:layout>
              <c:numFmt formatCode="#,##0.0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7"/>
              <c:layout>
                <c:manualLayout>
                  <c:x val="-4.588108778069408e-002"/>
                  <c:y val="2.813070696260055e-002"/>
                </c:manualLayout>
              </c:layout>
              <c:numFmt formatCode="#,##0.0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8"/>
              <c:layout>
                <c:manualLayout>
                  <c:x val="-4.478120562798503e-002"/>
                  <c:y val="3.379150421731264e-002"/>
                </c:manualLayout>
              </c:layout>
              <c:numFmt formatCode="#,##0.0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9"/>
              <c:layout>
                <c:manualLayout>
                  <c:x val="-4.3237898541370855e-002"/>
                  <c:y val="2.8089935360021745e-002"/>
                </c:manualLayout>
              </c:layout>
              <c:numFmt formatCode="#,##0.0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showLegendKey val="0"/>
              <c:showVal val="1"/>
              <c:showCatName val="0"/>
              <c:showSerName val="0"/>
              <c:showPercent val="0"/>
              <c:showBubbleSize val="0"/>
            </c:dLbl>
            <c:numFmt formatCode="#,##0.0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'[0]年齢調整死亡率（急性心筋梗塞）'!$B$9:$B$18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'[【データ02】死亡.xlsx]年齢調整死亡率（急性心筋梗塞）'!$E$9:$E$18</c:f>
              <c:numCache>
                <c:formatCode>General</c:formatCode>
                <c:ptCount val="10"/>
                <c:pt idx="0">
                  <c:v>41.45</c:v>
                </c:pt>
                <c:pt idx="1">
                  <c:v>40.24</c:v>
                </c:pt>
                <c:pt idx="2">
                  <c:v>42.96</c:v>
                </c:pt>
                <c:pt idx="3">
                  <c:v>31.16</c:v>
                </c:pt>
                <c:pt idx="4">
                  <c:v>37.28</c:v>
                </c:pt>
                <c:pt idx="5">
                  <c:v>32.83</c:v>
                </c:pt>
                <c:pt idx="6">
                  <c:v>25.87</c:v>
                </c:pt>
                <c:pt idx="7">
                  <c:v>23.88</c:v>
                </c:pt>
                <c:pt idx="8">
                  <c:v>24.5</c:v>
                </c:pt>
                <c:pt idx="9">
                  <c:v>20.7</c:v>
                </c:pt>
              </c:numCache>
            </c:numRef>
          </c:val>
          <c:smooth val="0"/>
        </c:ser>
        <c:ser>
          <c:idx val="2"/>
          <c:order val="3"/>
          <c:tx>
            <c:strRef>
              <c:f>'[0]年齢調整死亡率（急性心筋梗塞）'!$F$7:$F$8</c:f>
              <c:strCache>
                <c:ptCount val="1"/>
                <c:pt idx="0">
                  <c:v>女性 （全国）</c:v>
                </c:pt>
              </c:strCache>
            </c:strRef>
          </c:tx>
          <c:spPr>
            <a:noFill/>
            <a:ln w="28575" cap="rnd">
              <a:solidFill>
                <a:srgbClr val="FFA6A6"/>
              </a:solidFill>
              <a:prstDash val="sysDash"/>
              <a:round/>
            </a:ln>
            <a:effectLst/>
          </c:spPr>
          <c:marker>
            <c:symbol val="square"/>
            <c:size val="5"/>
            <c:spPr>
              <a:solidFill>
                <a:srgbClr val="FFA6A6"/>
              </a:solidFill>
              <a:ln w="9525">
                <a:solidFill>
                  <a:srgbClr val="FFA6A6"/>
                </a:solidFill>
                <a:prstDash val="sysDash"/>
              </a:ln>
              <a:effectLst/>
            </c:spPr>
          </c:marker>
          <c:dLbls>
            <c:numFmt formatCode="0.0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'[0]年齢調整死亡率（急性心筋梗塞）'!$B$9:$B$18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'[【データ02】死亡.xlsx]年齢調整死亡率（急性心筋梗塞）'!$F$9:$F$18</c:f>
              <c:numCache>
                <c:formatCode>General</c:formatCode>
                <c:ptCount val="10"/>
                <c:pt idx="0">
                  <c:v>25.9</c:v>
                </c:pt>
                <c:pt idx="1">
                  <c:v>23.79</c:v>
                </c:pt>
                <c:pt idx="2">
                  <c:v>22.38</c:v>
                </c:pt>
                <c:pt idx="3">
                  <c:v>20.399999999999999</c:v>
                </c:pt>
                <c:pt idx="4">
                  <c:v>19.010000000000002</c:v>
                </c:pt>
                <c:pt idx="5">
                  <c:v>17.88</c:v>
                </c:pt>
                <c:pt idx="6">
                  <c:v>16.690000000000001</c:v>
                </c:pt>
                <c:pt idx="7">
                  <c:v>15.2</c:v>
                </c:pt>
                <c:pt idx="8">
                  <c:v>14.02</c:v>
                </c:pt>
                <c:pt idx="9">
                  <c:v>13.69</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min val="0"/>
        </c:scaling>
        <c:delete val="0"/>
        <c:axPos val="l"/>
        <c:majorGridlines>
          <c:spPr>
            <a:noFill/>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valAx>
      <c:spPr>
        <a:noFill/>
        <a:ln>
          <a:noFill/>
        </a:ln>
        <a:effectLst/>
      </c:spPr>
    </c:plotArea>
    <c:legend>
      <c:legendPos val="b"/>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5.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horzOverflow="overflow" wrap="square" anchor="t" anchorCtr="1"/>
          <a:lstStyle/>
          <a:p>
            <a:pPr algn="ctr" rtl="0">
              <a:defRPr kumimoji="0" lang="ja-JP" altLang="en-US" sz="1000" b="0" i="0" u="none" strike="noStrike" kern="1200" spc="0" baseline="0">
                <a:solidFill>
                  <a:schemeClr val="tx1"/>
                </a:solidFill>
                <a:latin typeface="ＭＳ ゴシック"/>
                <a:ea typeface="ＭＳ ゴシック"/>
                <a:cs typeface="+mn-cs"/>
              </a:defRPr>
            </a:pPr>
            <a:r>
              <a:rPr kumimoji="0" lang="ja-JP" altLang="en-US" sz="1000" b="0" i="0" u="none" strike="noStrike" kern="1200" spc="0" baseline="0">
                <a:solidFill>
                  <a:schemeClr val="tx1"/>
                </a:solidFill>
                <a:latin typeface="ＭＳ ゴシック"/>
                <a:ea typeface="ＭＳ ゴシック"/>
                <a:cs typeface="+mn-cs"/>
              </a:rPr>
              <a:t>（入院</a:t>
            </a:r>
            <a:r>
              <a:rPr kumimoji="0" lang="ja-JP" altLang="en-US" sz="1000" b="0" i="0" u="none" strike="noStrike" kern="1200" spc="0" baseline="0">
                <a:solidFill>
                  <a:schemeClr val="tx1"/>
                </a:solidFill>
                <a:latin typeface="ＭＳ ゴシック"/>
                <a:ea typeface="ＭＳ ゴシック"/>
                <a:cs typeface="+mn-cs"/>
              </a:rPr>
              <a:t>）</a:t>
            </a:r>
            <a:endParaRPr kumimoji="0" lang="ja-JP" altLang="en-US" sz="1000" b="0" i="0" u="none" strike="noStrike" kern="1200" spc="0" baseline="0">
              <a:solidFill>
                <a:schemeClr val="tx1"/>
              </a:solidFill>
              <a:latin typeface="ＭＳ ゴシック"/>
              <a:ea typeface="ＭＳ ゴシック"/>
              <a:cs typeface="+mn-cs"/>
            </a:endParaRPr>
          </a:p>
        </c:rich>
      </c:tx>
      <c:layout>
        <c:manualLayout>
          <c:xMode val="edge"/>
          <c:yMode val="edge"/>
          <c:x val="0.39249130133466087"/>
          <c:y val="8.5470085470085479e-003"/>
        </c:manualLayout>
      </c:layout>
      <c:overlay val="0"/>
      <c:spPr>
        <a:noFill/>
        <a:ln>
          <a:noFill/>
        </a:ln>
        <a:effectLst/>
      </c:spPr>
    </c:title>
    <c:autoTitleDeleted val="0"/>
    <c:plotArea>
      <c:layout>
        <c:manualLayout>
          <c:layoutTarget val="inner"/>
          <c:xMode val="edge"/>
          <c:yMode val="edge"/>
          <c:x val="0.10580204778156996"/>
          <c:y val="0.15384615384615383"/>
          <c:w val="0.83959044368600677"/>
          <c:h val="0.63247863247863245"/>
        </c:manualLayout>
      </c:layout>
      <c:lineChart>
        <c:grouping val="standard"/>
        <c:varyColors val="0"/>
        <c:ser>
          <c:idx val="0"/>
          <c:order val="0"/>
          <c:tx>
            <c:strRef>
              <c:f>=グラフ!$B$19</c:f>
              <c:strCache>
                <c:ptCount val="1"/>
                <c:pt idx="0">
                  <c:v>全国</c:v>
                </c:pt>
              </c:strCache>
            </c:strRef>
          </c:tx>
          <c:spPr>
            <a:noFill/>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=グラフ!$A$21:$A$24</c:f>
              <c:strCache>
                <c:ptCount val="4"/>
                <c:pt idx="0">
                  <c:v>H23</c:v>
                </c:pt>
                <c:pt idx="1">
                  <c:v>H26</c:v>
                </c:pt>
                <c:pt idx="2">
                  <c:v>H29</c:v>
                </c:pt>
                <c:pt idx="3">
                  <c:v>R2</c:v>
                </c:pt>
              </c:strCache>
            </c:strRef>
          </c:cat>
          <c:val>
            <c:numRef>
              <c:f>=グラフ!$B$21:$B$24</c:f>
              <c:numCache>
                <c:formatCode>General</c:formatCode>
                <c:ptCount val="4"/>
                <c:pt idx="0">
                  <c:v>13</c:v>
                </c:pt>
                <c:pt idx="1">
                  <c:v>12</c:v>
                </c:pt>
                <c:pt idx="2">
                  <c:v>12</c:v>
                </c:pt>
                <c:pt idx="3">
                  <c:v>9</c:v>
                </c:pt>
              </c:numCache>
            </c:numRef>
          </c:val>
          <c:smooth val="0"/>
        </c:ser>
        <c:ser>
          <c:idx val="1"/>
          <c:order val="1"/>
          <c:tx>
            <c:strRef>
              <c:f>=グラフ!$C$19</c:f>
              <c:strCache>
                <c:ptCount val="1"/>
                <c:pt idx="0">
                  <c:v>高知県</c:v>
                </c:pt>
              </c:strCache>
            </c:strRef>
          </c:tx>
          <c:spPr>
            <a:noFill/>
            <a:ln w="28575" cap="rnd">
              <a:solidFill>
                <a:schemeClr val="accent2"/>
              </a:solidFill>
              <a:round/>
            </a:ln>
            <a:effectLst/>
          </c:spPr>
          <c:marker>
            <c:symbol val="diamond"/>
            <c:size val="5"/>
            <c:spPr>
              <a:solidFill>
                <a:schemeClr val="accent2"/>
              </a:solidFill>
              <a:ln w="9525">
                <a:solidFill>
                  <a:schemeClr val="accent2"/>
                </a:solidFill>
              </a:ln>
              <a:effectLst/>
            </c:spPr>
          </c:marker>
          <c:dPt>
            <c:idx val="2"/>
            <c:invertIfNegative val="0"/>
            <c:marker>
              <c:symbol val="diamond"/>
              <c:size val="5"/>
              <c:spPr>
                <a:solidFill>
                  <a:schemeClr val="accent2"/>
                </a:solidFill>
                <a:ln w="9525">
                  <a:solidFill>
                    <a:schemeClr val="accent2"/>
                  </a:solidFill>
                </a:ln>
                <a:effectLst/>
              </c:spPr>
            </c:marker>
            <c:bubble3D val="0"/>
            <c:spPr>
              <a:noFill/>
              <a:ln w="28575" cap="rnd">
                <a:solidFill>
                  <a:schemeClr val="accent2"/>
                </a:solidFill>
                <a:round/>
              </a:ln>
              <a:effectLst/>
            </c:spPr>
          </c:dPt>
          <c:dLbls>
            <c:dLbl>
              <c:idx val="2"/>
              <c:layout>
                <c:manualLayout>
                  <c:x val="-4.8767299991937865e-002"/>
                  <c:y val="7.17423149331464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sz="900"/>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=グラフ!$A$21:$A$24</c:f>
              <c:strCache>
                <c:ptCount val="4"/>
                <c:pt idx="0">
                  <c:v>H23</c:v>
                </c:pt>
                <c:pt idx="1">
                  <c:v>H26</c:v>
                </c:pt>
                <c:pt idx="2">
                  <c:v>H29</c:v>
                </c:pt>
                <c:pt idx="3">
                  <c:v>R2</c:v>
                </c:pt>
              </c:strCache>
            </c:strRef>
          </c:cat>
          <c:val>
            <c:numRef>
              <c:f>=グラフ!$C$21:$C$24</c:f>
              <c:numCache>
                <c:formatCode>General</c:formatCode>
                <c:ptCount val="4"/>
                <c:pt idx="0">
                  <c:v>17</c:v>
                </c:pt>
                <c:pt idx="1">
                  <c:v>38</c:v>
                </c:pt>
                <c:pt idx="2">
                  <c:v>24</c:v>
                </c:pt>
                <c:pt idx="3">
                  <c:v>18</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valAx>
      <c:spPr>
        <a:noFill/>
        <a:ln>
          <a:noFill/>
        </a:ln>
        <a:effectLst/>
      </c:spPr>
    </c:plotArea>
    <c:legend>
      <c:legendPos val="b"/>
      <c:layout>
        <c:manualLayout>
          <c:xMode val="edge"/>
          <c:yMode val="edge"/>
          <c:x val="0.28327645051194533"/>
          <c:y val="0.89316239316239332"/>
          <c:w val="0.50511945392491453"/>
          <c:h val="9.4017094017094016e-002"/>
        </c:manualLayout>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6.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horzOverflow="overflow" wrap="square" anchor="t" anchorCtr="1"/>
          <a:lstStyle/>
          <a:p>
            <a:pPr algn="ctr" rtl="0">
              <a:defRPr kumimoji="0" lang="ja-JP" altLang="en-US" sz="1000" b="0" i="0" u="none" strike="noStrike" kern="1200" spc="0" baseline="0">
                <a:solidFill>
                  <a:schemeClr val="tx1"/>
                </a:solidFill>
                <a:latin typeface="ＭＳ ゴシック"/>
                <a:ea typeface="ＭＳ ゴシック"/>
                <a:cs typeface="+mn-cs"/>
              </a:defRPr>
            </a:pPr>
            <a:r>
              <a:rPr kumimoji="0" lang="ja-JP" altLang="en-US" sz="1000" b="0" i="0" u="none" strike="noStrike" kern="1200" spc="0" baseline="0">
                <a:solidFill>
                  <a:schemeClr val="tx1"/>
                </a:solidFill>
                <a:latin typeface="ＭＳ ゴシック"/>
                <a:ea typeface="ＭＳ ゴシック"/>
                <a:cs typeface="+mn-cs"/>
              </a:rPr>
              <a:t>（外来</a:t>
            </a:r>
            <a:r>
              <a:rPr kumimoji="0" lang="ja-JP" altLang="en-US" sz="1000" b="0" i="0" u="none" strike="noStrike" kern="1200" spc="0" baseline="0">
                <a:solidFill>
                  <a:schemeClr val="tx1"/>
                </a:solidFill>
                <a:latin typeface="ＭＳ ゴシック"/>
                <a:ea typeface="ＭＳ ゴシック"/>
                <a:cs typeface="+mn-cs"/>
              </a:rPr>
              <a:t>）</a:t>
            </a:r>
            <a:endParaRPr kumimoji="0" lang="ja-JP" altLang="en-US" sz="1000" b="0" i="0" u="none" strike="noStrike" kern="1200" spc="0" baseline="0">
              <a:solidFill>
                <a:schemeClr val="tx1"/>
              </a:solidFill>
              <a:latin typeface="ＭＳ ゴシック"/>
              <a:ea typeface="ＭＳ ゴシック"/>
              <a:cs typeface="+mn-cs"/>
            </a:endParaRPr>
          </a:p>
        </c:rich>
      </c:tx>
      <c:layout>
        <c:manualLayout>
          <c:xMode val="edge"/>
          <c:yMode val="edge"/>
          <c:x val="0.3965515682007702"/>
          <c:y val="0"/>
        </c:manualLayout>
      </c:layout>
      <c:overlay val="0"/>
      <c:spPr>
        <a:noFill/>
        <a:ln>
          <a:noFill/>
        </a:ln>
        <a:effectLst/>
      </c:spPr>
    </c:title>
    <c:autoTitleDeleted val="0"/>
    <c:plotArea>
      <c:layout>
        <c:manualLayout>
          <c:layoutTarget val="inner"/>
          <c:xMode val="edge"/>
          <c:yMode val="edge"/>
          <c:x val="0.1206896551724138"/>
          <c:y val="0.13852813852813853"/>
          <c:w val="0.82413793103448274"/>
          <c:h val="0.63203463203463206"/>
        </c:manualLayout>
      </c:layout>
      <c:lineChart>
        <c:grouping val="standard"/>
        <c:varyColors val="0"/>
        <c:ser>
          <c:idx val="0"/>
          <c:order val="0"/>
          <c:tx>
            <c:strRef>
              <c:f>=グラフ!$F$19</c:f>
              <c:strCache>
                <c:ptCount val="1"/>
                <c:pt idx="0">
                  <c:v>全国</c:v>
                </c:pt>
              </c:strCache>
            </c:strRef>
          </c:tx>
          <c:spPr>
            <a:noFill/>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=グラフ!$E$21:$E$24</c:f>
              <c:strCache>
                <c:ptCount val="4"/>
                <c:pt idx="0">
                  <c:v>H23</c:v>
                </c:pt>
                <c:pt idx="1">
                  <c:v>H26</c:v>
                </c:pt>
                <c:pt idx="2">
                  <c:v>H29</c:v>
                </c:pt>
                <c:pt idx="3">
                  <c:v>R2</c:v>
                </c:pt>
              </c:strCache>
            </c:strRef>
          </c:cat>
          <c:val>
            <c:numRef>
              <c:f>=グラフ!$F$21:$F$24</c:f>
              <c:numCache>
                <c:formatCode>General</c:formatCode>
                <c:ptCount val="4"/>
                <c:pt idx="0">
                  <c:v>49</c:v>
                </c:pt>
                <c:pt idx="1">
                  <c:v>47</c:v>
                </c:pt>
                <c:pt idx="2">
                  <c:v>44</c:v>
                </c:pt>
                <c:pt idx="3">
                  <c:v>42</c:v>
                </c:pt>
              </c:numCache>
            </c:numRef>
          </c:val>
          <c:smooth val="0"/>
        </c:ser>
        <c:ser>
          <c:idx val="1"/>
          <c:order val="1"/>
          <c:tx>
            <c:strRef>
              <c:f>=グラフ!$G$19</c:f>
              <c:strCache>
                <c:ptCount val="1"/>
                <c:pt idx="0">
                  <c:v>高知県</c:v>
                </c:pt>
              </c:strCache>
            </c:strRef>
          </c:tx>
          <c:spPr>
            <a:noFill/>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=グラフ!$E$21:$E$24</c:f>
              <c:strCache>
                <c:ptCount val="4"/>
                <c:pt idx="0">
                  <c:v>H23</c:v>
                </c:pt>
                <c:pt idx="1">
                  <c:v>H26</c:v>
                </c:pt>
                <c:pt idx="2">
                  <c:v>H29</c:v>
                </c:pt>
                <c:pt idx="3">
                  <c:v>R2</c:v>
                </c:pt>
              </c:strCache>
            </c:strRef>
          </c:cat>
          <c:val>
            <c:numRef>
              <c:f>=グラフ!$G$21:$G$24</c:f>
              <c:numCache>
                <c:formatCode>General</c:formatCode>
                <c:ptCount val="4"/>
                <c:pt idx="0">
                  <c:v>66</c:v>
                </c:pt>
                <c:pt idx="1">
                  <c:v>65</c:v>
                </c:pt>
                <c:pt idx="2">
                  <c:v>54</c:v>
                </c:pt>
                <c:pt idx="3">
                  <c:v>46</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valAx>
      <c:spPr>
        <a:noFill/>
        <a:ln>
          <a:noFill/>
        </a:ln>
        <a:effectLst/>
      </c:spPr>
    </c:plotArea>
    <c:legend>
      <c:legendPos val="b"/>
      <c:layout>
        <c:manualLayout>
          <c:xMode val="edge"/>
          <c:yMode val="edge"/>
          <c:x val="0.25083612040133774"/>
          <c:y val="0.9066666666666664"/>
          <c:w val="0.4949832775919733"/>
          <c:h val="8.e-002"/>
        </c:manualLayout>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7.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6666666666668"/>
          <c:y val="0.10069444444444443"/>
          <c:w val="0.85416666666666652"/>
          <c:h val="0.72222222222222221"/>
        </c:manualLayout>
      </c:layout>
      <c:lineChart>
        <c:grouping val="standard"/>
        <c:varyColors val="0"/>
        <c:ser>
          <c:idx val="0"/>
          <c:order val="0"/>
          <c:spPr>
            <a:solidFill>
              <a:srgbClr val="5B9BD5"/>
            </a:solidFill>
            <a:ln w="28575" cap="rnd">
              <a:solidFill>
                <a:srgbClr val="5B9BD5"/>
              </a:solidFill>
              <a:round/>
            </a:ln>
            <a:effectLst/>
          </c:spPr>
          <c:marker>
            <c:symbol val="circle"/>
            <c:size val="5"/>
            <c:spPr>
              <a:solidFill>
                <a:srgbClr val="5B9BD5"/>
              </a:solidFill>
              <a:ln w="9525">
                <a:solidFill>
                  <a:srgbClr val="5B9BD5"/>
                </a:solidFill>
              </a:ln>
              <a:effectLst/>
            </c:spPr>
          </c:marker>
          <c:dPt>
            <c:idx val="0"/>
            <c:invertIfNegative val="0"/>
            <c:marker>
              <c:symbol val="circle"/>
              <c:size val="5"/>
              <c:spPr>
                <a:solidFill>
                  <a:srgbClr val="5B9BD5"/>
                </a:solidFill>
                <a:ln w="9525">
                  <a:solidFill>
                    <a:srgbClr val="5B9BD5"/>
                  </a:solidFill>
                </a:ln>
                <a:effectLst/>
              </c:spPr>
            </c:marker>
            <c:bubble3D val="0"/>
            <c:spPr>
              <a:solidFill>
                <a:srgbClr val="5B9BD5"/>
              </a:solidFill>
              <a:ln w="28575" cap="rnd">
                <a:solidFill>
                  <a:srgbClr val="5B9BD5"/>
                </a:solidFill>
                <a:round/>
              </a:ln>
              <a:effectLst/>
            </c:spPr>
          </c:dPt>
          <c:dPt>
            <c:idx val="3"/>
            <c:invertIfNegative val="0"/>
            <c:marker>
              <c:symbol val="circle"/>
              <c:size val="5"/>
              <c:spPr>
                <a:solidFill>
                  <a:srgbClr val="5B9BD5"/>
                </a:solidFill>
                <a:ln w="9525">
                  <a:solidFill>
                    <a:srgbClr val="5B9BD5"/>
                  </a:solidFill>
                </a:ln>
                <a:effectLst/>
              </c:spPr>
            </c:marker>
            <c:bubble3D val="0"/>
            <c:spPr>
              <a:solidFill>
                <a:srgbClr val="5B9BD5"/>
              </a:solidFill>
              <a:ln w="28575" cap="rnd">
                <a:solidFill>
                  <a:srgbClr val="5B9BD5"/>
                </a:solidFill>
                <a:round/>
              </a:ln>
              <a:effectLst/>
            </c:spPr>
          </c:dPt>
          <c:dPt>
            <c:idx val="4"/>
            <c:invertIfNegative val="0"/>
            <c:marker>
              <c:symbol val="circle"/>
              <c:size val="5"/>
              <c:spPr>
                <a:solidFill>
                  <a:srgbClr val="5B9BD5"/>
                </a:solidFill>
                <a:ln w="9525">
                  <a:solidFill>
                    <a:srgbClr val="5B9BD5"/>
                  </a:solidFill>
                </a:ln>
                <a:effectLst/>
              </c:spPr>
            </c:marker>
            <c:bubble3D val="0"/>
            <c:spPr>
              <a:solidFill>
                <a:srgbClr val="5B9BD5"/>
              </a:solidFill>
              <a:ln w="28575" cap="rnd">
                <a:solidFill>
                  <a:srgbClr val="5B9BD5"/>
                </a:solidFill>
                <a:round/>
              </a:ln>
              <a:effectLst/>
            </c:spPr>
          </c:dPt>
          <c:dLbls>
            <c:dLbl>
              <c:idx val="0"/>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i="0" u="none" strike="noStrike" kern="1200" baseline="0">
                      <a:solidFill>
                        <a:srgbClr val="000000"/>
                      </a:solidFill>
                      <a:latin typeface="+mj-ea"/>
                      <a:ea typeface="+mj-ea"/>
                      <a:cs typeface="+mn-cs"/>
                    </a:defRPr>
                  </a:pPr>
                  <a:endParaRPr lang="ja-JP" altLang="en-US" sz="1000"/>
                </a:p>
              </c:txPr>
              <c:dLblPos val="b"/>
              <c:showLegendKey val="0"/>
              <c:showVal val="1"/>
              <c:showCatName val="0"/>
              <c:showSerName val="0"/>
              <c:showPercent val="0"/>
              <c:showBubbleSize val="0"/>
            </c:dLbl>
            <c:dLbl>
              <c:idx val="3"/>
              <c:layout>
                <c:manualLayout>
                  <c:x val="-4.7367415871352882e-002"/>
                  <c:y val="9.6071621184338263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i="0" u="none" strike="noStrike" kern="1200" baseline="0">
                      <a:solidFill>
                        <a:srgbClr val="000000"/>
                      </a:solidFill>
                      <a:latin typeface="+mj-ea"/>
                      <a:ea typeface="+mj-ea"/>
                      <a:cs typeface="+mn-cs"/>
                    </a:defRPr>
                  </a:pPr>
                  <a:endParaRPr lang="ja-JP" altLang="en-US" sz="1000"/>
                </a:p>
              </c:txPr>
              <c:showLegendKey val="0"/>
              <c:showVal val="1"/>
              <c:showCatName val="0"/>
              <c:showSerName val="0"/>
              <c:showPercent val="0"/>
              <c:showBubbleSize val="0"/>
            </c:dLbl>
            <c:dLbl>
              <c:idx val="4"/>
              <c:layout>
                <c:manualLayout>
                  <c:x val="-5.2253780127795878e-002"/>
                  <c:y val="0.112347463416388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i="0" u="none" strike="noStrike" kern="1200" baseline="0">
                      <a:solidFill>
                        <a:srgbClr val="000000"/>
                      </a:solidFill>
                      <a:latin typeface="+mj-ea"/>
                      <a:ea typeface="+mj-ea"/>
                      <a:cs typeface="+mn-cs"/>
                    </a:defRPr>
                  </a:pPr>
                  <a:endParaRPr lang="ja-JP" altLang="en-US" sz="1000"/>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i="0" u="none" strike="noStrike" kern="1200" baseline="0">
                    <a:solidFill>
                      <a:srgbClr val="000000"/>
                    </a:solidFill>
                    <a:latin typeface="+mj-ea"/>
                    <a:ea typeface="+mj-ea"/>
                    <a:cs typeface="+mn-cs"/>
                  </a:defRPr>
                </a:pPr>
                <a:endParaRPr lang="ja-JP" altLang="en-US"/>
              </a:p>
            </c:txPr>
            <c:dLblPos val="b"/>
            <c:showLegendKey val="0"/>
            <c:showVal val="1"/>
            <c:showCatName val="0"/>
            <c:showSerName val="0"/>
            <c:showPercent val="0"/>
            <c:showBubbleSize val="0"/>
          </c:dLbls>
          <c:cat>
            <c:strRef>
              <c:f>発症から病院到着!$B$16:$B$26</c:f>
              <c:strCache>
                <c:ptCount val="11"/>
                <c:pt idx="0">
                  <c:v>H24</c:v>
                </c:pt>
                <c:pt idx="1">
                  <c:v>H25</c:v>
                </c:pt>
                <c:pt idx="2">
                  <c:v>H26</c:v>
                </c:pt>
                <c:pt idx="3">
                  <c:v>H27</c:v>
                </c:pt>
                <c:pt idx="4">
                  <c:v>H28</c:v>
                </c:pt>
                <c:pt idx="5">
                  <c:v>H29</c:v>
                </c:pt>
                <c:pt idx="6">
                  <c:v>H30</c:v>
                </c:pt>
                <c:pt idx="7">
                  <c:v>R元</c:v>
                </c:pt>
                <c:pt idx="8">
                  <c:v>R2</c:v>
                </c:pt>
                <c:pt idx="9">
                  <c:v>R3</c:v>
                </c:pt>
                <c:pt idx="10">
                  <c:v>R4</c:v>
                </c:pt>
              </c:strCache>
            </c:strRef>
          </c:cat>
          <c:val>
            <c:numRef>
              <c:f>[【データ07】急性心筋梗塞治療センター治療成績.xlsx]発症から病院到着!$C$16:$C$26</c:f>
              <c:numCache>
                <c:formatCode>General</c:formatCode>
                <c:ptCount val="11"/>
                <c:pt idx="0">
                  <c:v>265</c:v>
                </c:pt>
                <c:pt idx="1">
                  <c:v>235</c:v>
                </c:pt>
                <c:pt idx="2">
                  <c:v>232</c:v>
                </c:pt>
                <c:pt idx="3">
                  <c:v>285</c:v>
                </c:pt>
                <c:pt idx="4">
                  <c:v>269</c:v>
                </c:pt>
                <c:pt idx="5">
                  <c:v>202</c:v>
                </c:pt>
                <c:pt idx="6">
                  <c:v>174</c:v>
                </c:pt>
                <c:pt idx="7">
                  <c:v>179</c:v>
                </c:pt>
                <c:pt idx="8">
                  <c:v>170</c:v>
                </c:pt>
                <c:pt idx="9">
                  <c:v>168</c:v>
                </c:pt>
                <c:pt idx="10">
                  <c:v>184</c:v>
                </c:pt>
              </c:numCache>
            </c:numRef>
          </c:val>
          <c:smooth val="0"/>
        </c:ser>
        <c:dLbls>
          <c:spPr>
            <a:noFill/>
            <a:ln>
              <a:noFill/>
            </a:ln>
            <a:effectLst/>
          </c:spPr>
          <c:txPr>
            <a:bodyPr rot="0" spcFirstLastPara="1" vertOverflow="overflow" horzOverflow="overflow" wrap="square" anchor="ctr" anchorCtr="1">
              <a:spAutoFit/>
            </a:bodyPr>
            <a:lstStyle/>
            <a:p>
              <a:pPr algn="ctr" rtl="0">
                <a:defRPr lang="ja-JP" altLang="en-US" sz="1100" b="0" i="0" u="none" strike="noStrike" baseline="0">
                  <a:solidFill>
                    <a:srgbClr val="000000"/>
                  </a:solidFill>
                  <a:latin typeface="游ゴシック"/>
                  <a:ea typeface="游ゴシック"/>
                </a:defRPr>
              </a:pPr>
              <a:endParaRPr lang="ja-JP" altLang="en-US"/>
            </a:p>
          </c:txPr>
          <c:showLegendKey val="0"/>
          <c:showVal val="1"/>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in"/>
        <c:minorTickMark val="none"/>
        <c:tickLblPos val="nextTo"/>
        <c:spPr>
          <a:noFill/>
          <a:ln w="3175">
            <a:solidFill>
              <a:srgbClr val="000000"/>
            </a:solidFill>
            <a:prstDash val="solid"/>
          </a:ln>
          <a:effectLst/>
        </c:spPr>
        <c:txPr>
          <a:bodyPr rot="-60000000" spcFirstLastPara="1" vertOverflow="overflow" horzOverflow="overflow" wrap="square" anchor="ctr" anchorCtr="1"/>
          <a:lstStyle/>
          <a:p>
            <a:pPr algn="ctr" rtl="0">
              <a:defRPr kumimoji="0" lang="ja-JP" altLang="en-US" sz="1000" b="0" i="0" u="none" strike="noStrike" kern="1200" baseline="0">
                <a:solidFill>
                  <a:srgbClr val="000000"/>
                </a:solidFill>
                <a:latin typeface="+mj-ea"/>
                <a:ea typeface="+mj-ea"/>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3175">
              <a:solidFill>
                <a:srgbClr val="000000"/>
              </a:solidFill>
              <a:prstDash val="solid"/>
            </a:ln>
            <a:effectLst/>
          </c:spPr>
        </c:majorGridlines>
        <c:numFmt formatCode="General" sourceLinked="1"/>
        <c:majorTickMark val="in"/>
        <c:minorTickMark val="none"/>
        <c:tickLblPos val="nextTo"/>
        <c:spPr>
          <a:noFill/>
          <a:ln w="3175">
            <a:solidFill>
              <a:srgbClr val="000000"/>
            </a:solidFill>
            <a:prstDash val="solid"/>
          </a:ln>
          <a:effectLst/>
        </c:spPr>
        <c:txPr>
          <a:bodyPr rot="-60000000" spcFirstLastPara="1" vertOverflow="overflow" horzOverflow="overflow" wrap="square" anchor="ctr" anchorCtr="1"/>
          <a:lstStyle/>
          <a:p>
            <a:pPr algn="ctr" rtl="0">
              <a:defRPr kumimoji="0" lang="ja-JP" altLang="en-US" sz="1100" b="0" i="0" u="none" strike="noStrike" kern="1200" baseline="0">
                <a:solidFill>
                  <a:srgbClr val="000000"/>
                </a:solidFill>
                <a:latin typeface="ＭＳ ゴシック"/>
                <a:ea typeface="ＭＳ ゴシック"/>
              </a:defRPr>
            </a:pPr>
            <a:endParaRPr lang="ja-JP" altLang="en-US"/>
          </a:p>
        </c:txPr>
        <c:crossAx val="1"/>
        <c:crosses val="autoZero"/>
        <c:crossBetween val="between"/>
      </c:valAx>
      <c:spPr>
        <a:noFill/>
        <a:ln w="12700">
          <a:solidFill>
            <a:srgbClr val="808080"/>
          </a:solidFill>
          <a:prstDash val="solid"/>
        </a:ln>
        <a:effectLst/>
      </c:spPr>
    </c:plotArea>
    <c:plotVisOnly val="1"/>
    <c:dispBlanksAs val="gap"/>
    <c:showDLblsOverMax val="0"/>
  </c:chart>
  <c:spPr>
    <a:solidFill>
      <a:srgbClr val="FFFFFF"/>
    </a:solidFill>
    <a:ln w="3175">
      <a:noFill/>
      <a:prstDash val="solid"/>
    </a:ln>
    <a:effectLst/>
  </c:spPr>
  <c:txPr>
    <a:bodyPr vertOverflow="overflow" horzOverflow="overflow" anchor="ctr" anchorCtr="1"/>
    <a:lstStyle/>
    <a:p>
      <a:pPr algn="ctr" rtl="0">
        <a:defRPr lang="ja-JP" altLang="en-US" sz="1100" b="0" i="0" u="none" strike="noStrike" baseline="0">
          <a:solidFill>
            <a:srgbClr val="000000"/>
          </a:solidFill>
          <a:latin typeface="游ゴシック"/>
          <a:ea typeface="游ゴシック"/>
        </a:defRPr>
      </a:pPr>
      <a:endParaRPr lang="ja-JP" altLang="en-US"/>
    </a:p>
  </c:txPr>
  <c:externalData r:id="rId1">
    <c:autoUpdate val="0"/>
  </c:externalData>
  <c:extLst>
    <c:ext xmlns:c14="http://schemas.microsoft.com/office/drawing/2007/8/2/chart" uri="{781A3756-C4B2-4CAC-9D66-4F8BD8637D16}"/>
  </c:extLst>
</c:chartSpace>
</file>

<file path=word/charts/chart8.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D2B!$C$16</c:f>
              <c:strCache>
                <c:ptCount val="1"/>
                <c:pt idx="0">
                  <c:v>中央値</c:v>
                </c:pt>
              </c:strCache>
            </c:strRef>
          </c:tx>
          <c:spPr>
            <a:solidFill>
              <a:schemeClr val="accent1"/>
            </a:solidFill>
            <a:ln>
              <a:noFill/>
            </a:ln>
            <a:effectLst/>
          </c:spPr>
          <c:invertIfNegative val="0"/>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D2B!$B$17:$B$27</c:f>
              <c:strCache>
                <c:ptCount val="11"/>
                <c:pt idx="0">
                  <c:v>H24</c:v>
                </c:pt>
                <c:pt idx="1">
                  <c:v>H25</c:v>
                </c:pt>
                <c:pt idx="2">
                  <c:v>H26</c:v>
                </c:pt>
                <c:pt idx="3">
                  <c:v>H27</c:v>
                </c:pt>
                <c:pt idx="4">
                  <c:v>H28</c:v>
                </c:pt>
                <c:pt idx="5">
                  <c:v>H29</c:v>
                </c:pt>
                <c:pt idx="6">
                  <c:v>H30</c:v>
                </c:pt>
                <c:pt idx="7">
                  <c:v>R1</c:v>
                </c:pt>
                <c:pt idx="8">
                  <c:v>R2</c:v>
                </c:pt>
                <c:pt idx="9">
                  <c:v>R3</c:v>
                </c:pt>
                <c:pt idx="10">
                  <c:v>R4</c:v>
                </c:pt>
              </c:strCache>
            </c:strRef>
          </c:cat>
          <c:val>
            <c:numRef>
              <c:f>[【データ07】急性心筋梗塞治療センター治療成績.xlsx]D2B!$C$17:$C$27</c:f>
              <c:numCache>
                <c:formatCode xml:space="preserve">0_ </c:formatCode>
                <c:ptCount val="11"/>
                <c:pt idx="0">
                  <c:v>90.6</c:v>
                </c:pt>
                <c:pt idx="1">
                  <c:v>91.6</c:v>
                </c:pt>
                <c:pt idx="2">
                  <c:v>73.8</c:v>
                </c:pt>
                <c:pt idx="3">
                  <c:v>74.599999999999994</c:v>
                </c:pt>
                <c:pt idx="4">
                  <c:v>72.599999999999994</c:v>
                </c:pt>
                <c:pt idx="5">
                  <c:v>73.5</c:v>
                </c:pt>
                <c:pt idx="6">
                  <c:v>73.5</c:v>
                </c:pt>
                <c:pt idx="7">
                  <c:v>72.2</c:v>
                </c:pt>
                <c:pt idx="8">
                  <c:v>73.3</c:v>
                </c:pt>
                <c:pt idx="9" formatCode="General">
                  <c:v>71</c:v>
                </c:pt>
                <c:pt idx="10" formatCode="General">
                  <c:v>78</c:v>
                </c:pt>
              </c:numCache>
            </c:numRef>
          </c:val>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gapWidth val="150"/>
        <c:overlap val="0"/>
        <c:axId val="1"/>
        <c:axId val="2"/>
      </c:barChart>
      <c:lineChart>
        <c:grouping val="standard"/>
        <c:varyColors val="0"/>
        <c:ser>
          <c:idx val="1"/>
          <c:order val="1"/>
          <c:tx>
            <c:strRef>
              <c:f>D2B!$E$16</c:f>
              <c:strCache>
                <c:ptCount val="1"/>
                <c:pt idx="0">
                  <c:v>90分以内の割合</c:v>
                </c:pt>
              </c:strCache>
            </c:strRef>
          </c:tx>
          <c:spPr>
            <a:noFill/>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D2B!$B$17:$B$27</c:f>
              <c:strCache>
                <c:ptCount val="11"/>
                <c:pt idx="0">
                  <c:v>H24</c:v>
                </c:pt>
                <c:pt idx="1">
                  <c:v>H25</c:v>
                </c:pt>
                <c:pt idx="2">
                  <c:v>H26</c:v>
                </c:pt>
                <c:pt idx="3">
                  <c:v>H27</c:v>
                </c:pt>
                <c:pt idx="4">
                  <c:v>H28</c:v>
                </c:pt>
                <c:pt idx="5">
                  <c:v>H29</c:v>
                </c:pt>
                <c:pt idx="6">
                  <c:v>H30</c:v>
                </c:pt>
                <c:pt idx="7">
                  <c:v>R1</c:v>
                </c:pt>
                <c:pt idx="8">
                  <c:v>R2</c:v>
                </c:pt>
                <c:pt idx="9">
                  <c:v>R3</c:v>
                </c:pt>
                <c:pt idx="10">
                  <c:v>R4</c:v>
                </c:pt>
              </c:strCache>
            </c:strRef>
          </c:cat>
          <c:val>
            <c:numRef>
              <c:f>[【データ07】急性心筋梗塞治療センター治療成績.xlsx]D2B!$E$17:$E$27</c:f>
              <c:numCache>
                <c:formatCode>0.0%</c:formatCode>
                <c:ptCount val="11"/>
                <c:pt idx="0">
                  <c:v>0.623</c:v>
                </c:pt>
                <c:pt idx="1">
                  <c:v>0.55700000000000005</c:v>
                </c:pt>
                <c:pt idx="2">
                  <c:v>0.66700000000000004</c:v>
                </c:pt>
                <c:pt idx="3">
                  <c:v>0.69599999999999995</c:v>
                </c:pt>
                <c:pt idx="4">
                  <c:v>0.68799999999999994</c:v>
                </c:pt>
                <c:pt idx="5">
                  <c:v>0.73799999999999999</c:v>
                </c:pt>
                <c:pt idx="6">
                  <c:v>0.70299999999999996</c:v>
                </c:pt>
                <c:pt idx="7">
                  <c:v>0.67800000000000005</c:v>
                </c:pt>
                <c:pt idx="8">
                  <c:v>0.76200000000000001</c:v>
                </c:pt>
                <c:pt idx="9">
                  <c:v>0.78700000000000003</c:v>
                </c:pt>
                <c:pt idx="10">
                  <c:v>0.68799999999999994</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0"/>
        <c:smooth val="0"/>
        <c:axId val="11"/>
        <c:axId val="12"/>
      </c:lineChart>
      <c:catAx>
        <c:axId val="1"/>
        <c:scaling>
          <c:orientation val="minMax"/>
        </c:scaling>
        <c:delete val="0"/>
        <c:axPos val="b"/>
        <c:numFmt formatCode="0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valAx>
      <c:catAx>
        <c:axId val="11"/>
        <c:scaling>
          <c:orientation val="minMax"/>
        </c:scaling>
        <c:delete val="1"/>
        <c:axPos val="b"/>
        <c:numFmt formatCode="0.0%" sourceLinked="1"/>
        <c:majorTickMark val="none"/>
        <c:minorTickMark val="none"/>
        <c:tickLblPos val="nextTo"/>
        <c:txPr>
          <a:bodyPr rot="-60000000" spcFirstLastPara="1" vertOverflow="ellipsis" horzOverflow="overflow" wrap="square" anchor="ctr" anchorCtr="1"/>
          <a:lstStyle/>
          <a:p>
            <a:pPr algn="ctr" rtl="0">
              <a:defRPr lang="ja-JP" altLang="en-US" sz="1000" kern="1200">
                <a:solidFill>
                  <a:schemeClr val="tx1"/>
                </a:solidFill>
                <a:latin typeface="+mn-lt"/>
                <a:ea typeface="+mn-ea"/>
                <a:cs typeface="+mn-cs"/>
              </a:defRPr>
            </a:pPr>
            <a:endParaRPr lang="ja-JP" altLang="en-US" sz="1000" kern="1200">
              <a:solidFill>
                <a:schemeClr val="tx1"/>
              </a:solidFill>
              <a:latin typeface="+mn-lt"/>
              <a:ea typeface="+mn-ea"/>
              <a:cs typeface="+mn-cs"/>
            </a:endParaRPr>
          </a:p>
        </c:txPr>
        <c:crossAx val="12"/>
        <c:crosses val="autoZero"/>
        <c:auto val="1"/>
        <c:lblAlgn val="ctr"/>
        <c:lblOffset val="100"/>
        <c:noMultiLvlLbl val="0"/>
      </c:catAx>
      <c:valAx>
        <c:axId val="12"/>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1"/>
        <c:crosses val="max"/>
        <c:crossBetween val="between"/>
      </c:valAx>
      <c:spPr>
        <a:noFill/>
        <a:ln>
          <a:noFill/>
        </a:ln>
        <a:effectLst/>
      </c:spPr>
    </c:plotArea>
    <c:legend>
      <c:legendPos val="b"/>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9.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49912434325745e-002"/>
          <c:y val="0.17701863354037267"/>
          <c:w val="0.86164623467600721"/>
          <c:h val="0.56521739130434778"/>
        </c:manualLayout>
      </c:layout>
      <c:barChart>
        <c:barDir val="col"/>
        <c:grouping val="clustered"/>
        <c:varyColors val="0"/>
        <c:ser>
          <c:idx val="0"/>
          <c:order val="0"/>
          <c:tx>
            <c:strRef>
              <c:f>STEMI!$B$15</c:f>
              <c:strCache>
                <c:ptCount val="1"/>
                <c:pt idx="0">
                  <c:v>STEMI症例数</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solidFill>
              <a:ln>
                <a:noFill/>
              </a:ln>
              <a:effectLst/>
            </c:spPr>
          </c:dPt>
          <c:dPt>
            <c:idx val="4"/>
            <c:invertIfNegative val="0"/>
            <c:bubble3D val="0"/>
            <c:spPr>
              <a:solidFill>
                <a:schemeClr val="accent1"/>
              </a:solidFill>
              <a:ln>
                <a:noFill/>
              </a:ln>
              <a:effectLst/>
            </c:spPr>
          </c:dPt>
          <c:dPt>
            <c:idx val="5"/>
            <c:invertIfNegative val="0"/>
            <c:bubble3D val="0"/>
            <c:spPr>
              <a:solidFill>
                <a:schemeClr val="accent1"/>
              </a:solidFill>
              <a:ln>
                <a:noFill/>
              </a:ln>
              <a:effectLst/>
            </c:spPr>
          </c:dPt>
          <c:dPt>
            <c:idx val="6"/>
            <c:invertIfNegative val="0"/>
            <c:bubble3D val="0"/>
            <c:spPr>
              <a:solidFill>
                <a:schemeClr val="accent1"/>
              </a:solidFill>
              <a:ln>
                <a:noFill/>
              </a:ln>
              <a:effectLst/>
            </c:spPr>
          </c:dPt>
          <c:dPt>
            <c:idx val="7"/>
            <c:invertIfNegative val="0"/>
            <c:bubble3D val="0"/>
            <c:spPr>
              <a:solidFill>
                <a:schemeClr val="accent1"/>
              </a:solidFill>
              <a:ln>
                <a:noFill/>
              </a:ln>
              <a:effectLst/>
            </c:spPr>
          </c:dPt>
          <c:dLbls>
            <c:dLbl>
              <c:idx val="0"/>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1"/>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2"/>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3"/>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4"/>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5"/>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6"/>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7"/>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STEMI!$A$16:$A$26</c:f>
              <c:strCache>
                <c:ptCount val="11"/>
                <c:pt idx="0">
                  <c:v>H24</c:v>
                </c:pt>
                <c:pt idx="1">
                  <c:v>H25</c:v>
                </c:pt>
                <c:pt idx="2">
                  <c:v>H26</c:v>
                </c:pt>
                <c:pt idx="3">
                  <c:v>H27</c:v>
                </c:pt>
                <c:pt idx="4">
                  <c:v>H28</c:v>
                </c:pt>
                <c:pt idx="5">
                  <c:v>H29</c:v>
                </c:pt>
                <c:pt idx="6">
                  <c:v>H30</c:v>
                </c:pt>
                <c:pt idx="7">
                  <c:v>R1</c:v>
                </c:pt>
                <c:pt idx="8">
                  <c:v>R2</c:v>
                </c:pt>
                <c:pt idx="9">
                  <c:v>R3</c:v>
                </c:pt>
                <c:pt idx="10">
                  <c:v>R4</c:v>
                </c:pt>
              </c:strCache>
            </c:strRef>
          </c:cat>
          <c:val>
            <c:numRef>
              <c:f>[【データ07】急性心筋梗塞治療センター治療成績.xlsx]STEMI!$B$16:$B$26</c:f>
              <c:numCache>
                <c:formatCode>General</c:formatCode>
                <c:ptCount val="11"/>
                <c:pt idx="0">
                  <c:v>364</c:v>
                </c:pt>
                <c:pt idx="1">
                  <c:v>323</c:v>
                </c:pt>
                <c:pt idx="2">
                  <c:v>329</c:v>
                </c:pt>
                <c:pt idx="3">
                  <c:v>307</c:v>
                </c:pt>
                <c:pt idx="4">
                  <c:v>326</c:v>
                </c:pt>
                <c:pt idx="5">
                  <c:v>387</c:v>
                </c:pt>
                <c:pt idx="6">
                  <c:v>341</c:v>
                </c:pt>
                <c:pt idx="7">
                  <c:v>306</c:v>
                </c:pt>
                <c:pt idx="8">
                  <c:v>318</c:v>
                </c:pt>
                <c:pt idx="9">
                  <c:v>303</c:v>
                </c:pt>
                <c:pt idx="10">
                  <c:v>313</c:v>
                </c:pt>
              </c:numCache>
            </c:numRef>
          </c:val>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gapWidth val="150"/>
        <c:overlap val="0"/>
        <c:axId val="1"/>
        <c:axId val="2"/>
      </c:barChart>
      <c:lineChart>
        <c:grouping val="standard"/>
        <c:varyColors val="0"/>
        <c:ser>
          <c:idx val="1"/>
          <c:order val="1"/>
          <c:tx>
            <c:strRef>
              <c:f>STEMI!$C$15</c:f>
              <c:strCache>
                <c:ptCount val="1"/>
                <c:pt idx="0">
                  <c:v>PCI施行率</c:v>
                </c:pt>
              </c:strCache>
            </c:strRef>
          </c:tx>
          <c:spPr>
            <a:noFill/>
            <a:ln w="28575" cap="rnd">
              <a:solidFill>
                <a:schemeClr val="accent2"/>
              </a:solidFill>
              <a:round/>
            </a:ln>
            <a:effectLst/>
          </c:spPr>
          <c:marker>
            <c:symbol val="circle"/>
            <c:size val="5"/>
            <c:spPr>
              <a:solidFill>
                <a:schemeClr val="accent2"/>
              </a:solidFill>
              <a:ln w="9525">
                <a:solidFill>
                  <a:schemeClr val="accent2"/>
                </a:solidFill>
              </a:ln>
              <a:effectLst/>
            </c:spPr>
          </c:marker>
          <c:dPt>
            <c:idx val="4"/>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Pt>
            <c:idx val="8"/>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Pt>
            <c:idx val="9"/>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Lbls>
            <c:dLbl>
              <c:idx val="4"/>
              <c:layout>
                <c:manualLayout>
                  <c:x val="-4.6232029215526139e-002"/>
                  <c:y val="4.561484162305799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8"/>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dLbl>
            <c:dLbl>
              <c:idx val="9"/>
              <c:layout>
                <c:manualLayout>
                  <c:x val="-5.0715648284770008e-002"/>
                  <c:y val="4.6272476809963971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STEMI!$A$16:$A$26</c:f>
              <c:strCache>
                <c:ptCount val="11"/>
                <c:pt idx="0">
                  <c:v>H24</c:v>
                </c:pt>
                <c:pt idx="1">
                  <c:v>H25</c:v>
                </c:pt>
                <c:pt idx="2">
                  <c:v>H26</c:v>
                </c:pt>
                <c:pt idx="3">
                  <c:v>H27</c:v>
                </c:pt>
                <c:pt idx="4">
                  <c:v>H28</c:v>
                </c:pt>
                <c:pt idx="5">
                  <c:v>H29</c:v>
                </c:pt>
                <c:pt idx="6">
                  <c:v>H30</c:v>
                </c:pt>
                <c:pt idx="7">
                  <c:v>R1</c:v>
                </c:pt>
                <c:pt idx="8">
                  <c:v>R2</c:v>
                </c:pt>
                <c:pt idx="9">
                  <c:v>R3</c:v>
                </c:pt>
                <c:pt idx="10">
                  <c:v>R4</c:v>
                </c:pt>
              </c:strCache>
            </c:strRef>
          </c:cat>
          <c:val>
            <c:numRef>
              <c:f>[【データ07】急性心筋梗塞治療センター治療成績.xlsx]STEMI!$C$16:$C$26</c:f>
              <c:numCache>
                <c:formatCode>0.0%</c:formatCode>
                <c:ptCount val="11"/>
                <c:pt idx="0">
                  <c:v>0.94780219780219765</c:v>
                </c:pt>
                <c:pt idx="1">
                  <c:v>0.91640866873064997</c:v>
                </c:pt>
                <c:pt idx="2">
                  <c:v>0.96960486322188444</c:v>
                </c:pt>
                <c:pt idx="3">
                  <c:v>0.87947882736156335</c:v>
                </c:pt>
                <c:pt idx="4">
                  <c:v>0.91411042944785281</c:v>
                </c:pt>
                <c:pt idx="5">
                  <c:v>0.88113695090439281</c:v>
                </c:pt>
                <c:pt idx="6">
                  <c:v>0.87390029325513185</c:v>
                </c:pt>
                <c:pt idx="7">
                  <c:v>0.93137254901960786</c:v>
                </c:pt>
                <c:pt idx="8">
                  <c:v>0.90251572327044005</c:v>
                </c:pt>
                <c:pt idx="9">
                  <c:v>0.88778877887788765</c:v>
                </c:pt>
                <c:pt idx="10">
                  <c:v>0.90734824281150162</c:v>
                </c:pt>
              </c:numCache>
            </c:numRef>
          </c:val>
          <c:smooth val="0"/>
        </c:ser>
        <c:ser>
          <c:idx val="2"/>
          <c:order val="2"/>
          <c:tx>
            <c:strRef>
              <c:f>STEMI!$D$15</c:f>
              <c:strCache>
                <c:ptCount val="1"/>
                <c:pt idx="0">
                  <c:v>生存退院率</c:v>
                </c:pt>
              </c:strCache>
            </c:strRef>
          </c:tx>
          <c:spPr>
            <a:noFill/>
            <a:ln w="28575" cap="rnd">
              <a:solidFill>
                <a:schemeClr val="accent3"/>
              </a:solidFill>
              <a:round/>
            </a:ln>
            <a:effectLst/>
          </c:spPr>
          <c:marker>
            <c:symbol val="diamond"/>
            <c:size val="5"/>
            <c:spPr>
              <a:solidFill>
                <a:schemeClr val="accent3"/>
              </a:solidFill>
              <a:ln w="9525">
                <a:solidFill>
                  <a:schemeClr val="accent3"/>
                </a:solidFill>
              </a:ln>
              <a:effectLst/>
            </c:spPr>
          </c:marker>
          <c:dPt>
            <c:idx val="1"/>
            <c:invertIfNegative val="0"/>
            <c:marker>
              <c:symbol val="diamond"/>
              <c:size val="5"/>
              <c:spPr>
                <a:solidFill>
                  <a:schemeClr val="accent3"/>
                </a:solidFill>
                <a:ln w="9525">
                  <a:solidFill>
                    <a:schemeClr val="accent3"/>
                  </a:solidFill>
                </a:ln>
                <a:effectLst/>
              </c:spPr>
            </c:marker>
            <c:bubble3D val="0"/>
            <c:spPr>
              <a:noFill/>
              <a:ln w="28575" cap="rnd">
                <a:solidFill>
                  <a:schemeClr val="accent3"/>
                </a:solidFill>
                <a:round/>
              </a:ln>
              <a:effectLst/>
            </c:spPr>
          </c:dPt>
          <c:dPt>
            <c:idx val="8"/>
            <c:invertIfNegative val="0"/>
            <c:marker>
              <c:symbol val="diamond"/>
              <c:size val="5"/>
              <c:spPr>
                <a:solidFill>
                  <a:schemeClr val="accent3"/>
                </a:solidFill>
                <a:ln w="9525">
                  <a:solidFill>
                    <a:schemeClr val="accent3"/>
                  </a:solidFill>
                </a:ln>
                <a:effectLst/>
              </c:spPr>
            </c:marker>
            <c:bubble3D val="0"/>
            <c:spPr>
              <a:noFill/>
              <a:ln w="28575" cap="rnd">
                <a:solidFill>
                  <a:schemeClr val="accent3"/>
                </a:solidFill>
                <a:round/>
              </a:ln>
              <a:effectLst/>
            </c:spPr>
          </c:dPt>
          <c:dLbls>
            <c:dLbl>
              <c:idx val="1"/>
              <c:layout>
                <c:manualLayout>
                  <c:x val="-5.8156566045682645e-002"/>
                  <c:y val="3.0432500285290424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noFill/>
                    <a:latin typeface="ＭＳ ゴシック"/>
                    <a:ea typeface="ＭＳ ゴシック"/>
                  </a:endParaRPr>
                </a:p>
              </c:txPr>
              <c:showLegendKey val="0"/>
              <c:showVal val="1"/>
              <c:showCatName val="0"/>
              <c:showSerName val="0"/>
              <c:showPercent val="0"/>
              <c:showBubbleSize val="0"/>
            </c:dLbl>
            <c:dLbl>
              <c:idx val="8"/>
              <c:layout>
                <c:manualLayout>
                  <c:x val="-4.4126112957421477e-002"/>
                  <c:y val="2.1201154203550641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noFill/>
                    <a:latin typeface="ＭＳ ゴシック"/>
                    <a:ea typeface="ＭＳ ゴシック"/>
                  </a:endParaRPr>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STEMI!$A$16:$A$26</c:f>
              <c:strCache>
                <c:ptCount val="11"/>
                <c:pt idx="0">
                  <c:v>H24</c:v>
                </c:pt>
                <c:pt idx="1">
                  <c:v>H25</c:v>
                </c:pt>
                <c:pt idx="2">
                  <c:v>H26</c:v>
                </c:pt>
                <c:pt idx="3">
                  <c:v>H27</c:v>
                </c:pt>
                <c:pt idx="4">
                  <c:v>H28</c:v>
                </c:pt>
                <c:pt idx="5">
                  <c:v>H29</c:v>
                </c:pt>
                <c:pt idx="6">
                  <c:v>H30</c:v>
                </c:pt>
                <c:pt idx="7">
                  <c:v>R1</c:v>
                </c:pt>
                <c:pt idx="8">
                  <c:v>R2</c:v>
                </c:pt>
                <c:pt idx="9">
                  <c:v>R3</c:v>
                </c:pt>
                <c:pt idx="10">
                  <c:v>R4</c:v>
                </c:pt>
              </c:strCache>
            </c:strRef>
          </c:cat>
          <c:val>
            <c:numRef>
              <c:f>[【データ07】急性心筋梗塞治療センター治療成績.xlsx]STEMI!$D$16:$D$26</c:f>
              <c:numCache>
                <c:formatCode>0.0%</c:formatCode>
                <c:ptCount val="11"/>
                <c:pt idx="0">
                  <c:v>0.90384615384615363</c:v>
                </c:pt>
                <c:pt idx="1">
                  <c:v>0.91021671826625361</c:v>
                </c:pt>
                <c:pt idx="2">
                  <c:v>0.92401215805471115</c:v>
                </c:pt>
                <c:pt idx="3">
                  <c:v>0.92182410423452765</c:v>
                </c:pt>
                <c:pt idx="4">
                  <c:v>0.92331288343558271</c:v>
                </c:pt>
                <c:pt idx="5">
                  <c:v>0.91214470284237725</c:v>
                </c:pt>
                <c:pt idx="6">
                  <c:v>0.92961876832844581</c:v>
                </c:pt>
                <c:pt idx="7">
                  <c:v>0.87254901960784303</c:v>
                </c:pt>
                <c:pt idx="8">
                  <c:v>0.89622641509433953</c:v>
                </c:pt>
                <c:pt idx="9">
                  <c:v>0.8910891089108911</c:v>
                </c:pt>
                <c:pt idx="10">
                  <c:v>0.83706070287539935</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0"/>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valAx>
      <c:catAx>
        <c:axId val="11"/>
        <c:scaling>
          <c:orientation val="minMax"/>
        </c:scaling>
        <c:delete val="1"/>
        <c:axPos val="b"/>
        <c:numFmt formatCode="0.0%" sourceLinked="1"/>
        <c:majorTickMark val="none"/>
        <c:minorTickMark val="none"/>
        <c:tickLblPos val="nextTo"/>
        <c:txPr>
          <a:bodyPr rot="-60000000" spcFirstLastPara="1" vertOverflow="ellipsis" horzOverflow="overflow" wrap="square" anchor="ctr" anchorCtr="1"/>
          <a:lstStyle/>
          <a:p>
            <a:pPr algn="ctr" rtl="0">
              <a:defRPr lang="ja-JP" altLang="en-US" sz="1000" kern="1200">
                <a:solidFill>
                  <a:schemeClr val="tx1"/>
                </a:solidFill>
                <a:latin typeface="+mn-lt"/>
                <a:ea typeface="+mn-ea"/>
                <a:cs typeface="+mn-cs"/>
              </a:defRPr>
            </a:pPr>
            <a:endParaRPr lang="ja-JP" altLang="en-US" sz="1000" kern="1200">
              <a:solidFill>
                <a:schemeClr val="tx1"/>
              </a:solidFill>
              <a:latin typeface="+mn-lt"/>
              <a:ea typeface="+mn-ea"/>
              <a:cs typeface="+mn-cs"/>
            </a:endParaRPr>
          </a:p>
        </c:txPr>
        <c:crossAx val="12"/>
        <c:crosses val="autoZero"/>
        <c:auto val="1"/>
        <c:lblAlgn val="ctr"/>
        <c:lblOffset val="100"/>
        <c:noMultiLvlLbl val="0"/>
      </c:catAx>
      <c:valAx>
        <c:axId val="12"/>
        <c:scaling>
          <c:orientation val="minMax"/>
          <c:max val="1"/>
          <c:min val="0.8"/>
        </c:scaling>
        <c:delete val="0"/>
        <c:axPos val="r"/>
        <c:numFmt formatCode="0%"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1"/>
        <c:crosses val="max"/>
        <c:crossBetween val="between"/>
      </c:valAx>
      <c:spPr>
        <a:noFill/>
        <a:ln>
          <a:noFill/>
        </a:ln>
        <a:effectLst/>
      </c:spPr>
    </c:plotArea>
    <c:legend>
      <c:legendPos val="b"/>
      <c:layout>
        <c:manualLayout>
          <c:xMode val="edge"/>
          <c:yMode val="edge"/>
          <c:x val="0.23292469352014009"/>
          <c:y val="0.83067092651757179"/>
          <c:w val="0.53590192644483359"/>
          <c:h val="5.7507987220447282e-002"/>
        </c:manualLayout>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olors1.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a="http://schemas.openxmlformats.org/drawingml/2006/main" xmlns:cs="http://schemas.microsoft.com/office/drawing/2012/chartStyle"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a="http://schemas.openxmlformats.org/drawingml/2006/main" xmlns:cs="http://schemas.microsoft.com/office/drawing/2012/chartStyle"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a="http://schemas.openxmlformats.org/drawingml/2006/main" xmlns:cs="http://schemas.microsoft.com/office/drawing/2012/chartStyle"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a="http://schemas.openxmlformats.org/drawingml/2006/main" xmlns:cs="http://schemas.microsoft.com/office/drawing/2012/chartStyle"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a="http://schemas.openxmlformats.org/drawingml/2006/main" xmlns:cs="http://schemas.microsoft.com/office/drawing/2012/chartStyle"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a="http://schemas.openxmlformats.org/drawingml/2006/main" xmlns:cs="http://schemas.microsoft.com/office/drawing/2012/chartStyle"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3.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4.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5.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6.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7.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8.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docProps/app.xml><?xml version="1.0" encoding="utf-8"?>
<Properties xmlns:vt="http://schemas.openxmlformats.org/officeDocument/2006/docPropsVTypes" xmlns="http://schemas.openxmlformats.org/officeDocument/2006/extended-properties">
  <Template>Normal.dot</Template>
  <TotalTime>5404</TotalTime>
  <Pages>17</Pages>
  <Words>503</Words>
  <Characters>11369</Characters>
  <Application>Microsoft Office Word</Application>
  <Lines>7732</Lines>
  <Paragraphs>577</Paragraphs>
  <CharactersWithSpaces>11763</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第１章　　医療計画に関する基本的事項</dc:title>
  <dc:creator>高知県</dc:creator>
  <cp:lastModifiedBy>445265</cp:lastModifiedBy>
  <cp:lastPrinted>2024-06-06T06:02:33Z</cp:lastPrinted>
  <dcterms:created xsi:type="dcterms:W3CDTF">2013-01-07T04:42:00Z</dcterms:created>
  <dcterms:modified xsi:type="dcterms:W3CDTF">2024-06-12T23:46:43Z</dcterms:modified>
  <cp:revision>385</cp:revision>
</cp:coreProperties>
</file>