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29" w:rsidRDefault="00F66295" w:rsidP="00927CC0">
      <w:pPr>
        <w:autoSpaceDE w:val="0"/>
        <w:autoSpaceDN w:val="0"/>
        <w:adjustRightInd w:val="0"/>
        <w:spacing w:line="0" w:lineRule="atLeast"/>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（参考）</w:t>
      </w:r>
    </w:p>
    <w:p w:rsidR="00CF1829" w:rsidRDefault="00F95DC7">
      <w:pPr>
        <w:autoSpaceDE w:val="0"/>
        <w:autoSpaceDN w:val="0"/>
        <w:adjustRightInd w:val="0"/>
        <w:jc w:val="lef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１　令和６</w:t>
      </w:r>
      <w:r w:rsidR="0070641C">
        <w:rPr>
          <w:rFonts w:asciiTheme="majorEastAsia" w:eastAsiaTheme="majorEastAsia" w:hAnsiTheme="majorEastAsia" w:hint="eastAsia"/>
          <w:color w:val="000000"/>
          <w:kern w:val="0"/>
          <w:sz w:val="24"/>
        </w:rPr>
        <w:t>・</w:t>
      </w:r>
      <w:r>
        <w:rPr>
          <w:rFonts w:asciiTheme="majorEastAsia" w:eastAsiaTheme="majorEastAsia" w:hAnsiTheme="majorEastAsia" w:hint="eastAsia"/>
          <w:color w:val="000000"/>
          <w:kern w:val="0"/>
          <w:sz w:val="24"/>
        </w:rPr>
        <w:t>７</w:t>
      </w:r>
      <w:r w:rsidR="00F66295">
        <w:rPr>
          <w:rFonts w:asciiTheme="majorEastAsia" w:eastAsiaTheme="majorEastAsia" w:hAnsiTheme="majorEastAsia" w:hint="eastAsia"/>
          <w:color w:val="000000"/>
          <w:kern w:val="0"/>
          <w:sz w:val="24"/>
        </w:rPr>
        <w:t>年度建設工事ランク基準表</w:t>
      </w:r>
    </w:p>
    <w:tbl>
      <w:tblPr>
        <w:tblW w:w="4866" w:type="pct"/>
        <w:tblInd w:w="355" w:type="dxa"/>
        <w:tblLayout w:type="fixed"/>
        <w:tblLook w:val="0000" w:firstRow="0" w:lastRow="0" w:firstColumn="0" w:lastColumn="0" w:noHBand="0" w:noVBand="0"/>
      </w:tblPr>
      <w:tblGrid>
        <w:gridCol w:w="1946"/>
        <w:gridCol w:w="1628"/>
        <w:gridCol w:w="1882"/>
        <w:gridCol w:w="1887"/>
        <w:gridCol w:w="1694"/>
      </w:tblGrid>
      <w:tr w:rsidR="00CF1829">
        <w:trPr>
          <w:trHeight w:val="482"/>
        </w:trPr>
        <w:tc>
          <w:tcPr>
            <w:tcW w:w="1077" w:type="pct"/>
            <w:tcBorders>
              <w:top w:val="single" w:sz="4" w:space="0" w:color="000000"/>
              <w:left w:val="single" w:sz="4" w:space="0" w:color="000000"/>
              <w:bottom w:val="double" w:sz="4" w:space="0" w:color="000000"/>
              <w:right w:val="single" w:sz="4" w:space="0" w:color="000000"/>
            </w:tcBorders>
            <w:vAlign w:val="center"/>
          </w:tcPr>
          <w:p w:rsidR="00CF1829" w:rsidRDefault="00CF1829" w:rsidP="00210592">
            <w:pPr>
              <w:autoSpaceDE w:val="0"/>
              <w:autoSpaceDN w:val="0"/>
              <w:adjustRightInd w:val="0"/>
              <w:spacing w:line="340" w:lineRule="exact"/>
              <w:jc w:val="center"/>
              <w:rPr>
                <w:rFonts w:asciiTheme="majorEastAsia" w:eastAsiaTheme="majorEastAsia" w:hAnsiTheme="majorEastAsia"/>
                <w:color w:val="000000"/>
                <w:kern w:val="0"/>
                <w:sz w:val="23"/>
              </w:rPr>
            </w:pPr>
          </w:p>
        </w:tc>
        <w:tc>
          <w:tcPr>
            <w:tcW w:w="901" w:type="pct"/>
            <w:tcBorders>
              <w:top w:val="single" w:sz="4" w:space="0" w:color="000000"/>
              <w:left w:val="single" w:sz="4" w:space="0" w:color="000000"/>
              <w:bottom w:val="doub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Ａ</w:t>
            </w:r>
          </w:p>
        </w:tc>
        <w:tc>
          <w:tcPr>
            <w:tcW w:w="1041" w:type="pct"/>
            <w:tcBorders>
              <w:top w:val="single" w:sz="4" w:space="0" w:color="000000"/>
              <w:left w:val="single" w:sz="4" w:space="0" w:color="000000"/>
              <w:bottom w:val="doub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Ｂ</w:t>
            </w:r>
          </w:p>
        </w:tc>
        <w:tc>
          <w:tcPr>
            <w:tcW w:w="1044" w:type="pct"/>
            <w:tcBorders>
              <w:top w:val="single" w:sz="4" w:space="0" w:color="000000"/>
              <w:left w:val="single" w:sz="4" w:space="0" w:color="000000"/>
              <w:bottom w:val="doub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Ｃ</w:t>
            </w:r>
            <w:r>
              <w:rPr>
                <w:rFonts w:asciiTheme="majorEastAsia" w:eastAsiaTheme="majorEastAsia" w:hAnsiTheme="majorEastAsia"/>
                <w:color w:val="000000"/>
                <w:kern w:val="0"/>
                <w:sz w:val="23"/>
              </w:rPr>
              <w:t xml:space="preserve"> </w:t>
            </w:r>
          </w:p>
        </w:tc>
        <w:tc>
          <w:tcPr>
            <w:tcW w:w="937" w:type="pct"/>
            <w:tcBorders>
              <w:top w:val="single" w:sz="4" w:space="0" w:color="000000"/>
              <w:left w:val="single" w:sz="4" w:space="0" w:color="000000"/>
              <w:bottom w:val="doub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Ｄ</w:t>
            </w:r>
            <w:r>
              <w:rPr>
                <w:rFonts w:asciiTheme="majorEastAsia" w:eastAsiaTheme="majorEastAsia" w:hAnsiTheme="majorEastAsia"/>
                <w:color w:val="000000"/>
                <w:kern w:val="0"/>
                <w:sz w:val="23"/>
              </w:rPr>
              <w:t xml:space="preserve"> </w:t>
            </w:r>
          </w:p>
        </w:tc>
      </w:tr>
      <w:tr w:rsidR="00CF1829" w:rsidTr="0070641C">
        <w:trPr>
          <w:trHeight w:val="268"/>
        </w:trPr>
        <w:tc>
          <w:tcPr>
            <w:tcW w:w="1077" w:type="pct"/>
            <w:tcBorders>
              <w:top w:val="doub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土木一式工事</w:t>
            </w:r>
          </w:p>
        </w:tc>
        <w:tc>
          <w:tcPr>
            <w:tcW w:w="901" w:type="pct"/>
            <w:tcBorders>
              <w:top w:val="doub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1200</w:t>
            </w:r>
            <w:r>
              <w:rPr>
                <w:rFonts w:asciiTheme="majorEastAsia" w:eastAsiaTheme="majorEastAsia" w:hAnsiTheme="majorEastAsia" w:hint="eastAsia"/>
                <w:color w:val="000000"/>
                <w:kern w:val="0"/>
                <w:sz w:val="23"/>
              </w:rPr>
              <w:t>点以上</w:t>
            </w:r>
          </w:p>
        </w:tc>
        <w:tc>
          <w:tcPr>
            <w:tcW w:w="1041" w:type="pct"/>
            <w:tcBorders>
              <w:top w:val="doub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1199</w:t>
            </w:r>
            <w:r>
              <w:rPr>
                <w:rFonts w:asciiTheme="majorEastAsia" w:eastAsiaTheme="majorEastAsia" w:hAnsiTheme="majorEastAsia" w:hint="eastAsia"/>
                <w:color w:val="000000"/>
                <w:kern w:val="0"/>
                <w:sz w:val="23"/>
              </w:rPr>
              <w:t>点～</w:t>
            </w:r>
            <w:r>
              <w:rPr>
                <w:rFonts w:asciiTheme="majorEastAsia" w:eastAsiaTheme="majorEastAsia" w:hAnsiTheme="majorEastAsia"/>
                <w:color w:val="000000"/>
                <w:kern w:val="0"/>
                <w:sz w:val="23"/>
              </w:rPr>
              <w:t>880</w:t>
            </w:r>
            <w:r>
              <w:rPr>
                <w:rFonts w:asciiTheme="majorEastAsia" w:eastAsiaTheme="majorEastAsia" w:hAnsiTheme="majorEastAsia" w:hint="eastAsia"/>
                <w:color w:val="000000"/>
                <w:kern w:val="0"/>
                <w:sz w:val="23"/>
              </w:rPr>
              <w:t>点</w:t>
            </w:r>
          </w:p>
        </w:tc>
        <w:tc>
          <w:tcPr>
            <w:tcW w:w="1044" w:type="pct"/>
            <w:tcBorders>
              <w:top w:val="doub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879</w:t>
            </w:r>
            <w:r>
              <w:rPr>
                <w:rFonts w:asciiTheme="majorEastAsia" w:eastAsiaTheme="majorEastAsia" w:hAnsiTheme="majorEastAsia" w:hint="eastAsia"/>
                <w:color w:val="000000"/>
                <w:kern w:val="0"/>
                <w:sz w:val="23"/>
              </w:rPr>
              <w:t>点～</w:t>
            </w:r>
            <w:r>
              <w:rPr>
                <w:rFonts w:asciiTheme="majorEastAsia" w:eastAsiaTheme="majorEastAsia" w:hAnsiTheme="majorEastAsia"/>
                <w:color w:val="000000"/>
                <w:kern w:val="0"/>
                <w:sz w:val="23"/>
              </w:rPr>
              <w:t>660</w:t>
            </w:r>
            <w:r>
              <w:rPr>
                <w:rFonts w:asciiTheme="majorEastAsia" w:eastAsiaTheme="majorEastAsia" w:hAnsiTheme="majorEastAsia" w:hint="eastAsia"/>
                <w:color w:val="000000"/>
                <w:kern w:val="0"/>
                <w:sz w:val="23"/>
              </w:rPr>
              <w:t>点</w:t>
            </w:r>
          </w:p>
        </w:tc>
        <w:tc>
          <w:tcPr>
            <w:tcW w:w="937" w:type="pct"/>
            <w:tcBorders>
              <w:top w:val="doub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659</w:t>
            </w:r>
            <w:r>
              <w:rPr>
                <w:rFonts w:asciiTheme="majorEastAsia" w:eastAsiaTheme="majorEastAsia" w:hAnsiTheme="majorEastAsia" w:hint="eastAsia"/>
                <w:color w:val="000000"/>
                <w:kern w:val="0"/>
                <w:sz w:val="23"/>
              </w:rPr>
              <w:t>点以下</w:t>
            </w:r>
          </w:p>
        </w:tc>
      </w:tr>
      <w:tr w:rsidR="00CF1829" w:rsidTr="0070641C">
        <w:trPr>
          <w:trHeight w:val="222"/>
        </w:trPr>
        <w:tc>
          <w:tcPr>
            <w:tcW w:w="1077"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建築一式工事</w:t>
            </w:r>
          </w:p>
        </w:tc>
        <w:tc>
          <w:tcPr>
            <w:tcW w:w="901"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760</w:t>
            </w:r>
            <w:r>
              <w:rPr>
                <w:rFonts w:asciiTheme="majorEastAsia" w:eastAsiaTheme="majorEastAsia" w:hAnsiTheme="majorEastAsia" w:hint="eastAsia"/>
                <w:color w:val="000000"/>
                <w:kern w:val="0"/>
                <w:sz w:val="23"/>
              </w:rPr>
              <w:t>点以上</w:t>
            </w:r>
          </w:p>
        </w:tc>
        <w:tc>
          <w:tcPr>
            <w:tcW w:w="1041"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759</w:t>
            </w:r>
            <w:r>
              <w:rPr>
                <w:rFonts w:asciiTheme="majorEastAsia" w:eastAsiaTheme="majorEastAsia" w:hAnsiTheme="majorEastAsia" w:hint="eastAsia"/>
                <w:color w:val="000000"/>
                <w:kern w:val="0"/>
                <w:sz w:val="23"/>
              </w:rPr>
              <w:t>点～</w:t>
            </w:r>
            <w:r>
              <w:rPr>
                <w:rFonts w:asciiTheme="majorEastAsia" w:eastAsiaTheme="majorEastAsia" w:hAnsiTheme="majorEastAsia"/>
                <w:color w:val="000000"/>
                <w:kern w:val="0"/>
                <w:sz w:val="23"/>
              </w:rPr>
              <w:t>660</w:t>
            </w:r>
            <w:r>
              <w:rPr>
                <w:rFonts w:asciiTheme="majorEastAsia" w:eastAsiaTheme="majorEastAsia" w:hAnsiTheme="majorEastAsia" w:hint="eastAsia"/>
                <w:color w:val="000000"/>
                <w:kern w:val="0"/>
                <w:sz w:val="23"/>
              </w:rPr>
              <w:t>点</w:t>
            </w:r>
          </w:p>
        </w:tc>
        <w:tc>
          <w:tcPr>
            <w:tcW w:w="1044"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659</w:t>
            </w:r>
            <w:r>
              <w:rPr>
                <w:rFonts w:asciiTheme="majorEastAsia" w:eastAsiaTheme="majorEastAsia" w:hAnsiTheme="majorEastAsia" w:hint="eastAsia"/>
                <w:color w:val="000000"/>
                <w:kern w:val="0"/>
                <w:sz w:val="23"/>
              </w:rPr>
              <w:t>点～</w:t>
            </w:r>
            <w:r>
              <w:rPr>
                <w:rFonts w:asciiTheme="majorEastAsia" w:eastAsiaTheme="majorEastAsia" w:hAnsiTheme="majorEastAsia"/>
                <w:color w:val="000000"/>
                <w:kern w:val="0"/>
                <w:sz w:val="23"/>
              </w:rPr>
              <w:t>570</w:t>
            </w:r>
            <w:r>
              <w:rPr>
                <w:rFonts w:asciiTheme="majorEastAsia" w:eastAsiaTheme="majorEastAsia" w:hAnsiTheme="majorEastAsia" w:hint="eastAsia"/>
                <w:color w:val="000000"/>
                <w:kern w:val="0"/>
                <w:sz w:val="23"/>
              </w:rPr>
              <w:t>点</w:t>
            </w:r>
          </w:p>
        </w:tc>
        <w:tc>
          <w:tcPr>
            <w:tcW w:w="937"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569</w:t>
            </w:r>
            <w:r>
              <w:rPr>
                <w:rFonts w:asciiTheme="majorEastAsia" w:eastAsiaTheme="majorEastAsia" w:hAnsiTheme="majorEastAsia" w:hint="eastAsia"/>
                <w:color w:val="000000"/>
                <w:kern w:val="0"/>
                <w:sz w:val="23"/>
              </w:rPr>
              <w:t>点以下</w:t>
            </w:r>
          </w:p>
        </w:tc>
      </w:tr>
      <w:tr w:rsidR="00CF1829" w:rsidTr="0070641C">
        <w:trPr>
          <w:trHeight w:val="184"/>
        </w:trPr>
        <w:tc>
          <w:tcPr>
            <w:tcW w:w="1077"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hint="eastAsia"/>
                <w:color w:val="000000"/>
                <w:kern w:val="0"/>
                <w:sz w:val="23"/>
              </w:rPr>
              <w:t>その他の工事</w:t>
            </w:r>
          </w:p>
        </w:tc>
        <w:tc>
          <w:tcPr>
            <w:tcW w:w="901"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790</w:t>
            </w:r>
            <w:r>
              <w:rPr>
                <w:rFonts w:asciiTheme="majorEastAsia" w:eastAsiaTheme="majorEastAsia" w:hAnsiTheme="majorEastAsia" w:hint="eastAsia"/>
                <w:color w:val="000000"/>
                <w:kern w:val="0"/>
                <w:sz w:val="23"/>
              </w:rPr>
              <w:t>点以上</w:t>
            </w:r>
          </w:p>
        </w:tc>
        <w:tc>
          <w:tcPr>
            <w:tcW w:w="1041" w:type="pct"/>
            <w:tcBorders>
              <w:top w:val="single" w:sz="4" w:space="0" w:color="000000"/>
              <w:left w:val="single" w:sz="4" w:space="0" w:color="000000"/>
              <w:bottom w:val="single" w:sz="4" w:space="0" w:color="000000"/>
              <w:right w:val="single" w:sz="4" w:space="0" w:color="000000"/>
            </w:tcBorders>
            <w:vAlign w:val="center"/>
          </w:tcPr>
          <w:p w:rsidR="00CF1829" w:rsidRDefault="00F66295" w:rsidP="00210592">
            <w:pPr>
              <w:autoSpaceDE w:val="0"/>
              <w:autoSpaceDN w:val="0"/>
              <w:adjustRightInd w:val="0"/>
              <w:spacing w:line="340" w:lineRule="exact"/>
              <w:jc w:val="center"/>
              <w:rPr>
                <w:rFonts w:asciiTheme="majorEastAsia" w:eastAsiaTheme="majorEastAsia" w:hAnsiTheme="majorEastAsia"/>
                <w:color w:val="000000"/>
                <w:kern w:val="0"/>
                <w:sz w:val="23"/>
              </w:rPr>
            </w:pPr>
            <w:r>
              <w:rPr>
                <w:rFonts w:asciiTheme="majorEastAsia" w:eastAsiaTheme="majorEastAsia" w:hAnsiTheme="majorEastAsia"/>
                <w:color w:val="000000"/>
                <w:kern w:val="0"/>
                <w:sz w:val="23"/>
              </w:rPr>
              <w:t>789</w:t>
            </w:r>
            <w:r>
              <w:rPr>
                <w:rFonts w:asciiTheme="majorEastAsia" w:eastAsiaTheme="majorEastAsia" w:hAnsiTheme="majorEastAsia" w:hint="eastAsia"/>
                <w:color w:val="000000"/>
                <w:kern w:val="0"/>
                <w:sz w:val="23"/>
              </w:rPr>
              <w:t>点以下</w:t>
            </w:r>
          </w:p>
        </w:tc>
        <w:tc>
          <w:tcPr>
            <w:tcW w:w="1981" w:type="pct"/>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rsidR="00CF1829" w:rsidRDefault="00CF1829" w:rsidP="00210592">
            <w:pPr>
              <w:autoSpaceDE w:val="0"/>
              <w:autoSpaceDN w:val="0"/>
              <w:adjustRightInd w:val="0"/>
              <w:spacing w:line="340" w:lineRule="exact"/>
              <w:jc w:val="center"/>
              <w:rPr>
                <w:rFonts w:asciiTheme="majorEastAsia" w:eastAsiaTheme="majorEastAsia" w:hAnsiTheme="majorEastAsia"/>
                <w:color w:val="000000"/>
                <w:kern w:val="0"/>
                <w:sz w:val="23"/>
              </w:rPr>
            </w:pPr>
          </w:p>
        </w:tc>
      </w:tr>
    </w:tbl>
    <w:p w:rsidR="00CF1829" w:rsidRDefault="00CF1829" w:rsidP="00927CC0">
      <w:pPr>
        <w:autoSpaceDE w:val="0"/>
        <w:autoSpaceDN w:val="0"/>
        <w:adjustRightInd w:val="0"/>
        <w:spacing w:line="0" w:lineRule="atLeast"/>
        <w:ind w:firstLineChars="300" w:firstLine="619"/>
        <w:rPr>
          <w:rFonts w:asciiTheme="majorEastAsia" w:eastAsiaTheme="majorEastAsia" w:hAnsiTheme="majorEastAsia"/>
          <w:color w:val="000000"/>
          <w:kern w:val="0"/>
        </w:rPr>
      </w:pPr>
    </w:p>
    <w:p w:rsidR="00CF1829" w:rsidRDefault="00F66295" w:rsidP="00927CC0">
      <w:pPr>
        <w:autoSpaceDE w:val="0"/>
        <w:autoSpaceDN w:val="0"/>
        <w:adjustRightInd w:val="0"/>
        <w:spacing w:line="340" w:lineRule="exact"/>
        <w:ind w:firstLineChars="200" w:firstLine="412"/>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（１）完成工事高の有無によるランクの変動について（全29業種が対象）</w:t>
      </w:r>
    </w:p>
    <w:p w:rsidR="00CF1829" w:rsidRDefault="00F66295" w:rsidP="00927CC0">
      <w:pPr>
        <w:autoSpaceDE w:val="0"/>
        <w:autoSpaceDN w:val="0"/>
        <w:adjustRightInd w:val="0"/>
        <w:spacing w:line="340" w:lineRule="exact"/>
        <w:ind w:leftChars="400" w:left="1031" w:hangingChars="100" w:hanging="206"/>
        <w:rPr>
          <w:rFonts w:asciiTheme="majorEastAsia" w:eastAsiaTheme="majorEastAsia" w:hAnsiTheme="majorEastAsia"/>
          <w:color w:val="000000"/>
          <w:kern w:val="0"/>
        </w:rPr>
      </w:pPr>
      <w:r>
        <w:rPr>
          <w:rFonts w:asciiTheme="majorEastAsia" w:eastAsiaTheme="majorEastAsia" w:hAnsiTheme="majorEastAsia" w:hint="eastAsia"/>
          <w:color w:val="000000"/>
          <w:kern w:val="0"/>
        </w:rPr>
        <w:t>①　完成工事高のない</w:t>
      </w:r>
      <w:r w:rsidR="0070641C">
        <w:rPr>
          <w:rFonts w:asciiTheme="majorEastAsia" w:eastAsiaTheme="majorEastAsia" w:hAnsiTheme="majorEastAsia" w:hint="eastAsia"/>
          <w:color w:val="000000"/>
          <w:kern w:val="0"/>
        </w:rPr>
        <w:t>事業者</w:t>
      </w:r>
      <w:r>
        <w:rPr>
          <w:rFonts w:asciiTheme="majorEastAsia" w:eastAsiaTheme="majorEastAsia" w:hAnsiTheme="majorEastAsia" w:hint="eastAsia"/>
          <w:color w:val="000000"/>
          <w:kern w:val="0"/>
        </w:rPr>
        <w:t>は、総合点数による本来のランクより１つ下位のランクに位置づける</w:t>
      </w:r>
    </w:p>
    <w:p w:rsidR="00CF1829" w:rsidRDefault="00F66295" w:rsidP="00927CC0">
      <w:pPr>
        <w:autoSpaceDE w:val="0"/>
        <w:autoSpaceDN w:val="0"/>
        <w:adjustRightInd w:val="0"/>
        <w:spacing w:line="340" w:lineRule="exact"/>
        <w:ind w:leftChars="400" w:left="825"/>
        <w:rPr>
          <w:rFonts w:asciiTheme="majorEastAsia" w:eastAsiaTheme="majorEastAsia" w:hAnsiTheme="majorEastAsia"/>
          <w:color w:val="000000"/>
          <w:kern w:val="0"/>
        </w:rPr>
      </w:pPr>
      <w:r>
        <w:rPr>
          <w:rFonts w:asciiTheme="majorEastAsia" w:eastAsiaTheme="majorEastAsia" w:hAnsiTheme="majorEastAsia" w:hint="eastAsia"/>
          <w:color w:val="000000"/>
          <w:kern w:val="0"/>
        </w:rPr>
        <w:t>（例　Ａランク→Ｂランク）。最下位ランクの場合はそのままとする。</w:t>
      </w:r>
    </w:p>
    <w:p w:rsidR="00CF1829" w:rsidRDefault="00F66295" w:rsidP="00927CC0">
      <w:pPr>
        <w:autoSpaceDE w:val="0"/>
        <w:autoSpaceDN w:val="0"/>
        <w:adjustRightInd w:val="0"/>
        <w:spacing w:line="340" w:lineRule="exact"/>
        <w:ind w:leftChars="400" w:left="1031" w:hangingChars="100" w:hanging="206"/>
        <w:rPr>
          <w:rFonts w:asciiTheme="majorEastAsia" w:eastAsiaTheme="majorEastAsia" w:hAnsiTheme="majorEastAsia"/>
          <w:color w:val="000000"/>
          <w:kern w:val="0"/>
        </w:rPr>
      </w:pPr>
      <w:r>
        <w:rPr>
          <w:rFonts w:asciiTheme="majorEastAsia" w:eastAsiaTheme="majorEastAsia" w:hAnsiTheme="majorEastAsia" w:hint="eastAsia"/>
          <w:color w:val="000000"/>
          <w:kern w:val="0"/>
        </w:rPr>
        <w:t>②　①の作業の後に、同一ランク内で、完成工事高のある</w:t>
      </w:r>
      <w:r w:rsidR="0070641C">
        <w:rPr>
          <w:rFonts w:asciiTheme="majorEastAsia" w:eastAsiaTheme="majorEastAsia" w:hAnsiTheme="majorEastAsia" w:hint="eastAsia"/>
          <w:color w:val="000000"/>
          <w:kern w:val="0"/>
        </w:rPr>
        <w:t>事業者</w:t>
      </w:r>
      <w:r>
        <w:rPr>
          <w:rFonts w:asciiTheme="majorEastAsia" w:eastAsiaTheme="majorEastAsia" w:hAnsiTheme="majorEastAsia" w:hint="eastAsia"/>
          <w:color w:val="000000"/>
          <w:kern w:val="0"/>
        </w:rPr>
        <w:t>を上位に、完成工事高のない</w:t>
      </w:r>
      <w:r w:rsidR="0070641C">
        <w:rPr>
          <w:rFonts w:asciiTheme="majorEastAsia" w:eastAsiaTheme="majorEastAsia" w:hAnsiTheme="majorEastAsia" w:hint="eastAsia"/>
          <w:color w:val="000000"/>
          <w:kern w:val="0"/>
        </w:rPr>
        <w:t>事業者</w:t>
      </w:r>
      <w:r>
        <w:rPr>
          <w:rFonts w:asciiTheme="majorEastAsia" w:eastAsiaTheme="majorEastAsia" w:hAnsiTheme="majorEastAsia" w:hint="eastAsia"/>
          <w:color w:val="000000"/>
          <w:kern w:val="0"/>
        </w:rPr>
        <w:t>を下位に置き、それぞれについて総合点数の順に並べて位置づける。</w:t>
      </w:r>
    </w:p>
    <w:p w:rsidR="00CF1829" w:rsidRDefault="00CF1829" w:rsidP="00927CC0">
      <w:pPr>
        <w:autoSpaceDE w:val="0"/>
        <w:autoSpaceDN w:val="0"/>
        <w:adjustRightInd w:val="0"/>
        <w:spacing w:line="340" w:lineRule="exact"/>
        <w:ind w:firstLineChars="300" w:firstLine="619"/>
        <w:rPr>
          <w:rFonts w:asciiTheme="majorEastAsia" w:eastAsiaTheme="majorEastAsia" w:hAnsiTheme="majorEastAsia"/>
          <w:color w:val="000000"/>
          <w:kern w:val="0"/>
        </w:rPr>
      </w:pPr>
    </w:p>
    <w:p w:rsidR="00CF1829" w:rsidRDefault="00F66295" w:rsidP="00927CC0">
      <w:pPr>
        <w:autoSpaceDE w:val="0"/>
        <w:autoSpaceDN w:val="0"/>
        <w:adjustRightInd w:val="0"/>
        <w:spacing w:line="340" w:lineRule="exact"/>
        <w:ind w:firstLineChars="200" w:firstLine="412"/>
        <w:rPr>
          <w:rFonts w:asciiTheme="majorEastAsia" w:eastAsiaTheme="majorEastAsia" w:hAnsiTheme="majorEastAsia"/>
          <w:color w:val="000000"/>
          <w:kern w:val="0"/>
        </w:rPr>
      </w:pPr>
      <w:r>
        <w:rPr>
          <w:rFonts w:asciiTheme="majorEastAsia" w:eastAsiaTheme="majorEastAsia" w:hAnsiTheme="majorEastAsia" w:hint="eastAsia"/>
          <w:color w:val="000000"/>
          <w:kern w:val="0"/>
        </w:rPr>
        <w:t>（２）コンプライアンス基本方針策定の有無によるランク変動について（全29業種が対象）</w:t>
      </w:r>
    </w:p>
    <w:p w:rsidR="00CF1829" w:rsidRDefault="00F66295" w:rsidP="00927CC0">
      <w:pPr>
        <w:autoSpaceDE w:val="0"/>
        <w:autoSpaceDN w:val="0"/>
        <w:adjustRightInd w:val="0"/>
        <w:spacing w:line="340" w:lineRule="exact"/>
        <w:ind w:leftChars="400" w:left="1031" w:hangingChars="100" w:hanging="206"/>
        <w:rPr>
          <w:rFonts w:asciiTheme="majorEastAsia" w:eastAsiaTheme="majorEastAsia" w:hAnsiTheme="majorEastAsia"/>
          <w:color w:val="000000"/>
          <w:kern w:val="0"/>
        </w:rPr>
      </w:pPr>
      <w:r>
        <w:rPr>
          <w:rFonts w:asciiTheme="majorEastAsia" w:eastAsiaTheme="majorEastAsia" w:hAnsiTheme="majorEastAsia" w:hint="eastAsia"/>
          <w:color w:val="000000"/>
          <w:kern w:val="0"/>
        </w:rPr>
        <w:t>①　コンプライアンス基本方針を策定していない場合には、ライン以上の総合点数であっても２ランク又は最下位ランクへ引き下げる。最下位ランクの場合はそのままとする。</w:t>
      </w:r>
    </w:p>
    <w:p w:rsidR="00CF1829" w:rsidRDefault="00F66295" w:rsidP="00927CC0">
      <w:pPr>
        <w:autoSpaceDE w:val="0"/>
        <w:autoSpaceDN w:val="0"/>
        <w:adjustRightInd w:val="0"/>
        <w:spacing w:line="340" w:lineRule="exact"/>
        <w:ind w:leftChars="400" w:left="1031" w:hangingChars="100" w:hanging="206"/>
        <w:rPr>
          <w:rFonts w:asciiTheme="majorEastAsia" w:eastAsiaTheme="majorEastAsia" w:hAnsiTheme="majorEastAsia"/>
          <w:color w:val="000000"/>
          <w:kern w:val="0"/>
        </w:rPr>
      </w:pPr>
      <w:r>
        <w:rPr>
          <w:rFonts w:asciiTheme="majorEastAsia" w:eastAsiaTheme="majorEastAsia" w:hAnsiTheme="majorEastAsia" w:hint="eastAsia"/>
          <w:color w:val="000000"/>
          <w:kern w:val="0"/>
        </w:rPr>
        <w:t>②　引き下げたランク内での順位については、すでに実施している完成工事高の有無による変動を確定させたのち、さらにその下位に置き、それぞれの総合点数の順に並べて位置づける。</w:t>
      </w:r>
    </w:p>
    <w:p w:rsidR="00F95DC7" w:rsidRDefault="00F95DC7" w:rsidP="00927CC0">
      <w:pPr>
        <w:autoSpaceDE w:val="0"/>
        <w:autoSpaceDN w:val="0"/>
        <w:adjustRightInd w:val="0"/>
        <w:spacing w:line="340" w:lineRule="exact"/>
        <w:ind w:leftChars="400" w:left="1031" w:hangingChars="100" w:hanging="206"/>
        <w:rPr>
          <w:rFonts w:asciiTheme="majorEastAsia" w:eastAsiaTheme="majorEastAsia" w:hAnsiTheme="majorEastAsia"/>
          <w:color w:val="000000"/>
          <w:kern w:val="0"/>
        </w:rPr>
      </w:pPr>
    </w:p>
    <w:p w:rsidR="00F95DC7" w:rsidRDefault="00F95DC7" w:rsidP="00210592">
      <w:pPr>
        <w:autoSpaceDE w:val="0"/>
        <w:autoSpaceDN w:val="0"/>
        <w:adjustRightInd w:val="0"/>
        <w:spacing w:line="340" w:lineRule="exact"/>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（３）残留措置の適用申請によるランクの変動について（土木一式工事が対象）</w:t>
      </w:r>
    </w:p>
    <w:p w:rsidR="00F95DC7" w:rsidRDefault="00F95DC7" w:rsidP="00927CC0">
      <w:pPr>
        <w:autoSpaceDE w:val="0"/>
        <w:autoSpaceDN w:val="0"/>
        <w:adjustRightInd w:val="0"/>
        <w:spacing w:line="340" w:lineRule="exact"/>
        <w:ind w:left="1031" w:hangingChars="500" w:hanging="1031"/>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①　（１）、（２）による順位の変動を確定させたのち、ランクが</w:t>
      </w:r>
      <w:r w:rsidR="0070641C">
        <w:rPr>
          <w:rFonts w:asciiTheme="majorEastAsia" w:eastAsiaTheme="majorEastAsia" w:hAnsiTheme="majorEastAsia" w:hint="eastAsia"/>
          <w:color w:val="000000"/>
          <w:kern w:val="0"/>
        </w:rPr>
        <w:t>前回</w:t>
      </w:r>
      <w:r w:rsidR="00914B08">
        <w:rPr>
          <w:rFonts w:asciiTheme="majorEastAsia" w:eastAsiaTheme="majorEastAsia" w:hAnsiTheme="majorEastAsia" w:hint="eastAsia"/>
          <w:color w:val="000000"/>
          <w:kern w:val="0"/>
        </w:rPr>
        <w:t>より</w:t>
      </w:r>
      <w:r>
        <w:rPr>
          <w:rFonts w:asciiTheme="majorEastAsia" w:eastAsiaTheme="majorEastAsia" w:hAnsiTheme="majorEastAsia" w:hint="eastAsia"/>
          <w:color w:val="000000"/>
          <w:kern w:val="0"/>
        </w:rPr>
        <w:t>上がった</w:t>
      </w:r>
      <w:r w:rsidR="00914B08">
        <w:rPr>
          <w:rFonts w:asciiTheme="majorEastAsia" w:eastAsiaTheme="majorEastAsia" w:hAnsiTheme="majorEastAsia" w:hint="eastAsia"/>
          <w:color w:val="000000"/>
          <w:kern w:val="0"/>
        </w:rPr>
        <w:t>事業者から残留措置の適用申請があった場合</w:t>
      </w:r>
      <w:bookmarkStart w:id="0" w:name="_GoBack"/>
      <w:bookmarkEnd w:id="0"/>
      <w:r>
        <w:rPr>
          <w:rFonts w:asciiTheme="majorEastAsia" w:eastAsiaTheme="majorEastAsia" w:hAnsiTheme="majorEastAsia" w:hint="eastAsia"/>
          <w:color w:val="000000"/>
          <w:kern w:val="0"/>
        </w:rPr>
        <w:t>は、</w:t>
      </w:r>
      <w:r w:rsidR="0070641C">
        <w:rPr>
          <w:rFonts w:asciiTheme="majorEastAsia" w:eastAsiaTheme="majorEastAsia" w:hAnsiTheme="majorEastAsia" w:hint="eastAsia"/>
          <w:color w:val="000000"/>
          <w:kern w:val="0"/>
        </w:rPr>
        <w:t>前回の</w:t>
      </w:r>
      <w:r>
        <w:rPr>
          <w:rFonts w:asciiTheme="majorEastAsia" w:eastAsiaTheme="majorEastAsia" w:hAnsiTheme="majorEastAsia" w:hint="eastAsia"/>
          <w:color w:val="000000"/>
          <w:kern w:val="0"/>
        </w:rPr>
        <w:t>ランクに</w:t>
      </w:r>
      <w:r w:rsidR="0070641C">
        <w:rPr>
          <w:rFonts w:asciiTheme="majorEastAsia" w:eastAsiaTheme="majorEastAsia" w:hAnsiTheme="majorEastAsia" w:hint="eastAsia"/>
          <w:color w:val="000000"/>
          <w:kern w:val="0"/>
        </w:rPr>
        <w:t>残留させる</w:t>
      </w:r>
      <w:r w:rsidR="00705022">
        <w:rPr>
          <w:rFonts w:asciiTheme="majorEastAsia" w:eastAsiaTheme="majorEastAsia" w:hAnsiTheme="majorEastAsia" w:hint="eastAsia"/>
          <w:color w:val="000000"/>
          <w:kern w:val="0"/>
        </w:rPr>
        <w:t>。</w:t>
      </w:r>
    </w:p>
    <w:p w:rsidR="00F95DC7" w:rsidRPr="00F95DC7" w:rsidRDefault="00F95DC7" w:rsidP="00927CC0">
      <w:pPr>
        <w:autoSpaceDE w:val="0"/>
        <w:autoSpaceDN w:val="0"/>
        <w:adjustRightInd w:val="0"/>
        <w:spacing w:line="340" w:lineRule="exact"/>
        <w:ind w:left="1031" w:hangingChars="500" w:hanging="1031"/>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②　</w:t>
      </w:r>
      <w:r w:rsidR="0070641C">
        <w:rPr>
          <w:rFonts w:asciiTheme="majorEastAsia" w:eastAsiaTheme="majorEastAsia" w:hAnsiTheme="majorEastAsia" w:hint="eastAsia"/>
          <w:color w:val="000000"/>
          <w:kern w:val="0"/>
        </w:rPr>
        <w:t>①の作業後の各</w:t>
      </w:r>
      <w:r w:rsidR="00B867AE">
        <w:rPr>
          <w:rFonts w:asciiTheme="majorEastAsia" w:eastAsiaTheme="majorEastAsia" w:hAnsiTheme="majorEastAsia" w:hint="eastAsia"/>
          <w:color w:val="000000"/>
          <w:kern w:val="0"/>
        </w:rPr>
        <w:t>ランク内での順位については、すでに実施している完成工事高の有無による変動を確定させたのち、それぞれについて総合点数の順に並べて位置づける。</w:t>
      </w:r>
    </w:p>
    <w:p w:rsidR="00CF1829" w:rsidRDefault="00CF1829" w:rsidP="00927CC0">
      <w:pPr>
        <w:autoSpaceDE w:val="0"/>
        <w:autoSpaceDN w:val="0"/>
        <w:adjustRightInd w:val="0"/>
        <w:spacing w:line="260" w:lineRule="exact"/>
        <w:rPr>
          <w:rFonts w:asciiTheme="majorEastAsia" w:eastAsiaTheme="majorEastAsia" w:hAnsiTheme="majorEastAsia"/>
          <w:color w:val="000000"/>
          <w:kern w:val="0"/>
          <w:sz w:val="23"/>
        </w:rPr>
      </w:pPr>
    </w:p>
    <w:p w:rsidR="00CF1829" w:rsidRDefault="00F66295" w:rsidP="00002EB5">
      <w:pPr>
        <w:autoSpaceDE w:val="0"/>
        <w:autoSpaceDN w:val="0"/>
        <w:adjustRightInd w:val="0"/>
        <w:spacing w:line="280" w:lineRule="exact"/>
        <w:rPr>
          <w:rFonts w:asciiTheme="majorEastAsia" w:eastAsiaTheme="majorEastAsia" w:hAnsiTheme="majorEastAsia"/>
          <w:color w:val="000000"/>
          <w:kern w:val="0"/>
          <w:sz w:val="24"/>
        </w:rPr>
      </w:pPr>
      <w:r>
        <w:rPr>
          <w:rFonts w:asciiTheme="majorEastAsia" w:eastAsiaTheme="majorEastAsia" w:hAnsiTheme="majorEastAsia" w:hint="eastAsia"/>
          <w:color w:val="000000"/>
          <w:kern w:val="0"/>
          <w:sz w:val="24"/>
        </w:rPr>
        <w:t>２　発注標準</w:t>
      </w:r>
    </w:p>
    <w:p w:rsidR="00CF1829" w:rsidRDefault="00F66295" w:rsidP="00002EB5">
      <w:pPr>
        <w:spacing w:line="280" w:lineRule="exact"/>
        <w:ind w:firstLineChars="100" w:firstLine="206"/>
        <w:rPr>
          <w:rFonts w:asciiTheme="majorEastAsia" w:eastAsiaTheme="majorEastAsia" w:hAnsiTheme="majorEastAsia"/>
        </w:rPr>
      </w:pPr>
      <w:r>
        <w:rPr>
          <w:rFonts w:asciiTheme="majorEastAsia" w:eastAsiaTheme="majorEastAsia" w:hAnsiTheme="majorEastAsia"/>
          <w:kern w:val="0"/>
        </w:rPr>
        <w:t>(１) 土木一式工事</w:t>
      </w:r>
    </w:p>
    <w:tbl>
      <w:tblPr>
        <w:tblW w:w="4506" w:type="pct"/>
        <w:tblInd w:w="648" w:type="dxa"/>
        <w:tblLayout w:type="fixed"/>
        <w:tblLook w:val="0000" w:firstRow="0" w:lastRow="0" w:firstColumn="0" w:lastColumn="0" w:noHBand="0" w:noVBand="0"/>
      </w:tblPr>
      <w:tblGrid>
        <w:gridCol w:w="1620"/>
        <w:gridCol w:w="6749"/>
      </w:tblGrid>
      <w:tr w:rsidR="00CF1829">
        <w:trPr>
          <w:trHeight w:val="97"/>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級</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発注標準額</w:t>
            </w:r>
            <w:r>
              <w:rPr>
                <w:rFonts w:asciiTheme="majorEastAsia" w:eastAsiaTheme="majorEastAsia" w:hAnsiTheme="majorEastAsia"/>
                <w:color w:val="000000"/>
                <w:kern w:val="0"/>
              </w:rPr>
              <w:t xml:space="preserve"> </w:t>
            </w:r>
          </w:p>
        </w:tc>
      </w:tr>
      <w:tr w:rsidR="00CF1829" w:rsidTr="00210592">
        <w:trPr>
          <w:trHeight w:val="129"/>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Ａ</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１億円以上</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Ｂ</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５，０００万円以上</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１億円未満</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Ｃ</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１，０００万円以上</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５，０００万円未満</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Ｄ</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１，０００万円未満</w:t>
            </w:r>
          </w:p>
        </w:tc>
      </w:tr>
    </w:tbl>
    <w:p w:rsidR="00CF1829" w:rsidRDefault="00CF1829" w:rsidP="00002EB5">
      <w:pPr>
        <w:spacing w:line="280" w:lineRule="exact"/>
        <w:rPr>
          <w:rFonts w:asciiTheme="majorEastAsia" w:eastAsiaTheme="majorEastAsia" w:hAnsiTheme="majorEastAsia"/>
          <w:kern w:val="0"/>
        </w:rPr>
      </w:pPr>
    </w:p>
    <w:p w:rsidR="00CF1829" w:rsidRDefault="00F66295" w:rsidP="00002EB5">
      <w:pPr>
        <w:spacing w:line="280" w:lineRule="exact"/>
        <w:ind w:firstLineChars="100" w:firstLine="206"/>
        <w:rPr>
          <w:rFonts w:asciiTheme="majorEastAsia" w:eastAsiaTheme="majorEastAsia" w:hAnsiTheme="majorEastAsia"/>
        </w:rPr>
      </w:pPr>
      <w:r>
        <w:rPr>
          <w:rFonts w:asciiTheme="majorEastAsia" w:eastAsiaTheme="majorEastAsia" w:hAnsiTheme="majorEastAsia"/>
          <w:kern w:val="0"/>
        </w:rPr>
        <w:t>(２) 建築一式工事</w:t>
      </w:r>
    </w:p>
    <w:tbl>
      <w:tblPr>
        <w:tblW w:w="4506" w:type="pct"/>
        <w:tblInd w:w="648" w:type="dxa"/>
        <w:tblLayout w:type="fixed"/>
        <w:tblLook w:val="0000" w:firstRow="0" w:lastRow="0" w:firstColumn="0" w:lastColumn="0" w:noHBand="0" w:noVBand="0"/>
      </w:tblPr>
      <w:tblGrid>
        <w:gridCol w:w="1620"/>
        <w:gridCol w:w="6749"/>
      </w:tblGrid>
      <w:tr w:rsidR="00CF1829">
        <w:trPr>
          <w:trHeight w:val="97"/>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級</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発注標準額</w:t>
            </w:r>
            <w:r>
              <w:rPr>
                <w:rFonts w:asciiTheme="majorEastAsia" w:eastAsiaTheme="majorEastAsia" w:hAnsiTheme="majorEastAsia"/>
                <w:color w:val="000000"/>
                <w:kern w:val="0"/>
              </w:rPr>
              <w:t xml:space="preserve"> </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Ａ</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５，０００万円以上</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Ｂ</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２，０００万円以上</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５，０００万円未満</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Ｃ</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５００万円以上</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２，０００万円未満</w:t>
            </w:r>
          </w:p>
        </w:tc>
      </w:tr>
      <w:tr w:rsidR="00CF1829">
        <w:trPr>
          <w:trHeight w:val="94"/>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Ｄ</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５００万円未満</w:t>
            </w:r>
          </w:p>
        </w:tc>
      </w:tr>
    </w:tbl>
    <w:p w:rsidR="00CF1829" w:rsidRDefault="00CF1829" w:rsidP="00002EB5">
      <w:pPr>
        <w:spacing w:line="280" w:lineRule="exact"/>
        <w:rPr>
          <w:rFonts w:asciiTheme="majorEastAsia" w:eastAsiaTheme="majorEastAsia" w:hAnsiTheme="majorEastAsia"/>
          <w:kern w:val="0"/>
        </w:rPr>
      </w:pPr>
    </w:p>
    <w:p w:rsidR="00CF1829" w:rsidRDefault="00F66295" w:rsidP="00002EB5">
      <w:pPr>
        <w:spacing w:line="280" w:lineRule="exact"/>
        <w:ind w:firstLineChars="100" w:firstLine="206"/>
        <w:rPr>
          <w:rFonts w:asciiTheme="majorEastAsia" w:eastAsiaTheme="majorEastAsia" w:hAnsiTheme="majorEastAsia"/>
        </w:rPr>
      </w:pPr>
      <w:r>
        <w:rPr>
          <w:rFonts w:asciiTheme="majorEastAsia" w:eastAsiaTheme="majorEastAsia" w:hAnsiTheme="majorEastAsia"/>
          <w:kern w:val="0"/>
        </w:rPr>
        <w:t>(３) その他の工事</w:t>
      </w:r>
    </w:p>
    <w:tbl>
      <w:tblPr>
        <w:tblW w:w="4506" w:type="pct"/>
        <w:tblInd w:w="648" w:type="dxa"/>
        <w:tblLayout w:type="fixed"/>
        <w:tblLook w:val="0000" w:firstRow="0" w:lastRow="0" w:firstColumn="0" w:lastColumn="0" w:noHBand="0" w:noVBand="0"/>
      </w:tblPr>
      <w:tblGrid>
        <w:gridCol w:w="1620"/>
        <w:gridCol w:w="6749"/>
      </w:tblGrid>
      <w:tr w:rsidR="00CF1829">
        <w:trPr>
          <w:trHeight w:val="97"/>
        </w:trPr>
        <w:tc>
          <w:tcPr>
            <w:tcW w:w="968"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等</w:t>
            </w:r>
            <w:r>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級</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000000"/>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発注標準額</w:t>
            </w:r>
            <w:r>
              <w:rPr>
                <w:rFonts w:asciiTheme="majorEastAsia" w:eastAsiaTheme="majorEastAsia" w:hAnsiTheme="majorEastAsia"/>
                <w:color w:val="000000"/>
                <w:kern w:val="0"/>
              </w:rPr>
              <w:t xml:space="preserve"> </w:t>
            </w:r>
          </w:p>
        </w:tc>
      </w:tr>
      <w:tr w:rsidR="00CF1829">
        <w:trPr>
          <w:trHeight w:val="94"/>
        </w:trPr>
        <w:tc>
          <w:tcPr>
            <w:tcW w:w="968" w:type="pct"/>
            <w:tcBorders>
              <w:top w:val="single" w:sz="4" w:space="0" w:color="000000"/>
              <w:left w:val="single" w:sz="4" w:space="0" w:color="000000"/>
              <w:bottom w:val="single" w:sz="4" w:space="0" w:color="auto"/>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Ａ</w:t>
            </w:r>
            <w:r>
              <w:rPr>
                <w:rFonts w:asciiTheme="majorEastAsia" w:eastAsiaTheme="majorEastAsia" w:hAnsiTheme="majorEastAsia"/>
                <w:color w:val="000000"/>
                <w:kern w:val="0"/>
              </w:rPr>
              <w:t xml:space="preserve"> </w:t>
            </w:r>
          </w:p>
        </w:tc>
        <w:tc>
          <w:tcPr>
            <w:tcW w:w="4032" w:type="pct"/>
            <w:tcBorders>
              <w:top w:val="single" w:sz="4" w:space="0" w:color="000000"/>
              <w:left w:val="single" w:sz="4" w:space="0" w:color="000000"/>
              <w:bottom w:val="single" w:sz="4" w:space="0" w:color="auto"/>
              <w:right w:val="single" w:sz="4" w:space="0" w:color="000000"/>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１，５００万円以上</w:t>
            </w:r>
          </w:p>
        </w:tc>
      </w:tr>
      <w:tr w:rsidR="00CF1829">
        <w:trPr>
          <w:trHeight w:val="94"/>
        </w:trPr>
        <w:tc>
          <w:tcPr>
            <w:tcW w:w="968" w:type="pct"/>
            <w:tcBorders>
              <w:top w:val="single" w:sz="4" w:space="0" w:color="auto"/>
              <w:left w:val="single" w:sz="4" w:space="0" w:color="auto"/>
              <w:bottom w:val="single" w:sz="4" w:space="0" w:color="auto"/>
              <w:right w:val="single" w:sz="4" w:space="0" w:color="auto"/>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Ｂ</w:t>
            </w:r>
            <w:r>
              <w:rPr>
                <w:rFonts w:asciiTheme="majorEastAsia" w:eastAsiaTheme="majorEastAsia" w:hAnsiTheme="majorEastAsia"/>
                <w:color w:val="000000"/>
                <w:kern w:val="0"/>
              </w:rPr>
              <w:t xml:space="preserve"> </w:t>
            </w:r>
          </w:p>
        </w:tc>
        <w:tc>
          <w:tcPr>
            <w:tcW w:w="4032" w:type="pct"/>
            <w:tcBorders>
              <w:top w:val="single" w:sz="4" w:space="0" w:color="auto"/>
              <w:left w:val="single" w:sz="4" w:space="0" w:color="auto"/>
              <w:bottom w:val="single" w:sz="4" w:space="0" w:color="auto"/>
              <w:right w:val="single" w:sz="4" w:space="0" w:color="auto"/>
            </w:tcBorders>
            <w:vAlign w:val="center"/>
          </w:tcPr>
          <w:p w:rsidR="00CF1829" w:rsidRDefault="00F66295" w:rsidP="00002EB5">
            <w:pPr>
              <w:autoSpaceDE w:val="0"/>
              <w:autoSpaceDN w:val="0"/>
              <w:adjustRightInd w:val="0"/>
              <w:spacing w:line="280" w:lineRule="exact"/>
              <w:jc w:val="center"/>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１，５００万円未満</w:t>
            </w:r>
          </w:p>
        </w:tc>
      </w:tr>
    </w:tbl>
    <w:p w:rsidR="00CF1829" w:rsidRDefault="00CF1829" w:rsidP="00002EB5">
      <w:pPr>
        <w:spacing w:line="280" w:lineRule="exact"/>
      </w:pPr>
    </w:p>
    <w:sectPr w:rsidR="00CF1829" w:rsidSect="00002EB5">
      <w:pgSz w:w="11906" w:h="16838"/>
      <w:pgMar w:top="1247" w:right="1418" w:bottom="-284" w:left="1418" w:header="851" w:footer="992" w:gutter="0"/>
      <w:cols w:space="720"/>
      <w:docGrid w:type="linesAndChars" w:linePitch="317" w:charSpace="-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2E" w:rsidRDefault="00F66295">
      <w:r>
        <w:separator/>
      </w:r>
    </w:p>
  </w:endnote>
  <w:endnote w:type="continuationSeparator" w:id="0">
    <w:p w:rsidR="003C1F2E" w:rsidRDefault="00F6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2E" w:rsidRDefault="00F66295">
      <w:r>
        <w:separator/>
      </w:r>
    </w:p>
  </w:footnote>
  <w:footnote w:type="continuationSeparator" w:id="0">
    <w:p w:rsidR="003C1F2E" w:rsidRDefault="00F66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29"/>
    <w:rsid w:val="00002EB5"/>
    <w:rsid w:val="00210592"/>
    <w:rsid w:val="00347BAD"/>
    <w:rsid w:val="003C1F2E"/>
    <w:rsid w:val="004516DB"/>
    <w:rsid w:val="006F6FC9"/>
    <w:rsid w:val="00705022"/>
    <w:rsid w:val="0070641C"/>
    <w:rsid w:val="00914B08"/>
    <w:rsid w:val="00927CC0"/>
    <w:rsid w:val="00B867AE"/>
    <w:rsid w:val="00C36B40"/>
    <w:rsid w:val="00CF1829"/>
    <w:rsid w:val="00F66295"/>
    <w:rsid w:val="00F9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ioas_user</cp:lastModifiedBy>
  <cp:revision>8</cp:revision>
  <cp:lastPrinted>2024-02-24T06:24:00Z</cp:lastPrinted>
  <dcterms:created xsi:type="dcterms:W3CDTF">2022-02-22T10:02:00Z</dcterms:created>
  <dcterms:modified xsi:type="dcterms:W3CDTF">2024-02-28T04:27:00Z</dcterms:modified>
</cp:coreProperties>
</file>