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color w:val="auto"/>
          <w:u w:val="none" w:color="auto"/>
        </w:rPr>
      </w:pPr>
      <w:r>
        <w:rPr>
          <w:rFonts w:hint="eastAsia"/>
          <w:color w:val="auto"/>
          <w:u w:val="none" w:color="auto"/>
        </w:rPr>
        <w:t>高知県高性能林業機械等整備事業の運用について</w:t>
      </w:r>
    </w:p>
    <w:p>
      <w:pPr>
        <w:pStyle w:val="0"/>
        <w:spacing w:line="320" w:lineRule="exact"/>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第１　趣旨</w:t>
      </w:r>
    </w:p>
    <w:p>
      <w:pPr>
        <w:pStyle w:val="0"/>
        <w:spacing w:line="320" w:lineRule="exact"/>
        <w:ind w:left="482" w:leftChars="200" w:firstLine="241" w:firstLineChars="100"/>
        <w:rPr>
          <w:rFonts w:hint="default"/>
          <w:color w:val="auto"/>
          <w:u w:val="none" w:color="auto"/>
        </w:rPr>
      </w:pPr>
      <w:r>
        <w:rPr>
          <w:rFonts w:hint="eastAsia"/>
          <w:color w:val="auto"/>
          <w:u w:val="none" w:color="auto"/>
        </w:rPr>
        <w:t>この運用は、高知県高性能林業機械等整備事業費補助金交付要綱</w:t>
      </w:r>
      <w:r>
        <w:rPr>
          <w:rFonts w:hint="eastAsia"/>
          <w:color w:val="auto"/>
          <w:u w:val="none" w:color="auto"/>
        </w:rPr>
        <w:t>(</w:t>
      </w:r>
      <w:r>
        <w:rPr>
          <w:rFonts w:hint="eastAsia"/>
          <w:color w:val="auto"/>
          <w:u w:val="none" w:color="auto"/>
        </w:rPr>
        <w:t>以下「要綱」と言う。</w:t>
      </w:r>
      <w:r>
        <w:rPr>
          <w:rFonts w:hint="eastAsia"/>
          <w:color w:val="auto"/>
          <w:u w:val="none" w:color="auto"/>
        </w:rPr>
        <w:t>)</w:t>
      </w:r>
      <w:r>
        <w:rPr>
          <w:rFonts w:hint="eastAsia"/>
          <w:color w:val="auto"/>
          <w:u w:val="none" w:color="auto"/>
        </w:rPr>
        <w:t>及び高知県高性能林業機械等整備事業事務取扱要領（以下「要領」と言う。）の運用について、必要な事項を定める。</w:t>
      </w:r>
    </w:p>
    <w:p>
      <w:pPr>
        <w:pStyle w:val="0"/>
        <w:spacing w:line="320" w:lineRule="exact"/>
        <w:rPr>
          <w:rFonts w:hint="default"/>
          <w:color w:val="auto"/>
          <w:u w:val="none" w:color="auto"/>
        </w:rPr>
      </w:pPr>
      <w:r>
        <w:rPr>
          <w:rFonts w:hint="eastAsia"/>
          <w:color w:val="auto"/>
          <w:u w:val="none" w:color="auto"/>
        </w:rPr>
        <w:t>第２　運用</w:t>
      </w:r>
    </w:p>
    <w:p>
      <w:pPr>
        <w:pStyle w:val="0"/>
        <w:spacing w:line="320" w:lineRule="exact"/>
        <w:ind w:left="482" w:leftChars="200" w:firstLine="241" w:firstLineChars="100"/>
        <w:rPr>
          <w:rFonts w:hint="default"/>
          <w:color w:val="auto"/>
          <w:u w:val="none" w:color="auto"/>
        </w:rPr>
      </w:pPr>
      <w:r>
        <w:rPr>
          <w:rFonts w:hint="eastAsia"/>
          <w:color w:val="auto"/>
          <w:u w:val="none" w:color="auto"/>
        </w:rPr>
        <w:t>要綱別表第１の事業区分ごとに、以下に留意して事業の実施及び導入した機械の利用、保守管理を行うものとする。</w:t>
      </w:r>
    </w:p>
    <w:p>
      <w:pPr>
        <w:pStyle w:val="0"/>
        <w:spacing w:line="320" w:lineRule="exact"/>
        <w:ind w:left="482" w:leftChars="200"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１　高性能林業機械の導入（要綱別表第１の１）</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49" w:leftChars="294" w:hanging="241" w:hangingChars="100"/>
        <w:rPr>
          <w:rFonts w:hint="default"/>
          <w:color w:val="auto"/>
          <w:u w:val="none" w:color="auto"/>
        </w:rPr>
      </w:pPr>
      <w:r>
        <w:rPr>
          <w:rFonts w:hint="eastAsia"/>
          <w:color w:val="auto"/>
          <w:u w:val="none" w:color="auto"/>
        </w:rPr>
        <w:t>①　補助対象機械の範囲は要綱別表第３に定める工種又は施設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spacing w:line="320" w:lineRule="exact"/>
        <w:ind w:left="949" w:leftChars="294" w:hanging="241" w:hangingChars="100"/>
        <w:rPr>
          <w:rFonts w:hint="default"/>
          <w:color w:val="auto"/>
          <w:u w:val="none" w:color="auto"/>
        </w:rPr>
      </w:pPr>
      <w:r>
        <w:rPr>
          <w:rFonts w:hint="eastAsia"/>
          <w:color w:val="auto"/>
          <w:u w:val="none" w:color="auto"/>
        </w:rPr>
        <w:t>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49" w:leftChars="294" w:hanging="241" w:hangingChars="100"/>
        <w:rPr>
          <w:rFonts w:hint="eastAsia"/>
          <w:color w:val="auto"/>
          <w:u w:val="none" w:color="auto"/>
        </w:rPr>
      </w:pPr>
      <w:r>
        <w:rPr>
          <w:rFonts w:hint="eastAsia"/>
          <w:color w:val="auto"/>
          <w:u w:val="none" w:color="auto"/>
        </w:rPr>
        <w:t>③　林業用四輪駆動ダンプトラックについては、道路法、道路交通法、その他積載物の運搬に係る法律等を遵守するとともに、次に掲げる基準を満たすものであることとする。</w:t>
      </w:r>
      <w:r>
        <w:rPr>
          <w:rFonts w:hint="eastAsia"/>
          <w:color w:val="auto"/>
          <w:u w:val="none" w:color="auto"/>
        </w:rPr>
        <w:t xml:space="preserve"> </w:t>
      </w:r>
    </w:p>
    <w:p>
      <w:pPr>
        <w:pStyle w:val="0"/>
        <w:spacing w:line="320" w:lineRule="exact"/>
        <w:ind w:left="949" w:leftChars="394" w:firstLine="0" w:firstLineChars="0"/>
        <w:rPr>
          <w:rFonts w:hint="eastAsia"/>
          <w:color w:val="auto"/>
          <w:u w:val="none" w:color="auto"/>
        </w:rPr>
      </w:pPr>
      <w:r>
        <w:rPr>
          <w:rFonts w:hint="eastAsia"/>
          <w:color w:val="auto"/>
          <w:u w:val="none" w:color="auto"/>
        </w:rPr>
        <w:t>ア</w:t>
      </w:r>
      <w:r>
        <w:rPr>
          <w:rFonts w:hint="eastAsia"/>
          <w:color w:val="auto"/>
          <w:u w:val="none" w:color="auto"/>
        </w:rPr>
        <w:t xml:space="preserve"> </w:t>
      </w:r>
      <w:r>
        <w:rPr>
          <w:rFonts w:hint="eastAsia"/>
          <w:color w:val="auto"/>
          <w:u w:val="none" w:color="auto"/>
        </w:rPr>
        <w:t>林業用四輪駆動ダンプトラックの規格については、以下の項目を全て満たすものであること。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・四輪駆動であり、トランスミッションはＭＴであること。</w:t>
      </w:r>
      <w:r>
        <w:rPr>
          <w:rFonts w:hint="eastAsia"/>
          <w:color w:val="auto"/>
          <w:u w:val="none" w:color="auto"/>
        </w:rPr>
        <w:t xml:space="preserve">       </w:t>
      </w:r>
    </w:p>
    <w:p>
      <w:pPr>
        <w:pStyle w:val="0"/>
        <w:spacing w:line="320" w:lineRule="exact"/>
        <w:ind w:left="949" w:leftChars="394" w:firstLine="241" w:firstLineChars="100"/>
        <w:rPr>
          <w:rFonts w:hint="eastAsia"/>
          <w:color w:val="auto"/>
          <w:u w:val="none" w:color="auto"/>
        </w:rPr>
      </w:pPr>
      <w:r>
        <w:rPr>
          <w:rFonts w:hint="eastAsia"/>
          <w:color w:val="auto"/>
          <w:u w:val="none" w:color="auto"/>
        </w:rPr>
        <w:t>・積載量は２ｔ以上４ｔ未満であること。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・排気量は</w:t>
      </w:r>
      <w:r>
        <w:rPr>
          <w:rFonts w:hint="eastAsia"/>
          <w:color w:val="auto"/>
          <w:u w:val="none" w:color="auto"/>
        </w:rPr>
        <w:t>4,000cc</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・補助ブレーキとして排気ブレーキを装備していること。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・最小回転半径は６</w:t>
      </w:r>
      <w:r>
        <w:rPr>
          <w:rFonts w:hint="eastAsia"/>
          <w:color w:val="auto"/>
          <w:u w:val="none" w:color="auto"/>
        </w:rPr>
        <w:t>m</w:t>
      </w:r>
      <w:r>
        <w:rPr>
          <w:rFonts w:hint="eastAsia"/>
          <w:color w:val="auto"/>
          <w:u w:val="none" w:color="auto"/>
        </w:rPr>
        <w:t>以下であること。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・ＬＳＤ（リミテッド・スリップ・デフ）又はＬＳＤと同様にタイヤが空転した</w:t>
      </w:r>
    </w:p>
    <w:p>
      <w:pPr>
        <w:pStyle w:val="0"/>
        <w:spacing w:line="320" w:lineRule="exact"/>
        <w:ind w:left="949" w:leftChars="394" w:firstLine="241" w:firstLineChars="100"/>
        <w:rPr>
          <w:rFonts w:hint="eastAsia"/>
          <w:color w:val="auto"/>
          <w:u w:val="none" w:color="auto"/>
        </w:rPr>
      </w:pPr>
      <w:r>
        <w:rPr>
          <w:rFonts w:hint="eastAsia"/>
          <w:color w:val="auto"/>
          <w:u w:val="none" w:color="auto"/>
        </w:rPr>
        <w:t>際に起こるスタックを回避するための機能を有していること。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・１速の総減速比（１速の変速比×最終減速比）が</w:t>
      </w:r>
      <w:r>
        <w:rPr>
          <w:rFonts w:hint="eastAsia"/>
          <w:color w:val="auto"/>
          <w:u w:val="none" w:color="auto"/>
        </w:rPr>
        <w:t>29.5</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・リヤデフまでの高さ（最低地上高）が</w:t>
      </w:r>
      <w:r>
        <w:rPr>
          <w:rFonts w:hint="eastAsia"/>
          <w:color w:val="auto"/>
          <w:u w:val="none" w:color="auto"/>
        </w:rPr>
        <w:t>160</w:t>
      </w:r>
      <w:r>
        <w:rPr>
          <w:rFonts w:hint="eastAsia"/>
          <w:color w:val="auto"/>
          <w:u w:val="none" w:color="auto"/>
        </w:rPr>
        <w:t>ｍｍ以上であること。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・荷台は林業用に架装していること。</w:t>
      </w:r>
    </w:p>
    <w:p>
      <w:pPr>
        <w:pStyle w:val="0"/>
        <w:spacing w:line="320" w:lineRule="exact"/>
        <w:ind w:left="0" w:leftChars="0" w:firstLine="723" w:firstLineChars="300"/>
        <w:rPr>
          <w:rFonts w:hint="eastAsia"/>
          <w:color w:val="auto"/>
          <w:u w:val="none" w:color="auto"/>
        </w:rPr>
      </w:pPr>
      <w:r>
        <w:rPr>
          <w:rFonts w:hint="eastAsia"/>
          <w:color w:val="auto"/>
          <w:u w:val="none" w:color="auto"/>
        </w:rPr>
        <w:t xml:space="preserve"> </w:t>
      </w:r>
      <w:r>
        <w:rPr>
          <w:rFonts w:hint="eastAsia"/>
          <w:color w:val="auto"/>
          <w:u w:val="none" w:color="auto"/>
        </w:rPr>
        <w:t>イ</w:t>
      </w:r>
      <w:r>
        <w:rPr>
          <w:rFonts w:hint="eastAsia"/>
          <w:color w:val="auto"/>
          <w:u w:val="none" w:color="auto"/>
        </w:rPr>
        <w:t xml:space="preserve"> </w:t>
      </w:r>
      <w:r>
        <w:rPr>
          <w:rFonts w:hint="eastAsia"/>
          <w:color w:val="auto"/>
          <w:u w:val="none" w:color="auto"/>
        </w:rPr>
        <w:t>導入後に資産計上を行い、かつ、以下のすべてを満たすものであること。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・車体に法人名等が印刷されていること。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・運行記録、業務日報が整備されていること。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・任意保険の使用目的設定が「事業使用」であること。</w:t>
      </w:r>
      <w:r>
        <w:rPr>
          <w:rFonts w:hint="eastAsia"/>
          <w:color w:val="auto"/>
          <w:u w:val="none" w:color="auto"/>
        </w:rPr>
        <w:t xml:space="preserve">       </w:t>
      </w:r>
    </w:p>
    <w:p>
      <w:pPr>
        <w:pStyle w:val="0"/>
        <w:spacing w:line="320" w:lineRule="exact"/>
        <w:ind w:left="708" w:leftChars="294" w:firstLine="723" w:firstLineChars="300"/>
        <w:rPr>
          <w:rFonts w:hint="default"/>
          <w:color w:val="auto"/>
          <w:u w:val="none" w:color="auto"/>
        </w:rPr>
      </w:pPr>
      <w:r>
        <w:rPr>
          <w:rFonts w:hint="eastAsia"/>
          <w:color w:val="auto"/>
          <w:u w:val="none" w:color="auto"/>
        </w:rPr>
        <w:t>なお、本来の補助目的の遂行に支障を及ぼさない範囲で、他の用途に一時使用</w:t>
      </w:r>
    </w:p>
    <w:p>
      <w:pPr>
        <w:pStyle w:val="0"/>
        <w:spacing w:line="320" w:lineRule="exact"/>
        <w:ind w:left="708" w:leftChars="294" w:firstLine="0" w:firstLineChars="0"/>
        <w:rPr>
          <w:rFonts w:hint="default"/>
          <w:color w:val="auto"/>
          <w:u w:val="none" w:color="auto"/>
        </w:rPr>
      </w:pPr>
      <w:r>
        <w:rPr>
          <w:rFonts w:hint="eastAsia"/>
          <w:color w:val="auto"/>
          <w:u w:val="none" w:color="auto"/>
        </w:rPr>
        <w:t>　　することについては妨げない。</w:t>
      </w:r>
    </w:p>
    <w:p>
      <w:pPr>
        <w:pStyle w:val="0"/>
        <w:spacing w:line="320" w:lineRule="exact"/>
        <w:ind w:left="949" w:leftChars="294" w:hanging="241" w:hangingChars="100"/>
        <w:rPr>
          <w:rFonts w:hint="default"/>
          <w:color w:val="000000" w:themeColor="text1"/>
          <w:u w:val="none" w:color="auto"/>
        </w:rPr>
      </w:pPr>
      <w:r>
        <w:rPr>
          <w:rFonts w:hint="eastAsia"/>
          <w:color w:val="000000" w:themeColor="text1"/>
          <w:u w:val="none" w:color="auto"/>
        </w:rPr>
        <w:t>④　</w:t>
      </w:r>
      <w:r>
        <w:rPr>
          <w:rFonts w:hint="eastAsia"/>
          <w:color w:val="000000" w:themeColor="text1"/>
          <w:u w:val="none" w:color="auto"/>
        </w:rPr>
        <w:t>IoT</w:t>
      </w:r>
      <w:r>
        <w:rPr>
          <w:rFonts w:hint="eastAsia"/>
          <w:color w:val="000000" w:themeColor="text1"/>
          <w:u w:val="none" w:color="auto"/>
        </w:rPr>
        <w:t>ハーベスタについては、データと連携した作業指示や造材した丸太のデータ（径級、長さ、材積、造材位置等）をインターネット等を介して共有できる機能を備えた機種であること。</w:t>
      </w:r>
    </w:p>
    <w:p>
      <w:pPr>
        <w:pStyle w:val="0"/>
        <w:spacing w:line="320" w:lineRule="exact"/>
        <w:ind w:left="723" w:leftChars="100" w:hanging="482" w:hangingChars="200"/>
        <w:rPr>
          <w:rFonts w:hint="default"/>
          <w:color w:val="auto"/>
          <w:u w:val="none" w:color="auto"/>
        </w:rPr>
      </w:pPr>
      <w:r>
        <w:rPr>
          <w:rFonts w:hint="eastAsia"/>
          <w:color w:val="auto"/>
          <w:u w:val="none" w:color="auto"/>
        </w:rPr>
        <w:t>（２）県の目標値</w:t>
      </w:r>
    </w:p>
    <w:p>
      <w:pPr>
        <w:pStyle w:val="0"/>
        <w:spacing w:line="320" w:lineRule="exact"/>
        <w:ind w:left="723" w:leftChars="300" w:firstLine="241" w:firstLineChars="100"/>
        <w:rPr>
          <w:rFonts w:hint="default"/>
          <w:color w:val="auto"/>
          <w:u w:val="none" w:color="auto"/>
        </w:rPr>
      </w:pPr>
      <w:r>
        <w:rPr>
          <w:rFonts w:hint="eastAsia"/>
          <w:color w:val="auto"/>
          <w:u w:val="none" w:color="auto"/>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別紙１のとおりとする。</w:t>
      </w:r>
    </w:p>
    <w:p>
      <w:pPr>
        <w:pStyle w:val="0"/>
        <w:spacing w:line="320" w:lineRule="exact"/>
        <w:ind w:firstLine="241" w:firstLineChars="100"/>
        <w:rPr>
          <w:rFonts w:hint="default"/>
          <w:color w:val="auto"/>
          <w:u w:val="none" w:color="auto"/>
        </w:rPr>
      </w:pPr>
      <w:r>
        <w:rPr>
          <w:rFonts w:hint="eastAsia"/>
          <w:color w:val="auto"/>
          <w:u w:val="none" w:color="auto"/>
        </w:rPr>
        <w:t>（３）機械導入後の保守・管理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機械導入事業体は作業記録簿を整備するとともに、作業前点検、定期点検を実施し、その性能を十分発揮できるように維持管理しなければならない。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２　林業機械のリース（要綱別表第１の２）</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64" w:hanging="964" w:hangingChars="400"/>
        <w:rPr>
          <w:rFonts w:hint="default"/>
          <w:color w:val="auto"/>
          <w:u w:val="none" w:color="auto"/>
        </w:rPr>
      </w:pPr>
      <w:r>
        <w:rPr>
          <w:rFonts w:hint="eastAsia"/>
          <w:color w:val="auto"/>
          <w:u w:val="none" w:color="auto"/>
        </w:rPr>
        <w:t>　　　①　補助対象機械の範囲は要綱別表第３に定める工種又は施設区分に記載されている林業機械の使用料及び賃借料（要綱別表第３の２の補助対象経費欄のとおり）とする。</w:t>
      </w:r>
    </w:p>
    <w:p>
      <w:pPr>
        <w:pStyle w:val="0"/>
        <w:spacing w:line="320" w:lineRule="exact"/>
        <w:ind w:left="964" w:hanging="964" w:hangingChars="400"/>
        <w:rPr>
          <w:rFonts w:hint="default"/>
          <w:color w:val="auto"/>
          <w:u w:val="none" w:color="auto"/>
        </w:rPr>
      </w:pPr>
      <w:r>
        <w:rPr>
          <w:rFonts w:hint="eastAsia"/>
          <w:color w:val="auto"/>
          <w:u w:val="none" w:color="auto"/>
        </w:rPr>
        <w:t>　　　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64" w:hanging="964" w:hangingChars="400"/>
        <w:rPr>
          <w:rFonts w:hint="default"/>
          <w:color w:val="auto"/>
          <w:u w:val="none" w:color="auto"/>
        </w:rPr>
      </w:pPr>
      <w:r>
        <w:rPr>
          <w:rFonts w:hint="eastAsia"/>
          <w:color w:val="auto"/>
          <w:u w:val="none" w:color="auto"/>
        </w:rPr>
        <w:t>　　　③　林業用四輪駆動ダンプトラックの基準については第２の１の（１）の③に準ずる。</w:t>
      </w:r>
    </w:p>
    <w:p>
      <w:pPr>
        <w:pStyle w:val="0"/>
        <w:spacing w:line="320" w:lineRule="exact"/>
        <w:ind w:left="723" w:hanging="723" w:hangingChars="300"/>
        <w:rPr>
          <w:rFonts w:hint="default"/>
          <w:color w:val="auto"/>
          <w:u w:val="none" w:color="auto"/>
        </w:rPr>
      </w:pPr>
      <w:r>
        <w:rPr>
          <w:rFonts w:hint="eastAsia"/>
          <w:color w:val="auto"/>
          <w:u w:val="none" w:color="auto"/>
        </w:rPr>
        <w:t>　（２）提出書類</w:t>
      </w:r>
    </w:p>
    <w:p>
      <w:pPr>
        <w:pStyle w:val="0"/>
        <w:spacing w:line="320" w:lineRule="exact"/>
        <w:ind w:left="723" w:hanging="723" w:hangingChars="300"/>
        <w:jc w:val="both"/>
        <w:rPr>
          <w:rFonts w:hint="default"/>
          <w:color w:val="auto"/>
          <w:u w:val="none" w:color="auto"/>
        </w:rPr>
      </w:pPr>
      <w:r>
        <w:rPr>
          <w:rFonts w:hint="eastAsia"/>
          <w:color w:val="auto"/>
          <w:u w:val="none" w:color="auto"/>
        </w:rPr>
        <w:t>　　　　要領第２の１の（１）の②に定める共通基礎資料のうち、イ事業主体の規約（定款）については、法人登録をしていない事業体については省略できるものとする。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color w:val="auto"/>
          <w:u w:val="none" w:color="auto"/>
        </w:rPr>
      </w:pPr>
      <w:r>
        <w:rPr>
          <w:rFonts w:hint="eastAsia"/>
          <w:color w:val="auto"/>
          <w:u w:val="none" w:color="auto"/>
        </w:rPr>
        <w:t>（３）機械リース後の保守・管理</w:t>
      </w:r>
    </w:p>
    <w:p>
      <w:pPr>
        <w:pStyle w:val="0"/>
        <w:spacing w:line="320" w:lineRule="exact"/>
        <w:ind w:left="723" w:leftChars="300" w:firstLine="241" w:firstLineChars="100"/>
        <w:jc w:val="both"/>
        <w:rPr>
          <w:rFonts w:hint="default"/>
          <w:color w:val="auto"/>
          <w:u w:val="none" w:color="auto"/>
        </w:rPr>
      </w:pPr>
      <w:r>
        <w:rPr>
          <w:rFonts w:hint="eastAsia"/>
          <w:color w:val="auto"/>
          <w:u w:val="none" w:color="auto"/>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第２の１の（４）に準ずる。</w:t>
      </w:r>
    </w:p>
    <w:p>
      <w:pPr>
        <w:pStyle w:val="0"/>
        <w:spacing w:line="320" w:lineRule="exact"/>
        <w:rPr>
          <w:rFonts w:hint="default"/>
          <w:color w:val="auto"/>
          <w:u w:val="none" w:color="auto"/>
        </w:rPr>
      </w:pPr>
    </w:p>
    <w:p>
      <w:pPr>
        <w:pStyle w:val="0"/>
        <w:spacing w:line="320" w:lineRule="exact"/>
        <w:ind w:firstLine="241" w:firstLineChars="100"/>
        <w:rPr>
          <w:rFonts w:hint="default"/>
          <w:color w:val="auto"/>
          <w:u w:val="none" w:color="auto"/>
        </w:rPr>
      </w:pPr>
      <w:r>
        <w:rPr>
          <w:rFonts w:hint="eastAsia"/>
          <w:color w:val="auto"/>
          <w:u w:val="none" w:color="auto"/>
        </w:rPr>
        <w:t>３　新規参入者への導入等支援（要綱別表第１の３）</w:t>
      </w:r>
    </w:p>
    <w:p>
      <w:pPr>
        <w:pStyle w:val="0"/>
        <w:tabs>
          <w:tab w:val="left" w:leader="none" w:pos="426"/>
        </w:tabs>
        <w:spacing w:line="320" w:lineRule="exact"/>
        <w:ind w:firstLine="241" w:firstLineChars="100"/>
        <w:rPr>
          <w:rFonts w:hint="default"/>
          <w:color w:val="auto"/>
          <w:u w:val="none" w:color="auto"/>
        </w:rPr>
      </w:pPr>
      <w:r>
        <w:rPr>
          <w:rFonts w:hint="eastAsia"/>
          <w:color w:val="auto"/>
          <w:u w:val="none" w:color="auto"/>
        </w:rPr>
        <w:t>（１）補助対象経費　</w:t>
      </w:r>
    </w:p>
    <w:p>
      <w:pPr>
        <w:pStyle w:val="0"/>
        <w:tabs>
          <w:tab w:val="left" w:leader="none" w:pos="426"/>
        </w:tabs>
        <w:spacing w:line="320" w:lineRule="exact"/>
        <w:ind w:left="723" w:leftChars="100" w:hanging="482" w:hangingChars="200"/>
        <w:rPr>
          <w:rFonts w:hint="default"/>
          <w:color w:val="auto"/>
          <w:u w:val="none" w:color="auto"/>
        </w:rPr>
      </w:pPr>
      <w:r>
        <w:rPr>
          <w:rFonts w:hint="eastAsia"/>
          <w:color w:val="auto"/>
          <w:u w:val="none" w:color="auto"/>
        </w:rPr>
        <w:t>　　　第２の１の（１）に準ずるとともに、導入する高性能林業機械等は原則、中古のものとする。</w:t>
      </w:r>
    </w:p>
    <w:p>
      <w:pPr>
        <w:pStyle w:val="0"/>
        <w:tabs>
          <w:tab w:val="left" w:leader="none" w:pos="426"/>
        </w:tabs>
        <w:spacing w:line="320" w:lineRule="exact"/>
        <w:ind w:left="964" w:leftChars="100" w:hanging="723" w:hangingChars="300"/>
        <w:rPr>
          <w:rFonts w:hint="default"/>
          <w:color w:val="auto"/>
          <w:u w:val="none" w:color="auto"/>
        </w:rPr>
      </w:pPr>
      <w:r>
        <w:rPr>
          <w:rFonts w:hint="eastAsia"/>
          <w:color w:val="auto"/>
          <w:u w:val="none" w:color="auto"/>
        </w:rPr>
        <w:t>　　　ただし、中古機械の入手が困難な場合は、その限りではない。</w:t>
      </w:r>
    </w:p>
    <w:p>
      <w:pPr>
        <w:pStyle w:val="0"/>
        <w:spacing w:line="320" w:lineRule="exact"/>
        <w:ind w:firstLine="241" w:firstLineChars="100"/>
        <w:rPr>
          <w:rFonts w:hint="default"/>
          <w:color w:val="auto"/>
          <w:u w:val="none" w:color="auto"/>
        </w:rPr>
      </w:pPr>
      <w:r>
        <w:rPr>
          <w:rFonts w:hint="eastAsia"/>
          <w:color w:val="auto"/>
          <w:u w:val="none" w:color="auto"/>
        </w:rPr>
        <w:t>（２）機械導入後の保守・管理</w:t>
      </w:r>
    </w:p>
    <w:p>
      <w:pPr>
        <w:pStyle w:val="0"/>
        <w:spacing w:line="320" w:lineRule="exact"/>
        <w:ind w:firstLine="241" w:firstLineChars="100"/>
        <w:rPr>
          <w:rFonts w:hint="default"/>
          <w:color w:val="auto"/>
          <w:u w:val="none" w:color="auto"/>
        </w:rPr>
      </w:pPr>
      <w:r>
        <w:rPr>
          <w:rFonts w:hint="eastAsia"/>
          <w:color w:val="auto"/>
          <w:u w:val="none" w:color="auto"/>
        </w:rPr>
        <w:t>　　　第２の１の（３）に準ずる。</w:t>
      </w:r>
    </w:p>
    <w:p>
      <w:pPr>
        <w:pStyle w:val="0"/>
        <w:spacing w:line="320" w:lineRule="exact"/>
        <w:ind w:left="723" w:hanging="723" w:hangingChars="300"/>
        <w:rPr>
          <w:rFonts w:hint="default"/>
          <w:color w:val="auto"/>
          <w:u w:val="none" w:color="auto"/>
        </w:rPr>
      </w:pPr>
      <w:r>
        <w:rPr>
          <w:rFonts w:hint="eastAsia"/>
          <w:color w:val="auto"/>
          <w:u w:val="none" w:color="auto"/>
        </w:rPr>
        <w:t xml:space="preserve">  </w:t>
      </w:r>
      <w:r>
        <w:rPr>
          <w:rFonts w:hint="eastAsia"/>
          <w:color w:val="auto"/>
          <w:u w:val="none" w:color="auto"/>
        </w:rPr>
        <w:t>（３）実績報告</w:t>
      </w:r>
    </w:p>
    <w:p>
      <w:pPr>
        <w:pStyle w:val="0"/>
        <w:spacing w:line="320" w:lineRule="exact"/>
        <w:ind w:left="0" w:leftChars="0" w:hanging="964" w:hangingChars="400"/>
        <w:rPr>
          <w:rFonts w:hint="default"/>
          <w:color w:val="auto"/>
          <w:u w:val="none" w:color="auto"/>
        </w:rPr>
      </w:pPr>
      <w:r>
        <w:rPr>
          <w:rFonts w:hint="eastAsia"/>
          <w:color w:val="auto"/>
          <w:u w:val="none" w:color="auto"/>
        </w:rPr>
        <w:t>　　　　実績報告書で添付する契約書は、相手方、機種、期間、金額が確認できれば請求書でも可とする。また、添付する写真は、機種等が確認できるものとする。</w:t>
      </w:r>
    </w:p>
    <w:p>
      <w:pPr>
        <w:pStyle w:val="0"/>
        <w:spacing w:line="320" w:lineRule="exact"/>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４　入札・契約関係</w:t>
      </w:r>
    </w:p>
    <w:p>
      <w:pPr>
        <w:pStyle w:val="0"/>
        <w:spacing w:line="320" w:lineRule="exact"/>
        <w:rPr>
          <w:rFonts w:hint="default"/>
          <w:color w:val="auto"/>
          <w:u w:val="none" w:color="auto"/>
        </w:rPr>
      </w:pPr>
      <w:r>
        <w:rPr>
          <w:rFonts w:hint="eastAsia"/>
          <w:color w:val="auto"/>
          <w:u w:val="none" w:color="auto"/>
        </w:rPr>
        <w:t>　（１）入札及び契約の実施方法</w:t>
      </w:r>
    </w:p>
    <w:p>
      <w:pPr>
        <w:pStyle w:val="0"/>
        <w:spacing w:line="320" w:lineRule="exact"/>
        <w:ind w:left="964" w:hanging="964" w:hangingChars="400"/>
        <w:rPr>
          <w:rFonts w:hint="default"/>
          <w:color w:val="auto"/>
          <w:u w:val="none" w:color="auto"/>
        </w:rPr>
      </w:pPr>
      <w:r>
        <w:rPr>
          <w:rFonts w:hint="eastAsia"/>
          <w:color w:val="auto"/>
          <w:u w:val="none" w:color="auto"/>
        </w:rPr>
        <w:t>　　　　　契約の相手先の選定、入札又は見積り合わせにあたっては、公平性・競争性を確保して実施するものとし、要綱別表第１の１、２及び３においては単独随意契約は原則認めない。</w:t>
      </w:r>
    </w:p>
    <w:p>
      <w:pPr>
        <w:pStyle w:val="0"/>
        <w:spacing w:line="320" w:lineRule="exact"/>
        <w:ind w:left="964" w:hanging="964" w:hangingChars="400"/>
        <w:rPr>
          <w:rFonts w:hint="default"/>
          <w:color w:val="auto"/>
          <w:u w:val="none" w:color="auto"/>
        </w:rPr>
      </w:pPr>
      <w:r>
        <w:rPr>
          <w:rFonts w:hint="eastAsia"/>
          <w:color w:val="auto"/>
          <w:u w:val="none" w:color="auto"/>
        </w:rPr>
        <w:t>　　　　　ただし、要綱別表第１の３においては、要領第４の４の規定の範囲で実施する場合、その限りではない。</w:t>
      </w:r>
    </w:p>
    <w:p>
      <w:pPr>
        <w:pStyle w:val="0"/>
        <w:spacing w:line="320" w:lineRule="exact"/>
        <w:ind w:left="964" w:leftChars="400" w:firstLine="241" w:firstLineChars="100"/>
        <w:rPr>
          <w:rFonts w:hint="default"/>
          <w:color w:val="auto"/>
          <w:u w:val="none" w:color="auto"/>
        </w:rPr>
      </w:pPr>
      <w:r>
        <w:rPr>
          <w:rFonts w:hint="eastAsia"/>
          <w:color w:val="auto"/>
          <w:u w:val="none" w:color="auto"/>
        </w:rPr>
        <w:t>また、中古機械の導入に係る契約を締結する相手方は、法人登録された事業者とし、個人が所有する機械及び協同組合等が補助事業により導入した機械を組合員へ払下げする機械は補助対象としないとともに、機械の見積書・請求書・明細書等の事業費を確認することのできる書面の発行及び機械の性能の保証が可能な事業者であることとするとともに、中古機械の在庫がない場合は、仕様を満たす新品の価格による応札により、適正価格を判断すること。</w:t>
      </w:r>
    </w:p>
    <w:p>
      <w:pPr>
        <w:pStyle w:val="0"/>
        <w:spacing w:line="320" w:lineRule="exact"/>
        <w:ind w:left="964" w:hanging="964" w:hangingChars="400"/>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５　その他</w:t>
      </w:r>
    </w:p>
    <w:p>
      <w:pPr>
        <w:pStyle w:val="0"/>
        <w:spacing w:line="320" w:lineRule="exact"/>
        <w:ind w:left="964" w:leftChars="100" w:hanging="723" w:hangingChars="300"/>
        <w:rPr>
          <w:rFonts w:hint="default"/>
          <w:color w:val="auto"/>
          <w:u w:val="none" w:color="auto"/>
        </w:rPr>
      </w:pPr>
      <w:r>
        <w:rPr>
          <w:rFonts w:hint="eastAsia"/>
          <w:color w:val="auto"/>
          <w:u w:val="none" w:color="auto"/>
        </w:rPr>
        <w:t>（１）導入機械の事故及び災害の報告</w:t>
      </w:r>
    </w:p>
    <w:p>
      <w:pPr>
        <w:pStyle w:val="0"/>
        <w:spacing w:line="320" w:lineRule="exact"/>
        <w:ind w:left="993" w:leftChars="412" w:right="-143" w:firstLine="241" w:firstLineChars="100"/>
        <w:rPr>
          <w:rFonts w:hint="default"/>
          <w:color w:val="auto"/>
          <w:u w:val="none" w:color="auto"/>
        </w:rPr>
      </w:pPr>
      <w:r>
        <w:rPr>
          <w:rFonts w:hint="eastAsia"/>
          <w:color w:val="auto"/>
          <w:u w:val="none" w:color="auto"/>
        </w:rPr>
        <w:t>補助対象機械及び補助対象装置を装着した機械が、処分期限内に事故及び災害その他の理由により、補助事業の目的とする機能を発揮できなくなった場合は、原因を確認するとともに早急に機能を復旧・改善することとし、また、木材増産推進課に遅滞なく報告すること。</w:t>
      </w:r>
    </w:p>
    <w:p>
      <w:pPr>
        <w:pStyle w:val="0"/>
        <w:spacing w:line="320" w:lineRule="exact"/>
        <w:ind w:left="993" w:leftChars="412" w:right="-143" w:firstLine="241" w:firstLineChars="100"/>
        <w:rPr>
          <w:rFonts w:hint="default"/>
          <w:color w:val="auto"/>
          <w:u w:val="none" w:color="auto"/>
        </w:rPr>
      </w:pPr>
    </w:p>
    <w:p>
      <w:pPr>
        <w:pStyle w:val="0"/>
        <w:spacing w:line="320" w:lineRule="exact"/>
        <w:ind w:left="1205" w:leftChars="200" w:hanging="723" w:hangingChars="300"/>
        <w:rPr>
          <w:rFonts w:hint="default"/>
          <w:color w:val="auto"/>
          <w:u w:val="none" w:color="auto"/>
        </w:rPr>
      </w:pPr>
      <w:r>
        <w:rPr>
          <w:rFonts w:hint="eastAsia" w:asciiTheme="minorEastAsia" w:hAnsiTheme="minorEastAsia"/>
          <w:color w:val="auto"/>
          <w:u w:val="none" w:color="auto"/>
        </w:rPr>
        <w:t>附則１　この運用は、平成</w:t>
      </w:r>
      <w:r>
        <w:rPr>
          <w:rFonts w:hint="eastAsia" w:asciiTheme="minorEastAsia" w:hAnsiTheme="minorEastAsia"/>
          <w:color w:val="auto"/>
          <w:u w:val="none" w:color="auto"/>
        </w:rPr>
        <w:t>30</w:t>
      </w:r>
      <w:r>
        <w:rPr>
          <w:rFonts w:hint="eastAsia" w:asciiTheme="minorEastAsia" w:hAnsiTheme="minorEastAsia"/>
          <w:color w:val="auto"/>
          <w:u w:val="none" w:color="auto"/>
        </w:rPr>
        <w:t>年４月５日から施行し、同日以降に交付の決定が行われる補</w:t>
      </w:r>
      <w:r>
        <w:rPr>
          <w:rFonts w:hint="eastAsia"/>
          <w:color w:val="auto"/>
          <w:u w:val="none" w:color="auto"/>
        </w:rPr>
        <w:t>助事業について適用する。</w:t>
      </w:r>
    </w:p>
    <w:p>
      <w:pPr>
        <w:pStyle w:val="0"/>
        <w:spacing w:line="320" w:lineRule="exact"/>
        <w:ind w:left="1205" w:leftChars="200" w:hanging="723" w:hangingChars="300"/>
        <w:rPr>
          <w:rFonts w:hint="default"/>
          <w:color w:val="auto"/>
          <w:u w:val="none" w:color="auto"/>
        </w:rPr>
      </w:pPr>
      <w:r>
        <w:rPr>
          <w:rFonts w:hint="eastAsia"/>
          <w:color w:val="auto"/>
          <w:u w:val="none" w:color="auto"/>
        </w:rPr>
        <w:t>　　２　この運用は、高知県高性能林業機械等整備事業費補助金交付要綱及び高知県高性能林業機械等整備事業事務取扱要領の廃止をもって廃止する。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14</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25</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31</w:t>
      </w:r>
      <w:r>
        <w:rPr>
          <w:rFonts w:hint="eastAsia"/>
          <w:color w:val="auto"/>
          <w:u w:val="none" w:color="auto"/>
        </w:rPr>
        <w:t>年</w:t>
      </w:r>
      <w:r>
        <w:rPr>
          <w:rFonts w:hint="eastAsia"/>
          <w:color w:val="auto"/>
          <w:u w:val="none" w:color="auto"/>
        </w:rPr>
        <w:t xml:space="preserve"> </w:t>
      </w:r>
      <w:r>
        <w:rPr>
          <w:rFonts w:hint="eastAsia"/>
          <w:color w:val="auto"/>
          <w:u w:val="none" w:color="auto"/>
        </w:rPr>
        <w:t>４月</w:t>
      </w:r>
      <w:r>
        <w:rPr>
          <w:rFonts w:hint="eastAsia"/>
          <w:color w:val="auto"/>
          <w:u w:val="none" w:color="auto"/>
        </w:rPr>
        <w:t>12</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２年</w:t>
      </w:r>
      <w:r>
        <w:rPr>
          <w:rFonts w:hint="eastAsia"/>
          <w:color w:val="auto"/>
          <w:u w:val="none" w:color="auto"/>
        </w:rPr>
        <w:t xml:space="preserve"> </w:t>
      </w:r>
      <w:r>
        <w:rPr>
          <w:rFonts w:hint="eastAsia"/>
          <w:color w:val="auto"/>
          <w:u w:val="none" w:color="auto"/>
        </w:rPr>
        <w:t>４月</w:t>
      </w:r>
      <w:r>
        <w:rPr>
          <w:rFonts w:hint="eastAsia"/>
          <w:color w:val="auto"/>
          <w:u w:val="none" w:color="auto"/>
        </w:rPr>
        <w:t>28</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４月</w:t>
      </w:r>
      <w:r>
        <w:rPr>
          <w:rFonts w:hint="eastAsia"/>
          <w:color w:val="auto"/>
          <w:u w:val="none" w:color="auto"/>
        </w:rPr>
        <w:t>13</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７月</w:t>
      </w:r>
      <w:r>
        <w:rPr>
          <w:rFonts w:hint="eastAsia"/>
          <w:color w:val="auto"/>
          <w:u w:val="none" w:color="auto"/>
        </w:rPr>
        <w:t xml:space="preserve"> </w:t>
      </w:r>
      <w:r>
        <w:rPr>
          <w:rFonts w:hint="eastAsia"/>
          <w:color w:val="auto"/>
          <w:u w:val="none" w:color="auto"/>
        </w:rPr>
        <w:t>８日から施行する。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４年</w:t>
      </w:r>
      <w:r>
        <w:rPr>
          <w:rFonts w:hint="eastAsia"/>
          <w:color w:val="auto"/>
          <w:u w:val="none" w:color="auto"/>
        </w:rPr>
        <w:t xml:space="preserve"> </w:t>
      </w:r>
      <w:r>
        <w:rPr>
          <w:rFonts w:hint="eastAsia"/>
          <w:color w:val="auto"/>
          <w:u w:val="none" w:color="auto"/>
        </w:rPr>
        <w:t>４月</w:t>
      </w:r>
      <w:r>
        <w:rPr>
          <w:rFonts w:hint="eastAsia"/>
          <w:color w:val="auto"/>
          <w:u w:val="none" w:color="auto"/>
        </w:rPr>
        <w:t xml:space="preserve"> 22</w:t>
      </w:r>
      <w:r>
        <w:rPr>
          <w:rFonts w:hint="eastAsia"/>
          <w:color w:val="auto"/>
          <w:u w:val="none" w:color="auto"/>
        </w:rPr>
        <w:t>日から施行する。</w:t>
      </w:r>
    </w:p>
    <w:p>
      <w:pPr>
        <w:pStyle w:val="0"/>
        <w:spacing w:line="320" w:lineRule="exact"/>
        <w:ind w:left="1205" w:leftChars="200" w:hanging="723" w:hangingChars="300"/>
        <w:rPr>
          <w:rFonts w:hint="default"/>
          <w:color w:val="000000" w:themeColor="text1"/>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５年</w:t>
      </w:r>
      <w:r>
        <w:rPr>
          <w:rFonts w:hint="eastAsia"/>
          <w:color w:val="auto"/>
          <w:u w:val="none" w:color="auto"/>
        </w:rPr>
        <w:t xml:space="preserve"> </w:t>
      </w:r>
      <w:r>
        <w:rPr>
          <w:rFonts w:hint="eastAsia"/>
          <w:color w:val="auto"/>
          <w:u w:val="none" w:color="auto"/>
        </w:rPr>
        <w:t>４月</w:t>
      </w:r>
      <w:r>
        <w:rPr>
          <w:rFonts w:hint="eastAsia"/>
          <w:color w:val="auto"/>
          <w:u w:val="none" w:color="auto"/>
        </w:rPr>
        <w:t xml:space="preserve"> 27</w:t>
      </w:r>
      <w:r>
        <w:rPr>
          <w:rFonts w:hint="eastAsia"/>
          <w:color w:val="auto"/>
          <w:u w:val="none" w:color="auto"/>
        </w:rPr>
        <w:t>日から施行する。</w:t>
      </w:r>
    </w:p>
    <w:p>
      <w:pPr>
        <w:pStyle w:val="0"/>
        <w:spacing w:line="320" w:lineRule="exact"/>
        <w:ind w:left="1205" w:leftChars="200" w:hanging="723" w:hangingChars="300"/>
        <w:rPr>
          <w:rFonts w:hint="default"/>
          <w:color w:val="000000" w:themeColor="text1"/>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６年</w:t>
      </w:r>
      <w:r>
        <w:rPr>
          <w:rFonts w:hint="eastAsia"/>
          <w:color w:val="auto"/>
          <w:u w:val="none" w:color="auto"/>
        </w:rPr>
        <w:t xml:space="preserve"> </w:t>
      </w:r>
      <w:r>
        <w:rPr>
          <w:rFonts w:hint="eastAsia"/>
          <w:color w:val="auto"/>
          <w:u w:val="none" w:color="auto"/>
        </w:rPr>
        <w:t>５月</w:t>
      </w:r>
      <w:r>
        <w:rPr>
          <w:rFonts w:hint="eastAsia"/>
          <w:color w:val="auto"/>
          <w:u w:val="none" w:color="auto"/>
        </w:rPr>
        <w:t xml:space="preserve"> 15</w:t>
      </w:r>
      <w:r>
        <w:rPr>
          <w:rFonts w:hint="eastAsia"/>
          <w:color w:val="auto"/>
          <w:u w:val="none" w:color="auto"/>
        </w:rPr>
        <w:t>日から施行する。</w:t>
      </w:r>
    </w:p>
    <w:p>
      <w:pPr>
        <w:rPr>
          <w:rFonts w:hint="default"/>
        </w:rPr>
        <w:sectPr>
          <w:headerReference r:id="rId6" w:type="default"/>
          <w:footerReference r:id="rId7" w:type="default"/>
          <w:headerReference r:id="rId5" w:type="first"/>
          <w:pgSz w:w="11906" w:h="16838"/>
          <w:pgMar w:top="1134" w:right="964" w:bottom="1134" w:left="964" w:header="851" w:footer="992" w:gutter="0"/>
          <w:cols w:space="720"/>
          <w:titlePg w:val="1"/>
          <w:textDirection w:val="lrTb"/>
          <w:docGrid w:type="linesAndChars" w:linePitch="485" w:charSpace="6338"/>
        </w:sectPr>
      </w:pPr>
    </w:p>
    <w:p>
      <w:pPr>
        <w:pStyle w:val="0"/>
        <w:spacing w:line="320" w:lineRule="exact"/>
        <w:rPr>
          <w:rFonts w:hint="default"/>
          <w:color w:val="auto"/>
          <w:u w:val="none" w:color="auto"/>
        </w:rPr>
      </w:pPr>
      <w:r>
        <w:rPr>
          <w:rFonts w:hint="eastAsia"/>
          <w:color w:val="auto"/>
          <w:u w:val="none" w:color="auto"/>
        </w:rPr>
        <w:t>別紙１</w:t>
      </w:r>
    </w:p>
    <w:p>
      <w:pPr>
        <w:pStyle w:val="0"/>
        <w:spacing w:line="320" w:lineRule="exact"/>
        <w:ind w:left="1205" w:leftChars="200" w:hanging="723" w:hangingChars="300"/>
        <w:rPr>
          <w:rFonts w:hint="default"/>
          <w:color w:val="auto"/>
          <w:u w:val="none" w:color="auto"/>
        </w:rPr>
      </w:pPr>
    </w:p>
    <w:p>
      <w:pPr>
        <w:pStyle w:val="0"/>
        <w:spacing w:line="320" w:lineRule="exact"/>
        <w:ind w:left="1205" w:leftChars="200" w:hanging="723" w:hangingChars="300"/>
        <w:rPr>
          <w:rFonts w:hint="default"/>
          <w:color w:val="auto"/>
          <w:u w:val="none" w:color="auto"/>
        </w:rPr>
      </w:pPr>
    </w:p>
    <w:p>
      <w:pPr>
        <w:pStyle w:val="0"/>
        <w:spacing w:line="320" w:lineRule="exact"/>
        <w:ind w:left="1205" w:leftChars="500" w:firstLine="813" w:firstLineChars="300"/>
        <w:rPr>
          <w:rFonts w:hint="default"/>
          <w:color w:val="auto"/>
          <w:sz w:val="24"/>
          <w:u w:val="none" w:color="auto"/>
        </w:rPr>
      </w:pPr>
      <w:r>
        <w:rPr>
          <w:rFonts w:hint="eastAsia"/>
          <w:color w:val="auto"/>
          <w:sz w:val="24"/>
          <w:u w:val="none" w:color="auto"/>
        </w:rPr>
        <w:t>素材生産量及び素材生産性の目標値について</w:t>
      </w:r>
    </w:p>
    <w:p>
      <w:pPr>
        <w:pStyle w:val="0"/>
        <w:spacing w:line="320" w:lineRule="exact"/>
        <w:ind w:left="1205" w:leftChars="500" w:firstLine="723" w:firstLineChars="300"/>
        <w:rPr>
          <w:rFonts w:hint="default"/>
          <w:color w:val="auto"/>
          <w:u w:val="none" w:color="auto"/>
        </w:rPr>
      </w:pPr>
    </w:p>
    <w:p>
      <w:pPr>
        <w:pStyle w:val="0"/>
        <w:spacing w:line="320" w:lineRule="exact"/>
        <w:ind w:left="1205" w:leftChars="500" w:firstLine="723" w:firstLineChars="300"/>
        <w:rPr>
          <w:rFonts w:hint="default"/>
          <w:color w:val="auto"/>
          <w:u w:val="none" w:color="auto"/>
        </w:rPr>
      </w:pPr>
    </w:p>
    <w:p>
      <w:pPr>
        <w:pStyle w:val="0"/>
        <w:spacing w:line="320" w:lineRule="exact"/>
        <w:ind w:left="723" w:leftChars="100" w:hanging="482" w:hangingChars="200"/>
        <w:rPr>
          <w:rFonts w:hint="default"/>
          <w:color w:val="auto"/>
          <w:u w:val="none" w:color="auto"/>
        </w:rPr>
      </w:pPr>
      <w:r>
        <w:rPr>
          <w:rFonts w:hint="eastAsia"/>
          <w:color w:val="auto"/>
          <w:u w:val="none" w:color="auto"/>
        </w:rPr>
        <w:t>　　　要綱別表３の１の留意事項（５）及び要領第１</w:t>
      </w:r>
      <w:bookmarkStart w:id="0" w:name="_GoBack"/>
      <w:bookmarkEnd w:id="0"/>
      <w:r>
        <w:rPr>
          <w:rFonts w:hint="eastAsia"/>
          <w:color w:val="auto"/>
          <w:u w:val="none" w:color="auto"/>
        </w:rPr>
        <w:t>号様式の別紙１－１－１に記載のある「県の目標値」は下記のとおりとする。</w:t>
      </w:r>
    </w:p>
    <w:p>
      <w:pPr>
        <w:pStyle w:val="0"/>
        <w:spacing w:line="320" w:lineRule="exact"/>
        <w:ind w:left="723" w:leftChars="300" w:firstLine="241" w:firstLineChars="100"/>
        <w:rPr>
          <w:rFonts w:hint="default"/>
          <w:color w:val="auto"/>
          <w:u w:val="none" w:color="auto"/>
        </w:rPr>
      </w:pPr>
      <w:r>
        <w:rPr>
          <w:rFonts w:hint="eastAsia"/>
          <w:color w:val="auto"/>
          <w:u w:val="none" w:color="auto"/>
        </w:rPr>
        <w:t>高性能林業機械を導入する場合は、いずれかの目標値以上となること。</w:t>
      </w:r>
    </w:p>
    <w:p>
      <w:pPr>
        <w:pStyle w:val="0"/>
        <w:spacing w:line="320" w:lineRule="exact"/>
        <w:ind w:left="1205" w:leftChars="200" w:hanging="723" w:hangingChars="300"/>
        <w:rPr>
          <w:rFonts w:hint="default"/>
          <w:color w:val="auto"/>
          <w:u w:val="none" w:color="auto"/>
        </w:rPr>
      </w:pPr>
      <w:r>
        <w:rPr>
          <w:rFonts w:hint="eastAsia"/>
          <w:color w:val="auto"/>
          <w:u w:val="none" w:color="auto"/>
        </w:rPr>
        <w:t>　　</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【５年目の目標値（林業成長産業化総合対策補助金）】</w:t>
      </w:r>
    </w:p>
    <w:p>
      <w:pPr>
        <w:pStyle w:val="0"/>
        <w:spacing w:line="320" w:lineRule="exact"/>
        <w:ind w:left="482" w:leftChars="200" w:firstLine="482" w:firstLineChars="200"/>
        <w:rPr>
          <w:rFonts w:hint="default"/>
          <w:color w:val="auto"/>
          <w:u w:val="none" w:color="auto"/>
        </w:rPr>
      </w:pPr>
      <w:r>
        <w:rPr>
          <w:rFonts w:hint="eastAsia"/>
          <w:color w:val="auto"/>
          <w:u w:val="none" w:color="auto"/>
        </w:rPr>
        <w:t>目標年度が導入年度の翌年から起算して５年目となる場合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５年間で２，６００ｍ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１３１％</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５．７ｍ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１６０％</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【３年目の目標値（合板・製材・集成材国際競争力強化・輸出促進対策交付金）】</w:t>
      </w:r>
    </w:p>
    <w:p>
      <w:pPr>
        <w:pStyle w:val="0"/>
        <w:spacing w:line="320" w:lineRule="exact"/>
        <w:ind w:left="482" w:leftChars="200" w:firstLine="723" w:firstLineChars="300"/>
        <w:rPr>
          <w:rFonts w:hint="default"/>
          <w:color w:val="auto"/>
          <w:u w:val="none" w:color="auto"/>
        </w:rPr>
      </w:pPr>
      <w:r>
        <w:rPr>
          <w:rFonts w:hint="eastAsia"/>
          <w:color w:val="auto"/>
          <w:u w:val="none" w:color="auto"/>
        </w:rPr>
        <w:t>目標年度が導入年度の翌年から起算して３年目となる場合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３年間で１，５６０ｍ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１１９％</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５．３ｍ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１４７％</w:t>
      </w:r>
    </w:p>
    <w:p>
      <w:pPr>
        <w:pStyle w:val="0"/>
        <w:spacing w:line="320" w:lineRule="exact"/>
        <w:ind w:left="482" w:leftChars="200"/>
        <w:rPr>
          <w:rFonts w:hint="eastAsia"/>
          <w:color w:val="auto"/>
          <w:u w:val="none" w:color="auto"/>
        </w:rPr>
      </w:pPr>
    </w:p>
    <w:p>
      <w:pPr>
        <w:pStyle w:val="0"/>
        <w:widowControl w:val="1"/>
        <w:rPr>
          <w:rFonts w:hint="eastAsia" w:ascii="ＭＳ 明朝" w:hAnsi="ＭＳ 明朝"/>
          <w:strike w:val="1"/>
          <w:dstrike w:val="0"/>
          <w:color w:val="auto"/>
          <w:u w:val="none" w:color="auto"/>
        </w:rPr>
      </w:pPr>
    </w:p>
    <w:sectPr>
      <w:pgSz w:w="11906" w:h="16838"/>
      <w:pgMar w:top="1134" w:right="964" w:bottom="1134" w:left="964" w:header="851" w:footer="992" w:gutter="0"/>
      <w:cols w:space="720"/>
      <w:textDirection w:val="lrTb"/>
      <w:docGrid w:type="linesAndChars" w:linePitch="485"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71"/>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765</TotalTime>
  <Pages>4</Pages>
  <Words>28</Words>
  <Characters>3124</Characters>
  <Application>JUST Note</Application>
  <Lines>147</Lines>
  <Paragraphs>91</Paragraphs>
  <CharactersWithSpaces>3266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482936</cp:lastModifiedBy>
  <cp:lastPrinted>2024-05-09T12:04:09Z</cp:lastPrinted>
  <dcterms:created xsi:type="dcterms:W3CDTF">2021-06-02T06:31:00Z</dcterms:created>
  <dcterms:modified xsi:type="dcterms:W3CDTF">2024-05-16T06:34:57Z</dcterms:modified>
  <cp:revision>19</cp:revision>
</cp:coreProperties>
</file>