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sz w:val="24"/>
        </w:rPr>
      </w:pPr>
      <w:r>
        <w:rPr>
          <w:rFonts w:hint="eastAsia" w:ascii="ＭＳ 明朝" w:hAnsi="ＭＳ 明朝"/>
          <w:sz w:val="24"/>
        </w:rPr>
        <w:t>高知県集落営農活性化推進事業費補助金交付要綱</w:t>
      </w:r>
    </w:p>
    <w:p>
      <w:pPr>
        <w:pStyle w:val="15"/>
        <w:rPr>
          <w:rFonts w:hint="default" w:ascii="ＭＳ 明朝" w:hAnsi="ＭＳ 明朝"/>
          <w:spacing w:val="0"/>
          <w:kern w:val="2"/>
          <w:sz w:val="24"/>
        </w:rPr>
      </w:pPr>
    </w:p>
    <w:p>
      <w:pPr>
        <w:pStyle w:val="15"/>
        <w:wordWrap w:val="1"/>
        <w:spacing w:line="240" w:lineRule="auto"/>
        <w:rPr>
          <w:rFonts w:hint="default" w:ascii="ＭＳ 明朝" w:hAnsi="ＭＳ 明朝"/>
          <w:spacing w:val="0"/>
          <w:kern w:val="2"/>
        </w:rPr>
      </w:pPr>
      <w:r>
        <w:rPr>
          <w:rFonts w:hint="eastAsia" w:ascii="ＭＳ 明朝" w:hAnsi="ＭＳ 明朝"/>
          <w:spacing w:val="0"/>
          <w:kern w:val="2"/>
        </w:rPr>
        <w:t>（趣旨）</w:t>
      </w:r>
    </w:p>
    <w:p>
      <w:pPr>
        <w:pStyle w:val="15"/>
        <w:wordWrap w:val="1"/>
        <w:spacing w:line="240" w:lineRule="auto"/>
        <w:ind w:left="210" w:hanging="210"/>
        <w:rPr>
          <w:rFonts w:hint="default" w:ascii="ＭＳ 明朝" w:hAnsi="ＭＳ 明朝"/>
        </w:rPr>
      </w:pPr>
      <w:r>
        <w:rPr>
          <w:rFonts w:hint="eastAsia" w:ascii="ＭＳ 明朝" w:hAnsi="ＭＳ 明朝"/>
        </w:rPr>
        <w:t>第１条　この要綱は、高知県補助金等交付規則（昭和</w:t>
      </w:r>
      <w:r>
        <w:rPr>
          <w:rFonts w:hint="eastAsia" w:ascii="ＭＳ 明朝" w:hAnsi="ＭＳ 明朝"/>
        </w:rPr>
        <w:t>43</w:t>
      </w:r>
      <w:r>
        <w:rPr>
          <w:rFonts w:hint="eastAsia" w:ascii="ＭＳ 明朝" w:hAnsi="ＭＳ 明朝"/>
        </w:rPr>
        <w:t>年高知県規則第７号。以下「規則」という。）第</w:t>
      </w:r>
      <w:r>
        <w:rPr>
          <w:rFonts w:hint="eastAsia" w:ascii="ＭＳ 明朝" w:hAnsi="ＭＳ 明朝"/>
        </w:rPr>
        <w:t>24</w:t>
      </w:r>
      <w:r>
        <w:rPr>
          <w:rFonts w:hint="eastAsia" w:ascii="ＭＳ 明朝" w:hAnsi="ＭＳ 明朝"/>
        </w:rPr>
        <w:t>条の規定に基づき、高知県集落営農活性化推進事業費補助金（以下「補助金」という。）の交付に関し必要な事項を定めるものとする。</w:t>
      </w:r>
    </w:p>
    <w:p>
      <w:pPr>
        <w:pStyle w:val="0"/>
        <w:rPr>
          <w:rFonts w:hint="default" w:ascii="ＭＳ 明朝" w:hAnsi="ＭＳ 明朝"/>
        </w:rPr>
      </w:pPr>
    </w:p>
    <w:p>
      <w:pPr>
        <w:pStyle w:val="15"/>
        <w:spacing w:line="240" w:lineRule="auto"/>
        <w:rPr>
          <w:rFonts w:hint="default" w:ascii="ＭＳ 明朝" w:hAnsi="ＭＳ 明朝"/>
        </w:rPr>
      </w:pPr>
      <w:r>
        <w:rPr>
          <w:rFonts w:hint="eastAsia" w:ascii="ＭＳ 明朝" w:hAnsi="ＭＳ 明朝"/>
        </w:rPr>
        <w:t>（補助目的及び補助対象事業）</w:t>
      </w:r>
    </w:p>
    <w:p>
      <w:pPr>
        <w:pStyle w:val="15"/>
        <w:spacing w:line="240" w:lineRule="auto"/>
        <w:ind w:left="222" w:hanging="222" w:hangingChars="100"/>
        <w:rPr>
          <w:rFonts w:hint="default" w:ascii="ＭＳ 明朝" w:hAnsi="ＭＳ 明朝"/>
        </w:rPr>
      </w:pPr>
      <w:r>
        <w:rPr>
          <w:rFonts w:hint="eastAsia" w:ascii="ＭＳ 明朝" w:hAnsi="ＭＳ 明朝"/>
        </w:rPr>
        <w:t>第２条　県は、中山間地域の農業を支える集落営農の活性化に向けて、集落営農組織等が策定したビジョンの実現に向けて、集落営農活性化プロジェクト促進事業実施要綱（令和４年３月</w:t>
      </w:r>
      <w:r>
        <w:rPr>
          <w:rFonts w:hint="eastAsia" w:ascii="ＭＳ 明朝" w:hAnsi="ＭＳ 明朝"/>
        </w:rPr>
        <w:t>30</w:t>
      </w:r>
      <w:r>
        <w:rPr>
          <w:rFonts w:hint="eastAsia" w:ascii="ＭＳ 明朝" w:hAnsi="ＭＳ 明朝"/>
        </w:rPr>
        <w:t>日付け３経営第</w:t>
      </w:r>
      <w:r>
        <w:rPr>
          <w:rFonts w:hint="eastAsia" w:ascii="ＭＳ 明朝" w:hAnsi="ＭＳ 明朝"/>
        </w:rPr>
        <w:t>3156</w:t>
      </w:r>
      <w:r>
        <w:rPr>
          <w:rFonts w:hint="eastAsia" w:ascii="ＭＳ 明朝" w:hAnsi="ＭＳ 明朝"/>
        </w:rPr>
        <w:t>号農林水産事務次官依命通知。以下「実施要綱」という。）に基づき、市町村（以下「補助事業者」という。）が事業を実施するために必要な経費に対して、予算の範囲内で補助金を交付する。</w:t>
      </w:r>
    </w:p>
    <w:p>
      <w:pPr>
        <w:pStyle w:val="15"/>
        <w:wordWrap w:val="1"/>
        <w:spacing w:line="240" w:lineRule="auto"/>
        <w:rPr>
          <w:rFonts w:hint="default" w:ascii="ＭＳ 明朝" w:hAnsi="ＭＳ 明朝"/>
        </w:rPr>
      </w:pPr>
    </w:p>
    <w:p>
      <w:pPr>
        <w:pStyle w:val="0"/>
        <w:rPr>
          <w:rFonts w:hint="default" w:ascii="ＭＳ 明朝" w:hAnsi="ＭＳ 明朝"/>
        </w:rPr>
      </w:pPr>
      <w:r>
        <w:rPr>
          <w:rFonts w:hint="eastAsia" w:ascii="ＭＳ 明朝" w:hAnsi="ＭＳ 明朝"/>
        </w:rPr>
        <w:t>（補助対象経費及び補助率）</w:t>
      </w:r>
    </w:p>
    <w:p>
      <w:pPr>
        <w:pStyle w:val="0"/>
        <w:ind w:left="210" w:hanging="210" w:hangingChars="100"/>
        <w:rPr>
          <w:rFonts w:hint="default" w:ascii="ＭＳ 明朝" w:hAnsi="ＭＳ 明朝"/>
        </w:rPr>
      </w:pPr>
      <w:r>
        <w:rPr>
          <w:rFonts w:hint="eastAsia" w:ascii="ＭＳ 明朝" w:hAnsi="ＭＳ 明朝"/>
        </w:rPr>
        <w:t>第３条　前条に規定する補助対象事業（以下「補助事業」という。）の内容及びこれに対する補助率は、別表第１に定めるとおりとする。</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（補助金の交付の申請）</w:t>
      </w:r>
    </w:p>
    <w:p>
      <w:pPr>
        <w:pStyle w:val="0"/>
        <w:ind w:left="210" w:hanging="210"/>
        <w:rPr>
          <w:rFonts w:hint="default" w:ascii="ＭＳ 明朝" w:hAnsi="ＭＳ 明朝"/>
          <w:color w:val="auto"/>
          <w:highlight w:val="none"/>
        </w:rPr>
      </w:pPr>
      <w:r>
        <w:rPr>
          <w:rFonts w:hint="eastAsia" w:ascii="ＭＳ 明朝" w:hAnsi="ＭＳ 明朝"/>
          <w:color w:val="auto"/>
          <w:highlight w:val="none"/>
        </w:rPr>
        <w:t>第４条　補助事業者は、補助金の交付を申請しようとするときは、別記第</w:t>
      </w:r>
      <w:r>
        <w:rPr>
          <w:rFonts w:hint="eastAsia" w:ascii="ＭＳ 明朝" w:hAnsi="ＭＳ 明朝"/>
          <w:color w:val="auto"/>
          <w:highlight w:val="none"/>
        </w:rPr>
        <w:t>1</w:t>
      </w:r>
      <w:r>
        <w:rPr>
          <w:rFonts w:hint="eastAsia" w:ascii="ＭＳ 明朝" w:hAnsi="ＭＳ 明朝"/>
          <w:color w:val="auto"/>
          <w:highlight w:val="none"/>
        </w:rPr>
        <w:t>号様式による補助金交付申請書に、間接補助事業者から補助事業者への交付申請時に提出された第２号様式による知事宛ての誓約書兼同意書及び知事が定める書類を添えて知事に提出しなければならない。</w:t>
      </w:r>
    </w:p>
    <w:p>
      <w:pPr>
        <w:pStyle w:val="0"/>
        <w:ind w:left="210" w:hanging="210"/>
        <w:rPr>
          <w:rFonts w:hint="default" w:ascii="ＭＳ 明朝" w:hAnsi="ＭＳ 明朝"/>
        </w:rPr>
      </w:pPr>
      <w:r>
        <w:rPr>
          <w:rFonts w:hint="eastAsia" w:ascii="ＭＳ 明朝" w:hAnsi="ＭＳ 明朝"/>
        </w:rPr>
        <w:t>２　補助事業者は、前項の規定により補助金の交付を申請するに当たって、当該補助金に関する消費税仕入控除税額等（補助対象経費に含まれる消費税及び地方消費税相当額のうち、消費税法（昭和</w:t>
      </w:r>
      <w:r>
        <w:rPr>
          <w:rFonts w:hint="eastAsia" w:ascii="ＭＳ 明朝" w:hAnsi="ＭＳ 明朝"/>
        </w:rPr>
        <w:t>63</w:t>
      </w:r>
      <w:r>
        <w:rPr>
          <w:rFonts w:hint="eastAsia" w:ascii="ＭＳ 明朝" w:hAnsi="ＭＳ 明朝"/>
        </w:rPr>
        <w:t>年法律第</w:t>
      </w:r>
      <w:r>
        <w:rPr>
          <w:rFonts w:hint="eastAsia" w:ascii="ＭＳ 明朝" w:hAnsi="ＭＳ 明朝"/>
        </w:rPr>
        <w:t>108</w:t>
      </w:r>
      <w:r>
        <w:rPr>
          <w:rFonts w:hint="eastAsia" w:ascii="ＭＳ 明朝" w:hAnsi="ＭＳ 明朝"/>
        </w:rPr>
        <w:t>号）の規定により仕入に係る消費税額として控除することができる部分の金額及び当該金額に地方税法（昭和</w:t>
      </w:r>
      <w:r>
        <w:rPr>
          <w:rFonts w:hint="eastAsia" w:ascii="ＭＳ 明朝" w:hAnsi="ＭＳ 明朝"/>
        </w:rPr>
        <w:t>25</w:t>
      </w:r>
      <w:r>
        <w:rPr>
          <w:rFonts w:hint="eastAsia" w:ascii="ＭＳ 明朝" w:hAnsi="ＭＳ 明朝"/>
        </w:rPr>
        <w:t>年法律第</w:t>
      </w:r>
      <w:r>
        <w:rPr>
          <w:rFonts w:hint="eastAsia" w:ascii="ＭＳ 明朝" w:hAnsi="ＭＳ 明朝"/>
        </w:rPr>
        <w:t>226</w:t>
      </w:r>
      <w:r>
        <w:rPr>
          <w:rFonts w:hint="eastAsia" w:ascii="ＭＳ 明朝" w:hAnsi="ＭＳ 明朝"/>
        </w:rPr>
        <w:t>号）に規定する地方消費税の税率を乗じて得た金額をいう。以下同じ。）がある場合は、これを減額して申請しなければならない。ただし、補助金の交付の申請時において当該消費税仕入控除税額等が明らかでないものについては、この限りでない。</w:t>
      </w:r>
    </w:p>
    <w:p>
      <w:pPr>
        <w:pStyle w:val="0"/>
        <w:rPr>
          <w:rFonts w:hint="default" w:ascii="ＭＳ 明朝" w:hAnsi="ＭＳ 明朝"/>
        </w:rPr>
      </w:pPr>
      <w:r>
        <w:rPr>
          <w:rFonts w:hint="eastAsia" w:ascii="ＭＳ 明朝" w:hAnsi="ＭＳ 明朝"/>
        </w:rPr>
        <w:t>３　第</w:t>
      </w:r>
      <w:r>
        <w:rPr>
          <w:rFonts w:hint="eastAsia" w:ascii="ＭＳ 明朝" w:hAnsi="ＭＳ 明朝"/>
        </w:rPr>
        <w:t>1</w:t>
      </w:r>
      <w:r>
        <w:rPr>
          <w:rFonts w:hint="eastAsia" w:ascii="ＭＳ 明朝" w:hAnsi="ＭＳ 明朝"/>
        </w:rPr>
        <w:t>項の補助金交付申請書の提出期限は、知事が別に定める日までとする。</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（補助事業の着手）</w:t>
      </w:r>
    </w:p>
    <w:p>
      <w:pPr>
        <w:pStyle w:val="29"/>
        <w:ind w:left="220" w:hanging="220"/>
        <w:rPr>
          <w:rFonts w:hint="default"/>
        </w:rPr>
      </w:pPr>
      <w:r>
        <w:rPr>
          <w:rFonts w:hint="eastAsia"/>
        </w:rPr>
        <w:t>第５条　補助事業者は、</w:t>
      </w:r>
      <w:r>
        <w:rPr>
          <w:rFonts w:hint="eastAsia"/>
          <w:sz w:val="21"/>
        </w:rPr>
        <w:t>補助事業に着手する場合は、原則として、次条の規定による補助金の交付の決定通知により行うものとする。ただし、緊急かつやむを得ない事由により補助金の交付の決定前に着手する必要がある場合は、</w:t>
      </w:r>
      <w:r>
        <w:rPr>
          <w:rFonts w:hint="eastAsia"/>
        </w:rPr>
        <w:t>市町村が定める交付規則等における交付決定前着手等に関する規定に基づき、間接補助事業者から市町村に交付決定前着手届が提出されている場合に限り、交付決定前に着手することができるものとする。</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（補助金の交付の決定）</w:t>
      </w:r>
    </w:p>
    <w:p>
      <w:pPr>
        <w:pStyle w:val="0"/>
        <w:ind w:left="210" w:hanging="210"/>
        <w:rPr>
          <w:rFonts w:hint="default" w:ascii="ＭＳ 明朝" w:hAnsi="ＭＳ 明朝"/>
        </w:rPr>
      </w:pPr>
      <w:r>
        <w:rPr>
          <w:rFonts w:hint="eastAsia" w:ascii="ＭＳ 明朝" w:hAnsi="ＭＳ 明朝"/>
        </w:rPr>
        <w:t>第６条　知事は、第４条第１項の補助金交付申請書を受理したときは、当該申請に係る書類の審査及び必要に応じて行う現地調査等により、その適否を審査し、補助金を交付すべきと認めたときは、補助金の交付を決定し、当該補助事業者に通知するものとする。</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（補助事業の変更）</w:t>
      </w:r>
    </w:p>
    <w:p>
      <w:pPr>
        <w:pStyle w:val="0"/>
        <w:ind w:left="210" w:hanging="210"/>
        <w:rPr>
          <w:rFonts w:hint="default" w:ascii="ＭＳ 明朝" w:hAnsi="ＭＳ 明朝"/>
          <w:color w:val="auto"/>
          <w:highlight w:val="none"/>
        </w:rPr>
      </w:pPr>
      <w:r>
        <w:rPr>
          <w:rFonts w:hint="eastAsia" w:ascii="ＭＳ 明朝" w:hAnsi="ＭＳ 明朝"/>
        </w:rPr>
        <w:t>第７条　補助事業者は、次の各号に掲げるいずれかの事項に係る変更をしようとするときは、事前に</w:t>
      </w:r>
      <w:r>
        <w:rPr>
          <w:rFonts w:hint="eastAsia" w:ascii="ＭＳ 明朝" w:hAnsi="ＭＳ 明朝"/>
          <w:color w:val="auto"/>
          <w:highlight w:val="none"/>
        </w:rPr>
        <w:t>第３号様式による補助金変更承認申請書を知事に提出し、その承認を受けなければならない。</w:t>
      </w:r>
    </w:p>
    <w:p>
      <w:pPr>
        <w:pStyle w:val="0"/>
        <w:rPr>
          <w:rFonts w:hint="default" w:ascii="ＭＳ 明朝" w:hAnsi="ＭＳ 明朝"/>
          <w:color w:val="auto"/>
          <w:highlight w:val="none"/>
        </w:rPr>
      </w:pPr>
      <w:r>
        <w:rPr>
          <w:rFonts w:hint="eastAsia" w:ascii="ＭＳ 明朝" w:hAnsi="ＭＳ 明朝"/>
          <w:color w:val="auto"/>
          <w:highlight w:val="none"/>
        </w:rPr>
        <w:t>（１）事業内容の新設又は廃止</w:t>
      </w:r>
    </w:p>
    <w:p>
      <w:pPr>
        <w:pStyle w:val="0"/>
        <w:rPr>
          <w:rFonts w:hint="default" w:ascii="ＭＳ 明朝" w:hAnsi="ＭＳ 明朝"/>
          <w:color w:val="auto"/>
          <w:highlight w:val="none"/>
        </w:rPr>
      </w:pPr>
      <w:r>
        <w:rPr>
          <w:rFonts w:hint="eastAsia" w:ascii="ＭＳ 明朝" w:hAnsi="ＭＳ 明朝"/>
          <w:color w:val="auto"/>
          <w:highlight w:val="none"/>
        </w:rPr>
        <w:t>（２）間接補助事業者の変更</w:t>
      </w:r>
    </w:p>
    <w:p>
      <w:pPr>
        <w:pStyle w:val="0"/>
        <w:rPr>
          <w:rFonts w:hint="default" w:ascii="ＭＳ 明朝" w:hAnsi="ＭＳ 明朝"/>
          <w:color w:val="auto"/>
          <w:highlight w:val="none"/>
        </w:rPr>
      </w:pPr>
      <w:r>
        <w:rPr>
          <w:rFonts w:hint="eastAsia" w:ascii="ＭＳ 明朝" w:hAnsi="ＭＳ 明朝"/>
          <w:color w:val="auto"/>
          <w:highlight w:val="none"/>
        </w:rPr>
        <w:t>（３）事業費の</w:t>
      </w:r>
      <w:r>
        <w:rPr>
          <w:rFonts w:hint="eastAsia" w:ascii="ＭＳ 明朝" w:hAnsi="ＭＳ 明朝"/>
          <w:color w:val="auto"/>
          <w:highlight w:val="none"/>
        </w:rPr>
        <w:t>30</w:t>
      </w:r>
      <w:r>
        <w:rPr>
          <w:rFonts w:hint="eastAsia" w:ascii="ＭＳ 明朝" w:hAnsi="ＭＳ 明朝"/>
          <w:color w:val="auto"/>
          <w:highlight w:val="none"/>
        </w:rPr>
        <w:t>％を超える増額又は補助金額の増額</w:t>
      </w:r>
    </w:p>
    <w:p>
      <w:pPr>
        <w:pStyle w:val="0"/>
        <w:rPr>
          <w:rFonts w:hint="default" w:ascii="ＭＳ 明朝" w:hAnsi="ＭＳ 明朝"/>
          <w:color w:val="auto"/>
          <w:highlight w:val="none"/>
        </w:rPr>
      </w:pPr>
      <w:r>
        <w:rPr>
          <w:rFonts w:hint="eastAsia" w:ascii="ＭＳ 明朝" w:hAnsi="ＭＳ 明朝"/>
          <w:color w:val="auto"/>
          <w:highlight w:val="none"/>
        </w:rPr>
        <w:t>（４）事業費又は補助金額の</w:t>
      </w:r>
      <w:r>
        <w:rPr>
          <w:rFonts w:hint="eastAsia" w:ascii="ＭＳ 明朝" w:hAnsi="ＭＳ 明朝"/>
          <w:color w:val="auto"/>
          <w:highlight w:val="none"/>
        </w:rPr>
        <w:t>30</w:t>
      </w:r>
      <w:r>
        <w:rPr>
          <w:rFonts w:hint="eastAsia" w:ascii="ＭＳ 明朝" w:hAnsi="ＭＳ 明朝"/>
          <w:color w:val="auto"/>
          <w:highlight w:val="none"/>
        </w:rPr>
        <w:t>％を超える減額</w:t>
      </w:r>
    </w:p>
    <w:p>
      <w:pPr>
        <w:pStyle w:val="0"/>
        <w:ind w:left="210" w:hanging="210" w:hangingChars="100"/>
        <w:rPr>
          <w:rFonts w:hint="default" w:ascii="ＭＳ 明朝" w:hAnsi="ＭＳ 明朝"/>
          <w:color w:val="FF0000"/>
        </w:rPr>
      </w:pPr>
      <w:r>
        <w:rPr>
          <w:rFonts w:hint="default" w:ascii="ＭＳ" w:hAnsi="ＭＳ" w:eastAsia="ＭＳ"/>
          <w:color w:val="auto"/>
          <w:highlight w:val="none"/>
        </w:rPr>
        <w:t>２</w:t>
      </w:r>
      <w:r>
        <w:rPr>
          <w:rFonts w:hint="default" w:ascii="ＭＳ" w:hAnsi="ＭＳ" w:eastAsia="ＭＳ"/>
          <w:color w:val="auto"/>
          <w:highlight w:val="none"/>
        </w:rPr>
        <w:t xml:space="preserve"> </w:t>
      </w:r>
      <w:r>
        <w:rPr>
          <w:rFonts w:hint="default" w:ascii="ＭＳ" w:hAnsi="ＭＳ" w:eastAsia="ＭＳ"/>
          <w:color w:val="auto"/>
          <w:highlight w:val="none"/>
        </w:rPr>
        <w:t>補助事業者は、前項に定める場合の他、補助金額の減額を伴う変更をしようとするときは、前項に準じて</w:t>
      </w:r>
      <w:r>
        <w:rPr>
          <w:rFonts w:hint="eastAsia" w:ascii="ＭＳ" w:hAnsi="ＭＳ" w:eastAsia="ＭＳ"/>
          <w:color w:val="auto"/>
          <w:highlight w:val="none"/>
        </w:rPr>
        <w:t>知事</w:t>
      </w:r>
      <w:r>
        <w:rPr>
          <w:rFonts w:hint="default" w:ascii="ＭＳ" w:hAnsi="ＭＳ" w:eastAsia="ＭＳ"/>
          <w:color w:val="auto"/>
          <w:highlight w:val="none"/>
        </w:rPr>
        <w:t>の承認を受けることができる。</w:t>
      </w:r>
      <w:r>
        <w:rPr>
          <w:rFonts w:hint="default" w:ascii="ＭＳ" w:hAnsi="ＭＳ" w:eastAsia="ＭＳ"/>
          <w:color w:val="FF0000"/>
        </w:rPr>
        <w:t xml:space="preserve"> </w:t>
      </w:r>
    </w:p>
    <w:p>
      <w:pPr>
        <w:pStyle w:val="0"/>
        <w:ind w:left="210" w:hanging="210"/>
        <w:rPr>
          <w:rFonts w:hint="default" w:ascii="ＭＳ 明朝" w:hAnsi="ＭＳ 明朝"/>
        </w:rPr>
      </w:pPr>
    </w:p>
    <w:p>
      <w:pPr>
        <w:pStyle w:val="0"/>
        <w:rPr>
          <w:rFonts w:hint="default" w:ascii="ＭＳ 明朝" w:hAnsi="ＭＳ 明朝"/>
          <w:color w:val="auto"/>
          <w:highlight w:val="none"/>
        </w:rPr>
      </w:pPr>
      <w:r>
        <w:rPr>
          <w:rFonts w:hint="eastAsia" w:ascii="ＭＳ 明朝" w:hAnsi="ＭＳ 明朝"/>
          <w:color w:val="auto"/>
          <w:highlight w:val="none"/>
        </w:rPr>
        <w:t>（補助事業の遅延等）</w:t>
      </w:r>
    </w:p>
    <w:p>
      <w:pPr>
        <w:pStyle w:val="0"/>
        <w:ind w:left="210" w:hanging="210"/>
        <w:rPr>
          <w:rFonts w:hint="default" w:ascii="ＭＳ 明朝" w:hAnsi="ＭＳ 明朝"/>
          <w:color w:val="auto"/>
          <w:highlight w:val="none"/>
        </w:rPr>
      </w:pPr>
      <w:r>
        <w:rPr>
          <w:rFonts w:hint="eastAsia" w:ascii="ＭＳ 明朝" w:hAnsi="ＭＳ 明朝"/>
          <w:color w:val="auto"/>
          <w:highlight w:val="none"/>
        </w:rPr>
        <w:t>第８条　補助事業者は、補助事業が予定の期間内に完了することができないと見込まれる場合、又は補助事業の遂行が困難となった場合においては、速やかに第４号様式による遅延届出書を知事に提出し、その指示を受けなければならない。</w:t>
      </w:r>
    </w:p>
    <w:p>
      <w:pPr>
        <w:pStyle w:val="0"/>
        <w:ind w:left="210" w:hanging="210"/>
        <w:rPr>
          <w:rFonts w:hint="default" w:ascii="ＭＳ 明朝" w:hAnsi="ＭＳ 明朝"/>
          <w:color w:val="auto"/>
          <w:highlight w:val="none"/>
        </w:rPr>
      </w:pPr>
      <w:r>
        <w:rPr>
          <w:rFonts w:hint="eastAsia" w:ascii="ＭＳ 明朝" w:hAnsi="ＭＳ 明朝"/>
          <w:color w:val="auto"/>
          <w:highlight w:val="none"/>
        </w:rPr>
        <w:t>２　前項の場合のうち、歳出予算の繰越しを必要とする場合においては、必要事項を記載した繰越承認申請書の提出をもって前項の届出書の提出に代えることができる。</w:t>
      </w:r>
    </w:p>
    <w:p>
      <w:pPr>
        <w:pStyle w:val="0"/>
        <w:ind w:left="210" w:hanging="210"/>
        <w:rPr>
          <w:rFonts w:hint="default" w:ascii="ＭＳ 明朝" w:hAnsi="ＭＳ 明朝"/>
        </w:rPr>
      </w:pPr>
    </w:p>
    <w:p>
      <w:pPr>
        <w:pStyle w:val="0"/>
        <w:rPr>
          <w:rFonts w:hint="default" w:ascii="ＭＳ 明朝" w:hAnsi="ＭＳ 明朝"/>
        </w:rPr>
      </w:pPr>
      <w:r>
        <w:rPr>
          <w:rFonts w:hint="eastAsia" w:ascii="ＭＳ 明朝" w:hAnsi="ＭＳ 明朝"/>
        </w:rPr>
        <w:t>（遂行状況報告）</w:t>
      </w:r>
    </w:p>
    <w:p>
      <w:pPr>
        <w:pStyle w:val="0"/>
        <w:ind w:left="210" w:hanging="210"/>
        <w:rPr>
          <w:rFonts w:hint="default" w:ascii="ＭＳ 明朝" w:hAnsi="ＭＳ 明朝"/>
          <w:highlight w:val="none"/>
        </w:rPr>
      </w:pPr>
      <w:r>
        <w:rPr>
          <w:rFonts w:hint="eastAsia" w:ascii="ＭＳ 明朝" w:hAnsi="ＭＳ 明朝"/>
          <w:highlight w:val="none"/>
        </w:rPr>
        <w:t>第９条　補助事業者は、補助金の交付の決定に係る年度の第３・四半期の末日現在において第５号様式による事業遂行状況報告書を作成し、当該年度の</w:t>
      </w:r>
      <w:r>
        <w:rPr>
          <w:rFonts w:hint="eastAsia" w:ascii="ＭＳ 明朝" w:hAnsi="ＭＳ 明朝"/>
          <w:highlight w:val="none"/>
        </w:rPr>
        <w:t>1</w:t>
      </w:r>
      <w:r>
        <w:rPr>
          <w:rFonts w:hint="eastAsia" w:ascii="ＭＳ 明朝" w:hAnsi="ＭＳ 明朝"/>
          <w:highlight w:val="none"/>
        </w:rPr>
        <w:t>月</w:t>
      </w:r>
      <w:r>
        <w:rPr>
          <w:rFonts w:hint="eastAsia" w:ascii="ＭＳ 明朝" w:hAnsi="ＭＳ 明朝"/>
          <w:highlight w:val="none"/>
        </w:rPr>
        <w:t>20</w:t>
      </w:r>
      <w:r>
        <w:rPr>
          <w:rFonts w:hint="eastAsia" w:ascii="ＭＳ 明朝" w:hAnsi="ＭＳ 明朝"/>
          <w:highlight w:val="none"/>
        </w:rPr>
        <w:t>日までに知事に提出しなければならない。</w:t>
      </w:r>
    </w:p>
    <w:p>
      <w:pPr>
        <w:pStyle w:val="0"/>
        <w:ind w:left="210" w:hanging="210"/>
        <w:rPr>
          <w:rFonts w:hint="default" w:ascii="ＭＳ 明朝" w:hAnsi="ＭＳ 明朝"/>
        </w:rPr>
      </w:pPr>
    </w:p>
    <w:p>
      <w:pPr>
        <w:pStyle w:val="0"/>
        <w:ind w:left="210" w:hanging="210"/>
        <w:rPr>
          <w:rFonts w:hint="default" w:ascii="ＭＳ 明朝" w:hAnsi="ＭＳ 明朝"/>
        </w:rPr>
      </w:pPr>
      <w:r>
        <w:rPr>
          <w:rFonts w:hint="eastAsia" w:ascii="ＭＳ 明朝" w:hAnsi="ＭＳ 明朝"/>
        </w:rPr>
        <w:t>（実績報告）</w:t>
      </w:r>
    </w:p>
    <w:p>
      <w:pPr>
        <w:pStyle w:val="0"/>
        <w:ind w:left="210" w:hanging="210"/>
        <w:rPr>
          <w:rFonts w:hint="default" w:ascii="ＭＳ 明朝" w:hAnsi="ＭＳ 明朝"/>
          <w:color w:val="000000" w:themeColor="text1"/>
          <w:highlight w:val="none"/>
        </w:rPr>
      </w:pPr>
      <w:r>
        <w:rPr>
          <w:rFonts w:hint="eastAsia" w:ascii="ＭＳ 明朝" w:hAnsi="ＭＳ 明朝"/>
          <w:color w:val="000000" w:themeColor="text1"/>
          <w:highlight w:val="none"/>
        </w:rPr>
        <w:t>第</w:t>
      </w:r>
      <w:r>
        <w:rPr>
          <w:rFonts w:hint="eastAsia" w:ascii="ＭＳ 明朝" w:hAnsi="ＭＳ 明朝"/>
          <w:color w:val="000000" w:themeColor="text1"/>
          <w:highlight w:val="none"/>
        </w:rPr>
        <w:t>10</w:t>
      </w:r>
      <w:r>
        <w:rPr>
          <w:rFonts w:hint="eastAsia" w:ascii="ＭＳ 明朝" w:hAnsi="ＭＳ 明朝"/>
          <w:color w:val="000000" w:themeColor="text1"/>
          <w:highlight w:val="none"/>
        </w:rPr>
        <w:t>条　補助事業者は、補助事業が完了したときは、補助事業の完了後１月以内又は当該年度の３月</w:t>
      </w:r>
      <w:r>
        <w:rPr>
          <w:rFonts w:hint="eastAsia" w:ascii="ＭＳ 明朝" w:hAnsi="ＭＳ 明朝"/>
          <w:color w:val="000000" w:themeColor="text1"/>
          <w:highlight w:val="none"/>
        </w:rPr>
        <w:t>31</w:t>
      </w:r>
      <w:r>
        <w:rPr>
          <w:rFonts w:hint="eastAsia" w:ascii="ＭＳ 明朝" w:hAnsi="ＭＳ 明朝"/>
          <w:color w:val="000000" w:themeColor="text1"/>
          <w:highlight w:val="none"/>
        </w:rPr>
        <w:t>日のいずれか早い日までに第６号様式による実績報告書を知事に提出しなければならない。</w:t>
      </w:r>
    </w:p>
    <w:p>
      <w:pPr>
        <w:pStyle w:val="0"/>
        <w:autoSpaceDE w:val="0"/>
        <w:autoSpaceDN w:val="0"/>
        <w:adjustRightInd w:val="0"/>
        <w:ind w:left="0" w:leftChars="0" w:hanging="210" w:hangingChars="100"/>
        <w:jc w:val="both"/>
        <w:rPr>
          <w:rFonts w:hint="default" w:ascii="ＭＳ 明朝" w:hAnsi="ＭＳ 明朝"/>
          <w:color w:val="000000" w:themeColor="text1"/>
          <w:highlight w:val="none"/>
        </w:rPr>
      </w:pPr>
      <w:r>
        <w:rPr>
          <w:rFonts w:hint="eastAsia" w:ascii="ＭＳ 明朝" w:hAnsi="ＭＳ 明朝"/>
          <w:color w:val="000000" w:themeColor="text1"/>
          <w:highlight w:val="none"/>
        </w:rPr>
        <w:t>２　</w:t>
      </w:r>
      <w:r>
        <w:rPr>
          <w:rFonts w:hint="default" w:ascii="ＭＳ" w:hAnsi="ＭＳ" w:eastAsia="ＭＳ"/>
          <w:color w:val="000000" w:themeColor="text1"/>
          <w:sz w:val="21"/>
          <w:highlight w:val="none"/>
        </w:rPr>
        <w:t>補助事業者は、補助事業の実施期間内において、国の会計年度が終了したときは、翌年度の４月</w:t>
      </w:r>
      <w:r>
        <w:rPr>
          <w:rFonts w:hint="eastAsia" w:ascii="ＭＳ" w:hAnsi="ＭＳ" w:eastAsia="ＭＳ"/>
          <w:color w:val="000000" w:themeColor="text1"/>
          <w:sz w:val="21"/>
          <w:highlight w:val="none"/>
        </w:rPr>
        <w:t>15</w:t>
      </w:r>
      <w:r>
        <w:rPr>
          <w:rFonts w:hint="default" w:ascii="ＭＳ" w:hAnsi="ＭＳ" w:eastAsia="ＭＳ"/>
          <w:color w:val="000000" w:themeColor="text1"/>
          <w:sz w:val="21"/>
          <w:highlight w:val="none"/>
        </w:rPr>
        <w:t>日までに第</w:t>
      </w:r>
      <w:r>
        <w:rPr>
          <w:rFonts w:hint="eastAsia" w:ascii="ＭＳ" w:hAnsi="ＭＳ" w:eastAsia="ＭＳ"/>
          <w:color w:val="000000" w:themeColor="text1"/>
          <w:sz w:val="21"/>
          <w:highlight w:val="none"/>
        </w:rPr>
        <w:t>７</w:t>
      </w:r>
      <w:r>
        <w:rPr>
          <w:rFonts w:hint="default" w:ascii="ＭＳ" w:hAnsi="ＭＳ" w:eastAsia="ＭＳ"/>
          <w:color w:val="000000" w:themeColor="text1"/>
          <w:sz w:val="21"/>
          <w:highlight w:val="none"/>
        </w:rPr>
        <w:t>号</w:t>
      </w:r>
      <w:r>
        <w:rPr>
          <w:rFonts w:hint="eastAsia" w:ascii="ＭＳ" w:hAnsi="ＭＳ" w:eastAsia="ＭＳ"/>
          <w:color w:val="000000" w:themeColor="text1"/>
          <w:sz w:val="21"/>
          <w:highlight w:val="none"/>
        </w:rPr>
        <w:t>様式</w:t>
      </w:r>
      <w:r>
        <w:rPr>
          <w:rFonts w:hint="default" w:ascii="ＭＳ" w:hAnsi="ＭＳ" w:eastAsia="ＭＳ"/>
          <w:color w:val="000000" w:themeColor="text1"/>
          <w:sz w:val="21"/>
          <w:highlight w:val="none"/>
        </w:rPr>
        <w:t>により作成した年度終了の実績報告書を</w:t>
      </w:r>
      <w:r>
        <w:rPr>
          <w:rFonts w:hint="eastAsia" w:ascii="ＭＳ" w:hAnsi="ＭＳ" w:eastAsia="ＭＳ"/>
          <w:color w:val="000000" w:themeColor="text1"/>
          <w:sz w:val="21"/>
          <w:highlight w:val="none"/>
        </w:rPr>
        <w:t>知事</w:t>
      </w:r>
      <w:r>
        <w:rPr>
          <w:rFonts w:hint="default" w:ascii="ＭＳ" w:hAnsi="ＭＳ" w:eastAsia="ＭＳ"/>
          <w:color w:val="000000" w:themeColor="text1"/>
          <w:sz w:val="21"/>
          <w:highlight w:val="none"/>
        </w:rPr>
        <w:t>に提出しなければならない。</w:t>
      </w:r>
      <w:r>
        <w:rPr>
          <w:rFonts w:hint="default" w:ascii="ＭＳ" w:hAnsi="ＭＳ" w:eastAsia="ＭＳ"/>
          <w:color w:val="000000" w:themeColor="text1"/>
          <w:sz w:val="21"/>
          <w:highlight w:val="none"/>
        </w:rPr>
        <w:t xml:space="preserve"> </w:t>
      </w:r>
    </w:p>
    <w:p>
      <w:pPr>
        <w:pStyle w:val="0"/>
        <w:ind w:left="210" w:hanging="210"/>
        <w:rPr>
          <w:rFonts w:hint="default" w:ascii="ＭＳ 明朝" w:hAnsi="ＭＳ 明朝"/>
        </w:rPr>
      </w:pPr>
      <w:r>
        <w:rPr>
          <w:rFonts w:hint="eastAsia" w:ascii="ＭＳ 明朝" w:hAnsi="ＭＳ 明朝"/>
        </w:rPr>
        <w:t>３　第４条第２項ただし書の規定により補助金の交付の申請をした補助事業者は、前項の実績報告書を提出するに当たって、同項ただし書の規定に該当した各間接補助事業者について当該補助金に係る消費税仕入控除税額が明らかになった場合は、これを補助金額から減額して報告しなければならない。</w:t>
      </w:r>
    </w:p>
    <w:p>
      <w:pPr>
        <w:pStyle w:val="0"/>
        <w:ind w:left="210" w:hanging="210"/>
        <w:rPr>
          <w:rFonts w:hint="default" w:ascii="ＭＳ 明朝" w:hAnsi="ＭＳ 明朝"/>
          <w:highlight w:val="none"/>
        </w:rPr>
      </w:pPr>
      <w:r>
        <w:rPr>
          <w:rFonts w:hint="eastAsia" w:ascii="ＭＳ 明朝" w:hAnsi="ＭＳ 明朝"/>
        </w:rPr>
        <w:t>４　第４条第２項ただし書の規定により補助金の交付の申請をした補助事業者は、第１項の実績報告書を提出した後において、消費税の申告により当該補助金に係る消費税仕入控除税額が確定した場合は、その金額（前項の規定により減額した各間接補助事業者にあっては、その金額が減じた額を上回る部分の金額）を</w:t>
      </w:r>
      <w:r>
        <w:rPr>
          <w:rFonts w:hint="eastAsia" w:ascii="ＭＳ 明朝" w:hAnsi="ＭＳ 明朝"/>
          <w:highlight w:val="none"/>
        </w:rPr>
        <w:t>第８号様式により速やかに知事に報告するとともに、知事の返還命令を受けてこれを返還しなければならない。</w:t>
      </w:r>
    </w:p>
    <w:p>
      <w:pPr>
        <w:pStyle w:val="0"/>
        <w:autoSpaceDE w:val="0"/>
        <w:autoSpaceDN w:val="0"/>
        <w:adjustRightInd w:val="0"/>
        <w:ind w:left="210" w:leftChars="100" w:firstLine="210" w:firstLineChars="100"/>
        <w:jc w:val="left"/>
        <w:rPr>
          <w:rFonts w:hint="default" w:ascii="ＭＳ 明朝" w:hAnsi="ＭＳ 明朝"/>
        </w:rPr>
      </w:pPr>
      <w:r>
        <w:rPr>
          <w:rFonts w:hint="eastAsia" w:ascii="ＭＳ 明朝" w:hAnsi="ＭＳ 明朝"/>
          <w:highlight w:val="none"/>
        </w:rPr>
        <w:t>また、補助事業者は、当該補助金に係る消費税仕入控除税額が明らかにならない場合又は当該補助金に係る消費税仕入控除税額等がない場合であっても、その状況等について、当該補助金の額の確定（</w:t>
      </w:r>
      <w:r>
        <w:rPr>
          <w:rFonts w:hint="default" w:ascii="ＭＳy戀" w:hAnsi="ＭＳy戀" w:eastAsia="ＭＳy戀"/>
          <w:color w:val="000000"/>
          <w:highlight w:val="none"/>
        </w:rPr>
        <w:t>補助金等に係る予算の執行の適正化に関する法律（昭和</w:t>
      </w:r>
      <w:r>
        <w:rPr>
          <w:rFonts w:hint="default" w:ascii="ＭＳy戀" w:hAnsi="ＭＳy戀" w:eastAsia="ＭＳy戀"/>
          <w:color w:val="000000"/>
          <w:highlight w:val="none"/>
        </w:rPr>
        <w:t>30</w:t>
      </w:r>
      <w:r>
        <w:rPr>
          <w:rFonts w:hint="default" w:ascii="ＭＳy戀" w:hAnsi="ＭＳy戀" w:eastAsia="ＭＳy戀"/>
          <w:color w:val="000000"/>
          <w:highlight w:val="none"/>
        </w:rPr>
        <w:t>年法律第</w:t>
      </w:r>
      <w:r>
        <w:rPr>
          <w:rFonts w:hint="default" w:ascii="ＭＳy戀" w:hAnsi="ＭＳy戀" w:eastAsia="ＭＳy戀"/>
          <w:color w:val="000000"/>
          <w:highlight w:val="none"/>
        </w:rPr>
        <w:t>179</w:t>
      </w:r>
      <w:r>
        <w:rPr>
          <w:rFonts w:hint="default" w:ascii="ＭＳy戀" w:hAnsi="ＭＳy戀" w:eastAsia="ＭＳy戀"/>
          <w:color w:val="000000"/>
          <w:highlight w:val="none"/>
        </w:rPr>
        <w:t>号。以下「適正化法」という。）</w:t>
      </w:r>
      <w:r>
        <w:rPr>
          <w:rFonts w:hint="eastAsia" w:ascii="ＭＳy戀" w:hAnsi="ＭＳy戀" w:eastAsia="ＭＳy戀"/>
          <w:color w:val="000000"/>
          <w:highlight w:val="none"/>
        </w:rPr>
        <w:t>15</w:t>
      </w:r>
      <w:r>
        <w:rPr>
          <w:rFonts w:hint="eastAsia" w:ascii="ＭＳy戀" w:hAnsi="ＭＳy戀" w:eastAsia="ＭＳy戀"/>
          <w:color w:val="000000"/>
          <w:highlight w:val="none"/>
        </w:rPr>
        <w:t>条</w:t>
      </w:r>
      <w:r>
        <w:rPr>
          <w:rFonts w:hint="eastAsia" w:ascii="ＭＳ 明朝" w:hAnsi="ＭＳ 明朝"/>
          <w:highlight w:val="none"/>
        </w:rPr>
        <w:t>の規定による確定をいう。）の日の翌年６月</w:t>
      </w:r>
      <w:r>
        <w:rPr>
          <w:rFonts w:hint="eastAsia" w:ascii="ＭＳ 明朝" w:hAnsi="ＭＳ 明朝"/>
          <w:highlight w:val="none"/>
        </w:rPr>
        <w:t>15</w:t>
      </w:r>
      <w:r>
        <w:rPr>
          <w:rFonts w:hint="eastAsia" w:ascii="ＭＳ 明朝" w:hAnsi="ＭＳ 明朝"/>
          <w:highlight w:val="none"/>
        </w:rPr>
        <w:t>日までに、第８号様式により知事に報告</w:t>
      </w:r>
      <w:r>
        <w:rPr>
          <w:rFonts w:hint="eastAsia" w:ascii="ＭＳ 明朝" w:hAnsi="ＭＳ 明朝"/>
        </w:rPr>
        <w:t>しなければならない。</w:t>
      </w:r>
    </w:p>
    <w:p>
      <w:pPr>
        <w:pStyle w:val="0"/>
        <w:ind w:left="210" w:hanging="210"/>
        <w:rPr>
          <w:rFonts w:hint="default" w:ascii="ＭＳ 明朝" w:hAnsi="ＭＳ 明朝"/>
        </w:rPr>
      </w:pPr>
    </w:p>
    <w:p>
      <w:pPr>
        <w:pStyle w:val="0"/>
        <w:ind w:left="210" w:hanging="210"/>
        <w:rPr>
          <w:rFonts w:hint="default" w:ascii="ＭＳ 明朝" w:hAnsi="ＭＳ 明朝"/>
        </w:rPr>
      </w:pPr>
    </w:p>
    <w:p>
      <w:pPr>
        <w:pStyle w:val="0"/>
        <w:ind w:left="210" w:hanging="210"/>
        <w:rPr>
          <w:rFonts w:hint="default" w:ascii="ＭＳ 明朝" w:hAnsi="ＭＳ 明朝"/>
        </w:rPr>
      </w:pPr>
      <w:r>
        <w:rPr>
          <w:rFonts w:hint="eastAsia" w:ascii="ＭＳ 明朝" w:hAnsi="ＭＳ 明朝"/>
        </w:rPr>
        <w:t>（概算払）</w:t>
      </w:r>
    </w:p>
    <w:p>
      <w:pPr>
        <w:pStyle w:val="0"/>
        <w:ind w:left="210" w:hanging="210"/>
        <w:rPr>
          <w:rFonts w:hint="default" w:ascii="ＭＳ 明朝" w:hAnsi="ＭＳ 明朝"/>
        </w:rPr>
      </w:pPr>
      <w:r>
        <w:rPr>
          <w:rFonts w:hint="eastAsia" w:ascii="ＭＳ 明朝" w:hAnsi="ＭＳ 明朝"/>
        </w:rPr>
        <w:t>第</w:t>
      </w:r>
      <w:r>
        <w:rPr>
          <w:rFonts w:hint="eastAsia" w:ascii="ＭＳ 明朝" w:hAnsi="ＭＳ 明朝"/>
        </w:rPr>
        <w:t>11</w:t>
      </w:r>
      <w:r>
        <w:rPr>
          <w:rFonts w:hint="eastAsia" w:ascii="ＭＳ 明朝" w:hAnsi="ＭＳ 明朝"/>
        </w:rPr>
        <w:t>条　知事は、既に着手した補助事業で必要があると認めるものについて、補助金の概算払をすることができる。</w:t>
      </w:r>
    </w:p>
    <w:p>
      <w:pPr>
        <w:pStyle w:val="0"/>
        <w:ind w:left="210" w:hanging="210"/>
        <w:rPr>
          <w:rFonts w:hint="default" w:ascii="ＭＳ 明朝" w:hAnsi="ＭＳ 明朝"/>
        </w:rPr>
      </w:pPr>
      <w:r>
        <w:rPr>
          <w:rFonts w:hint="eastAsia" w:ascii="ＭＳ 明朝" w:hAnsi="ＭＳ 明朝"/>
          <w:highlight w:val="none"/>
        </w:rPr>
        <w:t>２　前項の規定に基づき補助金の交付を受けようとする補助事業者は、第９号様式</w:t>
      </w:r>
      <w:r>
        <w:rPr>
          <w:rFonts w:hint="eastAsia" w:ascii="ＭＳ 明朝" w:hAnsi="ＭＳ 明朝"/>
        </w:rPr>
        <w:t>による概算払請求書を提出しなければならない。</w:t>
      </w:r>
    </w:p>
    <w:p>
      <w:pPr>
        <w:pStyle w:val="0"/>
        <w:ind w:left="210" w:hanging="210"/>
        <w:rPr>
          <w:rFonts w:hint="default" w:ascii="ＭＳ 明朝" w:hAnsi="ＭＳ 明朝"/>
        </w:rPr>
      </w:pPr>
    </w:p>
    <w:p>
      <w:pPr>
        <w:pStyle w:val="0"/>
        <w:ind w:left="210" w:hanging="210"/>
        <w:rPr>
          <w:rFonts w:hint="default" w:ascii="ＭＳ 明朝" w:hAnsi="ＭＳ 明朝"/>
        </w:rPr>
      </w:pPr>
      <w:r>
        <w:rPr>
          <w:rFonts w:hint="eastAsia" w:ascii="ＭＳ 明朝" w:hAnsi="ＭＳ 明朝"/>
        </w:rPr>
        <w:t>（補助金の経理）</w:t>
      </w:r>
    </w:p>
    <w:p>
      <w:pPr>
        <w:pStyle w:val="0"/>
        <w:ind w:left="210" w:hanging="210"/>
        <w:rPr>
          <w:rFonts w:hint="default" w:ascii="ＭＳ" w:hAnsi="ＭＳ" w:eastAsia="ＭＳ"/>
          <w:color w:val="000000"/>
        </w:rPr>
      </w:pPr>
      <w:r>
        <w:rPr>
          <w:rFonts w:hint="eastAsia" w:ascii="ＭＳ 明朝" w:hAnsi="ＭＳ 明朝"/>
        </w:rPr>
        <w:t>第</w:t>
      </w:r>
      <w:r>
        <w:rPr>
          <w:rFonts w:hint="eastAsia" w:ascii="ＭＳ 明朝" w:hAnsi="ＭＳ 明朝"/>
        </w:rPr>
        <w:t>12</w:t>
      </w:r>
      <w:r>
        <w:rPr>
          <w:rFonts w:hint="eastAsia" w:ascii="ＭＳ 明朝" w:hAnsi="ＭＳ 明朝"/>
        </w:rPr>
        <w:t>条　</w:t>
      </w:r>
      <w:r>
        <w:rPr>
          <w:rFonts w:hint="default" w:ascii="ＭＳ" w:hAnsi="ＭＳ" w:eastAsia="ＭＳ"/>
          <w:color w:val="000000"/>
        </w:rPr>
        <w:t>補助事業者は、補助事業についての帳簿を備え、他の経理と区分して補助事業の収入及び支出を記載し、補助金の使途を明らかにしておかなければならない。</w:t>
      </w:r>
      <w:r>
        <w:rPr>
          <w:rFonts w:hint="default" w:ascii="ＭＳ" w:hAnsi="ＭＳ" w:eastAsia="ＭＳ"/>
          <w:color w:val="000000"/>
        </w:rPr>
        <w:t xml:space="preserve"> </w:t>
      </w:r>
    </w:p>
    <w:p>
      <w:pPr>
        <w:pStyle w:val="0"/>
        <w:autoSpaceDE w:val="0"/>
        <w:autoSpaceDN w:val="0"/>
        <w:adjustRightInd w:val="0"/>
        <w:ind w:left="421" w:hanging="422"/>
        <w:rPr>
          <w:rFonts w:hint="default" w:ascii="ＭＳ" w:hAnsi="ＭＳ" w:eastAsia="ＭＳ"/>
          <w:color w:val="000000"/>
        </w:rPr>
      </w:pPr>
      <w:r>
        <w:rPr>
          <w:rFonts w:hint="default" w:ascii="ＭＳ" w:hAnsi="ＭＳ" w:eastAsia="ＭＳ"/>
          <w:color w:val="000000"/>
        </w:rPr>
        <w:t>２</w:t>
      </w:r>
      <w:r>
        <w:rPr>
          <w:rFonts w:hint="default" w:ascii="ＭＳ" w:hAnsi="ＭＳ" w:eastAsia="ＭＳ"/>
          <w:color w:val="000000"/>
        </w:rPr>
        <w:t xml:space="preserve"> </w:t>
      </w:r>
      <w:r>
        <w:rPr>
          <w:rFonts w:hint="default" w:ascii="ＭＳ" w:hAnsi="ＭＳ" w:eastAsia="ＭＳ"/>
          <w:color w:val="000000"/>
        </w:rPr>
        <w:t>補助事業者は、前項の収入及び支出について、その支出内容の証拠書類又は証拠物を整</w:t>
      </w:r>
    </w:p>
    <w:p>
      <w:pPr>
        <w:pStyle w:val="0"/>
        <w:autoSpaceDE w:val="0"/>
        <w:autoSpaceDN w:val="0"/>
        <w:adjustRightInd w:val="0"/>
        <w:ind w:left="210" w:leftChars="100"/>
        <w:rPr>
          <w:rFonts w:hint="default" w:ascii="ＭＳ" w:hAnsi="ＭＳ" w:eastAsia="ＭＳ"/>
          <w:color w:val="000000"/>
        </w:rPr>
      </w:pPr>
      <w:r>
        <w:rPr>
          <w:rFonts w:hint="default" w:ascii="ＭＳ" w:hAnsi="ＭＳ" w:eastAsia="ＭＳ"/>
          <w:color w:val="000000"/>
        </w:rPr>
        <w:t>備して前項の帳簿とともに補助事業の完了の日の属する年度の翌年度から起算して５年間整備保管しておかなければならない。</w:t>
      </w:r>
      <w:r>
        <w:rPr>
          <w:rFonts w:hint="default" w:ascii="ＭＳ" w:hAnsi="ＭＳ" w:eastAsia="ＭＳ"/>
          <w:color w:val="000000"/>
        </w:rPr>
        <w:t xml:space="preserve"> </w:t>
      </w:r>
    </w:p>
    <w:p>
      <w:pPr>
        <w:pStyle w:val="0"/>
        <w:autoSpaceDE w:val="0"/>
        <w:autoSpaceDN w:val="0"/>
        <w:adjustRightInd w:val="0"/>
        <w:ind w:left="421" w:hanging="422"/>
        <w:rPr>
          <w:rFonts w:hint="default" w:ascii="ＭＳ" w:hAnsi="ＭＳ" w:eastAsia="ＭＳ"/>
          <w:color w:val="000000"/>
        </w:rPr>
      </w:pPr>
      <w:r>
        <w:rPr>
          <w:rFonts w:hint="default" w:ascii="ＭＳ" w:hAnsi="ＭＳ" w:eastAsia="ＭＳ"/>
          <w:color w:val="000000"/>
        </w:rPr>
        <w:t>３</w:t>
      </w:r>
      <w:r>
        <w:rPr>
          <w:rFonts w:hint="default" w:ascii="ＭＳ" w:hAnsi="ＭＳ" w:eastAsia="ＭＳ"/>
          <w:color w:val="000000"/>
        </w:rPr>
        <w:t xml:space="preserve"> </w:t>
      </w:r>
      <w:r>
        <w:rPr>
          <w:rFonts w:hint="default" w:ascii="ＭＳ" w:hAnsi="ＭＳ" w:eastAsia="ＭＳ"/>
          <w:color w:val="000000"/>
        </w:rPr>
        <w:t>補助事業者は、取得財産等について当該取得財産等の処分制限期間中、前２項に規定す</w:t>
      </w:r>
    </w:p>
    <w:p>
      <w:pPr>
        <w:pStyle w:val="0"/>
        <w:autoSpaceDE w:val="0"/>
        <w:autoSpaceDN w:val="0"/>
        <w:adjustRightInd w:val="0"/>
        <w:ind w:left="210" w:leftChars="100"/>
        <w:rPr>
          <w:rFonts w:hint="default" w:ascii="ＭＳ" w:hAnsi="ＭＳ" w:eastAsia="ＭＳ"/>
          <w:color w:val="000000"/>
        </w:rPr>
      </w:pPr>
      <w:r>
        <w:rPr>
          <w:rFonts w:hint="default" w:ascii="ＭＳ" w:hAnsi="ＭＳ" w:eastAsia="ＭＳ"/>
          <w:color w:val="000000"/>
        </w:rPr>
        <w:t>る帳簿等に加え</w:t>
      </w:r>
      <w:r>
        <w:rPr>
          <w:rFonts w:hint="default" w:ascii="ＭＳ" w:hAnsi="ＭＳ" w:eastAsia="ＭＳ"/>
          <w:color w:val="000000"/>
          <w:highlight w:val="none"/>
        </w:rPr>
        <w:t>第</w:t>
      </w:r>
      <w:r>
        <w:rPr>
          <w:rFonts w:hint="eastAsia" w:ascii="ＭＳ" w:hAnsi="ＭＳ" w:eastAsia="ＭＳ"/>
          <w:color w:val="000000"/>
          <w:highlight w:val="none"/>
        </w:rPr>
        <w:t>10</w:t>
      </w:r>
      <w:r>
        <w:rPr>
          <w:rFonts w:hint="default" w:ascii="ＭＳ" w:hAnsi="ＭＳ" w:eastAsia="ＭＳ"/>
          <w:color w:val="000000"/>
          <w:highlight w:val="none"/>
        </w:rPr>
        <w:t>号</w:t>
      </w:r>
      <w:r>
        <w:rPr>
          <w:rFonts w:hint="eastAsia" w:ascii="ＭＳ" w:hAnsi="ＭＳ" w:eastAsia="ＭＳ"/>
          <w:color w:val="000000"/>
          <w:highlight w:val="none"/>
        </w:rPr>
        <w:t>様式</w:t>
      </w:r>
      <w:r>
        <w:rPr>
          <w:rFonts w:hint="default" w:ascii="ＭＳ" w:hAnsi="ＭＳ" w:eastAsia="ＭＳ"/>
          <w:color w:val="000000"/>
        </w:rPr>
        <w:t>の財産管理台帳その他関係書類を整備保管しなければならない。</w:t>
      </w:r>
      <w:r>
        <w:rPr>
          <w:rFonts w:hint="default" w:ascii="ＭＳ" w:hAnsi="ＭＳ" w:eastAsia="ＭＳ"/>
          <w:color w:val="000000"/>
        </w:rPr>
        <w:t xml:space="preserve"> </w:t>
      </w:r>
    </w:p>
    <w:p>
      <w:pPr>
        <w:pStyle w:val="0"/>
        <w:ind w:left="210" w:hanging="210"/>
        <w:rPr>
          <w:rFonts w:hint="default" w:ascii="ＭＳ 明朝" w:hAnsi="ＭＳ 明朝"/>
        </w:rPr>
      </w:pPr>
    </w:p>
    <w:p>
      <w:pPr>
        <w:pStyle w:val="0"/>
        <w:ind w:left="210" w:hanging="210"/>
        <w:rPr>
          <w:rFonts w:hint="default" w:ascii="ＭＳ 明朝" w:hAnsi="ＭＳ 明朝"/>
        </w:rPr>
      </w:pPr>
      <w:r>
        <w:rPr>
          <w:rFonts w:hint="eastAsia" w:ascii="ＭＳ 明朝" w:hAnsi="ＭＳ 明朝"/>
        </w:rPr>
        <w:t>（補助の条件）</w:t>
      </w:r>
    </w:p>
    <w:p>
      <w:pPr>
        <w:pStyle w:val="0"/>
        <w:ind w:left="210" w:hanging="210"/>
        <w:rPr>
          <w:rFonts w:hint="default" w:ascii="ＭＳ 明朝" w:hAnsi="ＭＳ 明朝"/>
        </w:rPr>
      </w:pPr>
      <w:r>
        <w:rPr>
          <w:rFonts w:hint="eastAsia" w:ascii="ＭＳ 明朝" w:hAnsi="ＭＳ 明朝"/>
        </w:rPr>
        <w:t>第</w:t>
      </w:r>
      <w:r>
        <w:rPr>
          <w:rFonts w:hint="eastAsia" w:ascii="ＭＳ 明朝" w:hAnsi="ＭＳ 明朝"/>
        </w:rPr>
        <w:t>13</w:t>
      </w:r>
      <w:r>
        <w:rPr>
          <w:rFonts w:hint="eastAsia" w:ascii="ＭＳ 明朝" w:hAnsi="ＭＳ 明朝"/>
        </w:rPr>
        <w:t>条　補助金の交付の目的を達成するため、補助事業者は、次に掲げる事項を遵守し、かつ、補助事業者は、補助金の交付に際して間接補助事業者に対して同様の条件を付さなければならない。</w:t>
      </w:r>
    </w:p>
    <w:p>
      <w:pPr>
        <w:pStyle w:val="0"/>
        <w:ind w:left="210" w:hanging="210"/>
        <w:rPr>
          <w:rFonts w:hint="default" w:ascii="ＭＳ 明朝" w:hAnsi="ＭＳ 明朝"/>
        </w:rPr>
      </w:pPr>
      <w:r>
        <w:rPr>
          <w:rFonts w:hint="eastAsia" w:ascii="ＭＳ 明朝" w:hAnsi="ＭＳ 明朝"/>
        </w:rPr>
        <w:t>（１）補助金に係る法令、規則、要綱、要領等の規定に従わなければならないこと。</w:t>
      </w:r>
    </w:p>
    <w:p>
      <w:pPr>
        <w:pStyle w:val="0"/>
        <w:autoSpaceDE w:val="0"/>
        <w:autoSpaceDN w:val="0"/>
        <w:adjustRightInd w:val="0"/>
        <w:ind w:left="420" w:hanging="420" w:hangingChars="200"/>
        <w:jc w:val="left"/>
        <w:rPr>
          <w:rFonts w:hint="default" w:ascii="ＭＳ 明朝" w:hAnsi="ＭＳ 明朝"/>
          <w:kern w:val="0"/>
        </w:rPr>
      </w:pPr>
      <w:r>
        <w:rPr>
          <w:rFonts w:hint="eastAsia" w:ascii="ＭＳ 明朝" w:hAnsi="ＭＳ 明朝"/>
          <w:kern w:val="0"/>
        </w:rPr>
        <w:t>（２）当該補助事業により取得し、又は効用の増加した財産については、当該補助事業の完了後においても善良な管理者の注意をもって管理するとともに、補助金の交付の目的に沿って、効率的な運用を図らなければならないこと。</w:t>
      </w:r>
    </w:p>
    <w:p>
      <w:pPr>
        <w:pStyle w:val="0"/>
        <w:autoSpaceDE w:val="0"/>
        <w:autoSpaceDN w:val="0"/>
        <w:adjustRightInd w:val="0"/>
        <w:ind w:left="421" w:hanging="422"/>
        <w:rPr>
          <w:rFonts w:hint="default" w:ascii="ＭＳ 明朝" w:hAnsi="ＭＳ 明朝"/>
          <w:color w:val="000000" w:themeColor="text1"/>
          <w:kern w:val="0"/>
          <w:highlight w:val="none"/>
        </w:rPr>
      </w:pPr>
      <w:r>
        <w:rPr>
          <w:rFonts w:hint="eastAsia" w:ascii="ＭＳ 明朝" w:hAnsi="ＭＳ 明朝"/>
        </w:rPr>
        <w:t>（３）</w:t>
      </w:r>
      <w:r>
        <w:rPr>
          <w:rFonts w:hint="eastAsia" w:ascii="ＭＳ 明朝" w:hAnsi="ＭＳ 明朝"/>
          <w:kern w:val="0"/>
        </w:rPr>
        <w:t>補助事業によって取得し、又は効用の増加した財産のうち１</w:t>
      </w:r>
      <w:r>
        <w:rPr>
          <w:rFonts w:hint="default" w:ascii="ＭＳ 明朝" w:hAnsi="ＭＳ 明朝"/>
          <w:kern w:val="0"/>
        </w:rPr>
        <w:t>件当たりの取得価格が</w:t>
      </w:r>
      <w:r>
        <w:rPr>
          <w:rFonts w:hint="eastAsia" w:ascii="ＭＳ 明朝" w:hAnsi="ＭＳ 明朝"/>
          <w:kern w:val="0"/>
        </w:rPr>
        <w:t>5</w:t>
      </w:r>
      <w:r>
        <w:rPr>
          <w:rFonts w:hint="default" w:ascii="ＭＳ 明朝" w:hAnsi="ＭＳ 明朝"/>
          <w:kern w:val="0"/>
        </w:rPr>
        <w:t>0</w:t>
      </w:r>
      <w:r>
        <w:rPr>
          <w:rFonts w:hint="default" w:ascii="ＭＳ 明朝" w:hAnsi="ＭＳ 明朝"/>
          <w:color w:val="000000" w:themeColor="text1"/>
          <w:kern w:val="0"/>
          <w:highlight w:val="none"/>
        </w:rPr>
        <w:t>万円以上の機械及び器具について</w:t>
      </w:r>
      <w:r>
        <w:rPr>
          <w:rFonts w:hint="eastAsia" w:ascii="ＭＳ 明朝" w:hAnsi="ＭＳ 明朝"/>
          <w:color w:val="000000" w:themeColor="text1"/>
          <w:kern w:val="0"/>
          <w:highlight w:val="none"/>
        </w:rPr>
        <w:t>、減価償却資産の耐用年数等に関する省令（昭和</w:t>
      </w:r>
      <w:r>
        <w:rPr>
          <w:rFonts w:hint="eastAsia" w:ascii="ＭＳ 明朝" w:hAnsi="ＭＳ 明朝"/>
          <w:color w:val="000000" w:themeColor="text1"/>
          <w:kern w:val="0"/>
          <w:highlight w:val="none"/>
        </w:rPr>
        <w:t>40</w:t>
      </w:r>
      <w:r>
        <w:rPr>
          <w:rFonts w:hint="eastAsia" w:ascii="ＭＳ 明朝" w:hAnsi="ＭＳ 明朝"/>
          <w:color w:val="000000" w:themeColor="text1"/>
          <w:kern w:val="0"/>
          <w:highlight w:val="none"/>
        </w:rPr>
        <w:t>年大蔵省令第</w:t>
      </w:r>
      <w:r>
        <w:rPr>
          <w:rFonts w:hint="eastAsia" w:ascii="ＭＳ 明朝" w:hAnsi="ＭＳ 明朝"/>
          <w:color w:val="000000" w:themeColor="text1"/>
          <w:kern w:val="0"/>
          <w:highlight w:val="none"/>
        </w:rPr>
        <w:t>15</w:t>
      </w:r>
      <w:r>
        <w:rPr>
          <w:rFonts w:hint="eastAsia" w:ascii="ＭＳ 明朝" w:hAnsi="ＭＳ 明朝"/>
          <w:color w:val="000000" w:themeColor="text1"/>
          <w:kern w:val="0"/>
          <w:highlight w:val="none"/>
        </w:rPr>
        <w:t>号）に定められている耐用年数に相当する期間内及び</w:t>
      </w:r>
      <w:r>
        <w:rPr>
          <w:rFonts w:hint="default" w:ascii="ＭＳy戀" w:hAnsi="ＭＳy戀" w:eastAsia="ＭＳy戀"/>
          <w:color w:val="000000" w:themeColor="text1"/>
          <w:highlight w:val="none"/>
        </w:rPr>
        <w:t>農林畜水産業関係補助金等交付規則（昭和</w:t>
      </w:r>
      <w:r>
        <w:rPr>
          <w:rFonts w:hint="default" w:ascii="ＭＳy戀" w:hAnsi="ＭＳy戀" w:eastAsia="ＭＳy戀"/>
          <w:color w:val="000000" w:themeColor="text1"/>
          <w:highlight w:val="none"/>
        </w:rPr>
        <w:t>31</w:t>
      </w:r>
      <w:r>
        <w:rPr>
          <w:rFonts w:hint="default" w:ascii="ＭＳy戀" w:hAnsi="ＭＳy戀" w:eastAsia="ＭＳy戀"/>
          <w:color w:val="000000" w:themeColor="text1"/>
          <w:highlight w:val="none"/>
        </w:rPr>
        <w:t>年農林省令第</w:t>
      </w:r>
      <w:r>
        <w:rPr>
          <w:rFonts w:hint="default" w:ascii="ＭＳy戀" w:hAnsi="ＭＳy戀" w:eastAsia="ＭＳy戀"/>
          <w:color w:val="000000" w:themeColor="text1"/>
          <w:highlight w:val="none"/>
        </w:rPr>
        <w:t>18</w:t>
      </w:r>
      <w:r>
        <w:rPr>
          <w:rFonts w:hint="default" w:ascii="ＭＳy戀" w:hAnsi="ＭＳy戀" w:eastAsia="ＭＳy戀"/>
          <w:color w:val="000000" w:themeColor="text1"/>
          <w:highlight w:val="none"/>
        </w:rPr>
        <w:t>号）</w:t>
      </w:r>
      <w:r>
        <w:rPr>
          <w:rFonts w:hint="default" w:ascii="ＭＳ" w:hAnsi="ＭＳ" w:eastAsia="ＭＳ"/>
          <w:color w:val="000000" w:themeColor="text1"/>
          <w:highlight w:val="none"/>
        </w:rPr>
        <w:t>第５条に規定する処分制限期間に</w:t>
      </w:r>
      <w:r>
        <w:rPr>
          <w:rFonts w:hint="eastAsia" w:ascii="ＭＳ 明朝" w:hAnsi="ＭＳ 明朝"/>
          <w:color w:val="000000" w:themeColor="text1"/>
          <w:kern w:val="0"/>
          <w:highlight w:val="none"/>
        </w:rPr>
        <w:t>おいて、知事の承認を受けずに補助金の交付の目的に反して使用し、譲渡し、交換し、廃止し、貸し付け、又は担保に供してはならないこと。</w:t>
      </w:r>
    </w:p>
    <w:p>
      <w:pPr>
        <w:pStyle w:val="0"/>
        <w:autoSpaceDE w:val="0"/>
        <w:autoSpaceDN w:val="0"/>
        <w:adjustRightInd w:val="0"/>
        <w:ind w:left="421" w:hanging="422"/>
        <w:rPr>
          <w:rFonts w:hint="default" w:ascii="ＭＳ 明朝" w:hAnsi="ＭＳ 明朝"/>
          <w:color w:val="000000" w:themeColor="text1"/>
          <w:highlight w:val="none"/>
        </w:rPr>
      </w:pPr>
      <w:r>
        <w:rPr>
          <w:rFonts w:hint="eastAsia" w:ascii="ＭＳ 明朝" w:hAnsi="ＭＳ 明朝"/>
          <w:color w:val="000000" w:themeColor="text1"/>
          <w:highlight w:val="none"/>
        </w:rPr>
        <w:t>（４）前号の承認に当たっては、</w:t>
      </w:r>
      <w:r>
        <w:rPr>
          <w:rFonts w:hint="default" w:ascii="ＭＳ" w:hAnsi="ＭＳ" w:eastAsia="ＭＳ"/>
          <w:color w:val="000000" w:themeColor="text1"/>
          <w:highlight w:val="none"/>
        </w:rPr>
        <w:t>承認に係る取得財産等の残存価値相当額又は処分により得</w:t>
      </w:r>
    </w:p>
    <w:p>
      <w:pPr>
        <w:pStyle w:val="0"/>
        <w:overflowPunct w:val="0"/>
        <w:ind w:left="420" w:leftChars="200"/>
        <w:jc w:val="left"/>
        <w:textAlignment w:val="baseline"/>
        <w:rPr>
          <w:rFonts w:hint="eastAsia" w:ascii="ＭＳ 明朝" w:hAnsi="ＭＳ 明朝"/>
          <w:color w:val="000000" w:themeColor="text1"/>
          <w:highlight w:val="none"/>
        </w:rPr>
      </w:pPr>
      <w:r>
        <w:rPr>
          <w:rFonts w:hint="default" w:ascii="ＭＳ" w:hAnsi="ＭＳ" w:eastAsia="ＭＳ"/>
          <w:color w:val="000000" w:themeColor="text1"/>
          <w:highlight w:val="none"/>
        </w:rPr>
        <w:t>られた収入の全部又は一部を</w:t>
      </w:r>
      <w:r>
        <w:rPr>
          <w:rFonts w:hint="eastAsia" w:ascii="ＭＳ" w:hAnsi="ＭＳ" w:eastAsia="ＭＳ"/>
          <w:color w:val="000000" w:themeColor="text1"/>
          <w:highlight w:val="none"/>
        </w:rPr>
        <w:t>県</w:t>
      </w:r>
      <w:r>
        <w:rPr>
          <w:rFonts w:hint="default" w:ascii="ＭＳ" w:hAnsi="ＭＳ" w:eastAsia="ＭＳ"/>
          <w:color w:val="000000" w:themeColor="text1"/>
          <w:highlight w:val="none"/>
        </w:rPr>
        <w:t>に納付すること</w:t>
      </w:r>
      <w:r>
        <w:rPr>
          <w:rFonts w:hint="eastAsia" w:ascii="ＭＳ 明朝" w:hAnsi="ＭＳ 明朝"/>
          <w:color w:val="000000" w:themeColor="text1"/>
          <w:kern w:val="0"/>
          <w:highlight w:val="none"/>
        </w:rPr>
        <w:t>納付させることがあること。</w:t>
      </w:r>
    </w:p>
    <w:p>
      <w:pPr>
        <w:pStyle w:val="0"/>
        <w:ind w:left="420" w:hanging="420" w:hangingChars="200"/>
        <w:rPr>
          <w:rFonts w:hint="default" w:ascii="ＭＳ 明朝" w:hAnsi="ＭＳ 明朝"/>
          <w:color w:val="000000" w:themeColor="text1"/>
          <w:highlight w:val="none"/>
        </w:rPr>
      </w:pPr>
      <w:r>
        <w:rPr>
          <w:rFonts w:hint="eastAsia" w:ascii="ＭＳ 明朝" w:hAnsi="ＭＳ 明朝"/>
          <w:color w:val="000000" w:themeColor="text1"/>
          <w:highlight w:val="none"/>
        </w:rPr>
        <w:t>（５）</w:t>
      </w:r>
      <w:r>
        <w:rPr>
          <w:rFonts w:hint="default" w:ascii="ＭＳ 明朝" w:hAnsi="ＭＳ 明朝"/>
          <w:color w:val="000000" w:themeColor="text1"/>
          <w:highlight w:val="none"/>
        </w:rPr>
        <w:t>間接</w:t>
      </w:r>
      <w:r>
        <w:rPr>
          <w:rFonts w:hint="eastAsia" w:ascii="ＭＳ 明朝" w:hAnsi="ＭＳ 明朝"/>
          <w:color w:val="000000" w:themeColor="text1"/>
          <w:highlight w:val="none"/>
        </w:rPr>
        <w:t>補助事業者は、間接補助事業を遂行するため、売買、請負、その他の契約をする場合は、一般の競争に付さなければならない。ただし、間接補助事業の運営上、一般の競争に付することが困難又は不適当である場合は、指名競争に付し、又は随意契約によることができる。</w:t>
      </w:r>
    </w:p>
    <w:p>
      <w:pPr>
        <w:pStyle w:val="0"/>
        <w:ind w:left="420" w:hanging="420" w:hangingChars="200"/>
        <w:rPr>
          <w:rFonts w:hint="default" w:ascii="ＭＳ 明朝" w:hAnsi="ＭＳ 明朝"/>
          <w:color w:val="000000" w:themeColor="text1"/>
          <w:highlight w:val="none"/>
        </w:rPr>
      </w:pPr>
      <w:r>
        <w:rPr>
          <w:rFonts w:hint="eastAsia" w:ascii="ＭＳ 明朝" w:hAnsi="ＭＳ 明朝"/>
          <w:color w:val="000000" w:themeColor="text1"/>
          <w:highlight w:val="none"/>
        </w:rPr>
        <w:t>（６）間接補助事業者は、前号の契約をしようとする場合は、当該契約に係わる入札又は見積り合せに参加しようとする者に対し、</w:t>
      </w:r>
      <w:r>
        <w:rPr>
          <w:rFonts w:hint="default" w:ascii="ＭＳ" w:hAnsi="ＭＳ" w:eastAsia="ＭＳ"/>
          <w:color w:val="000000" w:themeColor="text1"/>
          <w:highlight w:val="none"/>
        </w:rPr>
        <w:t>第</w:t>
      </w:r>
      <w:r>
        <w:rPr>
          <w:rFonts w:hint="eastAsia" w:ascii="ＭＳ" w:hAnsi="ＭＳ" w:eastAsia="ＭＳ"/>
          <w:color w:val="000000" w:themeColor="text1"/>
          <w:highlight w:val="none"/>
        </w:rPr>
        <w:t>11</w:t>
      </w:r>
      <w:r>
        <w:rPr>
          <w:rFonts w:hint="default" w:ascii="ＭＳ" w:hAnsi="ＭＳ" w:eastAsia="ＭＳ"/>
          <w:color w:val="000000" w:themeColor="text1"/>
          <w:highlight w:val="none"/>
        </w:rPr>
        <w:t>号</w:t>
      </w:r>
      <w:r>
        <w:rPr>
          <w:rFonts w:hint="eastAsia" w:ascii="ＭＳ" w:hAnsi="ＭＳ" w:eastAsia="ＭＳ"/>
          <w:color w:val="000000" w:themeColor="text1"/>
          <w:highlight w:val="none"/>
        </w:rPr>
        <w:t>様式</w:t>
      </w:r>
      <w:r>
        <w:rPr>
          <w:rFonts w:hint="default" w:ascii="ＭＳ" w:hAnsi="ＭＳ" w:eastAsia="ＭＳ"/>
          <w:color w:val="000000" w:themeColor="text1"/>
          <w:highlight w:val="none"/>
        </w:rPr>
        <w:t>による契約に係る指名停止等に関する申立書の提出を求め</w:t>
      </w:r>
      <w:r>
        <w:rPr>
          <w:rFonts w:hint="eastAsia" w:ascii="ＭＳ" w:hAnsi="ＭＳ" w:eastAsia="ＭＳ"/>
          <w:color w:val="000000" w:themeColor="text1"/>
          <w:highlight w:val="none"/>
        </w:rPr>
        <w:t>ることとし</w:t>
      </w:r>
      <w:r>
        <w:rPr>
          <w:rFonts w:hint="default" w:ascii="ＭＳ" w:hAnsi="ＭＳ" w:eastAsia="ＭＳ"/>
          <w:color w:val="000000" w:themeColor="text1"/>
          <w:highlight w:val="none"/>
        </w:rPr>
        <w:t>、当該申立書の提出のない者については、入札等に参加させてはならない。</w:t>
      </w:r>
      <w:r>
        <w:rPr>
          <w:rFonts w:hint="default" w:ascii="ＭＳ" w:hAnsi="ＭＳ" w:eastAsia="ＭＳ"/>
          <w:color w:val="000000" w:themeColor="text1"/>
          <w:highlight w:val="none"/>
        </w:rPr>
        <w:t xml:space="preserve">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（７）県税及び県に対する税外未収金債務の滞納がないこと。</w:t>
      </w:r>
    </w:p>
    <w:p>
      <w:pPr>
        <w:pStyle w:val="0"/>
        <w:autoSpaceDE w:val="0"/>
        <w:autoSpaceDN w:val="0"/>
        <w:adjustRightInd w:val="0"/>
        <w:ind w:left="420" w:hanging="420" w:hangingChars="200"/>
        <w:jc w:val="left"/>
        <w:rPr>
          <w:rFonts w:hint="default" w:ascii="ＭＳ 明朝" w:hAnsi="ＭＳ 明朝"/>
        </w:rPr>
      </w:pPr>
      <w:r>
        <w:rPr>
          <w:rFonts w:hint="eastAsia" w:ascii="ＭＳ 明朝" w:hAnsi="ＭＳ 明朝"/>
        </w:rPr>
        <w:t>（８）補助事業の実施に当たっては、別表第２に掲げるいずれかに該当すると認められるものを</w:t>
      </w:r>
      <w:r>
        <w:rPr>
          <w:rFonts w:hint="eastAsia" w:ascii="ＭＳ 明朝" w:hAnsi="ＭＳ 明朝"/>
          <w:color w:val="000000" w:themeColor="text1"/>
        </w:rPr>
        <w:t>間接補助事業者</w:t>
      </w:r>
      <w:r>
        <w:rPr>
          <w:rFonts w:hint="eastAsia" w:ascii="ＭＳ 明朝" w:hAnsi="ＭＳ 明朝"/>
        </w:rPr>
        <w:t>及び契約の相手方としないこと等の暴力団等の排除に係る県の取扱いに準じて行わなければならないこと。</w:t>
      </w:r>
    </w:p>
    <w:p>
      <w:pPr>
        <w:pStyle w:val="0"/>
        <w:autoSpaceDE w:val="0"/>
        <w:autoSpaceDN w:val="0"/>
        <w:adjustRightInd w:val="0"/>
        <w:ind w:left="210" w:hanging="210" w:hangingChars="100"/>
        <w:jc w:val="left"/>
        <w:rPr>
          <w:rFonts w:hint="default" w:ascii="ＭＳ 明朝" w:hAnsi="ＭＳ 明朝"/>
          <w:color w:val="000000" w:themeColor="text1"/>
        </w:rPr>
      </w:pPr>
      <w:r>
        <w:rPr>
          <w:rFonts w:hint="eastAsia" w:ascii="ＭＳ 明朝" w:hAnsi="ＭＳ 明朝"/>
          <w:color w:val="000000" w:themeColor="text1"/>
        </w:rPr>
        <w:t>２　知事は、補助事業者が規則若しくは補助事業に関して補助金の交付の決定の内容若しくはこれに付した条件、この要綱、実施要領等の規定若しくはこれらに基づく県の処分に違反したとき又は補助金を他の用途に使用したときは、当該補助金の交付の決定を変更し、取り消し、又は既に交付した補助金の全部若しくは一部の返還を命ずることができる。</w:t>
      </w:r>
    </w:p>
    <w:p>
      <w:pPr>
        <w:pStyle w:val="0"/>
        <w:ind w:left="210" w:hanging="210"/>
        <w:rPr>
          <w:rFonts w:hint="default" w:ascii="ＭＳ 明朝" w:hAnsi="ＭＳ 明朝"/>
        </w:rPr>
      </w:pPr>
    </w:p>
    <w:p>
      <w:pPr>
        <w:pStyle w:val="0"/>
        <w:ind w:left="210" w:hanging="210"/>
        <w:rPr>
          <w:rFonts w:hint="default" w:ascii="ＭＳ 明朝" w:hAnsi="ＭＳ 明朝"/>
        </w:rPr>
      </w:pPr>
      <w:r>
        <w:rPr>
          <w:rFonts w:hint="eastAsia" w:ascii="ＭＳ 明朝" w:hAnsi="ＭＳ 明朝"/>
        </w:rPr>
        <w:t>（グリーン購入）</w:t>
      </w:r>
    </w:p>
    <w:p>
      <w:pPr>
        <w:pStyle w:val="0"/>
        <w:ind w:left="210" w:hanging="210"/>
        <w:rPr>
          <w:rFonts w:hint="default" w:ascii="ＭＳ 明朝" w:hAnsi="ＭＳ 明朝"/>
        </w:rPr>
      </w:pPr>
      <w:r>
        <w:rPr>
          <w:rFonts w:hint="eastAsia" w:ascii="ＭＳ 明朝" w:hAnsi="ＭＳ 明朝"/>
        </w:rPr>
        <w:t>第</w:t>
      </w:r>
      <w:r>
        <w:rPr>
          <w:rFonts w:hint="eastAsia" w:ascii="ＭＳ 明朝" w:hAnsi="ＭＳ 明朝"/>
        </w:rPr>
        <w:t>14</w:t>
      </w:r>
      <w:r>
        <w:rPr>
          <w:rFonts w:hint="eastAsia" w:ascii="ＭＳ 明朝" w:hAnsi="ＭＳ 明朝"/>
        </w:rPr>
        <w:t>条　補助事業者は、補助事業の実施において物品等を調達する場合は、県が定める「高知県グリーン購入基本方針」に基づき環境物品等の調達に努めるものとする。</w:t>
      </w:r>
    </w:p>
    <w:p>
      <w:pPr>
        <w:pStyle w:val="0"/>
        <w:ind w:left="210" w:hanging="210"/>
        <w:rPr>
          <w:rFonts w:hint="default" w:ascii="ＭＳ 明朝" w:hAnsi="ＭＳ 明朝"/>
        </w:rPr>
      </w:pPr>
    </w:p>
    <w:p>
      <w:pPr>
        <w:pStyle w:val="0"/>
        <w:ind w:left="210" w:hanging="210"/>
        <w:rPr>
          <w:rFonts w:hint="default" w:ascii="ＭＳ 明朝" w:hAnsi="ＭＳ 明朝"/>
        </w:rPr>
      </w:pPr>
      <w:r>
        <w:rPr>
          <w:rFonts w:hint="eastAsia" w:ascii="ＭＳ 明朝" w:hAnsi="ＭＳ 明朝"/>
        </w:rPr>
        <w:t>（情報の開示）</w:t>
      </w:r>
    </w:p>
    <w:p>
      <w:pPr>
        <w:pStyle w:val="0"/>
        <w:ind w:left="210" w:hanging="210"/>
        <w:rPr>
          <w:rFonts w:hint="default" w:ascii="ＭＳ 明朝" w:hAnsi="ＭＳ 明朝"/>
        </w:rPr>
      </w:pPr>
      <w:r>
        <w:rPr>
          <w:rFonts w:hint="eastAsia" w:ascii="ＭＳ 明朝" w:hAnsi="ＭＳ 明朝"/>
        </w:rPr>
        <w:t>第</w:t>
      </w:r>
      <w:r>
        <w:rPr>
          <w:rFonts w:hint="eastAsia" w:ascii="ＭＳ 明朝" w:hAnsi="ＭＳ 明朝"/>
        </w:rPr>
        <w:t>15</w:t>
      </w:r>
      <w:r>
        <w:rPr>
          <w:rFonts w:hint="eastAsia" w:ascii="ＭＳ 明朝" w:hAnsi="ＭＳ 明朝"/>
        </w:rPr>
        <w:t>条　補助事業又は補助事業者に関して、高知県情報公開条例（平成２年高知県条例第１号）に基づく開示請求があった場合は、同条例第６条第１項の規定による非開示項目以外の項目は、原則として開示を行うものとする。</w:t>
      </w:r>
    </w:p>
    <w:p>
      <w:pPr>
        <w:pStyle w:val="0"/>
        <w:ind w:left="210" w:hanging="210"/>
        <w:rPr>
          <w:rFonts w:hint="default" w:ascii="ＭＳ 明朝" w:hAnsi="ＭＳ 明朝"/>
        </w:rPr>
      </w:pPr>
    </w:p>
    <w:p>
      <w:pPr>
        <w:pStyle w:val="0"/>
        <w:ind w:left="210" w:hanging="210"/>
        <w:rPr>
          <w:rFonts w:hint="default" w:ascii="ＭＳ 明朝" w:hAnsi="ＭＳ 明朝"/>
        </w:rPr>
      </w:pPr>
      <w:r>
        <w:rPr>
          <w:rFonts w:hint="eastAsia" w:ascii="ＭＳ 明朝" w:hAnsi="ＭＳ 明朝"/>
        </w:rPr>
        <w:t>（委任）</w:t>
      </w:r>
    </w:p>
    <w:p>
      <w:pPr>
        <w:pStyle w:val="0"/>
        <w:ind w:left="210" w:hanging="210"/>
        <w:rPr>
          <w:rFonts w:hint="default" w:ascii="ＭＳ 明朝" w:hAnsi="ＭＳ 明朝"/>
        </w:rPr>
      </w:pPr>
      <w:r>
        <w:rPr>
          <w:rFonts w:hint="eastAsia" w:ascii="ＭＳ 明朝" w:hAnsi="ＭＳ 明朝"/>
        </w:rPr>
        <w:t>第</w:t>
      </w:r>
      <w:r>
        <w:rPr>
          <w:rFonts w:hint="eastAsia" w:ascii="ＭＳ 明朝" w:hAnsi="ＭＳ 明朝"/>
        </w:rPr>
        <w:t>16</w:t>
      </w:r>
      <w:r>
        <w:rPr>
          <w:rFonts w:hint="eastAsia" w:ascii="ＭＳ 明朝" w:hAnsi="ＭＳ 明朝"/>
        </w:rPr>
        <w:t>条　この要綱に定めるもののほか、補助金の交付に関し必要な事項は、知事が別に定める。</w:t>
      </w:r>
    </w:p>
    <w:p>
      <w:pPr>
        <w:pStyle w:val="0"/>
        <w:ind w:left="493" w:leftChars="135" w:hanging="210" w:hangingChars="100"/>
        <w:rPr>
          <w:rFonts w:hint="default" w:ascii="ＭＳ 明朝" w:hAnsi="ＭＳ 明朝"/>
        </w:rPr>
      </w:pPr>
    </w:p>
    <w:p>
      <w:pPr>
        <w:pStyle w:val="0"/>
        <w:ind w:left="493" w:leftChars="135" w:hanging="210" w:hangingChars="100"/>
        <w:rPr>
          <w:rFonts w:hint="default" w:ascii="ＭＳ 明朝" w:hAnsi="ＭＳ 明朝"/>
        </w:rPr>
      </w:pPr>
    </w:p>
    <w:p>
      <w:pPr>
        <w:pStyle w:val="0"/>
        <w:ind w:left="283" w:leftChars="135"/>
        <w:rPr>
          <w:rFonts w:hint="default" w:ascii="ＭＳ 明朝" w:hAnsi="ＭＳ 明朝"/>
        </w:rPr>
      </w:pPr>
      <w:r>
        <w:rPr>
          <w:rFonts w:hint="eastAsia" w:ascii="ＭＳ 明朝" w:hAnsi="ＭＳ 明朝"/>
        </w:rPr>
        <w:t>附則</w:t>
      </w:r>
    </w:p>
    <w:p>
      <w:pPr>
        <w:pStyle w:val="0"/>
        <w:ind w:left="493" w:leftChars="235"/>
        <w:rPr>
          <w:rFonts w:hint="default" w:ascii="ＭＳ 明朝" w:hAnsi="ＭＳ 明朝"/>
        </w:rPr>
      </w:pPr>
      <w:r>
        <w:rPr>
          <w:rFonts w:hint="eastAsia" w:ascii="ＭＳ 明朝" w:hAnsi="ＭＳ 明朝"/>
        </w:rPr>
        <w:t>１　この要綱は、令和４年９月２日から施行する。</w:t>
      </w:r>
    </w:p>
    <w:p>
      <w:pPr>
        <w:pStyle w:val="0"/>
        <w:ind w:left="493" w:leftChars="235"/>
        <w:rPr>
          <w:rFonts w:hint="default" w:ascii="ＭＳ 明朝" w:hAnsi="ＭＳ 明朝"/>
        </w:rPr>
      </w:pPr>
      <w:r>
        <w:rPr>
          <w:rFonts w:hint="eastAsia" w:ascii="ＭＳ 明朝" w:hAnsi="ＭＳ 明朝"/>
        </w:rPr>
        <w:t>２　この要綱は、令和９年５月</w:t>
      </w:r>
      <w:r>
        <w:rPr>
          <w:rFonts w:hint="eastAsia" w:ascii="ＭＳ 明朝" w:hAnsi="ＭＳ 明朝"/>
        </w:rPr>
        <w:t>31</w:t>
      </w:r>
      <w:r>
        <w:rPr>
          <w:rFonts w:hint="eastAsia" w:ascii="ＭＳ 明朝" w:hAnsi="ＭＳ 明朝"/>
        </w:rPr>
        <w:t>日限り、その効力を失う。ただし、この要綱に基づ　</w:t>
      </w:r>
    </w:p>
    <w:p>
      <w:pPr>
        <w:pStyle w:val="0"/>
        <w:ind w:left="703" w:leftChars="235" w:hanging="210" w:hangingChars="100"/>
        <w:rPr>
          <w:rFonts w:hint="default" w:ascii="ＭＳ 明朝" w:hAnsi="ＭＳ 明朝"/>
        </w:rPr>
      </w:pPr>
      <w:r>
        <w:rPr>
          <w:rFonts w:hint="eastAsia" w:ascii="ＭＳ 明朝" w:hAnsi="ＭＳ 明朝"/>
        </w:rPr>
        <w:t>　き交付された補助金については、第</w:t>
      </w:r>
      <w:r>
        <w:rPr>
          <w:rFonts w:hint="eastAsia" w:ascii="ＭＳ 明朝" w:hAnsi="ＭＳ 明朝"/>
        </w:rPr>
        <w:t>10</w:t>
      </w:r>
      <w:r>
        <w:rPr>
          <w:rFonts w:hint="eastAsia" w:ascii="ＭＳ 明朝" w:hAnsi="ＭＳ 明朝"/>
        </w:rPr>
        <w:t>条第３項、第</w:t>
      </w:r>
      <w:r>
        <w:rPr>
          <w:rFonts w:hint="eastAsia" w:ascii="ＭＳ 明朝" w:hAnsi="ＭＳ 明朝"/>
        </w:rPr>
        <w:t>12</w:t>
      </w:r>
      <w:r>
        <w:rPr>
          <w:rFonts w:hint="eastAsia" w:ascii="ＭＳ 明朝" w:hAnsi="ＭＳ 明朝"/>
        </w:rPr>
        <w:t>条、第</w:t>
      </w:r>
      <w:r>
        <w:rPr>
          <w:rFonts w:hint="eastAsia" w:ascii="ＭＳ 明朝" w:hAnsi="ＭＳ 明朝"/>
        </w:rPr>
        <w:t>13</w:t>
      </w:r>
      <w:r>
        <w:rPr>
          <w:rFonts w:hint="eastAsia" w:ascii="ＭＳ 明朝" w:hAnsi="ＭＳ 明朝"/>
        </w:rPr>
        <w:t>条及び第</w:t>
      </w:r>
      <w:r>
        <w:rPr>
          <w:rFonts w:hint="eastAsia" w:ascii="ＭＳ 明朝" w:hAnsi="ＭＳ 明朝"/>
        </w:rPr>
        <w:t>15</w:t>
      </w:r>
      <w:r>
        <w:rPr>
          <w:rFonts w:hint="eastAsia" w:ascii="ＭＳ 明朝" w:hAnsi="ＭＳ 明朝"/>
        </w:rPr>
        <w:t>条の規定は同日以降もなおその効力を有する。</w:t>
      </w:r>
    </w:p>
    <w:p>
      <w:pPr>
        <w:pStyle w:val="0"/>
        <w:ind w:left="283" w:leftChars="135"/>
        <w:rPr>
          <w:rFonts w:hint="default" w:ascii="ＭＳ 明朝" w:hAnsi="ＭＳ 明朝"/>
        </w:rPr>
      </w:pPr>
      <w:r>
        <w:rPr>
          <w:rFonts w:hint="eastAsia" w:ascii="ＭＳ 明朝" w:hAnsi="ＭＳ 明朝"/>
        </w:rPr>
        <w:t>附則</w:t>
      </w:r>
    </w:p>
    <w:p>
      <w:pPr>
        <w:pStyle w:val="0"/>
        <w:ind w:left="284" w:leftChars="135" w:firstLine="630" w:firstLineChars="300"/>
        <w:rPr>
          <w:rFonts w:hint="default" w:ascii="ＭＳ 明朝" w:hAnsi="ＭＳ 明朝"/>
          <w:sz w:val="22"/>
        </w:rPr>
        <w:sectPr>
          <w:pgSz w:w="11906" w:h="16838"/>
          <w:pgMar w:top="1701" w:right="1701" w:bottom="1701" w:left="1701" w:header="851" w:footer="992" w:gutter="0"/>
          <w:cols w:space="720"/>
          <w:textDirection w:val="lrTb"/>
          <w:docGrid w:type="lines" w:linePitch="288"/>
        </w:sectPr>
      </w:pPr>
      <w:r>
        <w:rPr>
          <w:rFonts w:hint="eastAsia" w:ascii="ＭＳ 明朝" w:hAnsi="ＭＳ 明朝"/>
        </w:rPr>
        <w:t>この要綱は、令和６年６月４</w:t>
      </w:r>
      <w:bookmarkStart w:id="0" w:name="_GoBack"/>
      <w:bookmarkEnd w:id="0"/>
      <w:r>
        <w:rPr>
          <w:rFonts w:hint="eastAsia" w:ascii="ＭＳ 明朝" w:hAnsi="ＭＳ 明朝"/>
        </w:rPr>
        <w:t>日から施行する。　</w:t>
      </w:r>
    </w:p>
    <w:p>
      <w:pPr>
        <w:pStyle w:val="0"/>
        <w:rPr>
          <w:rFonts w:hint="default" w:ascii="ＭＳ 明朝" w:hAnsi="ＭＳ 明朝"/>
        </w:rPr>
      </w:pPr>
      <w:r>
        <w:rPr>
          <w:rFonts w:hint="eastAsia" w:ascii="ＭＳ 明朝" w:hAnsi="ＭＳ 明朝"/>
        </w:rPr>
        <w:t>別表第１（第３条関係）</w:t>
      </w:r>
    </w:p>
    <w:tbl>
      <w:tblPr>
        <w:tblStyle w:val="11"/>
        <w:tblW w:w="9579"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75"/>
        <w:gridCol w:w="1682"/>
        <w:gridCol w:w="3171"/>
        <w:gridCol w:w="1875"/>
        <w:gridCol w:w="1876"/>
      </w:tblGrid>
      <w:tr>
        <w:trPr>
          <w:trHeight w:val="420" w:hRule="atLeast"/>
        </w:trPr>
        <w:tc>
          <w:tcPr>
            <w:tcW w:w="2662" w:type="dxa"/>
            <w:gridSpan w:val="2"/>
            <w:vAlign w:val="center"/>
          </w:tcPr>
          <w:p>
            <w:pPr>
              <w:pStyle w:val="0"/>
              <w:jc w:val="center"/>
              <w:rPr>
                <w:rFonts w:hint="default" w:ascii="ＭＳ 明朝" w:hAnsi="ＭＳ 明朝"/>
              </w:rPr>
            </w:pPr>
            <w:r>
              <w:rPr>
                <w:rFonts w:hint="eastAsia" w:ascii="ＭＳ 明朝" w:hAnsi="ＭＳ 明朝"/>
              </w:rPr>
              <w:t>補助対象事業</w:t>
            </w:r>
          </w:p>
        </w:tc>
        <w:tc>
          <w:tcPr>
            <w:tcW w:w="3197" w:type="dxa"/>
            <w:vAlign w:val="center"/>
          </w:tcPr>
          <w:p>
            <w:pPr>
              <w:pStyle w:val="0"/>
              <w:jc w:val="center"/>
              <w:rPr>
                <w:rFonts w:hint="default" w:ascii="ＭＳ 明朝" w:hAnsi="ＭＳ 明朝"/>
              </w:rPr>
            </w:pPr>
            <w:r>
              <w:rPr>
                <w:rFonts w:hint="eastAsia" w:ascii="ＭＳ 明朝" w:hAnsi="ＭＳ 明朝"/>
              </w:rPr>
              <w:t>経費</w:t>
            </w:r>
          </w:p>
        </w:tc>
        <w:tc>
          <w:tcPr>
            <w:tcW w:w="1890" w:type="dxa"/>
            <w:vAlign w:val="center"/>
          </w:tcPr>
          <w:p>
            <w:pPr>
              <w:pStyle w:val="0"/>
              <w:jc w:val="center"/>
              <w:rPr>
                <w:rFonts w:hint="default"/>
              </w:rPr>
            </w:pPr>
            <w:r>
              <w:rPr>
                <w:rFonts w:hint="eastAsia"/>
              </w:rPr>
              <w:t>補助率等</w:t>
            </w:r>
          </w:p>
        </w:tc>
        <w:tc>
          <w:tcPr>
            <w:tcW w:w="1890" w:type="dxa"/>
            <w:vAlign w:val="center"/>
          </w:tcPr>
          <w:p>
            <w:pPr>
              <w:pStyle w:val="0"/>
              <w:jc w:val="center"/>
              <w:rPr>
                <w:rFonts w:hint="eastAsia"/>
              </w:rPr>
            </w:pPr>
            <w:r>
              <w:rPr>
                <w:rFonts w:hint="eastAsia"/>
              </w:rPr>
              <w:t>備考</w:t>
            </w:r>
          </w:p>
        </w:tc>
      </w:tr>
      <w:tr>
        <w:trPr>
          <w:trHeight w:val="3254" w:hRule="atLeast"/>
        </w:trPr>
        <w:tc>
          <w:tcPr>
            <w:tcW w:w="98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ascii="ＭＳ 明朝" w:hAnsi="ＭＳ 明朝"/>
              </w:rPr>
              <w:t>集落ビジョンの実現に向けた取組</w:t>
            </w:r>
          </w:p>
        </w:tc>
        <w:tc>
          <w:tcPr>
            <w:tcW w:w="1694" w:type="dxa"/>
            <w:vAlign w:val="top"/>
          </w:tcPr>
          <w:p>
            <w:pPr>
              <w:pStyle w:val="0"/>
              <w:rPr>
                <w:rFonts w:hint="default" w:ascii="ＭＳ 明朝" w:hAnsi="ＭＳ 明朝"/>
              </w:rPr>
            </w:pPr>
            <w:r>
              <w:rPr>
                <w:rFonts w:hint="eastAsia" w:ascii="ＭＳ 明朝" w:hAnsi="ＭＳ 明朝"/>
              </w:rPr>
              <w:t>（１）中核となる若者等の雇用（注１）</w:t>
            </w:r>
          </w:p>
        </w:tc>
        <w:tc>
          <w:tcPr>
            <w:tcW w:w="3197" w:type="dxa"/>
            <w:vAlign w:val="top"/>
          </w:tcPr>
          <w:p>
            <w:pPr>
              <w:pStyle w:val="0"/>
              <w:kinsoku w:val="0"/>
              <w:overflowPunct w:val="0"/>
              <w:autoSpaceDE w:val="0"/>
              <w:autoSpaceDN w:val="0"/>
              <w:adjustRightInd w:val="0"/>
              <w:snapToGrid w:val="0"/>
              <w:ind w:firstLine="200" w:firstLineChars="100"/>
              <w:rPr>
                <w:rFonts w:hint="default" w:ascii="ＭＳ 明朝" w:hAnsi="ＭＳ 明朝"/>
                <w:sz w:val="20"/>
              </w:rPr>
            </w:pPr>
            <w:r>
              <w:rPr>
                <w:rFonts w:hint="eastAsia" w:ascii="ＭＳ 明朝" w:hAnsi="ＭＳ 明朝"/>
                <w:sz w:val="20"/>
              </w:rPr>
              <w:t>実施要綱別紙１－２の基準を満たす中核となる若者等の雇用の場合において、当該若者等を雇用する際に必要となる以下の経費であること（注２）</w:t>
            </w:r>
          </w:p>
          <w:p>
            <w:pPr>
              <w:pStyle w:val="0"/>
              <w:kinsoku w:val="0"/>
              <w:overflowPunct w:val="0"/>
              <w:autoSpaceDE w:val="0"/>
              <w:autoSpaceDN w:val="0"/>
              <w:adjustRightInd w:val="0"/>
              <w:snapToGrid w:val="0"/>
              <w:ind w:left="200" w:hanging="200" w:hangingChars="100"/>
              <w:rPr>
                <w:rFonts w:hint="default" w:ascii="ＭＳ 明朝" w:hAnsi="ＭＳ 明朝"/>
                <w:sz w:val="20"/>
              </w:rPr>
            </w:pPr>
            <w:r>
              <w:rPr>
                <w:rFonts w:hint="eastAsia" w:ascii="ＭＳ 明朝" w:hAnsi="ＭＳ 明朝"/>
                <w:sz w:val="20"/>
              </w:rPr>
              <w:t>①給料（フルタイムの場合）又は報酬（パートタイムの場合）</w:t>
            </w:r>
          </w:p>
          <w:p>
            <w:pPr>
              <w:pStyle w:val="0"/>
              <w:kinsoku w:val="0"/>
              <w:overflowPunct w:val="0"/>
              <w:autoSpaceDE w:val="0"/>
              <w:autoSpaceDN w:val="0"/>
              <w:adjustRightInd w:val="0"/>
              <w:snapToGrid w:val="0"/>
              <w:ind w:left="200" w:hanging="200" w:hangingChars="100"/>
              <w:rPr>
                <w:rFonts w:hint="default" w:ascii="ＭＳ 明朝" w:hAnsi="ＭＳ 明朝"/>
              </w:rPr>
            </w:pPr>
            <w:r>
              <w:rPr>
                <w:rFonts w:hint="eastAsia" w:ascii="ＭＳ 明朝" w:hAnsi="ＭＳ 明朝"/>
                <w:sz w:val="20"/>
              </w:rPr>
              <w:t>②給料又は報酬が支弁される者に対する扶養手当、調整手当、住居手当、通勤手当、時間外手当、期末手当、勤勉手当、社会保険料及び労働保険料</w:t>
            </w:r>
          </w:p>
        </w:tc>
        <w:tc>
          <w:tcPr>
            <w:tcW w:w="1890" w:type="dxa"/>
            <w:vAlign w:val="top"/>
          </w:tcPr>
          <w:p>
            <w:pPr>
              <w:pStyle w:val="0"/>
              <w:rPr>
                <w:rFonts w:hint="default" w:ascii="ＭＳ 明朝" w:hAnsi="ＭＳ 明朝"/>
              </w:rPr>
            </w:pPr>
            <w:r>
              <w:rPr>
                <w:rFonts w:hint="eastAsia" w:ascii="ＭＳ 明朝" w:hAnsi="ＭＳ 明朝"/>
              </w:rPr>
              <w:t>定額（上限額</w:t>
            </w:r>
            <w:r>
              <w:rPr>
                <w:rFonts w:hint="eastAsia" w:ascii="ＭＳ 明朝" w:hAnsi="ＭＳ 明朝"/>
              </w:rPr>
              <w:t>1</w:t>
            </w:r>
            <w:r>
              <w:rPr>
                <w:rFonts w:hint="eastAsia" w:ascii="ＭＳ 明朝" w:hAnsi="ＭＳ 明朝"/>
              </w:rPr>
              <w:t>年あたり</w:t>
            </w:r>
            <w:r>
              <w:rPr>
                <w:rFonts w:hint="eastAsia" w:ascii="ＭＳ 明朝" w:hAnsi="ＭＳ 明朝"/>
              </w:rPr>
              <w:t>100</w:t>
            </w:r>
            <w:r>
              <w:rPr>
                <w:rFonts w:hint="eastAsia" w:ascii="ＭＳ 明朝" w:hAnsi="ＭＳ 明朝"/>
              </w:rPr>
              <w:t>万円、最大３年）</w:t>
            </w:r>
          </w:p>
          <w:p>
            <w:pPr>
              <w:pStyle w:val="0"/>
              <w:rPr>
                <w:rFonts w:hint="default" w:ascii="ＭＳ 明朝" w:hAnsi="ＭＳ 明朝"/>
              </w:rPr>
            </w:pPr>
          </w:p>
        </w:tc>
        <w:tc>
          <w:tcPr>
            <w:tcW w:w="1755" w:type="dxa"/>
            <w:vMerge w:val="restart"/>
            <w:vAlign w:val="top"/>
          </w:tcPr>
          <w:p>
            <w:pPr>
              <w:pStyle w:val="0"/>
              <w:rPr>
                <w:rFonts w:hint="eastAsia"/>
              </w:rPr>
            </w:pPr>
            <w:r>
              <w:rPr>
                <w:rFonts w:hint="eastAsia"/>
              </w:rPr>
              <w:t>１．第４条に定める間接補助事業者とは集落営農活性化プロジェクト促進事業実施要綱第３の５の（１）の要件を満たす集落営農組織又は集落営農組織が主たる構成員となった連携組織をいう。</w:t>
            </w:r>
          </w:p>
          <w:p>
            <w:pPr>
              <w:pStyle w:val="0"/>
              <w:rPr>
                <w:rFonts w:hint="eastAsia"/>
              </w:rPr>
            </w:pPr>
            <w:r>
              <w:rPr>
                <w:rFonts w:hint="eastAsia"/>
              </w:rPr>
              <w:t>なお、集落営農組織は集落内の概ね過半の農家が何らかの形で集落営農に参加していること。</w:t>
            </w:r>
          </w:p>
          <w:p>
            <w:pPr>
              <w:pStyle w:val="0"/>
              <w:rPr>
                <w:rFonts w:hint="eastAsia"/>
                <w:sz w:val="21"/>
              </w:rPr>
            </w:pPr>
            <w:r>
              <w:rPr>
                <w:rFonts w:hint="eastAsia"/>
                <w:sz w:val="21"/>
              </w:rPr>
              <w:t>２．</w:t>
            </w:r>
            <w:r>
              <w:rPr>
                <w:rFonts w:hint="eastAsia" w:ascii="ＭＳ 明朝" w:hAnsi="ＭＳ 明朝"/>
                <w:sz w:val="21"/>
              </w:rPr>
              <w:t>集落ビジョン等に基づく期間（補助上限額</w:t>
            </w:r>
            <w:r>
              <w:rPr>
                <w:rFonts w:hint="eastAsia" w:ascii="ＭＳ 明朝" w:hAnsi="ＭＳ 明朝"/>
                <w:sz w:val="21"/>
              </w:rPr>
              <w:t>1,000</w:t>
            </w:r>
            <w:r>
              <w:rPr>
                <w:rFonts w:hint="eastAsia" w:ascii="ＭＳ 明朝" w:hAnsi="ＭＳ 明朝"/>
                <w:sz w:val="21"/>
              </w:rPr>
              <w:t>万円）を助成対象とすることができるものとする。</w:t>
            </w:r>
          </w:p>
        </w:tc>
      </w:tr>
      <w:tr>
        <w:trPr>
          <w:trHeight w:val="1425" w:hRule="atLeast"/>
        </w:trPr>
        <w:tc>
          <w:tcPr>
            <w:tcW w:w="98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694" w:type="dxa"/>
            <w:vAlign w:val="top"/>
          </w:tcPr>
          <w:p>
            <w:pPr>
              <w:pStyle w:val="0"/>
              <w:rPr>
                <w:rFonts w:hint="eastAsia"/>
              </w:rPr>
            </w:pPr>
            <w:r>
              <w:rPr>
                <w:rFonts w:hint="eastAsia"/>
                <w:sz w:val="20"/>
              </w:rPr>
              <w:t>（２）収益力の柱となる経営部門の確立</w:t>
            </w:r>
          </w:p>
        </w:tc>
        <w:tc>
          <w:tcPr>
            <w:tcW w:w="3197" w:type="dxa"/>
            <w:vAlign w:val="top"/>
          </w:tcPr>
          <w:p>
            <w:pPr>
              <w:pStyle w:val="0"/>
              <w:ind w:firstLine="200" w:firstLineChars="100"/>
              <w:rPr>
                <w:rFonts w:hint="eastAsia"/>
              </w:rPr>
            </w:pPr>
            <w:r>
              <w:rPr>
                <w:rFonts w:hint="eastAsia"/>
                <w:sz w:val="20"/>
              </w:rPr>
              <w:t>収益力の柱となる経営部門の確立等のため、高収益作物の試験栽培（種苗費、資機材費、燃料費、光熱水費、農業用機械等のリース料等）、加工品の試作（委託費、機械等のリース料等）、販路開拓（展示会等出展費、旅費、販売用のホームページ作成費等）などの経費であること</w:t>
            </w:r>
          </w:p>
        </w:tc>
        <w:tc>
          <w:tcPr>
            <w:tcW w:w="1890" w:type="dxa"/>
            <w:vAlign w:val="top"/>
          </w:tcPr>
          <w:p>
            <w:pPr>
              <w:pStyle w:val="0"/>
              <w:kinsoku w:val="0"/>
              <w:overflowPunct w:val="0"/>
              <w:autoSpaceDE w:val="0"/>
              <w:autoSpaceDN w:val="0"/>
              <w:adjustRightInd w:val="0"/>
              <w:snapToGrid w:val="0"/>
              <w:rPr>
                <w:rFonts w:hint="default"/>
                <w:sz w:val="20"/>
              </w:rPr>
            </w:pPr>
            <w:r>
              <w:rPr>
                <w:rFonts w:hint="eastAsia"/>
                <w:sz w:val="20"/>
              </w:rPr>
              <w:t>定額</w:t>
            </w:r>
          </w:p>
          <w:p>
            <w:pPr>
              <w:pStyle w:val="0"/>
              <w:rPr>
                <w:rFonts w:hint="eastAsia"/>
              </w:rPr>
            </w:pPr>
            <w:r>
              <w:rPr>
                <w:rFonts w:hint="eastAsia"/>
                <w:sz w:val="20"/>
              </w:rPr>
              <w:t>なお、高収益作物の試験栽培を実施する場合は、１集落ビジョン等当たり２作物（１作物</w:t>
            </w:r>
            <w:r>
              <w:rPr>
                <w:rFonts w:hint="default"/>
                <w:sz w:val="20"/>
              </w:rPr>
              <w:t>30a</w:t>
            </w:r>
            <w:r>
              <w:rPr>
                <w:rFonts w:hint="default"/>
                <w:sz w:val="20"/>
              </w:rPr>
              <w:t>までの経費が上限）まで補助対象とすることができるものとする。</w:t>
            </w:r>
          </w:p>
        </w:tc>
        <w:tc>
          <w:tcPr>
            <w:tcW w:w="1755" w:type="dxa"/>
            <w:vMerge w:val="continue"/>
            <w:vAlign w:val="top"/>
          </w:tcPr>
          <w:p>
            <w:pPr>
              <w:pStyle w:val="0"/>
              <w:rPr>
                <w:rFonts w:hint="eastAsia"/>
              </w:rPr>
            </w:pPr>
          </w:p>
        </w:tc>
      </w:tr>
      <w:tr>
        <w:trPr>
          <w:trHeight w:val="1425" w:hRule="atLeast"/>
        </w:trPr>
        <w:tc>
          <w:tcPr>
            <w:tcW w:w="98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94" w:type="dxa"/>
            <w:vAlign w:val="top"/>
          </w:tcPr>
          <w:p>
            <w:pPr>
              <w:pStyle w:val="0"/>
              <w:rPr>
                <w:rFonts w:hint="default" w:ascii="ＭＳ 明朝" w:hAnsi="ＭＳ 明朝"/>
              </w:rPr>
            </w:pPr>
            <w:r>
              <w:rPr>
                <w:rFonts w:hint="eastAsia" w:ascii="ＭＳ 明朝" w:hAnsi="ＭＳ 明朝"/>
              </w:rPr>
              <w:t>（３）組織の法人化</w:t>
            </w:r>
          </w:p>
          <w:p>
            <w:pPr>
              <w:pStyle w:val="0"/>
              <w:rPr>
                <w:rFonts w:hint="default" w:ascii="ＭＳ 明朝" w:hAnsi="ＭＳ 明朝"/>
              </w:rPr>
            </w:pPr>
          </w:p>
        </w:tc>
        <w:tc>
          <w:tcPr>
            <w:tcW w:w="3197" w:type="dxa"/>
            <w:vAlign w:val="top"/>
          </w:tcPr>
          <w:p>
            <w:pPr>
              <w:pStyle w:val="0"/>
              <w:rPr>
                <w:rFonts w:hint="default" w:ascii="ＭＳ 明朝" w:hAnsi="ＭＳ 明朝"/>
              </w:rPr>
            </w:pPr>
            <w:r>
              <w:rPr>
                <w:rFonts w:hint="eastAsia" w:ascii="ＭＳ 明朝" w:hAnsi="ＭＳ 明朝"/>
              </w:rPr>
              <w:t>　信用力向上等に向けた組織の法人化に必要な経費であること</w:t>
            </w:r>
          </w:p>
        </w:tc>
        <w:tc>
          <w:tcPr>
            <w:tcW w:w="1890" w:type="dxa"/>
            <w:vAlign w:val="top"/>
          </w:tcPr>
          <w:p>
            <w:pPr>
              <w:pStyle w:val="0"/>
              <w:rPr>
                <w:rFonts w:hint="default" w:ascii="ＭＳ 明朝" w:hAnsi="ＭＳ 明朝"/>
              </w:rPr>
            </w:pPr>
            <w:r>
              <w:rPr>
                <w:rFonts w:hint="eastAsia" w:ascii="ＭＳ 明朝" w:hAnsi="ＭＳ 明朝"/>
              </w:rPr>
              <w:t>定額（法人化した組織に対して</w:t>
            </w:r>
            <w:r>
              <w:rPr>
                <w:rFonts w:hint="eastAsia" w:ascii="ＭＳ 明朝" w:hAnsi="ＭＳ 明朝"/>
              </w:rPr>
              <w:t>25</w:t>
            </w:r>
            <w:r>
              <w:rPr>
                <w:rFonts w:hint="eastAsia" w:ascii="ＭＳ 明朝" w:hAnsi="ＭＳ 明朝"/>
              </w:rPr>
              <w:t>万円を補助するものとする。）</w:t>
            </w:r>
          </w:p>
        </w:tc>
        <w:tc>
          <w:tcPr>
            <w:tcW w:w="1755" w:type="dxa"/>
            <w:vMerge w:val="continue"/>
            <w:vAlign w:val="top"/>
          </w:tcPr>
          <w:p>
            <w:pPr>
              <w:pStyle w:val="0"/>
              <w:rPr>
                <w:rFonts w:hint="eastAsia"/>
              </w:rPr>
            </w:pPr>
          </w:p>
        </w:tc>
      </w:tr>
      <w:tr>
        <w:trPr>
          <w:trHeight w:val="1172" w:hRule="atLeast"/>
        </w:trPr>
        <w:tc>
          <w:tcPr>
            <w:tcW w:w="98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94" w:type="dxa"/>
            <w:vAlign w:val="top"/>
          </w:tcPr>
          <w:p>
            <w:pPr>
              <w:pStyle w:val="0"/>
              <w:rPr>
                <w:rFonts w:hint="default" w:ascii="ＭＳ 明朝" w:hAnsi="ＭＳ 明朝"/>
              </w:rPr>
            </w:pPr>
            <w:r>
              <w:rPr>
                <w:rFonts w:hint="eastAsia" w:ascii="ＭＳ 明朝" w:hAnsi="ＭＳ 明朝"/>
                <w:sz w:val="20"/>
              </w:rPr>
              <w:t>（４）共同利用機械等の導入（注３）</w:t>
            </w:r>
          </w:p>
          <w:p>
            <w:pPr>
              <w:pStyle w:val="0"/>
              <w:rPr>
                <w:rFonts w:hint="default" w:ascii="ＭＳ 明朝" w:hAnsi="ＭＳ 明朝"/>
              </w:rPr>
            </w:pPr>
          </w:p>
        </w:tc>
        <w:tc>
          <w:tcPr>
            <w:tcW w:w="3197" w:type="dxa"/>
            <w:vAlign w:val="top"/>
          </w:tcPr>
          <w:p>
            <w:pPr>
              <w:pStyle w:val="0"/>
              <w:kinsoku w:val="0"/>
              <w:overflowPunct w:val="0"/>
              <w:autoSpaceDE w:val="0"/>
              <w:autoSpaceDN w:val="0"/>
              <w:adjustRightInd w:val="0"/>
              <w:snapToGrid w:val="0"/>
              <w:ind w:firstLine="200" w:firstLineChars="100"/>
              <w:rPr>
                <w:rFonts w:hint="default" w:ascii="ＭＳ 明朝" w:hAnsi="ＭＳ 明朝"/>
              </w:rPr>
            </w:pPr>
            <w:r>
              <w:rPr>
                <w:rFonts w:hint="eastAsia" w:ascii="ＭＳ 明朝" w:hAnsi="ＭＳ 明朝"/>
                <w:sz w:val="20"/>
              </w:rPr>
              <w:t>実施要綱別紙１－３の基準を満たす共同利用機械等を導入する場合において、効率的な生産のために必要となる農業用機械等の導入経費であること</w:t>
            </w:r>
          </w:p>
        </w:tc>
        <w:tc>
          <w:tcPr>
            <w:tcW w:w="1890" w:type="dxa"/>
            <w:vAlign w:val="top"/>
          </w:tcPr>
          <w:p>
            <w:pPr>
              <w:pStyle w:val="0"/>
              <w:kinsoku w:val="0"/>
              <w:overflowPunct w:val="0"/>
              <w:autoSpaceDE w:val="0"/>
              <w:autoSpaceDN w:val="0"/>
              <w:adjustRightInd w:val="0"/>
              <w:snapToGrid w:val="0"/>
              <w:rPr>
                <w:rFonts w:hint="default" w:ascii="ＭＳ 明朝" w:hAnsi="ＭＳ 明朝"/>
                <w:sz w:val="20"/>
              </w:rPr>
            </w:pPr>
            <w:r>
              <w:rPr>
                <w:rFonts w:hint="eastAsia" w:ascii="ＭＳ 明朝" w:hAnsi="ＭＳ 明朝"/>
                <w:sz w:val="20"/>
              </w:rPr>
              <w:t>２分の１以内</w:t>
            </w:r>
          </w:p>
        </w:tc>
        <w:tc>
          <w:tcPr>
            <w:tcW w:w="1755" w:type="dxa"/>
            <w:vMerge w:val="continue"/>
            <w:vAlign w:val="top"/>
          </w:tcPr>
          <w:p>
            <w:pPr>
              <w:pStyle w:val="0"/>
              <w:rPr>
                <w:rFonts w:hint="eastAsia"/>
              </w:rPr>
            </w:pPr>
          </w:p>
        </w:tc>
      </w:tr>
    </w:tbl>
    <w:p>
      <w:pPr>
        <w:pStyle w:val="0"/>
        <w:kinsoku w:val="0"/>
        <w:overflowPunct w:val="0"/>
        <w:autoSpaceDE w:val="0"/>
        <w:autoSpaceDN w:val="0"/>
        <w:adjustRightInd w:val="0"/>
        <w:snapToGrid w:val="0"/>
        <w:ind w:left="540" w:hanging="540" w:hangingChars="300"/>
        <w:rPr>
          <w:rFonts w:hint="default" w:ascii="ＭＳ 明朝" w:hAnsi="ＭＳ 明朝"/>
          <w:sz w:val="18"/>
        </w:rPr>
      </w:pPr>
      <w:r>
        <w:rPr>
          <w:rFonts w:hint="eastAsia" w:ascii="ＭＳ 明朝" w:hAnsi="ＭＳ 明朝"/>
          <w:sz w:val="18"/>
        </w:rPr>
        <w:t>（注１）若者等の雇用については、目標年度以降も雇用契約等により、間接補助事業者である集落営農組織等の中核的な人材としての活動していくことを目指す高い意欲が認められ、かつ、当該間接補助事業者との間で、正規の従業員として期間の定めのない雇用契約を締結すること又は７か月以上の雇用契約を締結した後に翌年度以降も７か月以上の雇用契約を目標年度まで締結する意思を示していること。</w:t>
      </w:r>
    </w:p>
    <w:p>
      <w:pPr>
        <w:pStyle w:val="0"/>
        <w:kinsoku w:val="0"/>
        <w:overflowPunct w:val="0"/>
        <w:autoSpaceDE w:val="0"/>
        <w:autoSpaceDN w:val="0"/>
        <w:adjustRightInd w:val="0"/>
        <w:snapToGrid w:val="0"/>
        <w:ind w:left="517" w:leftChars="246" w:firstLine="191" w:firstLineChars="106"/>
        <w:rPr>
          <w:rFonts w:hint="default" w:ascii="ＭＳ 明朝" w:hAnsi="ＭＳ 明朝"/>
          <w:sz w:val="18"/>
        </w:rPr>
      </w:pPr>
      <w:r>
        <w:rPr>
          <w:rFonts w:hint="eastAsia" w:ascii="ＭＳ 明朝" w:hAnsi="ＭＳ 明朝"/>
          <w:sz w:val="18"/>
        </w:rPr>
        <w:t>なお、間接補助事業者が法人格を有しない等の理由で雇用契約の締結が困難な場合は、その構成員である個人等が中核となる若者等を新たに雇用することができるものとする。</w:t>
      </w:r>
    </w:p>
    <w:p>
      <w:pPr>
        <w:pStyle w:val="0"/>
        <w:adjustRightInd w:val="0"/>
        <w:snapToGrid w:val="0"/>
        <w:rPr>
          <w:rFonts w:hint="default" w:ascii="ＭＳ 明朝" w:hAnsi="ＭＳ 明朝"/>
          <w:sz w:val="18"/>
        </w:rPr>
      </w:pPr>
      <w:r>
        <w:rPr>
          <w:rFonts w:hint="eastAsia" w:ascii="ＭＳ 明朝" w:hAnsi="ＭＳ 明朝"/>
          <w:sz w:val="18"/>
        </w:rPr>
        <w:t>（注２）若者等を雇用する経費については、</w:t>
      </w:r>
    </w:p>
    <w:p>
      <w:pPr>
        <w:pStyle w:val="0"/>
        <w:adjustRightInd w:val="0"/>
        <w:snapToGrid w:val="0"/>
        <w:ind w:left="1021" w:leftChars="407" w:hanging="166" w:hangingChars="92"/>
        <w:rPr>
          <w:rFonts w:hint="default" w:ascii="ＭＳ 明朝" w:hAnsi="ＭＳ 明朝"/>
          <w:sz w:val="18"/>
        </w:rPr>
      </w:pPr>
      <w:r>
        <w:rPr>
          <w:rFonts w:hint="eastAsia" w:ascii="ＭＳ 明朝" w:hAnsi="ＭＳ 明朝"/>
          <w:sz w:val="18"/>
        </w:rPr>
        <w:t>①　就業規則（又は給与規定）や雇用契約の定めに沿って支給され、かつ、間接補助事業者である集落営農組織において同等の業務に従事する従業員（雇用実績のない間接補助事業者については、地域で同程度の業務に従事する従業員）の賃金や手当の水準を参考として、社会通念上、著しく過大な額でないこと。</w:t>
      </w:r>
    </w:p>
    <w:p>
      <w:pPr>
        <w:pStyle w:val="0"/>
        <w:adjustRightInd w:val="0"/>
        <w:snapToGrid w:val="0"/>
        <w:ind w:left="1020" w:leftChars="400" w:hanging="180" w:hangingChars="100"/>
        <w:rPr>
          <w:rFonts w:hint="default" w:ascii="ＭＳ 明朝" w:hAnsi="ＭＳ 明朝"/>
          <w:sz w:val="18"/>
        </w:rPr>
      </w:pPr>
      <w:r>
        <w:rPr>
          <w:rFonts w:hint="eastAsia" w:ascii="ＭＳ 明朝" w:hAnsi="ＭＳ 明朝"/>
          <w:sz w:val="18"/>
        </w:rPr>
        <w:t>②　当該若者等が農畜産物の生産及び農畜産物の加工・販売その他の関連・附帯事業に従事した時間を基に算定された経費であること。</w:t>
      </w:r>
    </w:p>
    <w:p>
      <w:pPr>
        <w:pStyle w:val="0"/>
        <w:kinsoku w:val="0"/>
        <w:overflowPunct w:val="0"/>
        <w:autoSpaceDE w:val="0"/>
        <w:autoSpaceDN w:val="0"/>
        <w:adjustRightInd w:val="0"/>
        <w:snapToGrid w:val="0"/>
        <w:ind w:left="540" w:hanging="540" w:hangingChars="300"/>
        <w:rPr>
          <w:rFonts w:hint="default"/>
          <w:sz w:val="18"/>
        </w:rPr>
        <w:sectPr>
          <w:pgSz w:w="11906" w:h="16838"/>
          <w:pgMar w:top="1440" w:right="1077" w:bottom="1440" w:left="1077" w:header="680" w:footer="680" w:gutter="0"/>
          <w:cols w:space="720"/>
          <w:textDirection w:val="lrTb"/>
          <w:docGrid w:type="lines" w:linePitch="348"/>
        </w:sectPr>
      </w:pPr>
      <w:r>
        <w:rPr>
          <w:rFonts w:hint="eastAsia" w:ascii="ＭＳ 明朝" w:hAnsi="ＭＳ 明朝"/>
          <w:sz w:val="18"/>
        </w:rPr>
        <w:t>（注３）共同利用機械等の導入に当たっては、農業機械施設補助の整理合理化について（昭和</w:t>
      </w:r>
      <w:r>
        <w:rPr>
          <w:rFonts w:hint="eastAsia" w:ascii="ＭＳ 明朝" w:hAnsi="ＭＳ 明朝"/>
          <w:sz w:val="18"/>
        </w:rPr>
        <w:t>57</w:t>
      </w:r>
      <w:r>
        <w:rPr>
          <w:rFonts w:hint="eastAsia" w:ascii="ＭＳ 明朝" w:hAnsi="ＭＳ 明朝"/>
          <w:sz w:val="18"/>
        </w:rPr>
        <w:t>年４月５日付け</w:t>
      </w:r>
      <w:r>
        <w:rPr>
          <w:rFonts w:hint="eastAsia" w:ascii="ＭＳ 明朝" w:hAnsi="ＭＳ 明朝"/>
          <w:sz w:val="18"/>
        </w:rPr>
        <w:t>57</w:t>
      </w:r>
      <w:r>
        <w:rPr>
          <w:rFonts w:hint="eastAsia" w:ascii="ＭＳ 明朝" w:hAnsi="ＭＳ 明朝"/>
          <w:sz w:val="18"/>
        </w:rPr>
        <w:t>予第</w:t>
      </w:r>
      <w:r>
        <w:rPr>
          <w:rFonts w:hint="eastAsia" w:ascii="ＭＳ 明朝" w:hAnsi="ＭＳ 明朝"/>
          <w:sz w:val="18"/>
        </w:rPr>
        <w:t>401</w:t>
      </w:r>
      <w:r>
        <w:rPr>
          <w:rFonts w:hint="eastAsia" w:ascii="ＭＳ 明朝" w:hAnsi="ＭＳ 明朝"/>
          <w:sz w:val="18"/>
        </w:rPr>
        <w:t>号農林水産事務次官依命通知）の基準を適用しないものとする。</w:t>
      </w:r>
    </w:p>
    <w:p>
      <w:pPr>
        <w:pStyle w:val="21"/>
        <w:widowControl w:val="0"/>
        <w:overflowPunct w:val="0"/>
        <w:autoSpaceDE w:val="0"/>
        <w:autoSpaceDN w:val="0"/>
        <w:ind w:left="99" w:leftChars="47" w:firstLine="0" w:firstLineChars="0"/>
        <w:jc w:val="both"/>
        <w:rPr>
          <w:rFonts w:hint="default"/>
          <w:sz w:val="21"/>
        </w:rPr>
      </w:pPr>
      <w:r>
        <w:rPr>
          <w:rFonts w:hint="eastAsia"/>
          <w:sz w:val="21"/>
        </w:rPr>
        <w:t>別表第２（第</w:t>
      </w:r>
      <w:r>
        <w:rPr>
          <w:rFonts w:hint="eastAsia"/>
          <w:sz w:val="21"/>
        </w:rPr>
        <w:t>13</w:t>
      </w:r>
      <w:r>
        <w:rPr>
          <w:rFonts w:hint="eastAsia"/>
          <w:sz w:val="21"/>
        </w:rPr>
        <w:t>条関係）</w:t>
      </w:r>
    </w:p>
    <w:p>
      <w:pPr>
        <w:pStyle w:val="0"/>
        <w:ind w:left="210" w:hanging="210" w:hangingChars="100"/>
        <w:rPr>
          <w:rFonts w:hint="default" w:ascii="ＭＳ 明朝" w:hAnsi="ＭＳ 明朝"/>
        </w:rPr>
      </w:pPr>
      <w:r>
        <w:rPr>
          <w:rFonts w:hint="eastAsia" w:ascii="ＭＳ 明朝" w:hAnsi="ＭＳ 明朝"/>
        </w:rPr>
        <w:t>１　暴力団（高知県暴力団排除条例（平成</w:t>
      </w:r>
      <w:r>
        <w:rPr>
          <w:rFonts w:hint="eastAsia" w:ascii="ＭＳ 明朝" w:hAnsi="ＭＳ 明朝"/>
        </w:rPr>
        <w:t>22</w:t>
      </w:r>
      <w:r>
        <w:rPr>
          <w:rFonts w:hint="eastAsia" w:ascii="ＭＳ 明朝" w:hAnsi="ＭＳ 明朝"/>
        </w:rPr>
        <w:t>年高知県条例第</w:t>
      </w:r>
      <w:r>
        <w:rPr>
          <w:rFonts w:hint="eastAsia" w:ascii="ＭＳ 明朝" w:hAnsi="ＭＳ 明朝"/>
        </w:rPr>
        <w:t>36</w:t>
      </w:r>
      <w:r>
        <w:rPr>
          <w:rFonts w:hint="eastAsia" w:ascii="ＭＳ 明朝" w:hAnsi="ＭＳ 明朝"/>
        </w:rPr>
        <w:t>号。以下「暴排条例」という。）第２条第１号に規定する暴力団をいう。以下同じ。）又は暴力団員等（同条第３号に規定する暴力団員等をいう。以下同じ。）であるとき。</w:t>
      </w:r>
    </w:p>
    <w:p>
      <w:pPr>
        <w:pStyle w:val="0"/>
        <w:ind w:left="420" w:hanging="420" w:hangingChars="200"/>
        <w:rPr>
          <w:rFonts w:hint="default" w:ascii="ＭＳ 明朝" w:hAnsi="ＭＳ 明朝"/>
        </w:rPr>
      </w:pPr>
      <w:r>
        <w:rPr>
          <w:rFonts w:hint="eastAsia" w:ascii="ＭＳ 明朝" w:hAnsi="ＭＳ 明朝"/>
        </w:rPr>
        <w:t>２　暴排条例第</w:t>
      </w:r>
      <w:r>
        <w:rPr>
          <w:rFonts w:hint="eastAsia" w:ascii="ＭＳ 明朝" w:hAnsi="ＭＳ 明朝"/>
        </w:rPr>
        <w:t>18</w:t>
      </w:r>
      <w:r>
        <w:rPr>
          <w:rFonts w:hint="eastAsia" w:ascii="ＭＳ 明朝" w:hAnsi="ＭＳ 明朝"/>
        </w:rPr>
        <w:t>条又は第</w:t>
      </w:r>
      <w:r>
        <w:rPr>
          <w:rFonts w:hint="eastAsia" w:ascii="ＭＳ 明朝" w:hAnsi="ＭＳ 明朝"/>
        </w:rPr>
        <w:t>19</w:t>
      </w:r>
      <w:r>
        <w:rPr>
          <w:rFonts w:hint="eastAsia" w:ascii="ＭＳ 明朝" w:hAnsi="ＭＳ 明朝"/>
        </w:rPr>
        <w:t>条の規定に違反した事実があるとき。</w:t>
      </w:r>
    </w:p>
    <w:p>
      <w:pPr>
        <w:pStyle w:val="0"/>
        <w:ind w:left="210" w:hanging="210" w:hangingChars="100"/>
        <w:rPr>
          <w:rFonts w:hint="default" w:ascii="ＭＳ 明朝" w:hAnsi="ＭＳ 明朝"/>
        </w:rPr>
      </w:pPr>
      <w:r>
        <w:rPr>
          <w:rFonts w:hint="eastAsia" w:ascii="ＭＳ 明朝" w:hAnsi="ＭＳ 明朝"/>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0"/>
        <w:ind w:left="420" w:hanging="420" w:hangingChars="200"/>
        <w:rPr>
          <w:rFonts w:hint="default" w:ascii="ＭＳ 明朝" w:hAnsi="ＭＳ 明朝"/>
        </w:rPr>
      </w:pPr>
      <w:r>
        <w:rPr>
          <w:rFonts w:hint="eastAsia" w:ascii="ＭＳ 明朝" w:hAnsi="ＭＳ 明朝"/>
        </w:rPr>
        <w:t>４　暴力団員等がその事業活動を支配しているとき。</w:t>
      </w:r>
    </w:p>
    <w:p>
      <w:pPr>
        <w:pStyle w:val="0"/>
        <w:ind w:left="420" w:hanging="420" w:hangingChars="200"/>
        <w:rPr>
          <w:rFonts w:hint="default" w:ascii="ＭＳ 明朝" w:hAnsi="ＭＳ 明朝"/>
        </w:rPr>
      </w:pPr>
      <w:r>
        <w:rPr>
          <w:rFonts w:hint="eastAsia" w:ascii="ＭＳ 明朝" w:hAnsi="ＭＳ 明朝"/>
        </w:rPr>
        <w:t>５　暴力団員等をその業務に従事させ、又はその業務の補助者として使用しているとき。</w:t>
      </w:r>
    </w:p>
    <w:p>
      <w:pPr>
        <w:pStyle w:val="0"/>
        <w:ind w:left="420" w:hanging="420" w:hangingChars="200"/>
        <w:rPr>
          <w:rFonts w:hint="default" w:ascii="ＭＳ 明朝" w:hAnsi="ＭＳ 明朝"/>
        </w:rPr>
      </w:pPr>
      <w:r>
        <w:rPr>
          <w:rFonts w:hint="eastAsia" w:ascii="ＭＳ 明朝" w:hAnsi="ＭＳ 明朝"/>
        </w:rPr>
        <w:t>６　暴力団又は暴力団員等がその経営又は運営に実質的に関与しているとき。</w:t>
      </w:r>
    </w:p>
    <w:p>
      <w:pPr>
        <w:pStyle w:val="0"/>
        <w:ind w:left="210" w:hanging="210" w:hangingChars="100"/>
        <w:rPr>
          <w:rFonts w:hint="default" w:ascii="ＭＳ 明朝" w:hAnsi="ＭＳ 明朝"/>
        </w:rPr>
      </w:pPr>
      <w:r>
        <w:rPr>
          <w:rFonts w:hint="eastAsia" w:ascii="ＭＳ 明朝" w:hAnsi="ＭＳ 明朝"/>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0"/>
        <w:ind w:left="210" w:hanging="210" w:hangingChars="100"/>
        <w:rPr>
          <w:rFonts w:hint="default" w:ascii="ＭＳ 明朝" w:hAnsi="ＭＳ 明朝"/>
        </w:rPr>
      </w:pPr>
      <w:r>
        <w:rPr>
          <w:rFonts w:hint="eastAsia" w:ascii="ＭＳ 明朝" w:hAnsi="ＭＳ 明朝"/>
        </w:rPr>
        <w:t>８　業務に関し、暴力団又は暴力団員等が経営又は運営に実質的に関与していると認められる者であることを知りながら、これを利用したとき。</w:t>
      </w:r>
    </w:p>
    <w:p>
      <w:pPr>
        <w:pStyle w:val="0"/>
        <w:ind w:left="210" w:hanging="210" w:hangingChars="100"/>
        <w:rPr>
          <w:rFonts w:hint="default" w:ascii="ＭＳ 明朝" w:hAnsi="ＭＳ 明朝"/>
        </w:rPr>
      </w:pPr>
      <w:r>
        <w:rPr>
          <w:rFonts w:hint="eastAsia" w:ascii="ＭＳ 明朝" w:hAnsi="ＭＳ 明朝"/>
        </w:rPr>
        <w:t>９　その役員が、自己、その属する法人その他の団体若しくは第三者の利益を図り、又は第三者に損害を加えること目的として、暴力団又は暴力団員等を利用したとき。</w:t>
      </w:r>
    </w:p>
    <w:p>
      <w:pPr>
        <w:pStyle w:val="21"/>
        <w:widowControl w:val="0"/>
        <w:overflowPunct w:val="0"/>
        <w:autoSpaceDE w:val="0"/>
        <w:autoSpaceDN w:val="0"/>
        <w:ind w:leftChars="0" w:firstLineChars="0"/>
        <w:jc w:val="both"/>
        <w:rPr>
          <w:rFonts w:hint="default"/>
          <w:sz w:val="21"/>
        </w:rPr>
      </w:pPr>
      <w:r>
        <w:rPr>
          <w:rFonts w:hint="eastAsia"/>
          <w:sz w:val="21"/>
        </w:rPr>
        <w:t>10</w:t>
      </w:r>
      <w:r>
        <w:rPr>
          <w:rFonts w:hint="eastAsia"/>
          <w:sz w:val="21"/>
        </w:rPr>
        <w:t>　その役員が暴力団又は暴力団員等と社会的に非難されるべき関係を有しているとき。</w:t>
      </w:r>
    </w:p>
    <w:sectPr>
      <w:pgSz w:w="11906" w:h="16838"/>
      <w:pgMar w:top="1409" w:right="1701" w:bottom="1701" w:left="1701"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w:panose1 w:val="00000000000000000000"/>
    <w:charset w:val="80"/>
    <w:family w:val="roman"/>
    <w:notTrueType/>
    <w:pitch w:val="fixed"/>
    <w:sig w:usb0="00000000" w:usb1="00000000" w:usb2="00000000" w:usb3="00000000" w:csb0="00000000" w:csb1="00000000"/>
  </w:font>
  <w:font w:name="ＭＳy戀">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14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89" w:lineRule="exact"/>
      <w:jc w:val="both"/>
    </w:pPr>
    <w:rPr>
      <w:rFonts w:ascii="Times New Roman" w:hAnsi="Times New Roman"/>
      <w:spacing w:val="6"/>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Emphasis"/>
    <w:next w:val="20"/>
    <w:link w:val="0"/>
    <w:uiPriority w:val="0"/>
    <w:qFormat/>
    <w:rPr>
      <w:i w:val="1"/>
    </w:rPr>
  </w:style>
  <w:style w:type="paragraph" w:styleId="21" w:customStyle="1">
    <w:name w:val="号ブロックスタイル_通常"/>
    <w:basedOn w:val="0"/>
    <w:next w:val="21"/>
    <w:link w:val="0"/>
    <w:uiPriority w:val="0"/>
    <w:pPr>
      <w:widowControl w:val="1"/>
      <w:ind w:left="100" w:leftChars="100" w:hanging="100" w:hangingChars="100"/>
      <w:jc w:val="left"/>
    </w:pPr>
    <w:rPr>
      <w:rFonts w:ascii="ＭＳ 明朝" w:hAnsi="ＭＳ 明朝"/>
      <w:kern w:val="0"/>
      <w:sz w:val="22"/>
    </w:rPr>
  </w:style>
  <w:style w:type="paragraph" w:styleId="22" w:customStyle="1">
    <w:name w:val="Level2（）"/>
    <w:basedOn w:val="0"/>
    <w:next w:val="22"/>
    <w:link w:val="23"/>
    <w:uiPriority w:val="0"/>
    <w:pPr>
      <w:ind w:left="761" w:leftChars="100" w:hanging="507" w:hangingChars="200"/>
    </w:pPr>
    <w:rPr>
      <w:rFonts w:ascii="ＭＳ 明朝" w:hAnsi="ＭＳ 明朝"/>
      <w:sz w:val="22"/>
    </w:rPr>
  </w:style>
  <w:style w:type="character" w:styleId="23" w:customStyle="1">
    <w:name w:val="Level2（） Char"/>
    <w:next w:val="23"/>
    <w:link w:val="22"/>
    <w:uiPriority w:val="0"/>
    <w:rPr>
      <w:rFonts w:ascii="ＭＳ 明朝" w:hAnsi="ＭＳ 明朝"/>
      <w:kern w:val="2"/>
      <w:sz w:val="22"/>
    </w:rPr>
  </w:style>
  <w:style w:type="paragraph" w:styleId="24" w:customStyle="1">
    <w:name w:val="一太郎８/９"/>
    <w:next w:val="24"/>
    <w:link w:val="0"/>
    <w:uiPriority w:val="0"/>
    <w:pPr>
      <w:widowControl w:val="0"/>
      <w:wordWrap w:val="0"/>
      <w:autoSpaceDE w:val="0"/>
      <w:autoSpaceDN w:val="0"/>
      <w:adjustRightInd w:val="0"/>
      <w:spacing w:line="312" w:lineRule="atLeast"/>
      <w:jc w:val="both"/>
    </w:pPr>
    <w:rPr>
      <w:rFonts w:ascii="ＭＳ 明朝" w:hAnsi="ＭＳ 明朝"/>
      <w:snapToGrid w:val="0"/>
      <w:sz w:val="22"/>
    </w:rPr>
  </w:style>
  <w:style w:type="character" w:styleId="25">
    <w:name w:val="footnote reference"/>
    <w:next w:val="25"/>
    <w:link w:val="0"/>
    <w:uiPriority w:val="0"/>
    <w:semiHidden/>
    <w:rPr>
      <w:vertAlign w:val="superscript"/>
    </w:rPr>
  </w:style>
  <w:style w:type="character" w:styleId="26">
    <w:name w:val="endnote reference"/>
    <w:next w:val="26"/>
    <w:link w:val="0"/>
    <w:uiPriority w:val="0"/>
    <w:semiHidden/>
    <w:rPr>
      <w:vertAlign w:val="superscript"/>
    </w:rPr>
  </w:style>
  <w:style w:type="paragraph" w:styleId="27">
    <w:name w:val="Balloon Text"/>
    <w:basedOn w:val="0"/>
    <w:next w:val="27"/>
    <w:link w:val="28"/>
    <w:uiPriority w:val="0"/>
    <w:semiHidden/>
    <w:rPr>
      <w:rFonts w:ascii="Arial" w:hAnsi="Arial" w:eastAsia="ＭＳ ゴシック"/>
      <w:sz w:val="18"/>
    </w:rPr>
  </w:style>
  <w:style w:type="character" w:styleId="28" w:customStyle="1">
    <w:name w:val="吹き出し (文字)"/>
    <w:next w:val="28"/>
    <w:link w:val="27"/>
    <w:uiPriority w:val="0"/>
    <w:rPr>
      <w:rFonts w:ascii="Arial" w:hAnsi="Arial" w:eastAsia="ＭＳ ゴシック"/>
      <w:kern w:val="2"/>
      <w:sz w:val="18"/>
    </w:rPr>
  </w:style>
  <w:style w:type="paragraph" w:styleId="29" w:customStyle="1">
    <w:name w:val="Level1（）無し"/>
    <w:basedOn w:val="0"/>
    <w:next w:val="29"/>
    <w:link w:val="30"/>
    <w:uiPriority w:val="0"/>
    <w:qFormat/>
    <w:pPr>
      <w:ind w:left="241" w:hanging="241" w:hangingChars="100"/>
    </w:pPr>
    <w:rPr>
      <w:rFonts w:ascii="ＭＳ 明朝" w:hAnsi="ＭＳ 明朝"/>
      <w:kern w:val="0"/>
      <w:sz w:val="22"/>
    </w:rPr>
  </w:style>
  <w:style w:type="character" w:styleId="30" w:customStyle="1">
    <w:name w:val="Level1（）無し Char"/>
    <w:next w:val="30"/>
    <w:link w:val="29"/>
    <w:uiPriority w:val="0"/>
    <w:rPr>
      <w:rFonts w:ascii="ＭＳ 明朝" w:hAnsi="ＭＳ 明朝"/>
      <w:sz w:val="22"/>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2881</TotalTime>
  <Pages>6</Pages>
  <Words>54</Words>
  <Characters>6304</Characters>
  <Application>JUST Note</Application>
  <Lines>1494</Lines>
  <Paragraphs>107</Paragraphs>
  <CharactersWithSpaces>6355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高知県経営体育成事業費補助金実施要綱</dc:title>
  <dc:creator>ioas_user</dc:creator>
  <cp:lastModifiedBy>908159</cp:lastModifiedBy>
  <cp:lastPrinted>2024-05-28T02:11:21Z</cp:lastPrinted>
  <dcterms:created xsi:type="dcterms:W3CDTF">2015-06-12T01:42:00Z</dcterms:created>
  <dcterms:modified xsi:type="dcterms:W3CDTF">2024-05-28T02:49:42Z</dcterms:modified>
  <cp:revision>134</cp:revision>
</cp:coreProperties>
</file>