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sz w:val="20"/>
        </w:rPr>
      </w:pPr>
      <w:bookmarkStart w:id="0" w:name="_GoBack"/>
      <w:bookmarkEnd w:id="0"/>
      <w:r>
        <w:rPr>
          <w:rFonts w:hint="eastAsia" w:ascii="ＭＳ 明朝" w:hAnsi="ＭＳ 明朝" w:eastAsia="ＭＳ 明朝"/>
          <w:sz w:val="20"/>
        </w:rPr>
        <w:t>別表（第３条関係）</w:t>
      </w:r>
    </w:p>
    <w:tbl>
      <w:tblPr>
        <w:tblStyle w:val="17"/>
        <w:tblW w:w="14796" w:type="dxa"/>
        <w:jc w:val="lef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Look w:firstRow="1" w:lastRow="0" w:firstColumn="1" w:lastColumn="0" w:noHBand="0" w:noVBand="1" w:val="04A0"/>
      </w:tblPr>
      <w:tblGrid>
        <w:gridCol w:w="1867"/>
        <w:gridCol w:w="1538"/>
        <w:gridCol w:w="3017"/>
        <w:gridCol w:w="936"/>
        <w:gridCol w:w="3147"/>
        <w:gridCol w:w="1554"/>
        <w:gridCol w:w="2737"/>
      </w:tblGrid>
      <w:tr>
        <w:trPr>
          <w:trHeight w:val="454" w:hRule="atLeast"/>
        </w:trPr>
        <w:tc>
          <w:tcPr>
            <w:tcW w:w="192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000000" w:themeColor="text1"/>
                <w:sz w:val="16"/>
              </w:rPr>
            </w:pPr>
            <w:r>
              <w:rPr>
                <w:rFonts w:hint="eastAsia" w:ascii="ＭＳ 明朝" w:hAnsi="ＭＳ 明朝" w:eastAsia="ＭＳ 明朝"/>
                <w:color w:val="000000" w:themeColor="text1"/>
                <w:sz w:val="16"/>
              </w:rPr>
              <w:t>補助事業者</w:t>
            </w:r>
          </w:p>
        </w:tc>
        <w:tc>
          <w:tcPr>
            <w:tcW w:w="158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実施要件</w:t>
            </w:r>
          </w:p>
        </w:tc>
        <w:tc>
          <w:tcPr>
            <w:tcW w:w="311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事業内容</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節区分</w:t>
            </w:r>
          </w:p>
        </w:tc>
        <w:tc>
          <w:tcPr>
            <w:tcW w:w="3252"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補助対象経費</w:t>
            </w:r>
          </w:p>
        </w:tc>
        <w:tc>
          <w:tcPr>
            <w:tcW w:w="160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補助率</w:t>
            </w:r>
          </w:p>
        </w:tc>
        <w:tc>
          <w:tcPr>
            <w:tcW w:w="282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000000" w:themeColor="text1"/>
                <w:sz w:val="16"/>
              </w:rPr>
            </w:pPr>
            <w:r>
              <w:rPr>
                <w:rFonts w:hint="eastAsia" w:ascii="ＭＳ 明朝" w:hAnsi="ＭＳ 明朝" w:eastAsia="ＭＳ 明朝"/>
                <w:color w:val="000000" w:themeColor="text1"/>
                <w:sz w:val="16"/>
              </w:rPr>
              <w:t>補助限度額等</w:t>
            </w:r>
          </w:p>
        </w:tc>
      </w:tr>
      <w:tr>
        <w:trPr>
          <w:trHeight w:val="1275" w:hRule="atLeast"/>
        </w:trPr>
        <w:tc>
          <w:tcPr>
            <w:tcW w:w="1928"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１　市町村</w:t>
            </w:r>
          </w:p>
          <w:p>
            <w:pPr>
              <w:pStyle w:val="0"/>
              <w:spacing w:line="320" w:lineRule="exact"/>
              <w:ind w:firstLine="320" w:firstLineChars="200"/>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（注１）</w:t>
            </w:r>
          </w:p>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２　農業協同組合</w:t>
            </w:r>
          </w:p>
          <w:p>
            <w:pPr>
              <w:pStyle w:val="0"/>
              <w:spacing w:line="320" w:lineRule="exact"/>
              <w:jc w:val="left"/>
              <w:rPr>
                <w:rFonts w:hint="eastAsia" w:ascii="ＭＳ 明朝" w:hAnsi="ＭＳ 明朝" w:eastAsia="ＭＳ 明朝"/>
                <w:color w:val="000000" w:themeColor="text1"/>
                <w:sz w:val="16"/>
                <w:u w:val="none" w:color="auto"/>
              </w:rPr>
            </w:pPr>
          </w:p>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３　県域生産者団体</w:t>
            </w:r>
          </w:p>
          <w:p>
            <w:pPr>
              <w:pStyle w:val="0"/>
              <w:spacing w:line="320" w:lineRule="exact"/>
              <w:ind w:left="0" w:leftChars="0" w:hanging="320" w:hangingChars="200"/>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　　（生産者等で組織され代表者の定めがあり、かつ、組織及び運営についての規約を定め、事業実施及び会計管理等を適正に行うことのできる団体）</w:t>
            </w:r>
          </w:p>
          <w:p>
            <w:pPr>
              <w:pStyle w:val="0"/>
              <w:spacing w:line="320" w:lineRule="exact"/>
              <w:ind w:left="-8" w:leftChars="-4" w:firstLine="8" w:firstLineChars="5"/>
              <w:jc w:val="left"/>
              <w:rPr>
                <w:rFonts w:hint="eastAsia" w:ascii="ＭＳ 明朝" w:hAnsi="ＭＳ 明朝" w:eastAsia="ＭＳ 明朝"/>
                <w:color w:val="000000" w:themeColor="text1"/>
                <w:sz w:val="16"/>
                <w:u w:val="none" w:color="auto"/>
              </w:rPr>
            </w:pPr>
          </w:p>
          <w:p>
            <w:pPr>
              <w:pStyle w:val="0"/>
              <w:spacing w:line="320" w:lineRule="exact"/>
              <w:ind w:left="322" w:leftChars="1" w:hanging="320" w:hangingChars="200"/>
              <w:jc w:val="left"/>
              <w:rPr>
                <w:rFonts w:hint="eastAsia" w:ascii="ＭＳ 明朝" w:hAnsi="ＭＳ 明朝" w:eastAsia="ＭＳ 明朝"/>
                <w:color w:val="000000" w:themeColor="text1"/>
                <w:sz w:val="16"/>
                <w:u w:val="none" w:color="auto"/>
              </w:rPr>
            </w:pPr>
          </w:p>
          <w:p>
            <w:pPr>
              <w:pStyle w:val="0"/>
              <w:spacing w:line="320" w:lineRule="exact"/>
              <w:ind w:left="-8" w:leftChars="-4" w:firstLine="8" w:firstLineChars="5"/>
              <w:jc w:val="left"/>
              <w:rPr>
                <w:rFonts w:hint="eastAsia" w:ascii="ＭＳ 明朝" w:hAnsi="ＭＳ 明朝" w:eastAsia="ＭＳ 明朝"/>
                <w:color w:val="000000" w:themeColor="text1"/>
                <w:sz w:val="16"/>
                <w:u w:val="none" w:color="auto"/>
              </w:rPr>
            </w:pPr>
          </w:p>
          <w:p>
            <w:pPr>
              <w:pStyle w:val="0"/>
              <w:spacing w:line="320" w:lineRule="exact"/>
              <w:ind w:left="162" w:leftChars="1" w:hanging="160" w:hangingChars="100"/>
              <w:jc w:val="left"/>
              <w:rPr>
                <w:rFonts w:hint="eastAsia" w:ascii="ＭＳ 明朝" w:hAnsi="ＭＳ 明朝" w:eastAsia="ＭＳ 明朝"/>
                <w:color w:val="000000" w:themeColor="text1"/>
                <w:sz w:val="16"/>
                <w:u w:val="none" w:color="auto"/>
              </w:rPr>
            </w:pPr>
          </w:p>
        </w:tc>
        <w:tc>
          <w:tcPr>
            <w:tcW w:w="1587"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spacing w:line="320" w:lineRule="exact"/>
              <w:ind w:left="160" w:hanging="160" w:hangingChars="100"/>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１　事業実施に当たっては、「高知家プロモーション」を積極的に活用すること。</w:t>
            </w:r>
          </w:p>
          <w:p>
            <w:pPr>
              <w:pStyle w:val="0"/>
              <w:spacing w:line="320" w:lineRule="exact"/>
              <w:jc w:val="left"/>
              <w:rPr>
                <w:rFonts w:hint="eastAsia" w:ascii="ＭＳ 明朝" w:hAnsi="ＭＳ 明朝" w:eastAsia="ＭＳ 明朝"/>
                <w:color w:val="000000" w:themeColor="text1"/>
                <w:sz w:val="16"/>
                <w:u w:val="none" w:color="auto"/>
              </w:rPr>
            </w:pPr>
          </w:p>
          <w:p>
            <w:pPr>
              <w:pStyle w:val="0"/>
              <w:spacing w:line="320" w:lineRule="exact"/>
              <w:ind w:left="160" w:hanging="160" w:hangingChars="100"/>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２　継続して補助事業を活用する場合は、同様の取組にならないようにすること。</w:t>
            </w:r>
          </w:p>
          <w:p>
            <w:pPr>
              <w:pStyle w:val="0"/>
              <w:spacing w:line="320" w:lineRule="exact"/>
              <w:jc w:val="left"/>
              <w:rPr>
                <w:rFonts w:hint="eastAsia" w:ascii="ＭＳ 明朝" w:hAnsi="ＭＳ 明朝" w:eastAsia="ＭＳ 明朝"/>
                <w:color w:val="000000" w:themeColor="text1"/>
                <w:sz w:val="16"/>
                <w:u w:val="none" w:color="auto"/>
              </w:rPr>
            </w:pPr>
          </w:p>
        </w:tc>
        <w:tc>
          <w:tcPr>
            <w:tcW w:w="3118"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１　販売戦略会議等の開催</w:t>
            </w:r>
          </w:p>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２　市場（消費・販売状況）調査</w:t>
            </w:r>
          </w:p>
          <w:p>
            <w:pPr>
              <w:pStyle w:val="0"/>
              <w:spacing w:line="320" w:lineRule="exact"/>
              <w:ind w:left="160" w:hanging="160" w:hangingChars="100"/>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３　販路拡大やブランディングに係るアドバイザー等招へい</w:t>
            </w:r>
          </w:p>
          <w:p>
            <w:pPr>
              <w:pStyle w:val="0"/>
              <w:spacing w:line="320" w:lineRule="exact"/>
              <w:ind w:left="160" w:hanging="160" w:hangingChars="100"/>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４　イベントや商談会等の開催又は参加</w:t>
            </w:r>
          </w:p>
          <w:p>
            <w:pPr>
              <w:pStyle w:val="0"/>
              <w:spacing w:line="320" w:lineRule="exact"/>
              <w:ind w:left="160" w:hanging="160" w:hangingChars="100"/>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５　量販店や飲食店等での消費宣伝やフェアの開催</w:t>
            </w:r>
          </w:p>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６　サンプル食材の提供</w:t>
            </w:r>
          </w:p>
          <w:p>
            <w:pPr>
              <w:pStyle w:val="0"/>
              <w:spacing w:line="320" w:lineRule="exact"/>
              <w:ind w:left="160" w:hanging="160" w:hangingChars="100"/>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７　販売促進資材のデザイン及び製作</w:t>
            </w:r>
          </w:p>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８　ブランド力向上に向けた取組</w:t>
            </w:r>
          </w:p>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９　物流改善の取組</w:t>
            </w:r>
          </w:p>
          <w:p>
            <w:pPr>
              <w:pStyle w:val="0"/>
              <w:spacing w:line="320" w:lineRule="exact"/>
              <w:ind w:left="160" w:hanging="160" w:hangingChars="100"/>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10</w:t>
            </w:r>
            <w:r>
              <w:rPr>
                <w:rFonts w:hint="eastAsia" w:ascii="ＭＳ 明朝" w:hAnsi="ＭＳ 明朝" w:eastAsia="ＭＳ 明朝"/>
                <w:color w:val="000000" w:themeColor="text1"/>
                <w:sz w:val="16"/>
                <w:u w:val="none" w:color="auto"/>
              </w:rPr>
              <w:t>　インターネット販売を活用した販売促進に係る取組</w:t>
            </w:r>
          </w:p>
          <w:p>
            <w:pPr>
              <w:pStyle w:val="0"/>
              <w:spacing w:line="320" w:lineRule="exact"/>
              <w:ind w:left="0" w:hangingChars="100" w:firstLine="0"/>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11</w:t>
            </w:r>
            <w:r>
              <w:rPr>
                <w:rFonts w:hint="eastAsia" w:ascii="ＭＳ 明朝" w:hAnsi="ＭＳ 明朝" w:eastAsia="ＭＳ 明朝"/>
                <w:color w:val="000000" w:themeColor="text1"/>
                <w:sz w:val="16"/>
                <w:u w:val="none" w:color="auto"/>
              </w:rPr>
              <w:t>　１～</w:t>
            </w:r>
            <w:r>
              <w:rPr>
                <w:rFonts w:hint="eastAsia" w:ascii="ＭＳ 明朝" w:hAnsi="ＭＳ 明朝" w:eastAsia="ＭＳ 明朝"/>
                <w:color w:val="000000" w:themeColor="text1"/>
                <w:sz w:val="16"/>
                <w:u w:val="none" w:color="auto"/>
              </w:rPr>
              <w:t>10</w:t>
            </w:r>
            <w:r>
              <w:rPr>
                <w:rFonts w:hint="eastAsia" w:ascii="ＭＳ 明朝" w:hAnsi="ＭＳ 明朝" w:eastAsia="ＭＳ 明朝"/>
                <w:color w:val="000000" w:themeColor="text1"/>
                <w:sz w:val="16"/>
                <w:u w:val="none" w:color="auto"/>
              </w:rPr>
              <w:t>に掲げるもののほか、事業実施に必要と認められるもの</w:t>
            </w: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2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報償費</w:t>
            </w:r>
          </w:p>
        </w:tc>
        <w:tc>
          <w:tcPr>
            <w:tcW w:w="325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アドバイザーへの謝金等</w:t>
            </w:r>
          </w:p>
        </w:tc>
        <w:tc>
          <w:tcPr>
            <w:tcW w:w="1604"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320" w:lineRule="exact"/>
              <w:jc w:val="left"/>
              <w:rPr>
                <w:rFonts w:hint="eastAsia" w:ascii="ＭＳ 明朝" w:hAnsi="ＭＳ 明朝" w:eastAsia="ＭＳ 明朝"/>
                <w:color w:val="FF0000"/>
                <w:sz w:val="16"/>
                <w:u w:val="single" w:color="auto"/>
              </w:rPr>
            </w:pPr>
            <w:r>
              <w:rPr>
                <w:rFonts w:hint="eastAsia" w:ascii="ＭＳ 明朝" w:hAnsi="ＭＳ 明朝" w:eastAsia="ＭＳ 明朝"/>
                <w:sz w:val="16"/>
                <w:u w:val="none" w:color="auto"/>
              </w:rPr>
              <w:t>・２分の１以内</w:t>
            </w:r>
          </w:p>
        </w:tc>
        <w:tc>
          <w:tcPr>
            <w:tcW w:w="2828"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320" w:lineRule="exact"/>
              <w:ind w:left="160" w:hanging="160" w:hangingChars="100"/>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・原則、一補助事業者当たり</w:t>
            </w:r>
            <w:r>
              <w:rPr>
                <w:rFonts w:hint="eastAsia" w:ascii="ＭＳ 明朝" w:hAnsi="ＭＳ 明朝" w:eastAsia="ＭＳ 明朝"/>
                <w:color w:val="000000" w:themeColor="text1"/>
                <w:sz w:val="16"/>
                <w:u w:val="none" w:color="auto"/>
              </w:rPr>
              <w:t>100</w:t>
            </w:r>
            <w:r>
              <w:rPr>
                <w:rFonts w:hint="eastAsia" w:ascii="ＭＳ 明朝" w:hAnsi="ＭＳ 明朝" w:eastAsia="ＭＳ 明朝"/>
                <w:color w:val="000000" w:themeColor="text1"/>
                <w:sz w:val="16"/>
                <w:u w:val="none" w:color="auto"/>
              </w:rPr>
              <w:t>万円（補助金額は</w:t>
            </w:r>
            <w:r>
              <w:rPr>
                <w:rFonts w:hint="eastAsia" w:ascii="ＭＳ 明朝" w:hAnsi="ＭＳ 明朝" w:eastAsia="ＭＳ 明朝"/>
                <w:color w:val="000000" w:themeColor="text1"/>
                <w:sz w:val="16"/>
                <w:u w:val="none" w:color="auto"/>
              </w:rPr>
              <w:t>1,000</w:t>
            </w:r>
            <w:r>
              <w:rPr>
                <w:rFonts w:hint="eastAsia" w:ascii="ＭＳ 明朝" w:hAnsi="ＭＳ 明朝" w:eastAsia="ＭＳ 明朝"/>
                <w:color w:val="000000" w:themeColor="text1"/>
                <w:sz w:val="16"/>
                <w:u w:val="none" w:color="auto"/>
              </w:rPr>
              <w:t>円未満の端数を切り捨てる。）を限度に補助する。</w:t>
            </w:r>
          </w:p>
          <w:p>
            <w:pPr>
              <w:pStyle w:val="0"/>
              <w:spacing w:line="320" w:lineRule="exact"/>
              <w:jc w:val="left"/>
              <w:rPr>
                <w:rFonts w:hint="eastAsia" w:ascii="ＭＳ 明朝" w:hAnsi="ＭＳ 明朝" w:eastAsia="ＭＳ 明朝"/>
                <w:color w:val="000000" w:themeColor="text1"/>
                <w:sz w:val="16"/>
                <w:u w:val="none" w:color="auto"/>
              </w:rPr>
            </w:pPr>
          </w:p>
          <w:p>
            <w:pPr>
              <w:pStyle w:val="0"/>
              <w:spacing w:line="320" w:lineRule="exact"/>
              <w:jc w:val="left"/>
              <w:rPr>
                <w:rFonts w:hint="eastAsia" w:ascii="ＭＳ 明朝" w:hAnsi="ＭＳ 明朝" w:eastAsia="ＭＳ 明朝"/>
                <w:color w:val="000000" w:themeColor="text1"/>
                <w:sz w:val="16"/>
                <w:u w:val="none" w:color="auto"/>
              </w:rPr>
            </w:pPr>
          </w:p>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【限度額のかさ上げ】</w:t>
            </w:r>
          </w:p>
          <w:p>
            <w:pPr>
              <w:pStyle w:val="0"/>
              <w:spacing w:line="320" w:lineRule="exact"/>
              <w:ind w:left="160" w:hanging="160" w:hangingChars="100"/>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・農業協同組合及び県域生産者団体が県内各産地の畜産物の販売拡大に向け、複数市町村にまたがって事業を実施する場合、</w:t>
            </w:r>
            <w:r>
              <w:rPr>
                <w:rFonts w:hint="eastAsia" w:ascii="ＭＳ 明朝" w:hAnsi="ＭＳ 明朝" w:eastAsia="ＭＳ 明朝"/>
                <w:color w:val="000000" w:themeColor="text1"/>
                <w:sz w:val="16"/>
                <w:u w:val="none" w:color="auto"/>
              </w:rPr>
              <w:t>500</w:t>
            </w:r>
            <w:r>
              <w:rPr>
                <w:rFonts w:hint="eastAsia" w:ascii="ＭＳ 明朝" w:hAnsi="ＭＳ 明朝" w:eastAsia="ＭＳ 明朝"/>
                <w:color w:val="000000" w:themeColor="text1"/>
                <w:sz w:val="16"/>
                <w:u w:val="none" w:color="auto"/>
              </w:rPr>
              <w:t>万円を限度に補助する。</w:t>
            </w:r>
          </w:p>
        </w:tc>
      </w:tr>
      <w:tr>
        <w:trPr>
          <w:trHeight w:val="737" w:hRule="atLeast"/>
        </w:trPr>
        <w:tc>
          <w:tcPr>
            <w:tcW w:w="192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18"/>
              </w:rPr>
            </w:pPr>
          </w:p>
        </w:tc>
        <w:tc>
          <w:tcPr>
            <w:tcW w:w="158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18"/>
              </w:rPr>
            </w:pPr>
          </w:p>
        </w:tc>
        <w:tc>
          <w:tcPr>
            <w:tcW w:w="311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2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旅費</w:t>
            </w:r>
          </w:p>
        </w:tc>
        <w:tc>
          <w:tcPr>
            <w:tcW w:w="325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市場調査やイベント、バイヤー招へい、消費宣伝等に係る旅費（注２）</w:t>
            </w:r>
          </w:p>
        </w:tc>
        <w:tc>
          <w:tcPr>
            <w:tcW w:w="160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828"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sz w:val="18"/>
              </w:rPr>
            </w:pPr>
          </w:p>
        </w:tc>
      </w:tr>
      <w:tr>
        <w:trPr>
          <w:trHeight w:val="1361" w:hRule="atLeast"/>
        </w:trPr>
        <w:tc>
          <w:tcPr>
            <w:tcW w:w="192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18"/>
              </w:rPr>
            </w:pPr>
          </w:p>
        </w:tc>
        <w:tc>
          <w:tcPr>
            <w:tcW w:w="158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18"/>
              </w:rPr>
            </w:pPr>
          </w:p>
        </w:tc>
        <w:tc>
          <w:tcPr>
            <w:tcW w:w="311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2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需用費</w:t>
            </w:r>
          </w:p>
        </w:tc>
        <w:tc>
          <w:tcPr>
            <w:tcW w:w="325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20" w:lineRule="exact"/>
              <w:ind w:left="160" w:hanging="160" w:hangingChars="100"/>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・イベントや消費宣伝に係る消耗品費</w:t>
            </w:r>
          </w:p>
          <w:p>
            <w:pPr>
              <w:pStyle w:val="0"/>
              <w:spacing w:line="320" w:lineRule="exact"/>
              <w:ind w:left="160" w:hanging="160" w:hangingChars="100"/>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及び印刷製本費</w:t>
            </w:r>
          </w:p>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・サンプル食材の提供　等</w:t>
            </w:r>
          </w:p>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（食糧費を除く。）</w:t>
            </w:r>
          </w:p>
        </w:tc>
        <w:tc>
          <w:tcPr>
            <w:tcW w:w="160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828"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sz w:val="18"/>
              </w:rPr>
            </w:pPr>
          </w:p>
        </w:tc>
      </w:tr>
      <w:tr>
        <w:trPr>
          <w:trHeight w:val="737" w:hRule="atLeast"/>
        </w:trPr>
        <w:tc>
          <w:tcPr>
            <w:tcW w:w="192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18"/>
              </w:rPr>
            </w:pPr>
          </w:p>
        </w:tc>
        <w:tc>
          <w:tcPr>
            <w:tcW w:w="158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18"/>
              </w:rPr>
            </w:pPr>
          </w:p>
        </w:tc>
        <w:tc>
          <w:tcPr>
            <w:tcW w:w="311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2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役務費</w:t>
            </w:r>
          </w:p>
        </w:tc>
        <w:tc>
          <w:tcPr>
            <w:tcW w:w="325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・通信運搬費及び手数料</w:t>
            </w:r>
          </w:p>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・販売支援補助に係る経費　等</w:t>
            </w:r>
          </w:p>
        </w:tc>
        <w:tc>
          <w:tcPr>
            <w:tcW w:w="160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828"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sz w:val="18"/>
              </w:rPr>
            </w:pPr>
          </w:p>
        </w:tc>
      </w:tr>
      <w:tr>
        <w:trPr>
          <w:trHeight w:val="1020" w:hRule="atLeast"/>
        </w:trPr>
        <w:tc>
          <w:tcPr>
            <w:tcW w:w="192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18"/>
              </w:rPr>
            </w:pPr>
          </w:p>
        </w:tc>
        <w:tc>
          <w:tcPr>
            <w:tcW w:w="158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18"/>
              </w:rPr>
            </w:pPr>
          </w:p>
        </w:tc>
        <w:tc>
          <w:tcPr>
            <w:tcW w:w="311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2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委託料</w:t>
            </w:r>
          </w:p>
        </w:tc>
        <w:tc>
          <w:tcPr>
            <w:tcW w:w="325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・イベント又は商談会の開催</w:t>
            </w:r>
          </w:p>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・販売促進資材制作</w:t>
            </w:r>
          </w:p>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・輸送テスト　等</w:t>
            </w:r>
          </w:p>
        </w:tc>
        <w:tc>
          <w:tcPr>
            <w:tcW w:w="160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828"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737" w:hRule="atLeast"/>
        </w:trPr>
        <w:tc>
          <w:tcPr>
            <w:tcW w:w="192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18"/>
              </w:rPr>
            </w:pPr>
          </w:p>
        </w:tc>
        <w:tc>
          <w:tcPr>
            <w:tcW w:w="158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18"/>
              </w:rPr>
            </w:pPr>
          </w:p>
        </w:tc>
        <w:tc>
          <w:tcPr>
            <w:tcW w:w="311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2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使用料及び賃借料</w:t>
            </w:r>
          </w:p>
        </w:tc>
        <w:tc>
          <w:tcPr>
            <w:tcW w:w="325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・会場借上料</w:t>
            </w:r>
          </w:p>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・借上車　等</w:t>
            </w:r>
          </w:p>
        </w:tc>
        <w:tc>
          <w:tcPr>
            <w:tcW w:w="160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828"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680" w:hRule="atLeast"/>
        </w:trPr>
        <w:tc>
          <w:tcPr>
            <w:tcW w:w="192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18"/>
              </w:rPr>
            </w:pPr>
          </w:p>
        </w:tc>
        <w:tc>
          <w:tcPr>
            <w:tcW w:w="158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18"/>
              </w:rPr>
            </w:pPr>
          </w:p>
        </w:tc>
        <w:tc>
          <w:tcPr>
            <w:tcW w:w="311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2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備品購入費</w:t>
            </w:r>
          </w:p>
        </w:tc>
        <w:tc>
          <w:tcPr>
            <w:tcW w:w="325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・食味分析計購入費　等</w:t>
            </w:r>
          </w:p>
        </w:tc>
        <w:tc>
          <w:tcPr>
            <w:tcW w:w="160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828"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737" w:hRule="atLeast"/>
        </w:trPr>
        <w:tc>
          <w:tcPr>
            <w:tcW w:w="192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587"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311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96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20" w:lineRule="exact"/>
              <w:jc w:val="center"/>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その他</w:t>
            </w:r>
          </w:p>
        </w:tc>
        <w:tc>
          <w:tcPr>
            <w:tcW w:w="325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その他、事業実施に必要と認められる</w:t>
            </w:r>
          </w:p>
          <w:p>
            <w:pPr>
              <w:pStyle w:val="0"/>
              <w:spacing w:line="320" w:lineRule="exact"/>
              <w:jc w:val="lef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経費（事前に県と協議必要）</w:t>
            </w:r>
          </w:p>
        </w:tc>
        <w:tc>
          <w:tcPr>
            <w:tcW w:w="160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828"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bl>
    <w:p>
      <w:pPr>
        <w:pStyle w:val="0"/>
        <w:spacing w:line="280" w:lineRule="exact"/>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rPr>
        <w:t>　</w:t>
      </w:r>
      <w:r>
        <w:rPr>
          <w:rFonts w:hint="eastAsia" w:ascii="ＭＳ 明朝" w:hAnsi="ＭＳ 明朝" w:eastAsia="ＭＳ 明朝"/>
          <w:color w:val="000000" w:themeColor="text1"/>
          <w:sz w:val="16"/>
          <w:u w:val="none" w:color="auto"/>
        </w:rPr>
        <w:t>（注１）市町村が実施主体の事業に限り補助対象とし、管内の生産者団体等へ行う間接補助は補助対象外とする。</w:t>
      </w:r>
    </w:p>
    <w:p>
      <w:pPr>
        <w:pStyle w:val="0"/>
        <w:spacing w:line="280" w:lineRule="exact"/>
        <w:ind w:left="0" w:leftChars="0" w:firstLine="16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sz w:val="16"/>
          <w:highlight w:val="none"/>
          <w:u w:val="none" w:color="auto"/>
        </w:rPr>
        <w:t>（注２）行政職員の旅費は補助対象外とする（その他補助事業者の旅費は補助対象経費とする）</w:t>
      </w:r>
      <w:r>
        <w:rPr>
          <w:rFonts w:hint="eastAsia" w:ascii="ＭＳ 明朝" w:hAnsi="ＭＳ 明朝" w:eastAsia="ＭＳ 明朝"/>
          <w:color w:val="000000" w:themeColor="text1"/>
          <w:sz w:val="16"/>
          <w:u w:val="none" w:color="auto"/>
        </w:rPr>
        <w:t>。</w:t>
      </w:r>
    </w:p>
    <w:p>
      <w:pPr>
        <w:pStyle w:val="0"/>
        <w:spacing w:line="280" w:lineRule="exact"/>
        <w:ind w:firstLine="160" w:firstLineChars="100"/>
        <w:rPr>
          <w:rFonts w:hint="eastAsia" w:ascii="ＭＳ 明朝" w:hAnsi="ＭＳ 明朝" w:eastAsia="ＭＳ 明朝"/>
          <w:sz w:val="16"/>
          <w:u w:val="none" w:color="auto"/>
        </w:rPr>
      </w:pPr>
      <w:r>
        <w:rPr>
          <w:rFonts w:hint="eastAsia" w:ascii="ＭＳ 明朝" w:hAnsi="ＭＳ 明朝" w:eastAsia="ＭＳ 明朝"/>
          <w:color w:val="000000" w:themeColor="text1"/>
          <w:sz w:val="16"/>
          <w:u w:val="none" w:color="auto"/>
        </w:rPr>
        <w:t>（注３）国庫負担（補助）制度又は他の県又は市町村単独補助制度により、既に当該事業の全部又は一部について負担又は補助が実施されている事業は、補助対象外とする。</w:t>
      </w:r>
    </w:p>
    <w:sectPr>
      <w:pgSz w:w="16838" w:h="11906" w:orient="landscape"/>
      <w:pgMar w:top="1304" w:right="1020" w:bottom="1304" w:left="10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2397</TotalTime>
  <Pages>1</Pages>
  <Words>7</Words>
  <Characters>928</Characters>
  <Application>JUST Note</Application>
  <Lines>236</Lines>
  <Paragraphs>57</Paragraphs>
  <CharactersWithSpaces>952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458016</dc:creator>
  <cp:lastModifiedBy>468701</cp:lastModifiedBy>
  <cp:lastPrinted>2023-11-16T05:11:37Z</cp:lastPrinted>
  <dcterms:created xsi:type="dcterms:W3CDTF">2022-02-21T11:47:00Z</dcterms:created>
  <dcterms:modified xsi:type="dcterms:W3CDTF">2025-04-22T04:46:29Z</dcterms:modified>
  <cp:revision>26</cp:revision>
</cp:coreProperties>
</file>