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jc w:val="right"/>
        <w:rPr>
          <w:rFonts w:hint="default" w:ascii="メイリオ" w:hAnsi="メイリオ" w:eastAsia="メイリオ"/>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60325</wp:posOffset>
                </wp:positionH>
                <wp:positionV relativeFrom="paragraph">
                  <wp:posOffset>635</wp:posOffset>
                </wp:positionV>
                <wp:extent cx="4991100" cy="4279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991100" cy="427990"/>
                        </a:xfrm>
                        <a:prstGeom prst="rect">
                          <a:avLst/>
                        </a:prstGeom>
                        <a:solidFill>
                          <a:sysClr val="window" lastClr="FFFFFF">
                            <a:lumMod val="95000"/>
                          </a:sysClr>
                        </a:solidFill>
                        <a:ln w="6350" cmpd="sng">
                          <a:solidFill>
                            <a:srgbClr val="000000"/>
                          </a:solidFill>
                        </a:ln>
                        <a:effectLst/>
                      </wps:spPr>
                      <wps:txbx>
                        <w:txbxContent>
                          <w:p>
                            <w:pPr>
                              <w:pStyle w:val="0"/>
                              <w:spacing w:line="240" w:lineRule="auto"/>
                              <w:rPr>
                                <w:rFonts w:hint="default" w:ascii="メイリオ" w:hAnsi="メイリオ" w:eastAsia="メイリオ"/>
                                <w:b w:val="1"/>
                                <w:sz w:val="24"/>
                              </w:rPr>
                            </w:pPr>
                            <w:r>
                              <w:rPr>
                                <w:rFonts w:hint="eastAsia" w:ascii="メイリオ" w:hAnsi="メイリオ" w:eastAsia="メイリオ"/>
                                <w:b w:val="1"/>
                                <w:sz w:val="24"/>
                              </w:rPr>
                              <w:t>◆所属長による振り返りシート　（提出不要</w:t>
                            </w:r>
                            <w:r>
                              <w:rPr>
                                <w:rFonts w:hint="eastAsia" w:ascii="メイリオ" w:hAnsi="メイリオ" w:eastAsia="メイリオ"/>
                                <w:b w:val="1"/>
                                <w:sz w:val="22"/>
                                <w:u w:val="none" w:color="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e-002pt;mso-position-vertical-relative:text;mso-position-horizontal-relative:text;position:absolute;height:33.700000000000003pt;mso-wrap-distance-top:0pt;width:393pt;mso-wrap-distance-left:16pt;margin-left:4.75pt;z-index:3;" o:spid="_x0000_s1026" o:allowincell="t" o:allowoverlap="t" filled="t" fillcolor="#f2f2f2"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rPr>
                          <w:rFonts w:hint="default" w:ascii="メイリオ" w:hAnsi="メイリオ" w:eastAsia="メイリオ"/>
                          <w:b w:val="1"/>
                          <w:sz w:val="24"/>
                        </w:rPr>
                      </w:pPr>
                      <w:r>
                        <w:rPr>
                          <w:rFonts w:hint="eastAsia" w:ascii="メイリオ" w:hAnsi="メイリオ" w:eastAsia="メイリオ"/>
                          <w:b w:val="1"/>
                          <w:sz w:val="24"/>
                        </w:rPr>
                        <w:t>◆所属長による振り返りシート　（提出不要</w:t>
                      </w:r>
                      <w:r>
                        <w:rPr>
                          <w:rFonts w:hint="eastAsia" w:ascii="メイリオ" w:hAnsi="メイリオ" w:eastAsia="メイリオ"/>
                          <w:b w:val="1"/>
                          <w:sz w:val="22"/>
                          <w:u w:val="none" w:color="auto"/>
                        </w:rPr>
                        <w:t>）</w:t>
                      </w:r>
                    </w:p>
                  </w:txbxContent>
                </v:textbox>
                <v:imagedata o:title=""/>
                <w10:wrap type="none" anchorx="text" anchory="text"/>
              </v:shape>
            </w:pict>
          </mc:Fallback>
        </mc:AlternateContent>
      </w:r>
    </w:p>
    <w:p>
      <w:pPr>
        <w:pStyle w:val="0"/>
        <w:widowControl w:val="0"/>
        <w:spacing w:line="360" w:lineRule="exact"/>
        <w:jc w:val="right"/>
        <w:rPr>
          <w:rFonts w:hint="default" w:ascii="メイリオ" w:hAnsi="メイリオ" w:eastAsia="メイリオ"/>
          <w:sz w:val="22"/>
        </w:rPr>
      </w:pPr>
    </w:p>
    <w:p>
      <w:pPr>
        <w:pStyle w:val="0"/>
        <w:widowControl w:val="0"/>
        <w:spacing w:line="360" w:lineRule="exact"/>
        <w:ind w:left="426" w:leftChars="98" w:hanging="220" w:hangingChars="100"/>
        <w:rPr>
          <w:rFonts w:hint="default" w:ascii="メイリオ" w:hAnsi="メイリオ" w:eastAsia="メイリオ"/>
          <w:sz w:val="22"/>
        </w:rPr>
      </w:pPr>
      <w:r>
        <w:rPr>
          <w:rFonts w:hint="eastAsia" w:ascii="メイリオ" w:hAnsi="メイリオ" w:eastAsia="メイリオ"/>
          <w:sz w:val="22"/>
        </w:rPr>
        <w:t>※本資料を用いて、</w:t>
      </w:r>
      <w:r>
        <w:rPr>
          <w:rFonts w:hint="eastAsia" w:ascii="メイリオ" w:hAnsi="メイリオ" w:eastAsia="メイリオ"/>
          <w:sz w:val="22"/>
          <w:u w:val="single" w:color="auto"/>
        </w:rPr>
        <w:t>個別指導の際</w:t>
      </w:r>
      <w:r>
        <w:rPr>
          <w:rFonts w:hint="eastAsia" w:ascii="メイリオ" w:hAnsi="メイリオ" w:eastAsia="メイリオ"/>
          <w:sz w:val="22"/>
        </w:rPr>
        <w:t>に</w:t>
      </w:r>
      <w:r>
        <w:rPr>
          <w:rFonts w:hint="eastAsia" w:ascii="メイリオ" w:hAnsi="メイリオ" w:eastAsia="メイリオ"/>
          <w:sz w:val="22"/>
          <w:u w:val="single" w:color="auto"/>
        </w:rPr>
        <w:t>受講者とアドバイザーと共に振り返りを実施</w:t>
      </w:r>
      <w:r>
        <w:rPr>
          <w:rFonts w:hint="eastAsia" w:ascii="メイリオ" w:hAnsi="メイリオ" w:eastAsia="メイリオ"/>
          <w:sz w:val="22"/>
        </w:rPr>
        <w:t>しますので、その際のメモ用紙としてご活用ください。</w:t>
      </w:r>
      <w:r>
        <w:rPr>
          <w:rFonts w:hint="eastAsia" w:ascii="メイリオ" w:hAnsi="メイリオ" w:eastAsia="メイリオ"/>
          <w:b w:val="1"/>
          <w:sz w:val="22"/>
          <w:u w:val="single" w:color="auto"/>
        </w:rPr>
        <w:t>本シートは提出の必要はありません。</w:t>
      </w:r>
    </w:p>
    <w:p>
      <w:pPr>
        <w:pStyle w:val="0"/>
        <w:widowControl w:val="0"/>
        <w:spacing w:line="360" w:lineRule="exact"/>
        <w:rPr>
          <w:rFonts w:hint="default" w:ascii="メイリオ" w:hAnsi="メイリオ" w:eastAsia="メイリオ"/>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443865</wp:posOffset>
                </wp:positionH>
                <wp:positionV relativeFrom="paragraph">
                  <wp:posOffset>106045</wp:posOffset>
                </wp:positionV>
                <wp:extent cx="5410200" cy="12763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410200" cy="1276350"/>
                        </a:xfrm>
                        <a:prstGeom prst="rect">
                          <a:avLst/>
                        </a:prstGeom>
                        <a:solidFill>
                          <a:sysClr val="window" lastClr="FFFFFF"/>
                        </a:solidFill>
                        <a:ln w="19050">
                          <a:solidFill>
                            <a:sysClr val="windowText" lastClr="000000"/>
                          </a:solidFill>
                          <a:prstDash val="sysDot"/>
                        </a:ln>
                      </wps:spPr>
                      <wps:txbx>
                        <w:txbxContent>
                          <w:p>
                            <w:pPr>
                              <w:pStyle w:val="0"/>
                              <w:spacing w:line="360" w:lineRule="exact"/>
                              <w:rPr>
                                <w:rFonts w:hint="default" w:ascii="メイリオ" w:hAnsi="メイリオ" w:eastAsia="メイリオ"/>
                                <w:b w:val="1"/>
                                <w:sz w:val="22"/>
                                <w:u w:val="single" w:color="auto"/>
                              </w:rPr>
                            </w:pPr>
                            <w:r>
                              <w:rPr>
                                <w:rFonts w:hint="eastAsia" w:ascii="メイリオ" w:hAnsi="メイリオ" w:eastAsia="メイリオ"/>
                                <w:b w:val="1"/>
                                <w:sz w:val="22"/>
                                <w:u w:val="single" w:color="auto"/>
                              </w:rPr>
                              <w:t>★実践研修を意義あるものにしていくために</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1</w:t>
                            </w:r>
                            <w:r>
                              <w:rPr>
                                <w:rFonts w:hint="default" w:ascii="メイリオ" w:hAnsi="メイリオ" w:eastAsia="メイリオ"/>
                                <w:sz w:val="22"/>
                              </w:rPr>
                              <w:t>】</w:t>
                            </w:r>
                            <w:r>
                              <w:rPr>
                                <w:rFonts w:hint="eastAsia" w:ascii="メイリオ" w:hAnsi="メイリオ" w:eastAsia="メイリオ"/>
                                <w:sz w:val="22"/>
                              </w:rPr>
                              <w:t>公開保育</w:t>
                            </w:r>
                            <w:r>
                              <w:rPr>
                                <w:rFonts w:hint="default" w:ascii="メイリオ" w:hAnsi="メイリオ" w:eastAsia="メイリオ"/>
                                <w:sz w:val="22"/>
                              </w:rPr>
                              <w:t>に</w:t>
                            </w:r>
                            <w:r>
                              <w:rPr>
                                <w:rFonts w:hint="eastAsia" w:ascii="メイリオ" w:hAnsi="メイリオ" w:eastAsia="メイリオ"/>
                                <w:sz w:val="22"/>
                              </w:rPr>
                              <w:t>「視点」をもって参観をしてください。（</w:t>
                            </w:r>
                            <w:r>
                              <w:rPr>
                                <w:rFonts w:hint="default" w:ascii="メイリオ" w:hAnsi="メイリオ" w:eastAsia="メイリオ"/>
                                <w:sz w:val="22"/>
                              </w:rPr>
                              <w:t>下記</w:t>
                            </w:r>
                            <w:r>
                              <w:rPr>
                                <w:rFonts w:hint="eastAsia" w:ascii="メイリオ" w:hAnsi="メイリオ" w:eastAsia="メイリオ"/>
                                <w:sz w:val="22"/>
                              </w:rPr>
                              <w:t>１①</w:t>
                            </w:r>
                            <w:r>
                              <w:rPr>
                                <w:rFonts w:hint="default" w:ascii="メイリオ" w:hAnsi="メイリオ" w:eastAsia="メイリオ"/>
                                <w:sz w:val="22"/>
                              </w:rPr>
                              <w:t>～</w:t>
                            </w:r>
                            <w:r>
                              <w:rPr>
                                <w:rFonts w:hint="eastAsia" w:ascii="メイリオ" w:hAnsi="メイリオ" w:eastAsia="メイリオ"/>
                                <w:sz w:val="22"/>
                              </w:rPr>
                              <w:t>⑪を</w:t>
                            </w:r>
                            <w:r>
                              <w:rPr>
                                <w:rFonts w:hint="default" w:ascii="メイリオ" w:hAnsi="メイリオ" w:eastAsia="メイリオ"/>
                                <w:sz w:val="22"/>
                              </w:rPr>
                              <w:t>参照）</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2</w:t>
                            </w:r>
                            <w:r>
                              <w:rPr>
                                <w:rFonts w:hint="default" w:ascii="メイリオ" w:hAnsi="メイリオ" w:eastAsia="メイリオ"/>
                                <w:sz w:val="22"/>
                              </w:rPr>
                              <w:t>】</w:t>
                            </w:r>
                            <w:r>
                              <w:rPr>
                                <w:rFonts w:hint="eastAsia" w:ascii="メイリオ" w:hAnsi="メイリオ" w:eastAsia="メイリオ"/>
                                <w:sz w:val="22"/>
                              </w:rPr>
                              <w:t>研修テーマ等に沿って、協議で具体的な話し合いを展開しましょう。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3</w:t>
                            </w:r>
                            <w:r>
                              <w:rPr>
                                <w:rFonts w:hint="eastAsia" w:ascii="メイリオ" w:hAnsi="メイリオ" w:eastAsia="メイリオ"/>
                                <w:sz w:val="22"/>
                              </w:rPr>
                              <w:t>】振り返りを可視化し、成果・課題（改善策）を明確にしていきましょう。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4</w:t>
                            </w:r>
                            <w:r>
                              <w:rPr>
                                <w:rFonts w:hint="eastAsia" w:ascii="メイリオ" w:hAnsi="メイリオ" w:eastAsia="メイリオ"/>
                                <w:sz w:val="22"/>
                              </w:rPr>
                              <w:t>】今後、保育実践に生かそうとする保育者の姿を支えていきましょう。</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35pt;mso-position-vertical-relative:text;mso-position-horizontal-relative:text;v-text-anchor:top;position:absolute;height:100.5pt;mso-wrap-distance-top:0pt;width:426pt;mso-wrap-distance-left:9pt;margin-left:34.950000000000003pt;z-index:2;" o:spid="_x0000_s1027" o:allowincell="t" o:allowoverlap="t" filled="t" fillcolor="#ffffff" stroked="t" strokecolor="#000000" strokeweight="1.5pt" o:spt="202" type="#_x0000_t202">
                <v:fill/>
                <v:stroke dashstyle="shortdot" filltype="solid"/>
                <v:textbox style="layout-flow:horizontal;">
                  <w:txbxContent>
                    <w:p>
                      <w:pPr>
                        <w:pStyle w:val="0"/>
                        <w:spacing w:line="360" w:lineRule="exact"/>
                        <w:rPr>
                          <w:rFonts w:hint="default" w:ascii="メイリオ" w:hAnsi="メイリオ" w:eastAsia="メイリオ"/>
                          <w:b w:val="1"/>
                          <w:sz w:val="22"/>
                          <w:u w:val="single" w:color="auto"/>
                        </w:rPr>
                      </w:pPr>
                      <w:r>
                        <w:rPr>
                          <w:rFonts w:hint="eastAsia" w:ascii="メイリオ" w:hAnsi="メイリオ" w:eastAsia="メイリオ"/>
                          <w:b w:val="1"/>
                          <w:sz w:val="22"/>
                          <w:u w:val="single" w:color="auto"/>
                        </w:rPr>
                        <w:t>★実践研修を意義あるものにしていくために</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1</w:t>
                      </w:r>
                      <w:r>
                        <w:rPr>
                          <w:rFonts w:hint="default" w:ascii="メイリオ" w:hAnsi="メイリオ" w:eastAsia="メイリオ"/>
                          <w:sz w:val="22"/>
                        </w:rPr>
                        <w:t>】</w:t>
                      </w:r>
                      <w:r>
                        <w:rPr>
                          <w:rFonts w:hint="eastAsia" w:ascii="メイリオ" w:hAnsi="メイリオ" w:eastAsia="メイリオ"/>
                          <w:sz w:val="22"/>
                        </w:rPr>
                        <w:t>公開保育</w:t>
                      </w:r>
                      <w:r>
                        <w:rPr>
                          <w:rFonts w:hint="default" w:ascii="メイリオ" w:hAnsi="メイリオ" w:eastAsia="メイリオ"/>
                          <w:sz w:val="22"/>
                        </w:rPr>
                        <w:t>に</w:t>
                      </w:r>
                      <w:r>
                        <w:rPr>
                          <w:rFonts w:hint="eastAsia" w:ascii="メイリオ" w:hAnsi="メイリオ" w:eastAsia="メイリオ"/>
                          <w:sz w:val="22"/>
                        </w:rPr>
                        <w:t>「視点」をもって参観をしてください。（</w:t>
                      </w:r>
                      <w:r>
                        <w:rPr>
                          <w:rFonts w:hint="default" w:ascii="メイリオ" w:hAnsi="メイリオ" w:eastAsia="メイリオ"/>
                          <w:sz w:val="22"/>
                        </w:rPr>
                        <w:t>下記</w:t>
                      </w:r>
                      <w:r>
                        <w:rPr>
                          <w:rFonts w:hint="eastAsia" w:ascii="メイリオ" w:hAnsi="メイリオ" w:eastAsia="メイリオ"/>
                          <w:sz w:val="22"/>
                        </w:rPr>
                        <w:t>１①</w:t>
                      </w:r>
                      <w:r>
                        <w:rPr>
                          <w:rFonts w:hint="default" w:ascii="メイリオ" w:hAnsi="メイリオ" w:eastAsia="メイリオ"/>
                          <w:sz w:val="22"/>
                        </w:rPr>
                        <w:t>～</w:t>
                      </w:r>
                      <w:r>
                        <w:rPr>
                          <w:rFonts w:hint="eastAsia" w:ascii="メイリオ" w:hAnsi="メイリオ" w:eastAsia="メイリオ"/>
                          <w:sz w:val="22"/>
                        </w:rPr>
                        <w:t>⑪を</w:t>
                      </w:r>
                      <w:r>
                        <w:rPr>
                          <w:rFonts w:hint="default" w:ascii="メイリオ" w:hAnsi="メイリオ" w:eastAsia="メイリオ"/>
                          <w:sz w:val="22"/>
                        </w:rPr>
                        <w:t>参照）</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2</w:t>
                      </w:r>
                      <w:r>
                        <w:rPr>
                          <w:rFonts w:hint="default" w:ascii="メイリオ" w:hAnsi="メイリオ" w:eastAsia="メイリオ"/>
                          <w:sz w:val="22"/>
                        </w:rPr>
                        <w:t>】</w:t>
                      </w:r>
                      <w:r>
                        <w:rPr>
                          <w:rFonts w:hint="eastAsia" w:ascii="メイリオ" w:hAnsi="メイリオ" w:eastAsia="メイリオ"/>
                          <w:sz w:val="22"/>
                        </w:rPr>
                        <w:t>研修テーマ等に沿って、協議で具体的な話し合いを展開しましょう。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3</w:t>
                      </w:r>
                      <w:r>
                        <w:rPr>
                          <w:rFonts w:hint="eastAsia" w:ascii="メイリオ" w:hAnsi="メイリオ" w:eastAsia="メイリオ"/>
                          <w:sz w:val="22"/>
                        </w:rPr>
                        <w:t>】振り返りを可視化し、成果・課題（改善策）を明確にしていきましょう。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4</w:t>
                      </w:r>
                      <w:r>
                        <w:rPr>
                          <w:rFonts w:hint="eastAsia" w:ascii="メイリオ" w:hAnsi="メイリオ" w:eastAsia="メイリオ"/>
                          <w:sz w:val="22"/>
                        </w:rPr>
                        <w:t>】今後、保育実践に生かそうとする保育者の姿を支えていきましょう。</w:t>
                      </w:r>
                    </w:p>
                    <w:p>
                      <w:pPr>
                        <w:pStyle w:val="0"/>
                        <w:rPr>
                          <w:rFonts w:hint="default"/>
                        </w:rPr>
                      </w:pPr>
                    </w:p>
                  </w:txbxContent>
                </v:textbox>
                <v:imagedata o:title=""/>
                <w10:wrap type="none" anchorx="text" anchory="text"/>
              </v:shape>
            </w:pict>
          </mc:Fallback>
        </mc:AlternateContent>
      </w: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b w:val="1"/>
          <w:sz w:val="22"/>
        </w:rPr>
      </w:pPr>
      <w:r>
        <w:rPr>
          <w:rFonts w:hint="eastAsia" w:ascii="メイリオ" w:hAnsi="メイリオ" w:eastAsia="メイリオ"/>
          <w:b w:val="1"/>
          <w:sz w:val="22"/>
        </w:rPr>
        <w:t>◆　下記の観点から振り返り、今後に向けて、成果と課題（改善点）を可視化してみましょう。</w:t>
      </w:r>
    </w:p>
    <w:p>
      <w:pPr>
        <w:pStyle w:val="0"/>
        <w:widowControl w:val="0"/>
        <w:spacing w:line="360" w:lineRule="exact"/>
        <w:ind w:firstLine="180" w:firstLineChars="100"/>
        <w:rPr>
          <w:rFonts w:hint="default" w:ascii="メイリオ" w:hAnsi="メイリオ" w:eastAsia="メイリオ"/>
          <w:b w:val="1"/>
          <w:sz w:val="18"/>
        </w:rPr>
      </w:pPr>
      <w:r>
        <w:rPr>
          <w:rFonts w:hint="eastAsia" w:ascii="メイリオ" w:hAnsi="メイリオ" w:eastAsia="メイリオ"/>
          <w:b w:val="1"/>
          <w:sz w:val="18"/>
        </w:rPr>
        <w:t>※達成度：４→大変よくできています、　３→できています、　２→改善点が少し見られます、　１→改善点が見られます</w:t>
      </w:r>
    </w:p>
    <w:tbl>
      <w:tblPr>
        <w:tblStyle w:val="26"/>
        <w:tblW w:w="10106" w:type="dxa"/>
        <w:tblInd w:w="388" w:type="dxa"/>
        <w:tblLayout w:type="fixed"/>
        <w:tblLook w:firstRow="1" w:lastRow="0" w:firstColumn="1" w:lastColumn="0" w:noHBand="0" w:noVBand="1" w:val="04A0"/>
      </w:tblPr>
      <w:tblGrid>
        <w:gridCol w:w="713"/>
        <w:gridCol w:w="615"/>
        <w:gridCol w:w="4445"/>
        <w:gridCol w:w="859"/>
        <w:gridCol w:w="3474"/>
      </w:tblGrid>
      <w:tr>
        <w:trPr>
          <w:trHeight w:val="367" w:hRule="atLeast"/>
        </w:trPr>
        <w:tc>
          <w:tcPr>
            <w:tcW w:w="713"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615"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4446" w:type="dxa"/>
            <w:shd w:val="clear" w:color="auto" w:fill="F2F2F2"/>
            <w:vAlign w:val="top"/>
          </w:tcPr>
          <w:p>
            <w:pPr>
              <w:pStyle w:val="0"/>
              <w:widowControl w:val="0"/>
              <w:spacing w:line="360" w:lineRule="exact"/>
              <w:jc w:val="center"/>
              <w:rPr>
                <w:rFonts w:hint="default" w:ascii="メイリオ" w:hAnsi="メイリオ" w:eastAsia="メイリオ"/>
              </w:rPr>
            </w:pPr>
            <w:r>
              <w:rPr>
                <w:rFonts w:hint="eastAsia" w:ascii="メイリオ" w:hAnsi="メイリオ" w:eastAsia="メイリオ"/>
              </w:rPr>
              <w:t>視　　点</w:t>
            </w:r>
          </w:p>
        </w:tc>
        <w:tc>
          <w:tcPr>
            <w:tcW w:w="859" w:type="dxa"/>
            <w:shd w:val="clear" w:color="auto" w:fill="92CDDC"/>
            <w:vAlign w:val="top"/>
          </w:tcPr>
          <w:p>
            <w:pPr>
              <w:pStyle w:val="0"/>
              <w:widowControl w:val="0"/>
              <w:spacing w:line="360" w:lineRule="exact"/>
              <w:jc w:val="center"/>
              <w:rPr>
                <w:rFonts w:hint="default" w:ascii="メイリオ" w:hAnsi="メイリオ" w:eastAsia="メイリオ"/>
                <w:b w:val="1"/>
              </w:rPr>
            </w:pPr>
            <w:r>
              <w:rPr>
                <w:rFonts w:hint="eastAsia" w:ascii="メイリオ" w:hAnsi="メイリオ" w:eastAsia="メイリオ"/>
                <w:b w:val="1"/>
              </w:rPr>
              <w:t>達成度</w:t>
            </w:r>
          </w:p>
        </w:tc>
        <w:tc>
          <w:tcPr>
            <w:tcW w:w="3474" w:type="dxa"/>
            <w:shd w:val="clear" w:color="auto" w:fill="F2F2F2"/>
            <w:vAlign w:val="top"/>
          </w:tcPr>
          <w:p>
            <w:pPr>
              <w:pStyle w:val="0"/>
              <w:widowControl w:val="0"/>
              <w:spacing w:line="360" w:lineRule="exact"/>
              <w:jc w:val="center"/>
              <w:rPr>
                <w:rFonts w:hint="default" w:ascii="メイリオ" w:hAnsi="メイリオ" w:eastAsia="メイリオ"/>
              </w:rPr>
            </w:pPr>
            <w:r>
              <w:rPr>
                <w:rFonts w:hint="eastAsia" w:ascii="メイリオ" w:hAnsi="メイリオ" w:eastAsia="メイリオ"/>
              </w:rPr>
              <w:t>達成度の理由</w:t>
            </w:r>
            <w:r>
              <w:rPr>
                <w:rFonts w:hint="eastAsia" w:ascii="メイリオ" w:hAnsi="メイリオ" w:eastAsia="メイリオ"/>
                <w:sz w:val="18"/>
              </w:rPr>
              <w:t>（成果・改善点等）</w:t>
            </w:r>
          </w:p>
        </w:tc>
      </w:tr>
      <w:tr>
        <w:trPr>
          <w:trHeight w:val="61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信頼関係</w:t>
            </w:r>
          </w:p>
        </w:tc>
        <w:tc>
          <w:tcPr>
            <w:tcW w:w="615" w:type="dxa"/>
            <w:vAlign w:val="top"/>
          </w:tcPr>
          <w:p>
            <w:pPr>
              <w:pStyle w:val="19"/>
              <w:widowControl w:val="0"/>
              <w:numPr>
                <w:ilvl w:val="0"/>
                <w:numId w:val="1"/>
              </w:numPr>
              <w:spacing w:line="240" w:lineRule="exact"/>
              <w:ind w:leftChars="0"/>
              <w:jc w:val="center"/>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子どもは、安心して生き生きと活動している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restart"/>
            <w:vAlign w:val="top"/>
          </w:tcPr>
          <w:p>
            <w:pPr>
              <w:pStyle w:val="0"/>
              <w:widowControl w:val="0"/>
              <w:spacing w:line="300" w:lineRule="exact"/>
              <w:ind w:left="210" w:leftChars="100"/>
              <w:rPr>
                <w:rFonts w:hint="default" w:ascii="メイリオ" w:hAnsi="メイリオ" w:eastAsia="メイリオ"/>
              </w:rPr>
            </w:pPr>
          </w:p>
        </w:tc>
      </w:tr>
      <w:tr>
        <w:trPr>
          <w:trHeight w:val="624" w:hRule="atLeast"/>
        </w:trPr>
        <w:tc>
          <w:tcPr>
            <w:tcW w:w="713" w:type="dxa"/>
            <w:vMerge w:val="continue"/>
            <w:textDirection w:val="tbRlV"/>
            <w:vAlign w:val="top"/>
          </w:tcPr>
          <w:p>
            <w:pPr>
              <w:pStyle w:val="0"/>
              <w:widowControl w:val="0"/>
              <w:spacing w:line="24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子どもの表情や言動などから、保育者は安心できる拠り所となっている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cantSplit/>
          <w:trHeight w:val="908" w:hRule="atLeast"/>
        </w:trPr>
        <w:tc>
          <w:tcPr>
            <w:tcW w:w="713" w:type="dxa"/>
            <w:textDirection w:val="tbRlV"/>
            <w:vAlign w:val="top"/>
          </w:tcPr>
          <w:p>
            <w:pPr>
              <w:pStyle w:val="0"/>
              <w:widowControl w:val="0"/>
              <w:spacing w:line="240" w:lineRule="exact"/>
              <w:ind w:left="113" w:right="113"/>
              <w:rPr>
                <w:rFonts w:hint="default" w:ascii="メイリオ" w:hAnsi="メイリオ" w:eastAsia="メイリオ"/>
              </w:rPr>
            </w:pPr>
            <w:r>
              <w:rPr>
                <w:rFonts w:hint="eastAsia" w:ascii="メイリオ" w:hAnsi="メイリオ" w:eastAsia="メイリオ"/>
              </w:rPr>
              <w:t>乳幼児</w:t>
            </w:r>
          </w:p>
          <w:p>
            <w:pPr>
              <w:pStyle w:val="0"/>
              <w:widowControl w:val="0"/>
              <w:spacing w:line="240" w:lineRule="exact"/>
              <w:ind w:left="113" w:right="113"/>
              <w:rPr>
                <w:rFonts w:hint="default" w:ascii="メイリオ" w:hAnsi="メイリオ" w:eastAsia="メイリオ"/>
              </w:rPr>
            </w:pPr>
            <w:r>
              <w:rPr>
                <w:rFonts w:hint="eastAsia" w:ascii="メイリオ" w:hAnsi="メイリオ" w:eastAsia="メイリオ"/>
              </w:rPr>
              <w:t>理解</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子ども一人一人の特性を捉え、寄り添うことができている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計画</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この頃の子どもの姿を捉えた指導計画（日案）が作成されている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5"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要領・指針を踏まえ、ねらいや内容は適切である（養護と教育、発達にあったもの）</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環境構成</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子ども自ら関わりたくなるような環境構成である（遊具、用具、素材、場、時間等）</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917"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子どもの興味・関心や育ちに応じて、遊具・用具・材料、場、数等が自由に選べる環境構成である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73"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遊びや生活の充実を図るために、必要に応じて環境を作りかえる場面がある</w:t>
            </w:r>
          </w:p>
          <w:p>
            <w:pPr>
              <w:pStyle w:val="0"/>
              <w:widowControl w:val="0"/>
              <w:spacing w:line="240" w:lineRule="exact"/>
              <w:ind w:firstLine="2310" w:firstLineChars="1100"/>
              <w:rPr>
                <w:rFonts w:hint="default" w:ascii="メイリオ" w:hAnsi="メイリオ" w:eastAsia="メイリオ"/>
              </w:rPr>
            </w:pPr>
            <w:r>
              <w:rPr>
                <w:rFonts w:hint="eastAsia" w:ascii="メイリオ" w:hAnsi="メイリオ" w:eastAsia="メイリオ"/>
              </w:rPr>
              <w:t>（環境の再構成）</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89"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援助</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遊びの場面に応じて、一緒に遊び、モデルになったり遊びを提案したりするような援助が行われている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56" w:hRule="atLeast"/>
        </w:trPr>
        <w:tc>
          <w:tcPr>
            <w:tcW w:w="713" w:type="dxa"/>
            <w:vMerge w:val="continue"/>
            <w:textDirection w:val="tbRlV"/>
            <w:vAlign w:val="top"/>
          </w:tcPr>
          <w:p>
            <w:pPr>
              <w:pStyle w:val="0"/>
              <w:widowControl w:val="0"/>
              <w:spacing w:line="360" w:lineRule="exact"/>
              <w:ind w:left="113" w:right="113"/>
              <w:jc w:val="center"/>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遊びや生活の場面に応じて、子どもの気付きや考えを（言葉にして意味付けるなど）、大事にした援助が行われている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eastAsia"/>
              </w:rPr>
            </w:pPr>
          </w:p>
        </w:tc>
      </w:tr>
      <w:tr>
        <w:trPr>
          <w:trHeight w:val="601" w:hRule="atLeast"/>
        </w:trPr>
        <w:tc>
          <w:tcPr>
            <w:tcW w:w="713" w:type="dxa"/>
            <w:vMerge w:val="continue"/>
            <w:textDirection w:val="tbRlV"/>
            <w:vAlign w:val="top"/>
          </w:tcPr>
          <w:p>
            <w:pPr>
              <w:pStyle w:val="0"/>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安全で健康な生活をするための生活習慣を身に付けさせるような援助が行われている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r>
        <w:trPr>
          <w:trHeight w:val="601"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組織</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研修の参加体制や役割分担等に配慮し、組織として園内研修を行うことができている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r>
        <w:trPr>
          <w:trHeight w:val="557" w:hRule="atLeast"/>
        </w:trPr>
        <w:tc>
          <w:tcPr>
            <w:tcW w:w="713" w:type="dxa"/>
            <w:vMerge w:val="continue"/>
            <w:textDirection w:val="tbRlV"/>
            <w:vAlign w:val="top"/>
          </w:tcPr>
          <w:p>
            <w:pPr>
              <w:pStyle w:val="0"/>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記録や指導計画の作成、協議の場で、要領・指針の活用がされている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bl>
    <w:p>
      <w:pPr>
        <w:pStyle w:val="0"/>
        <w:rPr>
          <w:rFonts w:hint="default" w:ascii="メイリオ" w:hAnsi="メイリオ" w:eastAsia="メイリオ"/>
        </w:rPr>
      </w:pPr>
      <w:bookmarkStart w:id="0" w:name="_GoBack"/>
      <w:bookmarkEnd w:id="0"/>
    </w:p>
    <w:sectPr>
      <w:pgSz w:w="11906" w:h="16838"/>
      <w:pgMar w:top="624" w:right="850" w:bottom="624" w:left="85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C4AC336"/>
    <w:lvl w:ilvl="0" w:tplc="AE1C0A98">
      <w:start w:val="1"/>
      <w:numFmt w:val="decimalEnclosedCircle"/>
      <w:lvlText w:val="%1"/>
      <w:lvlJc w:val="left"/>
      <w:pPr>
        <w:ind w:left="502" w:hanging="360"/>
      </w:pPr>
      <w:rPr>
        <w:rFonts w:hint="default"/>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400" w:lineRule="exac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4"/>
    <w:basedOn w:val="10"/>
    <w:next w:val="17"/>
    <w:link w:val="0"/>
    <w:uiPriority w:val="0"/>
    <w:qFormat/>
    <w:rPr>
      <w:rFonts w:ascii="ＭＳ 明朝" w:hAnsi="ＭＳ 明朝" w:eastAsia="ＭＳ 明朝"/>
      <w:sz w:val="18"/>
    </w:rPr>
  </w:style>
  <w:style w:type="character" w:styleId="18" w:customStyle="1">
    <w:name w:val="font15"/>
    <w:basedOn w:val="10"/>
    <w:next w:val="18"/>
    <w:link w:val="0"/>
    <w:uiPriority w:val="0"/>
    <w:qFormat/>
    <w:rPr>
      <w:rFonts w:ascii="ＭＳ 明朝" w:hAnsi="ＭＳ 明朝" w:eastAsia="ＭＳ 明朝"/>
      <w:b w:val="1"/>
      <w:sz w:val="1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Pr>
    <w:trPr/>
    <w:tcPr/>
  </w:style>
  <w:style w:type="table" w:styleId="25" w:customStyle="1">
    <w:name w:val="表 (格子)1"/>
    <w:basedOn w:val="11"/>
    <w:next w:val="25"/>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2</Pages>
  <Words>7</Words>
  <Characters>1830</Characters>
  <Application>JUST Note</Application>
  <Lines>1045</Lines>
  <Paragraphs>101</Paragraphs>
  <CharactersWithSpaces>1929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364416</dc:creator>
  <cp:lastModifiedBy>908456</cp:lastModifiedBy>
  <cp:lastPrinted>2025-02-19T02:29:29Z</cp:lastPrinted>
  <dcterms:created xsi:type="dcterms:W3CDTF">2022-11-13T08:24:00Z</dcterms:created>
  <dcterms:modified xsi:type="dcterms:W3CDTF">2025-02-19T02:18:37Z</dcterms:modified>
  <cp:revision>15</cp:revision>
</cp:coreProperties>
</file>