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別紙４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　知　県　知　事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高知県外国人材受入環境整備事業補助金交付審査のため、全ての県税（個人県民税および地方消費税を除く。）及びこれに付随する延滞金等の納付又は納入の状況に関して、税務課から商工政策課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（３）県税の完納情報の提供に当たり、商工政策課の指示及び指導がある場合は、その内容に従うこと。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hanging="210" w:hangingChars="10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1</Pages>
  <Words>0</Words>
  <Characters>476</Characters>
  <Application>JUST Note</Application>
  <Lines>39</Lines>
  <Paragraphs>22</Paragraphs>
  <CharactersWithSpaces>528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490243</cp:lastModifiedBy>
  <cp:lastPrinted>2025-03-07T05:45:32Z</cp:lastPrinted>
  <dcterms:created xsi:type="dcterms:W3CDTF">2021-02-08T06:18:00Z</dcterms:created>
  <dcterms:modified xsi:type="dcterms:W3CDTF">2025-03-06T07:53:04Z</dcterms:modified>
  <cp:revision>43</cp:revision>
</cp:coreProperties>
</file>