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-358775</wp:posOffset>
                </wp:positionV>
                <wp:extent cx="495300" cy="2667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8.25pt;mso-position-vertical-relative:text;mso-position-horizontal-relative:text;position:absolute;height:21pt;mso-wrap-distance-top:0pt;width:39pt;mso-wrap-distance-left:16pt;margin-left:458.5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（第４号様式）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  <w:bookmarkStart w:id="0" w:name="_GoBack"/>
      <w:bookmarkEnd w:id="0"/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（１）令和</w:t>
      </w:r>
      <w:r>
        <w:rPr>
          <w:rFonts w:hint="eastAsia" w:ascii="ＭＳ 明朝" w:hAnsi="ＭＳ 明朝" w:eastAsia="ＭＳ 明朝"/>
          <w:u w:val="none" w:color="auto"/>
        </w:rPr>
        <w:t>７</w:t>
      </w:r>
      <w:r>
        <w:rPr>
          <w:rFonts w:hint="eastAsia"/>
          <w:u w:val="none" w:color="auto"/>
        </w:rPr>
        <w:t>年度高知県在宅歯科診療設備整備事業費補助金交付審査のため、全ての県税（個人県民税および地方消費税を除く。）及びこれに付随する延滞金等の納付又は納入の状況に関して、税務課から在宅療養推進課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（３）県税の完納情報の提供に当たり、在宅療養推進課の指示及び指導がある場合は、その内容に従うこと。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735" w:leftChars="250" w:hanging="210" w:hangingChars="10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1</Words>
  <Characters>490</Characters>
  <Application>JUST Note</Application>
  <Lines>40</Lines>
  <Paragraphs>23</Paragraphs>
  <CharactersWithSpaces>545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520858</cp:lastModifiedBy>
  <cp:lastPrinted>2022-01-25T05:56:26Z</cp:lastPrinted>
  <dcterms:created xsi:type="dcterms:W3CDTF">2021-02-08T06:18:00Z</dcterms:created>
  <dcterms:modified xsi:type="dcterms:W3CDTF">2025-03-30T04:57:53Z</dcterms:modified>
  <cp:revision>48</cp:revision>
</cp:coreProperties>
</file>