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50</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届出者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spacing w:before="42" w:beforeLines="15" w:beforeAutospacing="0"/>
        <w:ind w:firstLine="5424" w:firstLineChars="2400"/>
        <w:rPr>
          <w:rFonts w:hint="default"/>
        </w:rPr>
      </w:pPr>
      <w:r>
        <w:rPr>
          <w:rFonts w:hint="default"/>
        </w:rPr>
        <mc:AlternateContent>
          <mc:Choice Requires="wps">
            <w:drawing>
              <wp:anchor simplePos="0" relativeHeight="2" behindDoc="0" locked="0" layoutInCell="1" hidden="0" allowOverlap="1">
                <wp:simplePos x="0" y="0"/>
                <wp:positionH relativeFrom="column">
                  <wp:posOffset>3354705</wp:posOffset>
                </wp:positionH>
                <wp:positionV relativeFrom="paragraph">
                  <wp:posOffset>66040</wp:posOffset>
                </wp:positionV>
                <wp:extent cx="71755" cy="312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71755" cy="312420"/>
                        </a:xfrm>
                        <a:custGeom>
                          <a:avLst/>
                          <a:gdLst>
                            <a:gd name="CX1" fmla="*/ 0 w 4961"/>
                            <a:gd name="CY1" fmla="*/ 0 h 21600"/>
                            <a:gd name="CX2" fmla="*/ 218 w 4961"/>
                            <a:gd name="CY2" fmla="*/ 21600 h 21600"/>
                            <a:gd name="CX3" fmla="*/ 0 w 4961"/>
                            <a:gd name="CY3" fmla="*/ 10805 h 21600"/>
                            <a:gd name="TXL" fmla="*/ 0 w 4961"/>
                            <a:gd name="TXT" fmla="*/ 0 h 21600"/>
                            <a:gd name="TXR" fmla="*/ 4961 w 4961"/>
                            <a:gd name="TXB" fmla="*/ 21600 h 21600"/>
                          </a:gdLst>
                          <a:ahLst/>
                          <a:cxnLst>
                            <a:cxn ang="16200000">
                              <a:pos x="CX1" y="CY1"/>
                            </a:cxn>
                            <a:cxn ang="5400000">
                              <a:pos x="CX2" y="CY2"/>
                            </a:cxn>
                            <a:cxn ang="5400000">
                              <a:pos x="CX3" y="CY3"/>
                            </a:cxn>
                          </a:cxnLst>
                          <a:rect l="TXL" t="TXT" r="TXR" b="TXB"/>
                          <a:pathLst>
                            <a:path w="4961" h="21600" fill="none">
                              <a:moveTo>
                                <a:pt x="0" y="0"/>
                              </a:moveTo>
                              <a:cubicBezTo>
                                <a:pt x="2740" y="0"/>
                                <a:pt x="4961" y="4838"/>
                                <a:pt x="4961" y="10805"/>
                              </a:cubicBezTo>
                              <a:cubicBezTo>
                                <a:pt x="4961" y="16588"/>
                                <a:pt x="2870" y="21346"/>
                                <a:pt x="218" y="21600"/>
                              </a:cubicBezTo>
                            </a:path>
                            <a:path w="4961" h="21600" fill="norm" stroke="0">
                              <a:moveTo>
                                <a:pt x="0" y="0"/>
                              </a:moveTo>
                              <a:cubicBezTo>
                                <a:pt x="2740" y="0"/>
                                <a:pt x="4961" y="4838"/>
                                <a:pt x="4961" y="10805"/>
                              </a:cubicBezTo>
                              <a:cubicBezTo>
                                <a:pt x="4961" y="16588"/>
                                <a:pt x="2870" y="21346"/>
                                <a:pt x="218" y="21600"/>
                              </a:cubicBezTo>
                              <a:lnTo>
                                <a:pt x="218" y="21600"/>
                              </a:lnTo>
                              <a:lnTo>
                                <a:pt x="0" y="10805"/>
                              </a:lnTo>
                              <a:close/>
                            </a:path>
                          </a:pathLst>
                        </a:custGeom>
                        <a:noFill/>
                        <a:ln w="6350">
                          <a:solidFill>
                            <a:sysClr val="windowText" lastClr="000000"/>
                          </a:solidFill>
                        </a:ln>
                      </wps:spPr>
                      <wps:bodyPr/>
                    </wps:wsp>
                  </a:graphicData>
                </a:graphic>
              </wp:anchor>
            </w:drawing>
          </mc:Choice>
          <mc:Fallback>
            <w:pict>
              <v:shape id="_x0000_s1026" style="flip:x;margin-top:5.2pt;mso-position-vertical-relative:text;mso-position-horizontal-relative:text;position:absolute;height:24.6pt;width:5.65pt;margin-left:264.14pt;z-index:2;" filled="f" stroked="t" strokecolor="#000000" strokeweight="0.5pt" o:spt="0" path="m0,0nfl0,0c11930,0,21600,4838,21600,10805c21600,16588,12496,21346,949,21600em0,0nsl0,0c11930,0,21600,4838,21600,10805c21600,16588,12496,21346,949,21600l949,21600l0,10805xe">
                <v:path textboxrect="0,0,21600,21600" arrowok="true" o:connecttype="custom" o:connectlocs="0,0;949,21600;0,10805" o:connectangles="270,90,90"/>
                <v:fill/>
                <v:stroke joinstyle="round" filltype="solid"/>
                <v:textbox style="layout-flow:horizontal;"/>
                <v:imagedata o:title=""/>
                <w10:wrap type="none" anchorx="text" anchory="text"/>
              </v:shape>
            </w:pict>
          </mc:Fallback>
        </mc:AlternateContent>
      </w:r>
      <w:r>
        <w:rPr>
          <w:rFonts w:hint="default"/>
        </w:rPr>
        <mc:AlternateContent>
          <mc:Choice Requires="wps">
            <w:drawing>
              <wp:anchor simplePos="0" relativeHeight="3" behindDoc="0" locked="0" layoutInCell="1" hidden="0" allowOverlap="1">
                <wp:simplePos x="0" y="0"/>
                <wp:positionH relativeFrom="column">
                  <wp:posOffset>5638800</wp:posOffset>
                </wp:positionH>
                <wp:positionV relativeFrom="paragraph">
                  <wp:posOffset>66040</wp:posOffset>
                </wp:positionV>
                <wp:extent cx="71755" cy="3124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1755" cy="312420"/>
                        </a:xfrm>
                        <a:custGeom>
                          <a:avLst/>
                          <a:gdLst>
                            <a:gd name="CX1" fmla="*/ 0 w 4961"/>
                            <a:gd name="CY1" fmla="*/ 0 h 21600"/>
                            <a:gd name="CX2" fmla="*/ 0 w 4961"/>
                            <a:gd name="CY2" fmla="*/ 21600 h 21600"/>
                            <a:gd name="CX3" fmla="*/ 0 w 4961"/>
                            <a:gd name="CY3" fmla="*/ 10800 h 21600"/>
                            <a:gd name="TXL" fmla="*/ 0 w 4961"/>
                            <a:gd name="TXT" fmla="*/ 0 h 21600"/>
                            <a:gd name="TXR" fmla="*/ 4961 w 4961"/>
                            <a:gd name="TXB" fmla="*/ 21600 h 21600"/>
                          </a:gdLst>
                          <a:ahLst/>
                          <a:cxnLst>
                            <a:cxn ang="16200000">
                              <a:pos x="CX1" y="CY1"/>
                            </a:cxn>
                            <a:cxn ang="5400000">
                              <a:pos x="CX2" y="CY2"/>
                            </a:cxn>
                            <a:cxn ang="5400000">
                              <a:pos x="CX3" y="CY3"/>
                            </a:cxn>
                          </a:cxnLst>
                          <a:rect l="TXL" t="TXT" r="TXR" b="TXB"/>
                          <a:pathLst>
                            <a:path w="4961" h="21600" fill="none">
                              <a:moveTo>
                                <a:pt x="0" y="0"/>
                              </a:moveTo>
                              <a:cubicBezTo>
                                <a:pt x="2740" y="0"/>
                                <a:pt x="4961" y="4835"/>
                                <a:pt x="4961" y="10800"/>
                              </a:cubicBezTo>
                              <a:cubicBezTo>
                                <a:pt x="4961" y="16765"/>
                                <a:pt x="2740" y="21600"/>
                                <a:pt x="0" y="21600"/>
                              </a:cubicBezTo>
                              <a:cubicBezTo>
                                <a:pt x="0" y="21600"/>
                                <a:pt x="0" y="21600"/>
                                <a:pt x="0" y="21600"/>
                              </a:cubicBezTo>
                            </a:path>
                            <a:path w="4961" h="21600" fill="norm" stroke="0">
                              <a:moveTo>
                                <a:pt x="0" y="0"/>
                              </a:moveTo>
                              <a:cubicBezTo>
                                <a:pt x="2740" y="0"/>
                                <a:pt x="4961" y="4835"/>
                                <a:pt x="4961" y="10800"/>
                              </a:cubicBezTo>
                              <a:cubicBezTo>
                                <a:pt x="4961" y="16765"/>
                                <a:pt x="2740" y="21600"/>
                                <a:pt x="0" y="21600"/>
                              </a:cubicBezTo>
                              <a:cubicBezTo>
                                <a:pt x="0" y="21600"/>
                                <a:pt x="0" y="21600"/>
                                <a:pt x="0" y="21600"/>
                              </a:cubicBezTo>
                              <a:lnTo>
                                <a:pt x="0" y="21600"/>
                              </a:lnTo>
                              <a:lnTo>
                                <a:pt x="0" y="10800"/>
                              </a:lnTo>
                              <a:close/>
                            </a:path>
                          </a:pathLst>
                        </a:custGeom>
                        <a:noFill/>
                        <a:ln w="6350">
                          <a:solidFill>
                            <a:sysClr val="windowText" lastClr="000000"/>
                          </a:solidFill>
                        </a:ln>
                      </wps:spPr>
                      <wps:bodyPr/>
                    </wps:wsp>
                  </a:graphicData>
                </a:graphic>
              </wp:anchor>
            </w:drawing>
          </mc:Choice>
          <mc:Fallback>
            <w:pict>
              <v:shape id="_x0000_s1027" style="margin-top:5.2pt;mso-position-vertical-relative:text;mso-position-horizontal-relative:text;position:absolute;height:24.6pt;width:5.65pt;margin-left:444pt;z-index:3;" filled="f" stroked="t" strokecolor="#000000" strokeweight="0.5pt" o:spt="0" path="m0,0nfl0,0c11930,0,21600,4835,21600,10800c21600,16765,11930,21600,0,21600c0,21600,0,21600,0,21600em0,0nsl0,0c11930,0,21600,4835,21600,10800c21600,16765,11930,21600,0,21600c0,21600,0,21600,0,21600l0,21600l0,10800xe">
                <v:path textboxrect="0,0,21600,21600" arrowok="true" o:connecttype="custom" o:connectlocs="0,0;0,21600;0,10800" o:connectangles="270,90,90"/>
                <v:fill/>
                <v:stroke joinstyle="round" filltype="solid"/>
                <v:textbox style="layout-flow:horizontal;"/>
                <v:imagedata o:title=""/>
                <w10:wrap type="none" anchorx="text" anchory="text"/>
              </v:shape>
            </w:pict>
          </mc:Fallback>
        </mc:AlternateConten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病院（診療所・助産所）自主検査検査結果届出書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病院、診療所又は助産所について高知県医療法施行細則第３条第１項に規定する自主検査をしましたので、同条第２項の規定により下記のとおり届け出ます。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病院、診療所又は助産所の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病院、診療所又は助産所の名称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病院、診療所又は助産所の所在の場所及び電話番号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自主検査の申出年月日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自主検査を実施した者の職名及び氏名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自主検査の実施年月日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自主検査の実施項目及び検査結果（図面との照合結果を併せて記入してください。）</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５欄には、自主検査を実施した者が押印してください。</w:t>
      </w:r>
    </w:p>
    <w:p>
      <w:pPr>
        <w:pStyle w:val="0"/>
        <w:overflowPunct w:val="0"/>
        <w:autoSpaceDE w:val="0"/>
        <w:autoSpaceDN w:val="0"/>
        <w:ind w:firstLine="452" w:firstLineChars="200"/>
        <w:rPr>
          <w:rFonts w:hint="default"/>
        </w:rPr>
      </w:pPr>
      <w:r>
        <w:rPr>
          <w:rFonts w:hint="eastAsia"/>
        </w:rPr>
        <w:t>２　７欄は、変更した構造設備ごとに記入してください。</w:t>
      </w:r>
    </w:p>
    <w:p>
      <w:pPr>
        <w:pStyle w:val="0"/>
        <w:overflowPunct w:val="0"/>
        <w:autoSpaceDE w:val="0"/>
        <w:autoSpaceDN w:val="0"/>
        <w:ind w:left="678" w:leftChars="200" w:hanging="226" w:hangingChars="100"/>
        <w:rPr>
          <w:rFonts w:hint="default"/>
        </w:rPr>
      </w:pPr>
      <w:r>
        <w:rPr>
          <w:rFonts w:hint="eastAsia"/>
        </w:rPr>
        <w:t>３　７欄の「検査結果」については、医療法及び医療法施行規則に規定する構造設備の基準（以下「構造設備の基準」といいます。）に適合していることを確認して、「適」と記入してください。その際に、併せて図面と相違ないことを確認して、図面との照合結果に「適」と記入してください。</w:t>
      </w:r>
    </w:p>
    <w:p>
      <w:pPr>
        <w:pStyle w:val="0"/>
        <w:overflowPunct w:val="0"/>
        <w:autoSpaceDE w:val="0"/>
        <w:autoSpaceDN w:val="0"/>
        <w:ind w:left="678" w:leftChars="200" w:hanging="226" w:hangingChars="100"/>
        <w:rPr>
          <w:rFonts w:hint="default"/>
        </w:rPr>
      </w:pPr>
      <w:r>
        <w:rPr>
          <w:rFonts w:hint="eastAsia"/>
        </w:rPr>
        <w:t>４　開設者の変更に伴い、形式的に新規開設となる場合は、８欄に「必要な基準を満たし、実際に使用可能な状態にあることを確認しました。」と記入してください。</w:t>
      </w:r>
    </w:p>
    <w:p>
      <w:pPr>
        <w:pStyle w:val="0"/>
        <w:overflowPunct w:val="0"/>
        <w:autoSpaceDE w:val="0"/>
        <w:autoSpaceDN w:val="0"/>
        <w:ind w:left="678" w:leftChars="200" w:hanging="226" w:hangingChars="100"/>
        <w:rPr>
          <w:rFonts w:hint="default"/>
        </w:rPr>
      </w:pPr>
      <w:r>
        <w:rPr>
          <w:rFonts w:hint="eastAsia"/>
        </w:rPr>
        <w:t>５　医療法第</w:t>
      </w:r>
      <w:r>
        <w:rPr>
          <w:rFonts w:hint="eastAsia"/>
        </w:rPr>
        <w:t>27</w:t>
      </w:r>
      <w:r>
        <w:rPr>
          <w:rFonts w:hint="eastAsia"/>
        </w:rPr>
        <w:t>条の規定により使用の許可証を交付した後に、構造設備の基準に違反する事実が判明した場合は、速やかな是正を求めるとともに、同法第</w:t>
      </w:r>
      <w:r>
        <w:rPr>
          <w:rFonts w:hint="default"/>
        </w:rPr>
        <w:t>24</w:t>
      </w:r>
      <w:r>
        <w:rPr>
          <w:rFonts w:hint="eastAsia"/>
        </w:rPr>
        <w:t>条第１項の規定に基づき当該施設の使用の制限等の措置をとることがあります。</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4</Words>
  <Characters>693</Characters>
  <Application>JUST Note</Application>
  <Lines>54</Lines>
  <Paragraphs>23</Paragraphs>
  <CharactersWithSpaces>725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2017-03-22T03:30:00Z</cp:lastPrinted>
  <dcterms:created xsi:type="dcterms:W3CDTF">2017-03-25T09:59:00Z</dcterms:created>
  <dcterms:modified xsi:type="dcterms:W3CDTF">2017-03-27T00:17:09Z</dcterms:modified>
  <cp:revision>2</cp:revision>
</cp:coreProperties>
</file>