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highlight w:val="none"/>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4706620</wp:posOffset>
                </wp:positionH>
                <wp:positionV relativeFrom="paragraph">
                  <wp:posOffset>-531495</wp:posOffset>
                </wp:positionV>
                <wp:extent cx="635635" cy="3302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35635" cy="330200"/>
                        </a:xfrm>
                        <a:prstGeom prst="rect">
                          <a:avLst/>
                        </a:prstGeom>
                        <a:solidFill>
                          <a:srgbClr val="FFFFFF"/>
                        </a:solidFill>
                        <a:ln>
                          <a:miter/>
                        </a:ln>
                      </wps:spPr>
                      <wps:txbx>
                        <w:txbxContent>
                          <w:p>
                            <w:pPr>
                              <w:pStyle w:val="0"/>
                              <w:rPr>
                                <w:rFonts w:hint="eastAsia"/>
                                <w:sz w:val="21"/>
                              </w:rPr>
                            </w:pPr>
                            <w:r>
                              <w:rPr>
                                <w:rFonts w:hint="eastAsia" w:asciiTheme="minorEastAsia" w:hAnsiTheme="minorEastAsia" w:eastAsiaTheme="minorEastAsia"/>
                                <w:sz w:val="21"/>
                              </w:rPr>
                              <w:t>別紙</w:t>
                            </w:r>
                            <w:r>
                              <w:rPr>
                                <w:rFonts w:hint="eastAsia" w:asciiTheme="minorEastAsia" w:hAnsiTheme="minorEastAsia" w:eastAsiaTheme="minorEastAsia"/>
                                <w:sz w:val="21"/>
                              </w:rPr>
                              <w:t>10</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1.85pt;mso-position-vertical-relative:text;mso-position-horizontal-relative:text;position:absolute;height:26pt;mso-wrap-distance-top:0pt;width:50.05pt;mso-wrap-distance-left:5.65pt;margin-left:370.6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21"/>
                        </w:rPr>
                      </w:pPr>
                      <w:r>
                        <w:rPr>
                          <w:rFonts w:hint="eastAsia" w:asciiTheme="minorEastAsia" w:hAnsiTheme="minorEastAsia" w:eastAsiaTheme="minorEastAsia"/>
                          <w:sz w:val="21"/>
                        </w:rPr>
                        <w:t>別紙</w:t>
                      </w:r>
                      <w:r>
                        <w:rPr>
                          <w:rFonts w:hint="eastAsia" w:asciiTheme="minorEastAsia" w:hAnsiTheme="minorEastAsia" w:eastAsiaTheme="minorEastAsia"/>
                          <w:sz w:val="21"/>
                        </w:rPr>
                        <w:t>10</w:t>
                      </w:r>
                    </w:p>
                  </w:txbxContent>
                </v:textbox>
                <v:imagedata o:title=""/>
                <w10:wrap type="none" anchorx="text" anchory="text"/>
              </v:shape>
            </w:pict>
          </mc:Fallback>
        </mc:AlternateContent>
      </w:r>
      <w:r>
        <w:rPr>
          <w:rFonts w:hint="eastAsia" w:ascii="ＭＳ 明朝" w:hAnsi="ＭＳ 明朝" w:eastAsia="ＭＳ 明朝"/>
          <w:sz w:val="32"/>
          <w:highlight w:val="none"/>
        </w:rPr>
        <w:t>業務委託契約書</w:t>
      </w:r>
    </w:p>
    <w:p>
      <w:pPr>
        <w:pStyle w:val="0"/>
        <w:tabs>
          <w:tab w:val="left" w:leader="none" w:pos="2150"/>
        </w:tabs>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１　</w:t>
      </w:r>
      <w:r>
        <w:rPr>
          <w:rFonts w:hint="eastAsia" w:ascii="ＭＳ 明朝" w:hAnsi="ＭＳ 明朝" w:eastAsia="ＭＳ 明朝"/>
          <w:spacing w:val="6"/>
          <w:sz w:val="21"/>
          <w:highlight w:val="none"/>
          <w:fitText w:val="1100" w:id="1"/>
        </w:rPr>
        <w:t>委託業務</w:t>
      </w:r>
      <w:r>
        <w:rPr>
          <w:rFonts w:hint="eastAsia" w:ascii="ＭＳ 明朝" w:hAnsi="ＭＳ 明朝" w:eastAsia="ＭＳ 明朝"/>
          <w:spacing w:val="1"/>
          <w:sz w:val="21"/>
          <w:highlight w:val="none"/>
          <w:fitText w:val="1100" w:id="1"/>
        </w:rPr>
        <w:t>名</w:t>
      </w:r>
      <w:r>
        <w:rPr>
          <w:rFonts w:hint="eastAsia" w:ascii="ＭＳ 明朝" w:hAnsi="ＭＳ 明朝" w:eastAsia="ＭＳ 明朝"/>
          <w:sz w:val="21"/>
          <w:highlight w:val="none"/>
        </w:rPr>
        <w:tab/>
      </w:r>
      <w:r>
        <w:rPr>
          <w:rFonts w:hint="eastAsia" w:ascii="ＭＳ 明朝" w:hAnsi="ＭＳ 明朝" w:eastAsia="ＭＳ 明朝"/>
          <w:sz w:val="21"/>
          <w:highlight w:val="none"/>
        </w:rPr>
        <w:t>観光振興スポーツ部オフィス什器等整備委託業務</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年　　　月　　　日</w:t>
      </w:r>
    </w:p>
    <w:p>
      <w:pPr>
        <w:pStyle w:val="0"/>
        <w:kinsoku w:val="1"/>
        <w:spacing w:line="0" w:lineRule="atLeast"/>
        <w:ind w:leftChars="0" w:firstLine="0" w:firstLineChars="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令和９年１月</w:t>
      </w:r>
      <w:r>
        <w:rPr>
          <w:rFonts w:hint="eastAsia" w:ascii="ＭＳ 明朝" w:hAnsi="ＭＳ 明朝" w:eastAsia="ＭＳ 明朝"/>
          <w:sz w:val="21"/>
          <w:highlight w:val="none"/>
        </w:rPr>
        <w:t>29</w:t>
      </w:r>
      <w:r>
        <w:rPr>
          <w:rFonts w:hint="eastAsia" w:ascii="ＭＳ 明朝" w:hAnsi="ＭＳ 明朝" w:eastAsia="ＭＳ 明朝"/>
          <w:sz w:val="21"/>
          <w:highlight w:val="none"/>
        </w:rPr>
        <w:t>日</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３　</w:t>
      </w:r>
      <w:r>
        <w:rPr>
          <w:rFonts w:hint="eastAsia" w:ascii="ＭＳ 明朝" w:hAnsi="ＭＳ 明朝" w:eastAsia="ＭＳ 明朝"/>
          <w:spacing w:val="117"/>
          <w:sz w:val="21"/>
          <w:highlight w:val="none"/>
          <w:fitText w:val="1100" w:id="3"/>
        </w:rPr>
        <w:t>委託</w:t>
      </w:r>
      <w:r>
        <w:rPr>
          <w:rFonts w:hint="eastAsia" w:ascii="ＭＳ 明朝" w:hAnsi="ＭＳ 明朝" w:eastAsia="ＭＳ 明朝"/>
          <w:spacing w:val="1"/>
          <w:sz w:val="21"/>
          <w:highlight w:val="none"/>
          <w:fitText w:val="1100" w:id="3"/>
        </w:rPr>
        <w:t>料</w:t>
      </w:r>
      <w:r>
        <w:rPr>
          <w:rFonts w:hint="eastAsia" w:ascii="ＭＳ 明朝" w:hAnsi="ＭＳ 明朝" w:eastAsia="ＭＳ 明朝"/>
          <w:sz w:val="21"/>
          <w:highlight w:val="none"/>
        </w:rPr>
        <w:t>　　￥</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（うち取引に係る消費税及び地方消費税の額　　￥　　　　　　　　　　　　　）</w:t>
      </w:r>
    </w:p>
    <w:p>
      <w:pPr>
        <w:pStyle w:val="0"/>
        <w:kinsoku w:val="1"/>
        <w:ind w:left="418" w:hanging="418" w:hangingChars="199"/>
        <w:rPr>
          <w:rFonts w:hint="eastAsia" w:ascii="ＭＳ 明朝" w:hAnsi="ＭＳ 明朝" w:eastAsia="ＭＳ 明朝"/>
          <w:spacing w:val="-2"/>
          <w:sz w:val="21"/>
          <w:highlight w:val="none"/>
        </w:rPr>
      </w:pPr>
      <w:r>
        <w:rPr>
          <w:rFonts w:hint="eastAsia" w:ascii="ＭＳ 明朝" w:hAnsi="ＭＳ 明朝" w:eastAsia="ＭＳ 明朝"/>
          <w:sz w:val="21"/>
          <w:highlight w:val="none"/>
        </w:rPr>
        <w:t>　　９</w:t>
      </w:r>
      <w:r>
        <w:rPr>
          <w:rFonts w:hint="eastAsia" w:ascii="ＭＳ 明朝" w:hAnsi="ＭＳ 明朝" w:eastAsia="ＭＳ 明朝"/>
          <w:spacing w:val="-2"/>
          <w:sz w:val="21"/>
          <w:highlight w:val="none"/>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highlight w:val="none"/>
        </w:rPr>
      </w:pP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４　</w:t>
      </w:r>
      <w:r>
        <w:rPr>
          <w:rFonts w:hint="eastAsia" w:ascii="ＭＳ 明朝" w:hAnsi="ＭＳ 明朝" w:eastAsia="ＭＳ 明朝"/>
          <w:spacing w:val="6"/>
          <w:sz w:val="21"/>
          <w:highlight w:val="none"/>
          <w:fitText w:val="1100" w:id="4"/>
        </w:rPr>
        <w:t>契約保証</w:t>
      </w:r>
      <w:r>
        <w:rPr>
          <w:rFonts w:hint="eastAsia" w:ascii="ＭＳ 明朝" w:hAnsi="ＭＳ 明朝" w:eastAsia="ＭＳ 明朝"/>
          <w:spacing w:val="1"/>
          <w:sz w:val="21"/>
          <w:highlight w:val="none"/>
          <w:fitText w:val="1100" w:id="4"/>
        </w:rPr>
        <w:t>金</w:t>
      </w:r>
      <w:r>
        <w:rPr>
          <w:rFonts w:hint="eastAsia" w:ascii="ＭＳ 明朝" w:hAnsi="ＭＳ 明朝" w:eastAsia="ＭＳ 明朝"/>
          <w:sz w:val="21"/>
          <w:highlight w:val="none"/>
        </w:rPr>
        <w:t>　　</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ab/>
      </w:r>
      <w:r>
        <w:rPr>
          <w:rFonts w:hint="eastAsia" w:ascii="ＭＳ 明朝" w:hAnsi="ＭＳ 明朝" w:eastAsia="ＭＳ 明朝"/>
          <w:sz w:val="21"/>
          <w:highlight w:val="none"/>
        </w:rPr>
        <w:t>納付　（　￥　　　　　　　　　　　　）</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　　免除</w:t>
      </w:r>
    </w:p>
    <w:p>
      <w:pPr>
        <w:pStyle w:val="0"/>
        <w:kinsoku w:val="1"/>
        <w:ind w:left="836" w:hanging="836" w:hangingChars="398"/>
        <w:rPr>
          <w:rFonts w:hint="eastAsia" w:ascii="ＭＳ 明朝" w:hAnsi="ＭＳ 明朝" w:eastAsia="ＭＳ 明朝"/>
          <w:sz w:val="21"/>
          <w:highlight w:val="none"/>
        </w:rPr>
      </w:pP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５　成果物　　　　　　　</w:t>
      </w:r>
      <w:r>
        <w:rPr>
          <w:rFonts w:hint="eastAsia" w:ascii="ＭＳ 明朝" w:hAnsi="ＭＳ 明朝" w:eastAsia="ＭＳ 明朝"/>
          <w:sz w:val="21"/>
          <w:highlight w:val="none"/>
          <w:bdr w:val="single" w:color="auto" w:sz="4" w:space="0"/>
        </w:rPr>
        <w:t>有り</w:t>
      </w:r>
      <w:r>
        <w:rPr>
          <w:rFonts w:hint="eastAsia" w:ascii="ＭＳ 明朝" w:hAnsi="ＭＳ 明朝" w:eastAsia="ＭＳ 明朝"/>
          <w:sz w:val="21"/>
          <w:highlight w:val="none"/>
        </w:rPr>
        <w:t>　　　・　　　無し</w:t>
      </w:r>
    </w:p>
    <w:p>
      <w:pPr>
        <w:pStyle w:val="0"/>
        <w:kinsoku w:val="1"/>
        <w:ind w:left="836" w:hanging="836" w:hangingChars="398"/>
        <w:rPr>
          <w:rFonts w:hint="eastAsia" w:ascii="ＭＳ 明朝" w:hAnsi="ＭＳ 明朝" w:eastAsia="ＭＳ 明朝"/>
          <w:sz w:val="21"/>
          <w:highlight w:val="none"/>
        </w:rPr>
      </w:pP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６　前金払　　　　　　　有り　　　・　　　無し</w:t>
      </w:r>
    </w:p>
    <w:p>
      <w:pPr>
        <w:pStyle w:val="0"/>
        <w:kinsoku w:val="1"/>
        <w:ind w:left="836" w:hanging="836" w:hangingChars="398"/>
        <w:rPr>
          <w:rFonts w:hint="eastAsia" w:ascii="ＭＳ 明朝" w:hAnsi="ＭＳ 明朝" w:eastAsia="ＭＳ 明朝"/>
          <w:sz w:val="21"/>
          <w:highlight w:val="none"/>
        </w:rPr>
      </w:pP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w:t>
      </w:r>
      <w:r>
        <w:rPr>
          <w:rFonts w:hint="eastAsia" w:ascii="ＭＳ 明朝" w:hAnsi="ＭＳ 明朝" w:eastAsia="ＭＳ 明朝"/>
          <w:sz w:val="21"/>
          <w:highlight w:val="none"/>
          <w:bdr w:val="single" w:color="auto" w:sz="4" w:space="0"/>
        </w:rPr>
        <w:t>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w:t>
      </w:r>
      <w:r>
        <w:rPr>
          <w:rFonts w:hint="eastAsia" w:ascii="ＭＳ 明朝" w:hAnsi="ＭＳ 明朝" w:eastAsia="ＭＳ 明朝"/>
          <w:sz w:val="21"/>
          <w:highlight w:val="none"/>
          <w:bdr w:val="single" w:color="auto" w:sz="4" w:space="0"/>
        </w:rPr>
        <w:t>該当無し</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w:t>
      </w:r>
      <w:r>
        <w:rPr>
          <w:rFonts w:hint="eastAsia" w:ascii="ＭＳ 明朝" w:hAnsi="ＭＳ 明朝" w:eastAsia="ＭＳ 明朝"/>
          <w:sz w:val="21"/>
          <w:highlight w:val="none"/>
          <w:bdr w:val="single" w:color="auto" w:sz="4" w:space="0"/>
        </w:rPr>
        <w:t>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w:t>
      </w:r>
      <w:r>
        <w:rPr>
          <w:rFonts w:hint="eastAsia" w:ascii="ＭＳ 明朝" w:hAnsi="ＭＳ 明朝" w:eastAsia="ＭＳ 明朝"/>
          <w:sz w:val="21"/>
          <w:highlight w:val="none"/>
          <w:u w:val="none" w:color="auto"/>
          <w:bdr w:val="single" w:color="auto" w:sz="4" w:space="0"/>
        </w:rPr>
        <w:t>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0"/>
          <w:highlight w:val="none"/>
        </w:rPr>
        <w:t>　</w:t>
      </w:r>
      <w:r>
        <w:rPr>
          <w:rFonts w:hint="eastAsia" w:ascii="ＭＳ 明朝" w:hAnsi="ＭＳ 明朝" w:eastAsia="ＭＳ 明朝"/>
          <w:sz w:val="21"/>
          <w:highlight w:val="none"/>
        </w:rPr>
        <w:t>上記の業務について、委託者と受託者とは、各々の対等な立場に</w:t>
      </w:r>
      <w:bookmarkStart w:id="0" w:name="_GoBack"/>
      <w:bookmarkEnd w:id="0"/>
      <w:r>
        <w:rPr>
          <w:rFonts w:hint="eastAsia" w:ascii="ＭＳ 明朝" w:hAnsi="ＭＳ 明朝" w:eastAsia="ＭＳ 明朝"/>
          <w:sz w:val="21"/>
        </w:rPr>
        <w:t>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4486</TotalTime>
  <Pages>17</Pages>
  <Words>193</Words>
  <Characters>21162</Characters>
  <Application>JUST Note</Application>
  <Lines>811</Lines>
  <Paragraphs>327</Paragraphs>
  <CharactersWithSpaces>21750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458104</cp:lastModifiedBy>
  <cp:lastPrinted>2026-02-12T07:22:26Z</cp:lastPrinted>
  <dcterms:created xsi:type="dcterms:W3CDTF">2019-10-15T07:38:00Z</dcterms:created>
  <dcterms:modified xsi:type="dcterms:W3CDTF">2026-02-18T23:41:10Z</dcterms:modified>
  <cp:revision>61</cp:revision>
</cp:coreProperties>
</file>