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0" w:leftChars="100"/>
        <w:jc w:val="center"/>
        <w:rPr>
          <w:rFonts w:hint="eastAsia" w:ascii="ＭＳ Ｐゴシック" w:hAnsi="ＭＳ Ｐゴシック" w:eastAsia="ＭＳ Ｐゴシック"/>
        </w:rPr>
      </w:pPr>
      <w:r>
        <w:rPr>
          <w:rFonts w:hint="eastAsia" w:ascii="ＭＳ Ｐゴシック" w:hAnsi="ＭＳ Ｐゴシック" w:eastAsia="ＭＳ Ｐゴシック"/>
          <w:b w:val="1"/>
          <w:color w:val="000000" w:themeColor="text1"/>
          <w:kern w:val="0"/>
          <w:sz w:val="25"/>
          <w:shd w:val="pct15" w:color="auto" w:fill="auto"/>
        </w:rPr>
        <w:t>高知県犯罪被害者等支援条例骨子</w:t>
      </w:r>
      <w:r>
        <w:rPr>
          <w:rFonts w:hint="eastAsia" w:ascii="ＭＳ Ｐゴシック" w:hAnsi="ＭＳ Ｐゴシック" w:eastAsia="ＭＳ Ｐゴシック"/>
          <w:b w:val="1"/>
          <w:color w:val="000000" w:themeColor="text1"/>
          <w:sz w:val="25"/>
          <w:shd w:val="pct15" w:color="auto" w:fill="auto"/>
        </w:rPr>
        <w:t>（たたき台）</w:t>
      </w:r>
      <w:r>
        <w:rPr>
          <w:rFonts w:hint="eastAsia"/>
        </w:rPr>
        <mc:AlternateContent>
          <mc:Choice Requires="wps">
            <w:drawing>
              <wp:anchor simplePos="0" relativeHeight="2" behindDoc="0" locked="0" layoutInCell="1" hidden="0" allowOverlap="1">
                <wp:simplePos x="0" y="0"/>
                <wp:positionH relativeFrom="page">
                  <wp:posOffset>5955665</wp:posOffset>
                </wp:positionH>
                <wp:positionV relativeFrom="page">
                  <wp:posOffset>428625</wp:posOffset>
                </wp:positionV>
                <wp:extent cx="850265" cy="362585"/>
                <wp:effectExtent l="635" t="635" r="29845" b="10795"/>
                <wp:wrapNone/>
                <wp:docPr id="1026" name="テキスト 3"/>
                <a:graphic xmlns:a="http://schemas.openxmlformats.org/drawingml/2006/main">
                  <a:graphicData uri="http://schemas.microsoft.com/office/word/2010/wordprocessingShape">
                    <wps:wsp>
                      <wps:cNvPr id="1026" name="テキスト 3"/>
                      <wps:cNvSpPr txBox="1"/>
                      <wps:spPr>
                        <a:xfrm>
                          <a:off x="0" y="0"/>
                          <a:ext cx="850265" cy="362585"/>
                        </a:xfrm>
                        <a:prstGeom prst="rect">
                          <a:avLst/>
                        </a:prstGeom>
                        <a:ln w="6350" cmpd="sng"/>
                      </wps:spPr>
                      <wps:style>
                        <a:lnRef idx="2">
                          <a:schemeClr val="dk1"/>
                        </a:lnRef>
                        <a:fillRef idx="1">
                          <a:schemeClr val="lt1"/>
                        </a:fillRef>
                        <a:effectRef idx="0">
                          <a:schemeClr val="dk1"/>
                        </a:effectRef>
                        <a:fontRef idx="minor">
                          <a:schemeClr val="dk1"/>
                        </a:fontRef>
                      </wps:style>
                      <wps:txbx>
                        <w:txbxContent>
                          <w:p>
                            <w:pPr>
                              <w:pStyle w:val="0"/>
                              <w:snapToGrid w:val="0"/>
                              <w:jc w:val="center"/>
                              <w:rPr>
                                <w:rFonts w:hint="default"/>
                              </w:rPr>
                            </w:pPr>
                            <w:r>
                              <w:rPr>
                                <w:rFonts w:hint="eastAsia" w:ascii="ＭＳ ゴシック" w:hAnsi="ＭＳ ゴシック" w:eastAsia="ＭＳ ゴシック"/>
                                <w:sz w:val="22"/>
                              </w:rPr>
                              <w:t>資料１</w:t>
                            </w:r>
                          </w:p>
                        </w:txbxContent>
                      </wps:txbx>
                      <wps:bodyPr vertOverflow="clip" horzOverflow="clip" wrap="square" anchor="ctr"/>
                    </wps:wsp>
                  </a:graphicData>
                </a:graphic>
              </wp:anchor>
            </w:drawing>
          </mc:Choice>
          <mc:Fallback>
            <w:pict>
              <v:shapetype id="_x0000_t202" coordsize="21600,21600" o:spt="202" path="m,l,21600r21600,l21600,xe">
                <v:stroke joinstyle="miter"/>
                <v:path gradientshapeok="t" o:connecttype="rect"/>
              </v:shapetype>
              <v:shape id="テキスト 3" style="margin-top:33.75pt;mso-position-vertical-relative:page;mso-position-horizontal-relative:page;v-text-anchor:middle;position:absolute;height:28.55pt;width:66.95pt;margin-left:468.95pt;z-index:2;" o:spid="_x0000_s1026" o:allowincell="t" o:allowoverlap="t" filled="t" fillcolor="#ffffff [3201]" stroked="t" strokecolor="#000000 [3200]" strokeweight="0.5pt" o:spt="202" type="#_x0000_t202">
                <v:fill/>
                <v:stroke linestyle="single" endcap="flat" dashstyle="solid" filltype="solid"/>
                <v:textbox style="layout-flow:horizontal;">
                  <w:txbxContent>
                    <w:p>
                      <w:pPr>
                        <w:pStyle w:val="0"/>
                        <w:snapToGrid w:val="0"/>
                        <w:jc w:val="center"/>
                        <w:rPr>
                          <w:rFonts w:hint="default"/>
                        </w:rPr>
                      </w:pPr>
                      <w:r>
                        <w:rPr>
                          <w:rFonts w:hint="eastAsia" w:ascii="ＭＳ ゴシック" w:hAnsi="ＭＳ ゴシック" w:eastAsia="ＭＳ ゴシック"/>
                          <w:sz w:val="22"/>
                        </w:rPr>
                        <w:t>資料１</w:t>
                      </w:r>
                    </w:p>
                  </w:txbxContent>
                </v:textbox>
                <v:imagedata o:title=""/>
                <w10:wrap type="none" anchorx="page" anchory="page"/>
              </v:shape>
            </w:pict>
          </mc:Fallback>
        </mc:AlternateContent>
      </w:r>
    </w:p>
    <w:p>
      <w:pPr>
        <w:pStyle w:val="0"/>
        <w:ind w:leftChars="0" w:firstLineChars="0"/>
        <w:jc w:val="left"/>
        <w:rPr>
          <w:rFonts w:hint="eastAsia" w:ascii="ＭＳ Ｐゴシック" w:hAnsi="ＭＳ Ｐゴシック" w:eastAsia="ＭＳ Ｐゴシック"/>
        </w:rPr>
      </w:pPr>
      <w:r>
        <w:rPr>
          <w:rFonts w:hint="eastAsia" w:ascii="ＭＳ Ｐゴシック" w:hAnsi="ＭＳ Ｐゴシック" w:eastAsia="ＭＳ Ｐゴシック"/>
          <w:b w:val="1"/>
          <w:sz w:val="24"/>
          <w:u w:val="thick" w:color="auto"/>
        </w:rPr>
        <w:t>第１章　総則</w:t>
      </w: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第１条　目的</w:t>
      </w:r>
    </w:p>
    <w:p>
      <w:pPr>
        <w:pStyle w:val="0"/>
        <w:ind w:left="590" w:leftChars="50" w:hanging="480" w:hanging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(1)</w:t>
      </w:r>
      <w:r>
        <w:rPr>
          <w:rFonts w:hint="eastAsia" w:ascii="ＭＳ Ｐゴシック" w:hAnsi="ＭＳ Ｐゴシック" w:eastAsia="ＭＳ Ｐゴシック"/>
          <w:sz w:val="24"/>
        </w:rPr>
        <w:t>　犯罪被害者等支援に関し、基本理念を定める。</w:t>
      </w:r>
    </w:p>
    <w:p>
      <w:pPr>
        <w:pStyle w:val="0"/>
        <w:ind w:left="590" w:leftChars="50" w:hanging="480" w:hanging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(2)</w:t>
      </w:r>
      <w:r>
        <w:rPr>
          <w:rFonts w:hint="eastAsia" w:ascii="ＭＳ Ｐゴシック" w:hAnsi="ＭＳ Ｐゴシック" w:eastAsia="ＭＳ Ｐゴシック"/>
          <w:sz w:val="24"/>
        </w:rPr>
        <w:t>　県、県民、事業者及び民間支援団体の責務等を明らかにする。</w:t>
      </w:r>
      <w:bookmarkStart w:id="0" w:name="_GoBack"/>
      <w:bookmarkEnd w:id="0"/>
    </w:p>
    <w:p>
      <w:pPr>
        <w:pStyle w:val="0"/>
        <w:ind w:left="459" w:leftChars="45" w:hanging="360" w:hangingChars="150"/>
        <w:rPr>
          <w:rFonts w:hint="eastAsia" w:ascii="ＭＳ Ｐゴシック" w:hAnsi="ＭＳ Ｐゴシック" w:eastAsia="ＭＳ Ｐゴシック"/>
          <w:sz w:val="24"/>
          <w:u w:val="none" w:color="auto"/>
        </w:rPr>
      </w:pPr>
      <w:r>
        <w:rPr>
          <w:rFonts w:hint="eastAsia" w:ascii="ＭＳ Ｐゴシック" w:hAnsi="ＭＳ Ｐゴシック" w:eastAsia="ＭＳ Ｐゴシック"/>
          <w:sz w:val="24"/>
        </w:rPr>
        <w:t>(3)</w:t>
      </w:r>
      <w:r>
        <w:rPr>
          <w:rFonts w:hint="eastAsia" w:ascii="ＭＳ Ｐゴシック" w:hAnsi="ＭＳ Ｐゴシック" w:eastAsia="ＭＳ Ｐゴシック"/>
          <w:sz w:val="24"/>
        </w:rPr>
        <w:t>　犯罪被害者</w:t>
      </w:r>
      <w:r>
        <w:rPr>
          <w:rFonts w:hint="eastAsia" w:ascii="ＭＳ Ｐゴシック" w:hAnsi="ＭＳ Ｐゴシック" w:eastAsia="ＭＳ Ｐゴシック"/>
          <w:sz w:val="24"/>
          <w:u w:val="none" w:color="auto"/>
        </w:rPr>
        <w:t>等支援の基本となる事項を定める</w:t>
      </w:r>
    </w:p>
    <w:p>
      <w:pPr>
        <w:pStyle w:val="0"/>
        <w:ind w:left="339" w:leftChars="45" w:hanging="240" w:hangingChars="100"/>
        <w:rPr>
          <w:rFonts w:hint="eastAsia" w:ascii="ＭＳ Ｐゴシック" w:hAnsi="ＭＳ Ｐゴシック" w:eastAsia="ＭＳ Ｐゴシック"/>
          <w:sz w:val="24"/>
        </w:rPr>
      </w:pPr>
      <w:r>
        <w:rPr>
          <w:rFonts w:hint="eastAsia" w:ascii="ＭＳ Ｐゴシック" w:hAnsi="ＭＳ Ｐゴシック" w:eastAsia="ＭＳ Ｐゴシック"/>
          <w:sz w:val="24"/>
          <w:u w:val="none" w:color="auto"/>
        </w:rPr>
        <w:t xml:space="preserve">(4) </w:t>
      </w:r>
      <w:r>
        <w:rPr>
          <w:rFonts w:hint="eastAsia" w:ascii="ＭＳ Ｐゴシック" w:hAnsi="ＭＳ Ｐゴシック" w:eastAsia="ＭＳ Ｐゴシック"/>
          <w:sz w:val="24"/>
          <w:u w:val="none" w:color="auto"/>
        </w:rPr>
        <w:t>犯罪被害者等支援を総合的かつ計画的に推進し、犯罪被害者等の権利利益の保護を図る</w:t>
      </w:r>
    </w:p>
    <w:p>
      <w:pPr>
        <w:pStyle w:val="0"/>
        <w:ind w:left="99" w:leftChars="45" w:firstLine="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 xml:space="preserve">(5) </w:t>
      </w:r>
      <w:r>
        <w:rPr>
          <w:rFonts w:hint="eastAsia" w:ascii="ＭＳ Ｐゴシック" w:hAnsi="ＭＳ Ｐゴシック" w:eastAsia="ＭＳ Ｐゴシック"/>
          <w:sz w:val="24"/>
        </w:rPr>
        <w:t>誰もが安心して暮らすことができる地域社会の実現に寄与する。</w:t>
      </w:r>
    </w:p>
    <w:p>
      <w:pPr>
        <w:pStyle w:val="0"/>
        <w:rPr>
          <w:rFonts w:hint="eastAsia" w:ascii="ＭＳ Ｐゴシック" w:hAnsi="ＭＳ Ｐゴシック" w:eastAsia="ＭＳ Ｐゴシック"/>
          <w:sz w:val="24"/>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第２条　定義</w:t>
      </w:r>
    </w:p>
    <w:p>
      <w:pPr>
        <w:pStyle w:val="0"/>
        <w:ind w:left="590" w:leftChars="50" w:hanging="480" w:hanging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(1)</w:t>
      </w:r>
      <w:r>
        <w:rPr>
          <w:rFonts w:hint="eastAsia" w:ascii="ＭＳ Ｐゴシック" w:hAnsi="ＭＳ Ｐゴシック" w:eastAsia="ＭＳ Ｐゴシック"/>
          <w:sz w:val="24"/>
        </w:rPr>
        <w:t>　犯罪等（犯罪及びこれに準ずる心身に有害な影響を及ぼす行為）</w:t>
      </w:r>
    </w:p>
    <w:p>
      <w:pPr>
        <w:pStyle w:val="0"/>
        <w:ind w:left="590" w:leftChars="50" w:hanging="480" w:hanging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(2)</w:t>
      </w:r>
      <w:r>
        <w:rPr>
          <w:rFonts w:hint="eastAsia" w:ascii="ＭＳ Ｐゴシック" w:hAnsi="ＭＳ Ｐゴシック" w:eastAsia="ＭＳ Ｐゴシック"/>
          <w:sz w:val="24"/>
        </w:rPr>
        <w:t>　犯罪被害者等（犯罪等により被害を受けた者及びその家族又は遺族）</w:t>
      </w:r>
    </w:p>
    <w:p>
      <w:pPr>
        <w:pStyle w:val="0"/>
        <w:ind w:left="459" w:leftChars="45" w:hanging="360" w:hangingChars="150"/>
        <w:rPr>
          <w:rFonts w:hint="eastAsia" w:ascii="ＭＳ Ｐゴシック" w:hAnsi="ＭＳ Ｐゴシック" w:eastAsia="ＭＳ Ｐゴシック"/>
          <w:sz w:val="24"/>
        </w:rPr>
      </w:pPr>
      <w:r>
        <w:rPr>
          <w:rFonts w:hint="eastAsia" w:ascii="ＭＳ Ｐゴシック" w:hAnsi="ＭＳ Ｐゴシック" w:eastAsia="ＭＳ Ｐゴシック"/>
          <w:sz w:val="24"/>
        </w:rPr>
        <w:t>(3)</w:t>
      </w:r>
      <w:r>
        <w:rPr>
          <w:rFonts w:hint="eastAsia" w:ascii="ＭＳ Ｐゴシック" w:hAnsi="ＭＳ Ｐゴシック" w:eastAsia="ＭＳ Ｐゴシック"/>
          <w:sz w:val="24"/>
        </w:rPr>
        <w:t>　二次被害（犯罪等による直接的な被害を受けた後に、周囲の無理解や心ない言動、インターネットを通じて行われる誹謗中傷、報道機関による過剰な取材等により、犯罪被害者等が受ける精神的な苦痛、身体の不調、私生活の平穏の侵害、経済的な損失等の被害）</w:t>
      </w:r>
    </w:p>
    <w:p>
      <w:pPr>
        <w:pStyle w:val="0"/>
        <w:adjustRightInd w:val="0"/>
        <w:ind w:left="459" w:leftChars="45" w:hanging="360" w:hangingChars="150"/>
        <w:rPr>
          <w:rFonts w:hint="eastAsia" w:ascii="ＭＳ Ｐゴシック" w:hAnsi="ＭＳ Ｐゴシック" w:eastAsia="ＭＳ Ｐゴシック"/>
          <w:sz w:val="24"/>
        </w:rPr>
      </w:pPr>
      <w:r>
        <w:rPr>
          <w:rFonts w:hint="eastAsia" w:ascii="ＭＳ Ｐゴシック" w:hAnsi="ＭＳ Ｐゴシック" w:eastAsia="ＭＳ Ｐゴシック"/>
          <w:sz w:val="24"/>
        </w:rPr>
        <w:t>(4)</w:t>
      </w:r>
      <w:r>
        <w:rPr>
          <w:rFonts w:hint="eastAsia" w:ascii="ＭＳ Ｐゴシック" w:hAnsi="ＭＳ Ｐゴシック" w:eastAsia="ＭＳ Ｐゴシック"/>
          <w:sz w:val="24"/>
        </w:rPr>
        <w:t>　民間支援団体（犯罪被害者等早期援助団体その他の犯罪被害者等支援を行うことを目的とする民間の団体）</w:t>
      </w:r>
    </w:p>
    <w:p>
      <w:pPr>
        <w:pStyle w:val="0"/>
        <w:ind w:left="480" w:hanging="480" w:hangingChars="200"/>
        <w:rPr>
          <w:rFonts w:hint="eastAsia" w:ascii="ＭＳ Ｐゴシック" w:hAnsi="ＭＳ Ｐゴシック" w:eastAsia="ＭＳ Ｐゴシック"/>
          <w:b w:val="1"/>
          <w:sz w:val="24"/>
          <w:u w:val="thick" w:color="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第３条　基本理念</w:t>
      </w:r>
    </w:p>
    <w:p>
      <w:pPr>
        <w:pStyle w:val="0"/>
        <w:ind w:left="470" w:leftChars="50" w:hanging="360" w:hangingChars="150"/>
        <w:rPr>
          <w:rFonts w:hint="eastAsia" w:ascii="ＭＳ Ｐゴシック" w:hAnsi="ＭＳ Ｐゴシック" w:eastAsia="ＭＳ Ｐゴシック"/>
          <w:sz w:val="24"/>
        </w:rPr>
      </w:pPr>
      <w:r>
        <w:rPr>
          <w:rFonts w:hint="eastAsia" w:ascii="ＭＳ Ｐゴシック" w:hAnsi="ＭＳ Ｐゴシック" w:eastAsia="ＭＳ Ｐゴシック"/>
          <w:sz w:val="24"/>
        </w:rPr>
        <w:t>(1)</w:t>
      </w:r>
      <w:r>
        <w:rPr>
          <w:rFonts w:hint="eastAsia" w:ascii="ＭＳ Ｐゴシック" w:hAnsi="ＭＳ Ｐゴシック" w:eastAsia="ＭＳ Ｐゴシック"/>
          <w:sz w:val="24"/>
        </w:rPr>
        <w:t>　犯罪被害者等支援は、犯罪被害者等の個人としての尊厳が重んぜられ、その尊厳にふさわしい処遇を保障される権利が尊重されることを旨として推進されなければならない。</w:t>
      </w:r>
    </w:p>
    <w:p>
      <w:pPr>
        <w:pStyle w:val="0"/>
        <w:ind w:left="470" w:leftChars="50" w:hanging="360" w:hangingChars="150"/>
        <w:rPr>
          <w:rFonts w:hint="eastAsia" w:ascii="ＭＳ Ｐゴシック" w:hAnsi="ＭＳ Ｐゴシック" w:eastAsia="ＭＳ Ｐゴシック"/>
          <w:sz w:val="24"/>
          <w:u w:val="none" w:color="auto"/>
        </w:rPr>
      </w:pPr>
      <w:r>
        <w:rPr>
          <w:rFonts w:hint="eastAsia" w:ascii="ＭＳ Ｐゴシック" w:hAnsi="ＭＳ Ｐゴシック" w:eastAsia="ＭＳ Ｐゴシック"/>
          <w:sz w:val="24"/>
        </w:rPr>
        <w:t>(2)</w:t>
      </w:r>
      <w:r>
        <w:rPr>
          <w:rFonts w:hint="eastAsia" w:ascii="ＭＳ Ｐゴシック" w:hAnsi="ＭＳ Ｐゴシック" w:eastAsia="ＭＳ Ｐゴシック"/>
          <w:sz w:val="24"/>
          <w:u w:val="none" w:color="auto"/>
        </w:rPr>
        <w:t>　犯罪被害者等支援は、犯罪被害者等が犯罪等により受けた被害又は二次被害の状況及び原因並びに犯罪被害者等が置かれている生活環境その他の状況に応じて適切に対応することを旨として推進されなければならない。</w:t>
      </w:r>
    </w:p>
    <w:p>
      <w:pPr>
        <w:pStyle w:val="0"/>
        <w:ind w:left="470" w:leftChars="50" w:hanging="360" w:hangingChars="150"/>
        <w:rPr>
          <w:rFonts w:hint="eastAsia" w:ascii="ＭＳ Ｐゴシック" w:hAnsi="ＭＳ Ｐゴシック" w:eastAsia="ＭＳ Ｐゴシック"/>
          <w:sz w:val="24"/>
        </w:rPr>
      </w:pPr>
      <w:r>
        <w:rPr>
          <w:rFonts w:hint="eastAsia" w:ascii="ＭＳ Ｐゴシック" w:hAnsi="ＭＳ Ｐゴシック" w:eastAsia="ＭＳ Ｐゴシック"/>
          <w:sz w:val="24"/>
          <w:u w:val="none" w:color="auto"/>
        </w:rPr>
        <w:t>(3)</w:t>
      </w:r>
      <w:r>
        <w:rPr>
          <w:rFonts w:hint="eastAsia" w:ascii="ＭＳ Ｐゴシック" w:hAnsi="ＭＳ Ｐゴシック" w:eastAsia="ＭＳ Ｐゴシック"/>
          <w:sz w:val="24"/>
          <w:u w:val="none" w:color="auto"/>
        </w:rPr>
        <w:t>　犯罪被害者等の名誉又は生活の平穏が害されることのないよう、二次被害の防止に十分</w:t>
      </w:r>
      <w:r>
        <w:rPr>
          <w:rFonts w:hint="eastAsia" w:ascii="ＭＳ Ｐゴシック" w:hAnsi="ＭＳ Ｐゴシック" w:eastAsia="ＭＳ Ｐゴシック"/>
          <w:sz w:val="24"/>
          <w:u w:val="none" w:color="auto"/>
          <w:shd w:val="clear" w:color="auto" w:fill="auto"/>
        </w:rPr>
        <w:t>配慮しなければならない。</w:t>
      </w:r>
    </w:p>
    <w:p>
      <w:pPr>
        <w:pStyle w:val="0"/>
        <w:ind w:left="470" w:leftChars="50" w:hanging="360" w:hangingChars="150"/>
        <w:rPr>
          <w:rFonts w:hint="eastAsia" w:ascii="ＭＳ Ｐゴシック" w:hAnsi="ＭＳ Ｐゴシック" w:eastAsia="ＭＳ Ｐゴシック"/>
          <w:sz w:val="24"/>
        </w:rPr>
      </w:pPr>
      <w:r>
        <w:rPr>
          <w:rFonts w:hint="eastAsia" w:ascii="ＭＳ Ｐゴシック" w:hAnsi="ＭＳ Ｐゴシック" w:eastAsia="ＭＳ Ｐゴシック"/>
          <w:sz w:val="24"/>
        </w:rPr>
        <w:t>(4)</w:t>
      </w:r>
      <w:r>
        <w:rPr>
          <w:rFonts w:hint="eastAsia" w:ascii="ＭＳ Ｐゴシック" w:hAnsi="ＭＳ Ｐゴシック" w:eastAsia="ＭＳ Ｐゴシック"/>
          <w:sz w:val="24"/>
        </w:rPr>
        <w:t>　犯罪被害者等支援は、犯罪被害者等が安心して暮らすことができるよう、必要な支援が途切れることなく提供されることを旨として行われなければならない。</w:t>
      </w:r>
    </w:p>
    <w:p>
      <w:pPr>
        <w:pStyle w:val="0"/>
        <w:ind w:left="470" w:leftChars="50" w:hanging="360" w:hangingChars="150"/>
        <w:rPr>
          <w:rFonts w:hint="eastAsia" w:ascii="ＭＳ Ｐゴシック" w:hAnsi="ＭＳ Ｐゴシック" w:eastAsia="ＭＳ Ｐゴシック"/>
          <w:sz w:val="24"/>
        </w:rPr>
      </w:pPr>
      <w:r>
        <w:rPr>
          <w:rFonts w:hint="eastAsia" w:ascii="ＭＳ Ｐゴシック" w:hAnsi="ＭＳ Ｐゴシック" w:eastAsia="ＭＳ Ｐゴシック"/>
          <w:sz w:val="24"/>
        </w:rPr>
        <w:t>(5)</w:t>
      </w:r>
      <w:r>
        <w:rPr>
          <w:rFonts w:hint="eastAsia" w:ascii="ＭＳ Ｐゴシック" w:hAnsi="ＭＳ Ｐゴシック" w:eastAsia="ＭＳ Ｐゴシック"/>
          <w:sz w:val="24"/>
        </w:rPr>
        <w:t>　犯罪被害者等支援は、国、県、市町村、民間支援団体その他の犯罪被害者等支援に関係する者による相互の連携及び協力の下で推進されなければならない。</w:t>
      </w: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shd w:val="clear" w:color="auto" w:fill="auto"/>
        </w:rPr>
      </w:pPr>
      <w:r>
        <w:rPr>
          <w:rFonts w:hint="eastAsia" w:ascii="ＭＳ Ｐゴシック" w:hAnsi="ＭＳ Ｐゴシック" w:eastAsia="ＭＳ Ｐゴシック"/>
          <w:b w:val="1"/>
          <w:sz w:val="24"/>
          <w:u w:val="thick" w:color="auto"/>
          <w:shd w:val="clear" w:color="auto" w:fill="auto"/>
        </w:rPr>
        <w:t>第４条　県の責務</w:t>
      </w:r>
    </w:p>
    <w:p>
      <w:pPr>
        <w:pStyle w:val="0"/>
        <w:ind w:left="470" w:leftChars="50" w:hanging="360" w:hangingChars="150"/>
        <w:rPr>
          <w:rFonts w:hint="eastAsia" w:ascii="ＭＳ Ｐゴシック" w:hAnsi="ＭＳ Ｐゴシック" w:eastAsia="ＭＳ Ｐゴシック"/>
          <w:sz w:val="24"/>
          <w:shd w:val="clear" w:color="auto" w:fill="auto"/>
        </w:rPr>
      </w:pPr>
      <w:r>
        <w:rPr>
          <w:rFonts w:hint="eastAsia" w:ascii="ＭＳ Ｐゴシック" w:hAnsi="ＭＳ Ｐゴシック" w:eastAsia="ＭＳ Ｐゴシック"/>
          <w:sz w:val="24"/>
          <w:shd w:val="clear" w:color="auto" w:fill="auto"/>
        </w:rPr>
        <w:t>(1)</w:t>
      </w:r>
      <w:r>
        <w:rPr>
          <w:rFonts w:hint="eastAsia" w:ascii="ＭＳ Ｐゴシック" w:hAnsi="ＭＳ Ｐゴシック" w:eastAsia="ＭＳ Ｐゴシック"/>
          <w:sz w:val="24"/>
          <w:shd w:val="clear" w:color="auto" w:fill="auto"/>
        </w:rPr>
        <w:t>　基本理念にのっとり、国や市町村及び民間支援団体との適切な役割分担を踏まえて、犯罪被害者等支援に関する施策を総合的に策定し、及び計画的に実施する責務を有する。</w:t>
      </w:r>
    </w:p>
    <w:p>
      <w:pPr>
        <w:pStyle w:val="0"/>
        <w:ind w:left="470" w:leftChars="50" w:hanging="360" w:hangingChars="150"/>
        <w:rPr>
          <w:rFonts w:hint="eastAsia" w:ascii="ＭＳ Ｐゴシック" w:hAnsi="ＭＳ Ｐゴシック" w:eastAsia="ＭＳ Ｐゴシック"/>
          <w:sz w:val="24"/>
          <w:shd w:val="clear" w:color="auto" w:fill="auto"/>
        </w:rPr>
      </w:pPr>
      <w:r>
        <w:rPr>
          <w:rFonts w:hint="eastAsia" w:ascii="ＭＳ Ｐゴシック" w:hAnsi="ＭＳ Ｐゴシック" w:eastAsia="ＭＳ Ｐゴシック"/>
          <w:sz w:val="24"/>
          <w:shd w:val="clear" w:color="auto" w:fill="auto"/>
        </w:rPr>
        <w:t>(2)</w:t>
      </w:r>
      <w:r>
        <w:rPr>
          <w:rFonts w:hint="eastAsia" w:ascii="ＭＳ Ｐゴシック" w:hAnsi="ＭＳ Ｐゴシック" w:eastAsia="ＭＳ Ｐゴシック"/>
          <w:sz w:val="24"/>
          <w:shd w:val="clear" w:color="auto" w:fill="auto"/>
        </w:rPr>
        <w:t>　犯罪被害者等支援において市町村が果たす役割を鑑み、市町村が犯罪被害者等支援に関する施策を策定し、及び実施するために必要な情報の提供、助言その他の支援を行うものとする。</w:t>
      </w: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shd w:val="clear" w:color="auto" w:fill="auto"/>
        </w:rPr>
      </w:pPr>
      <w:r>
        <w:rPr>
          <w:rFonts w:hint="eastAsia" w:ascii="ＭＳ Ｐゴシック" w:hAnsi="ＭＳ Ｐゴシック" w:eastAsia="ＭＳ Ｐゴシック"/>
          <w:b w:val="1"/>
          <w:sz w:val="24"/>
          <w:u w:val="thick" w:color="auto"/>
          <w:shd w:val="clear" w:color="auto" w:fill="auto"/>
        </w:rPr>
        <w:t>第５条　県民の役割</w:t>
      </w:r>
    </w:p>
    <w:p>
      <w:pPr>
        <w:pStyle w:val="0"/>
        <w:ind w:left="470" w:leftChars="50" w:hanging="360" w:hangingChars="150"/>
        <w:rPr>
          <w:rFonts w:hint="eastAsia" w:ascii="ＭＳ Ｐゴシック" w:hAnsi="ＭＳ Ｐゴシック" w:eastAsia="ＭＳ Ｐゴシック"/>
          <w:sz w:val="24"/>
          <w:shd w:val="clear" w:color="auto" w:fill="auto"/>
        </w:rPr>
      </w:pPr>
      <w:r>
        <w:rPr>
          <w:rFonts w:hint="eastAsia" w:ascii="ＭＳ Ｐゴシック" w:hAnsi="ＭＳ Ｐゴシック" w:eastAsia="ＭＳ Ｐゴシック"/>
          <w:sz w:val="24"/>
          <w:shd w:val="clear" w:color="auto" w:fill="auto"/>
        </w:rPr>
        <w:t>(1)</w:t>
      </w:r>
      <w:r>
        <w:rPr>
          <w:rFonts w:hint="eastAsia" w:ascii="ＭＳ Ｐゴシック" w:hAnsi="ＭＳ Ｐゴシック" w:eastAsia="ＭＳ Ｐゴシック"/>
          <w:sz w:val="24"/>
          <w:shd w:val="clear" w:color="auto" w:fill="auto"/>
        </w:rPr>
        <w:t>　基本理念にのっとり、犯罪被害者等が置かれている状況及び犯罪被害者等支援の必要性についての理解を深めるよう努めるものとする。</w:t>
      </w:r>
    </w:p>
    <w:p>
      <w:pPr>
        <w:pStyle w:val="0"/>
        <w:ind w:left="470" w:leftChars="50" w:hanging="360" w:hangingChars="150"/>
        <w:rPr>
          <w:rFonts w:hint="eastAsia" w:ascii="ＭＳ Ｐゴシック" w:hAnsi="ＭＳ Ｐゴシック" w:eastAsia="ＭＳ Ｐゴシック"/>
          <w:sz w:val="24"/>
          <w:shd w:val="clear" w:color="auto" w:fill="auto"/>
        </w:rPr>
      </w:pPr>
      <w:r>
        <w:rPr>
          <w:rFonts w:hint="eastAsia" w:ascii="ＭＳ Ｐゴシック" w:hAnsi="ＭＳ Ｐゴシック" w:eastAsia="ＭＳ Ｐゴシック"/>
          <w:sz w:val="24"/>
          <w:shd w:val="clear" w:color="auto" w:fill="auto"/>
        </w:rPr>
        <w:t>(2)</w:t>
      </w:r>
      <w:r>
        <w:rPr>
          <w:rFonts w:hint="eastAsia" w:ascii="ＭＳ Ｐゴシック" w:hAnsi="ＭＳ Ｐゴシック" w:eastAsia="ＭＳ Ｐゴシック"/>
          <w:sz w:val="24"/>
          <w:shd w:val="clear" w:color="auto" w:fill="auto"/>
        </w:rPr>
        <w:t>　県が実施する犯罪被害者等支援に関する施策に協力するよう努めるものとする。</w:t>
      </w: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shd w:val="clear" w:color="auto" w:fill="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shd w:val="clear" w:color="auto" w:fill="auto"/>
        </w:rPr>
      </w:pPr>
      <w:r>
        <w:rPr>
          <w:rFonts w:hint="eastAsia" w:ascii="ＭＳ Ｐゴシック" w:hAnsi="ＭＳ Ｐゴシック" w:eastAsia="ＭＳ Ｐゴシック"/>
          <w:b w:val="1"/>
          <w:sz w:val="24"/>
          <w:u w:val="thick" w:color="auto"/>
          <w:shd w:val="clear" w:color="auto" w:fill="auto"/>
        </w:rPr>
        <w:t>第６条　事業者の役割</w:t>
      </w:r>
    </w:p>
    <w:p>
      <w:pPr>
        <w:pStyle w:val="0"/>
        <w:ind w:left="470" w:leftChars="50" w:hanging="360" w:hangingChars="150"/>
        <w:rPr>
          <w:rFonts w:hint="eastAsia" w:ascii="ＭＳ Ｐゴシック" w:hAnsi="ＭＳ Ｐゴシック" w:eastAsia="ＭＳ Ｐゴシック"/>
          <w:sz w:val="24"/>
          <w:shd w:val="clear" w:color="auto" w:fill="auto"/>
        </w:rPr>
      </w:pPr>
      <w:r>
        <w:rPr>
          <w:rFonts w:hint="eastAsia" w:ascii="ＭＳ Ｐゴシック" w:hAnsi="ＭＳ Ｐゴシック" w:eastAsia="ＭＳ Ｐゴシック"/>
          <w:sz w:val="24"/>
          <w:shd w:val="clear" w:color="auto" w:fill="auto"/>
        </w:rPr>
        <w:t>(1)</w:t>
      </w:r>
      <w:r>
        <w:rPr>
          <w:rFonts w:hint="eastAsia" w:ascii="ＭＳ Ｐゴシック" w:hAnsi="ＭＳ Ｐゴシック" w:eastAsia="ＭＳ Ｐゴシック"/>
          <w:sz w:val="24"/>
          <w:shd w:val="clear" w:color="auto" w:fill="auto"/>
        </w:rPr>
        <w:t>　基本理念にのっとり、犯罪被害者等の置かれている状況及び犯罪被害者等支援の必要性についての理解を深めるよう努めるものとする。</w:t>
      </w:r>
    </w:p>
    <w:p>
      <w:pPr>
        <w:pStyle w:val="0"/>
        <w:ind w:left="470" w:leftChars="50" w:hanging="360" w:hangingChars="150"/>
        <w:rPr>
          <w:rFonts w:hint="eastAsia" w:ascii="ＭＳ Ｐゴシック" w:hAnsi="ＭＳ Ｐゴシック" w:eastAsia="ＭＳ Ｐゴシック"/>
          <w:sz w:val="24"/>
        </w:rPr>
      </w:pPr>
      <w:r>
        <w:rPr>
          <w:rFonts w:hint="eastAsia" w:ascii="ＭＳ Ｐゴシック" w:hAnsi="ＭＳ Ｐゴシック" w:eastAsia="ＭＳ Ｐゴシック"/>
          <w:sz w:val="24"/>
          <w:shd w:val="clear" w:color="auto" w:fill="auto"/>
        </w:rPr>
        <w:t>(2)</w:t>
      </w:r>
      <w:r>
        <w:rPr>
          <w:rFonts w:hint="eastAsia" w:ascii="ＭＳ Ｐゴシック" w:hAnsi="ＭＳ Ｐゴシック" w:eastAsia="ＭＳ Ｐゴシック"/>
          <w:sz w:val="24"/>
          <w:shd w:val="clear" w:color="auto" w:fill="auto"/>
        </w:rPr>
        <w:t>　県が実施する犯罪被害者等支援に関する施策に協力するよう努</w:t>
      </w:r>
      <w:r>
        <w:rPr>
          <w:rFonts w:hint="eastAsia" w:ascii="ＭＳ Ｐゴシック" w:hAnsi="ＭＳ Ｐゴシック" w:eastAsia="ＭＳ Ｐゴシック"/>
          <w:sz w:val="24"/>
        </w:rPr>
        <w:t>めるものとする。</w:t>
      </w:r>
    </w:p>
    <w:p>
      <w:pPr>
        <w:pStyle w:val="0"/>
        <w:ind w:left="240" w:hanging="240" w:hanging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xml:space="preserve"> (3)</w:t>
      </w:r>
      <w:r>
        <w:rPr>
          <w:rFonts w:hint="eastAsia" w:ascii="ＭＳ Ｐゴシック" w:hAnsi="ＭＳ Ｐゴシック" w:eastAsia="ＭＳ Ｐゴシック"/>
          <w:sz w:val="24"/>
        </w:rPr>
        <w:t>　犯罪被害者等が受けた被害の回復もしくは軽減を図り、又はその被害に係る法的手続に適切に関与することができるよう、就労に関し必要な配慮を行うよう努めるものとする。</w:t>
      </w:r>
    </w:p>
    <w:p>
      <w:pPr>
        <w:pStyle w:val="0"/>
        <w:ind w:leftChars="0" w:firstLine="0" w:firstLineChars="0"/>
        <w:rPr>
          <w:rFonts w:hint="eastAsia" w:ascii="ＭＳ Ｐゴシック" w:hAnsi="ＭＳ Ｐゴシック" w:eastAsia="ＭＳ Ｐゴシック"/>
          <w:sz w:val="24"/>
          <w:shd w:val="clear" w:color="auto" w:fill="auto"/>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shd w:val="clear" w:color="auto" w:fill="auto"/>
        </w:rPr>
      </w:pPr>
      <w:r>
        <w:rPr>
          <w:rFonts w:hint="eastAsia" w:ascii="ＭＳ Ｐゴシック" w:hAnsi="ＭＳ Ｐゴシック" w:eastAsia="ＭＳ Ｐゴシック"/>
          <w:b w:val="1"/>
          <w:sz w:val="24"/>
          <w:u w:val="thick" w:color="auto"/>
          <w:shd w:val="clear" w:color="auto" w:fill="auto"/>
        </w:rPr>
        <w:t>第７条　市町村の役割</w:t>
      </w:r>
    </w:p>
    <w:p>
      <w:pPr>
        <w:pStyle w:val="0"/>
        <w:ind w:left="0" w:leftChars="0" w:hanging="240" w:hangingChars="100"/>
        <w:rPr>
          <w:rFonts w:hint="eastAsia" w:ascii="ＭＳ Ｐゴシック" w:hAnsi="ＭＳ Ｐゴシック" w:eastAsia="ＭＳ Ｐゴシック"/>
          <w:sz w:val="24"/>
          <w:shd w:val="clear" w:color="auto" w:fill="auto"/>
        </w:rPr>
      </w:pPr>
      <w:r>
        <w:rPr>
          <w:rFonts w:hint="eastAsia" w:ascii="ＭＳ Ｐゴシック" w:hAnsi="ＭＳ Ｐゴシック" w:eastAsia="ＭＳ Ｐゴシック"/>
          <w:sz w:val="24"/>
          <w:shd w:val="clear" w:color="auto" w:fill="auto"/>
        </w:rPr>
        <w:t>（１）</w:t>
      </w:r>
      <w:r>
        <w:rPr>
          <w:rFonts w:hint="eastAsia" w:ascii="ＭＳ Ｐゴシック" w:hAnsi="ＭＳ Ｐゴシック" w:eastAsia="ＭＳ Ｐゴシック"/>
          <w:sz w:val="24"/>
          <w:shd w:val="clear" w:color="auto" w:fill="auto"/>
        </w:rPr>
        <w:t xml:space="preserve"> </w:t>
      </w:r>
      <w:r>
        <w:rPr>
          <w:rFonts w:hint="eastAsia" w:ascii="ＭＳ Ｐゴシック" w:hAnsi="ＭＳ Ｐゴシック" w:eastAsia="ＭＳ Ｐゴシック"/>
          <w:sz w:val="24"/>
          <w:shd w:val="clear" w:color="auto" w:fill="auto"/>
        </w:rPr>
        <w:t>基本理念にのっとり、犯罪被害者等が置かれている状況及び犯罪被害者等支援の必要性についての理解を深めるよう努めるものとする。</w:t>
      </w:r>
    </w:p>
    <w:p>
      <w:pPr>
        <w:pStyle w:val="0"/>
        <w:ind w:left="0" w:leftChars="0" w:hanging="240" w:hangingChars="100"/>
        <w:rPr>
          <w:rFonts w:hint="eastAsia" w:ascii="ＭＳ Ｐゴシック" w:hAnsi="ＭＳ Ｐゴシック" w:eastAsia="ＭＳ Ｐゴシック"/>
          <w:sz w:val="24"/>
        </w:rPr>
      </w:pPr>
      <w:r>
        <w:rPr>
          <w:rFonts w:hint="eastAsia" w:ascii="ＭＳ Ｐゴシック" w:hAnsi="ＭＳ Ｐゴシック" w:eastAsia="ＭＳ Ｐゴシック"/>
          <w:sz w:val="24"/>
          <w:shd w:val="clear" w:color="auto" w:fill="auto"/>
        </w:rPr>
        <w:t>（２）</w:t>
      </w:r>
      <w:r>
        <w:rPr>
          <w:rFonts w:hint="eastAsia" w:ascii="ＭＳ Ｐゴシック" w:hAnsi="ＭＳ Ｐゴシック" w:eastAsia="ＭＳ Ｐゴシック"/>
          <w:sz w:val="24"/>
          <w:shd w:val="clear" w:color="auto" w:fill="auto"/>
        </w:rPr>
        <w:t xml:space="preserve"> </w:t>
      </w:r>
      <w:r>
        <w:rPr>
          <w:rFonts w:hint="eastAsia" w:ascii="ＭＳ Ｐゴシック" w:hAnsi="ＭＳ Ｐゴシック" w:eastAsia="ＭＳ Ｐゴシック"/>
          <w:sz w:val="24"/>
          <w:shd w:val="clear" w:color="auto" w:fill="auto"/>
        </w:rPr>
        <w:t>地域の状況に応じた犯罪被害者等の支援に関する施</w:t>
      </w:r>
      <w:r>
        <w:rPr>
          <w:rFonts w:hint="eastAsia" w:ascii="ＭＳ Ｐゴシック" w:hAnsi="ＭＳ Ｐゴシック" w:eastAsia="ＭＳ Ｐゴシック"/>
          <w:sz w:val="24"/>
        </w:rPr>
        <w:t>策を策定し、及び実施するとともに、県が実施する犯罪被害者等の支援に関する施策に協力するよう努めるものとする。</w:t>
      </w:r>
      <w:r>
        <w:rPr>
          <w:rFonts w:hint="eastAsia" w:ascii="ＭＳ Ｐゴシック" w:hAnsi="ＭＳ Ｐゴシック" w:eastAsia="ＭＳ Ｐゴシック"/>
          <w:sz w:val="24"/>
        </w:rPr>
        <w:t xml:space="preserve"> </w:t>
      </w:r>
    </w:p>
    <w:p>
      <w:pPr>
        <w:pStyle w:val="0"/>
        <w:ind w:leftChars="0" w:firstLine="0" w:firstLineChars="0"/>
        <w:rPr>
          <w:rFonts w:hint="eastAsia" w:ascii="ＭＳ Ｐゴシック" w:hAnsi="ＭＳ Ｐゴシック" w:eastAsia="ＭＳ Ｐゴシック"/>
          <w:sz w:val="24"/>
        </w:rPr>
      </w:pPr>
    </w:p>
    <w:p>
      <w:pPr>
        <w:pStyle w:val="0"/>
        <w:spacing w:after="180" w:afterLines="50" w:afterAutospacing="0"/>
        <w:ind w:left="480" w:hanging="480" w:hangingChars="20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第８条　民間支援団体の役割</w:t>
      </w:r>
    </w:p>
    <w:p>
      <w:pPr>
        <w:pStyle w:val="0"/>
        <w:ind w:left="220" w:leftChars="10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shd w:val="clear" w:color="auto" w:fill="auto"/>
        </w:rPr>
        <w:t>民間支援団体は、基本理念にのっとり、犯罪被害者等が置かれている状況及び犯罪被害者等支援の必要性についての理解を深め、犯罪被害者等支援を行うにあたっては、迅速かつきめ細かな支援を行うとともに、県が実施する犯罪被害者等の支援に関する施策に協力するよう努めるものとする。</w:t>
      </w:r>
    </w:p>
    <w:p>
      <w:pPr>
        <w:pStyle w:val="0"/>
        <w:rPr>
          <w:rFonts w:hint="eastAsia" w:ascii="ＭＳ Ｐゴシック" w:hAnsi="ＭＳ Ｐゴシック" w:eastAsia="ＭＳ Ｐゴシック"/>
          <w:sz w:val="24"/>
        </w:rPr>
      </w:pPr>
    </w:p>
    <w:p>
      <w:pPr>
        <w:pStyle w:val="0"/>
        <w:spacing w:after="180" w:afterLines="50" w:afterAutospacing="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第２章　基本的な施策</w:t>
      </w:r>
    </w:p>
    <w:p>
      <w:pPr>
        <w:pStyle w:val="0"/>
        <w:ind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u w:val="thick" w:color="auto"/>
        </w:rPr>
        <w:t>第</w:t>
      </w:r>
      <w:r>
        <w:rPr>
          <w:rFonts w:hint="eastAsia" w:ascii="ＭＳ Ｐゴシック" w:hAnsi="ＭＳ Ｐゴシック" w:eastAsia="ＭＳ Ｐゴシック"/>
          <w:b w:val="1"/>
          <w:strike w:val="0"/>
          <w:dstrike w:val="0"/>
          <w:sz w:val="24"/>
          <w:u w:val="thick" w:color="auto"/>
        </w:rPr>
        <w:t>９</w:t>
      </w:r>
      <w:r>
        <w:rPr>
          <w:rFonts w:hint="eastAsia" w:ascii="ＭＳ Ｐゴシック" w:hAnsi="ＭＳ Ｐゴシック" w:eastAsia="ＭＳ Ｐゴシック"/>
          <w:b w:val="1"/>
          <w:sz w:val="24"/>
          <w:u w:val="thick" w:color="auto"/>
        </w:rPr>
        <w:t>条　相談窓口の設置、情報の提供等</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被害者等が日常生活又は社会生活を円滑に営むことができるようにするため、専用の相談窓口を設置し、犯罪被害者等が直面している各般の問題について相談に応じ、必要な情報の提供及び助言を行い、犯罪被害者等の援助に理解のある専門職を紹介する等必要な施策を講ずるものとする。</w:t>
      </w:r>
      <w:r>
        <w:rPr>
          <w:rFonts w:hint="eastAsia" w:ascii="ＭＳ Ｐゴシック" w:hAnsi="ＭＳ Ｐゴシック" w:eastAsia="ＭＳ Ｐゴシック"/>
          <w:sz w:val="24"/>
        </w:rPr>
        <w:t xml:space="preserve"> </w:t>
      </w:r>
    </w:p>
    <w:p>
      <w:pPr>
        <w:pStyle w:val="0"/>
        <w:ind w:leftChars="0" w:firstLineChars="0"/>
        <w:rPr>
          <w:rFonts w:hint="eastAsia" w:ascii="ＭＳ Ｐゴシック" w:hAnsi="ＭＳ Ｐゴシック" w:eastAsia="ＭＳ Ｐゴシック"/>
          <w:sz w:val="24"/>
        </w:rPr>
      </w:pPr>
    </w:p>
    <w:p>
      <w:pPr>
        <w:pStyle w:val="0"/>
        <w:ind w:left="110" w:leftChars="50"/>
        <w:rPr>
          <w:rFonts w:hint="eastAsia" w:ascii="ＭＳ Ｐゴシック" w:hAnsi="ＭＳ Ｐゴシック" w:eastAsia="ＭＳ Ｐゴシック"/>
          <w:sz w:val="24"/>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10</w:t>
      </w:r>
      <w:r>
        <w:rPr>
          <w:rFonts w:hint="eastAsia" w:ascii="ＭＳ Ｐゴシック" w:hAnsi="ＭＳ Ｐゴシック" w:eastAsia="ＭＳ Ｐゴシック"/>
          <w:b w:val="1"/>
          <w:color w:val="auto"/>
          <w:sz w:val="24"/>
          <w:u w:val="thick" w:color="auto"/>
        </w:rPr>
        <w:t>条　経済的負担の軽減</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県は、犯罪等に起因する犯罪被害者等の経済的負担の軽減を図るため、経済的な助成</w:t>
      </w:r>
    </w:p>
    <w:p>
      <w:pPr>
        <w:pStyle w:val="0"/>
        <w:ind w:left="0"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に関する情報の提供及び助言その他の必要な施策を講ずるものとする。</w:t>
      </w:r>
    </w:p>
    <w:p>
      <w:pPr>
        <w:pStyle w:val="0"/>
        <w:ind w:leftChars="0" w:firstLineChars="0"/>
        <w:rPr>
          <w:rFonts w:hint="eastAsia" w:ascii="ＭＳ Ｐゴシック" w:hAnsi="ＭＳ Ｐゴシック" w:eastAsia="ＭＳ Ｐゴシック"/>
          <w:sz w:val="24"/>
        </w:rPr>
      </w:pPr>
    </w:p>
    <w:p>
      <w:pPr>
        <w:pStyle w:val="0"/>
        <w:ind w:left="110" w:leftChars="50" w:firstLineChars="0"/>
        <w:rPr>
          <w:rFonts w:hint="eastAsia" w:ascii="ＭＳ Ｐゴシック" w:hAnsi="ＭＳ Ｐゴシック" w:eastAsia="ＭＳ Ｐゴシック"/>
          <w:sz w:val="24"/>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11</w:t>
      </w:r>
      <w:r>
        <w:rPr>
          <w:rFonts w:hint="eastAsia" w:ascii="ＭＳ Ｐゴシック" w:hAnsi="ＭＳ Ｐゴシック" w:eastAsia="ＭＳ Ｐゴシック"/>
          <w:b w:val="1"/>
          <w:color w:val="auto"/>
          <w:sz w:val="24"/>
          <w:u w:val="thick" w:color="auto"/>
        </w:rPr>
        <w:t>条　日常生活の支援</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県は、犯罪被害者等が早期かつ円滑に平穏な日常生活を営むことができるよう必要な施</w:t>
      </w:r>
    </w:p>
    <w:p>
      <w:pPr>
        <w:pStyle w:val="0"/>
        <w:ind w:left="0"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策を講ずるものとする。</w:t>
      </w:r>
    </w:p>
    <w:p>
      <w:pPr>
        <w:pStyle w:val="0"/>
        <w:ind w:leftChars="0" w:firstLineChars="0"/>
        <w:rPr>
          <w:rFonts w:hint="eastAsia" w:ascii="ＭＳ Ｐゴシック" w:hAnsi="ＭＳ Ｐゴシック" w:eastAsia="ＭＳ Ｐゴシック"/>
          <w:sz w:val="24"/>
        </w:rPr>
      </w:pPr>
    </w:p>
    <w:p>
      <w:pPr>
        <w:pStyle w:val="0"/>
        <w:ind w:left="110" w:leftChars="50" w:firstLineChars="0"/>
        <w:rPr>
          <w:rFonts w:hint="eastAsia" w:ascii="ＭＳ Ｐゴシック" w:hAnsi="ＭＳ Ｐゴシック" w:eastAsia="ＭＳ Ｐゴシック"/>
          <w:sz w:val="24"/>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12</w:t>
      </w:r>
      <w:r>
        <w:rPr>
          <w:rFonts w:hint="eastAsia" w:ascii="ＭＳ Ｐゴシック" w:hAnsi="ＭＳ Ｐゴシック" w:eastAsia="ＭＳ Ｐゴシック"/>
          <w:b w:val="1"/>
          <w:color w:val="auto"/>
          <w:sz w:val="24"/>
          <w:u w:val="thick" w:color="auto"/>
        </w:rPr>
        <w:t>条　心身に受けた影響からの回復</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県は、犯罪被害者等が心理的外傷その他犯罪等により心身に受けた影響から回復でき</w:t>
      </w:r>
    </w:p>
    <w:p>
      <w:pPr>
        <w:pStyle w:val="0"/>
        <w:ind w:left="0"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るようにするため、その心身の状況等に応じた適切な保健医療サービス、福祉サービス及び</w:t>
      </w:r>
      <w:r>
        <w:rPr>
          <w:rFonts w:hint="eastAsia" w:ascii="ＭＳ Ｐゴシック" w:hAnsi="ＭＳ Ｐゴシック" w:eastAsia="ＭＳ Ｐゴシック"/>
          <w:sz w:val="24"/>
          <w:u w:val="none" w:color="auto"/>
        </w:rPr>
        <w:t>学校における支援</w:t>
      </w:r>
      <w:r>
        <w:rPr>
          <w:rFonts w:hint="eastAsia" w:ascii="ＭＳ Ｐゴシック" w:hAnsi="ＭＳ Ｐゴシック" w:eastAsia="ＭＳ Ｐゴシック"/>
          <w:sz w:val="24"/>
        </w:rPr>
        <w:t>が提供されるよう必要な施策を講ずるものとする。</w:t>
      </w:r>
    </w:p>
    <w:p>
      <w:pPr>
        <w:pStyle w:val="0"/>
        <w:ind w:leftChars="0" w:firstLineChars="0"/>
        <w:rPr>
          <w:rFonts w:hint="eastAsia" w:ascii="ＭＳ Ｐゴシック" w:hAnsi="ＭＳ Ｐゴシック" w:eastAsia="ＭＳ Ｐゴシック"/>
          <w:sz w:val="24"/>
        </w:rPr>
      </w:pPr>
    </w:p>
    <w:p>
      <w:pPr>
        <w:pStyle w:val="0"/>
        <w:ind w:left="110" w:leftChars="50"/>
        <w:rPr>
          <w:rFonts w:hint="eastAsia" w:ascii="ＭＳ Ｐゴシック" w:hAnsi="ＭＳ Ｐゴシック" w:eastAsia="ＭＳ Ｐゴシック"/>
          <w:sz w:val="24"/>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13</w:t>
      </w:r>
      <w:r>
        <w:rPr>
          <w:rFonts w:hint="eastAsia" w:ascii="ＭＳ Ｐゴシック" w:hAnsi="ＭＳ Ｐゴシック" w:eastAsia="ＭＳ Ｐゴシック"/>
          <w:b w:val="1"/>
          <w:color w:val="auto"/>
          <w:sz w:val="24"/>
          <w:u w:val="thick" w:color="auto"/>
        </w:rPr>
        <w:t>条　安全の確保</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被害者等が更なる犯罪等により被害を受けることを防止し、その安全を確保するため、一時保護、施設への入所による保護、防犯に係る指導、犯罪被害者等に係る個人情報の適切な取扱いの確保その他の必要な施策を講ずるものとする。</w:t>
      </w:r>
    </w:p>
    <w:p>
      <w:pPr>
        <w:pStyle w:val="0"/>
        <w:ind w:leftChars="0" w:firstLineChars="0"/>
        <w:rPr>
          <w:rFonts w:hint="eastAsia" w:ascii="ＭＳ Ｐゴシック" w:hAnsi="ＭＳ Ｐゴシック" w:eastAsia="ＭＳ Ｐゴシック"/>
          <w:sz w:val="24"/>
        </w:rPr>
      </w:pPr>
    </w:p>
    <w:p>
      <w:pPr>
        <w:pStyle w:val="0"/>
        <w:ind w:left="110" w:leftChars="50"/>
        <w:rPr>
          <w:rFonts w:hint="eastAsia" w:ascii="ＭＳ Ｐゴシック" w:hAnsi="ＭＳ Ｐゴシック" w:eastAsia="ＭＳ Ｐゴシック"/>
          <w:sz w:val="24"/>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14</w:t>
      </w:r>
      <w:r>
        <w:rPr>
          <w:rFonts w:hint="eastAsia" w:ascii="ＭＳ Ｐゴシック" w:hAnsi="ＭＳ Ｐゴシック" w:eastAsia="ＭＳ Ｐゴシック"/>
          <w:b w:val="1"/>
          <w:color w:val="auto"/>
          <w:sz w:val="24"/>
          <w:u w:val="thick" w:color="auto"/>
        </w:rPr>
        <w:t>条　居住の安定</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等により従前の住居に居住することが困難となった犯罪被害者等の居住の安定を図るため、県営住宅（高知県営住宅の設置及び管理に関する条例第２条第１号に規定する県営住宅をいう。）への入居において特別の配慮を行うほか、必要な施策を講ずるものとする。</w:t>
      </w:r>
    </w:p>
    <w:p>
      <w:pPr>
        <w:pStyle w:val="0"/>
        <w:ind w:left="110" w:leftChars="50"/>
        <w:rPr>
          <w:rFonts w:hint="eastAsia" w:ascii="ＭＳ Ｐゴシック" w:hAnsi="ＭＳ Ｐゴシック" w:eastAsia="ＭＳ Ｐゴシック"/>
          <w:sz w:val="24"/>
        </w:rPr>
      </w:pPr>
    </w:p>
    <w:p>
      <w:pPr>
        <w:pStyle w:val="0"/>
        <w:ind w:left="110" w:leftChars="50"/>
        <w:rPr>
          <w:rFonts w:hint="eastAsia" w:ascii="ＭＳ Ｐゴシック" w:hAnsi="ＭＳ Ｐゴシック" w:eastAsia="ＭＳ Ｐゴシック"/>
          <w:sz w:val="24"/>
          <w:shd w:val="clear" w:color="auto" w:fill="auto"/>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shd w:val="clear" w:color="auto" w:fill="auto"/>
        </w:rPr>
        <w:t>15</w:t>
      </w:r>
      <w:r>
        <w:rPr>
          <w:rFonts w:hint="eastAsia" w:ascii="ＭＳ Ｐゴシック" w:hAnsi="ＭＳ Ｐゴシック" w:eastAsia="ＭＳ Ｐゴシック"/>
          <w:b w:val="1"/>
          <w:color w:val="auto"/>
          <w:sz w:val="24"/>
          <w:u w:val="thick" w:color="auto"/>
          <w:shd w:val="clear" w:color="auto" w:fill="auto"/>
        </w:rPr>
        <w:t>条　雇用の安定等</w:t>
      </w:r>
    </w:p>
    <w:p>
      <w:pPr>
        <w:pStyle w:val="0"/>
        <w:ind w:left="0" w:leftChars="0" w:firstLine="240" w:firstLineChars="100"/>
        <w:rPr>
          <w:rFonts w:hint="eastAsia" w:ascii="ＭＳ Ｐゴシック" w:hAnsi="ＭＳ Ｐゴシック" w:eastAsia="ＭＳ Ｐゴシック"/>
          <w:sz w:val="24"/>
          <w:shd w:val="pct15" w:color="auto" w:fill="auto"/>
        </w:rPr>
      </w:pPr>
      <w:r>
        <w:rPr>
          <w:rFonts w:hint="eastAsia" w:ascii="ＭＳ Ｐゴシック" w:hAnsi="ＭＳ Ｐゴシック" w:eastAsia="ＭＳ Ｐゴシック"/>
          <w:sz w:val="24"/>
          <w:shd w:val="clear" w:color="auto" w:fill="auto"/>
        </w:rPr>
        <w:t>県は、犯罪被害者等の雇用の安定を図るとともに、犯罪被害者等が置かれている状況及び犯罪被害者等の支援の必要性について事業者の理解を深めるため、必要な施策を講ずるものとする。</w:t>
      </w:r>
    </w:p>
    <w:p>
      <w:pPr>
        <w:pStyle w:val="0"/>
        <w:ind w:left="110" w:leftChars="50"/>
        <w:rPr>
          <w:rFonts w:hint="eastAsia" w:ascii="ＭＳ Ｐゴシック" w:hAnsi="ＭＳ Ｐゴシック" w:eastAsia="ＭＳ Ｐゴシック"/>
          <w:sz w:val="24"/>
        </w:rPr>
      </w:pPr>
    </w:p>
    <w:p>
      <w:pPr>
        <w:pStyle w:val="0"/>
        <w:ind w:left="110" w:leftChars="50"/>
        <w:rPr>
          <w:rFonts w:hint="eastAsia" w:ascii="ＭＳ Ｐゴシック" w:hAnsi="ＭＳ Ｐゴシック" w:eastAsia="ＭＳ Ｐゴシック"/>
          <w:sz w:val="24"/>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16</w:t>
      </w:r>
      <w:r>
        <w:rPr>
          <w:rFonts w:hint="eastAsia" w:ascii="ＭＳ Ｐゴシック" w:hAnsi="ＭＳ Ｐゴシック" w:eastAsia="ＭＳ Ｐゴシック"/>
          <w:b w:val="1"/>
          <w:color w:val="auto"/>
          <w:sz w:val="24"/>
          <w:u w:val="thick" w:color="auto"/>
        </w:rPr>
        <w:t>条　県民の理解の増進</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県は、犯罪被害者等が置かれている状況及び犯罪被害者等の支援の必要性について県民の理解を深めるため、二次被害の防止等に係る広報及び啓発、教育の充実その他の必要な施策を講ずるものとする。</w:t>
      </w:r>
    </w:p>
    <w:p>
      <w:pPr>
        <w:pStyle w:val="0"/>
        <w:ind w:leftChars="0" w:firstLineChars="0"/>
        <w:rPr>
          <w:rFonts w:hint="eastAsia" w:ascii="ＭＳ Ｐゴシック" w:hAnsi="ＭＳ Ｐゴシック" w:eastAsia="ＭＳ Ｐゴシック"/>
          <w:sz w:val="24"/>
        </w:rPr>
      </w:pPr>
    </w:p>
    <w:p>
      <w:pPr>
        <w:pStyle w:val="0"/>
        <w:ind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17</w:t>
      </w:r>
      <w:r>
        <w:rPr>
          <w:rFonts w:hint="eastAsia" w:ascii="ＭＳ Ｐゴシック" w:hAnsi="ＭＳ Ｐゴシック" w:eastAsia="ＭＳ Ｐゴシック"/>
          <w:b w:val="1"/>
          <w:color w:val="auto"/>
          <w:sz w:val="24"/>
          <w:u w:val="thick" w:color="auto"/>
        </w:rPr>
        <w:t>条　人材の育成</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県は、犯罪被害者等支援の充実を図るため、犯罪被害者等からの相談の業務その他の犯罪被害者等支援に従事する人材を養成するために必要な施策を講ずるものとする。</w:t>
      </w:r>
    </w:p>
    <w:p>
      <w:pPr>
        <w:pStyle w:val="0"/>
        <w:ind w:leftChars="0" w:firstLineChars="0"/>
        <w:rPr>
          <w:rFonts w:hint="eastAsia" w:ascii="ＭＳ Ｐゴシック" w:hAnsi="ＭＳ Ｐゴシック" w:eastAsia="ＭＳ Ｐゴシック"/>
          <w:sz w:val="24"/>
          <w:highlight w:val="lightGray"/>
        </w:rPr>
      </w:pPr>
    </w:p>
    <w:p>
      <w:pPr>
        <w:pStyle w:val="0"/>
        <w:ind w:leftChars="0" w:firstLineChars="0"/>
        <w:rPr>
          <w:rFonts w:hint="eastAsia" w:ascii="ＭＳ Ｐゴシック" w:hAnsi="ＭＳ Ｐゴシック" w:eastAsia="ＭＳ Ｐゴシック"/>
          <w:sz w:val="24"/>
          <w:highlight w:val="lightGray"/>
        </w:rPr>
      </w:pPr>
      <w:r>
        <w:rPr>
          <w:rFonts w:hint="eastAsia" w:ascii="ＭＳ Ｐゴシック" w:hAnsi="ＭＳ Ｐゴシック" w:eastAsia="ＭＳ Ｐゴシック"/>
          <w:b w:val="1"/>
          <w:color w:val="auto"/>
          <w:sz w:val="24"/>
          <w:u w:val="thick" w:color="auto"/>
        </w:rPr>
        <w:t>第</w:t>
      </w:r>
      <w:r>
        <w:rPr>
          <w:rFonts w:hint="eastAsia" w:ascii="ＭＳ Ｐゴシック" w:hAnsi="ＭＳ Ｐゴシック" w:eastAsia="ＭＳ Ｐゴシック"/>
          <w:b w:val="1"/>
          <w:strike w:val="0"/>
          <w:dstrike w:val="0"/>
          <w:color w:val="auto"/>
          <w:sz w:val="24"/>
          <w:u w:val="thick" w:color="auto"/>
        </w:rPr>
        <w:t>18</w:t>
      </w:r>
      <w:r>
        <w:rPr>
          <w:rFonts w:hint="eastAsia" w:ascii="ＭＳ Ｐゴシック" w:hAnsi="ＭＳ Ｐゴシック" w:eastAsia="ＭＳ Ｐゴシック"/>
          <w:b w:val="1"/>
          <w:color w:val="auto"/>
          <w:sz w:val="24"/>
          <w:u w:val="thick" w:color="auto"/>
        </w:rPr>
        <w:t>条</w:t>
      </w:r>
      <w:r>
        <w:rPr>
          <w:rFonts w:hint="eastAsia" w:ascii="ＭＳ Ｐゴシック" w:hAnsi="ＭＳ Ｐゴシック" w:eastAsia="ＭＳ Ｐゴシック"/>
          <w:b w:val="1"/>
          <w:color w:val="auto"/>
          <w:sz w:val="24"/>
          <w:highlight w:val="none"/>
          <w:u w:val="thick" w:color="auto"/>
        </w:rPr>
        <w:t>　民間支援団体に対する支援</w:t>
      </w:r>
    </w:p>
    <w:p>
      <w:pPr>
        <w:pStyle w:val="0"/>
        <w:ind w:left="0" w:leftChars="0"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県は、民間支援団体の活動の促進を図るため、犯罪被害者等の支援に関する情報の提供及び助言その他の必要な施策を講ずるものとする。</w:t>
      </w:r>
    </w:p>
    <w:p>
      <w:pPr>
        <w:pStyle w:val="0"/>
        <w:ind w:left="440" w:leftChars="200" w:firstLine="240" w:firstLineChars="100"/>
        <w:rPr>
          <w:rFonts w:hint="eastAsia" w:ascii="ＭＳ Ｐゴシック" w:hAnsi="ＭＳ Ｐゴシック" w:eastAsia="ＭＳ Ｐゴシック"/>
          <w:sz w:val="24"/>
        </w:rPr>
      </w:pPr>
    </w:p>
    <w:p>
      <w:pPr>
        <w:pStyle w:val="0"/>
        <w:ind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b w:val="1"/>
          <w:sz w:val="24"/>
          <w:u w:val="thick" w:color="auto"/>
        </w:rPr>
        <w:t>第３章　推進の体制等</w:t>
      </w:r>
    </w:p>
    <w:p>
      <w:pPr>
        <w:pStyle w:val="0"/>
        <w:spacing w:after="180" w:afterLines="50" w:afterAutospacing="0"/>
        <w:ind w:left="480" w:hanging="480" w:hangingChars="200"/>
        <w:rPr>
          <w:rFonts w:hint="eastAsia" w:ascii="ＭＳ Ｐゴシック" w:hAnsi="ＭＳ Ｐゴシック" w:eastAsia="ＭＳ Ｐゴシック"/>
          <w:b w:val="1"/>
          <w:strike w:val="0"/>
          <w:dstrike w:val="0"/>
          <w:sz w:val="24"/>
          <w:u w:val="thick" w:color="auto"/>
        </w:rPr>
      </w:pPr>
      <w:r>
        <w:rPr>
          <w:rFonts w:hint="eastAsia" w:ascii="ＭＳ Ｐゴシック" w:hAnsi="ＭＳ Ｐゴシック" w:eastAsia="ＭＳ Ｐゴシック"/>
          <w:b w:val="1"/>
          <w:strike w:val="0"/>
          <w:dstrike w:val="0"/>
          <w:sz w:val="24"/>
          <w:u w:val="thick" w:color="auto"/>
        </w:rPr>
        <w:t>第</w:t>
      </w:r>
      <w:r>
        <w:rPr>
          <w:rFonts w:hint="eastAsia" w:ascii="ＭＳ Ｐゴシック" w:hAnsi="ＭＳ Ｐゴシック" w:eastAsia="ＭＳ Ｐゴシック"/>
          <w:b w:val="1"/>
          <w:strike w:val="0"/>
          <w:dstrike w:val="0"/>
          <w:sz w:val="24"/>
          <w:u w:val="thick" w:color="auto"/>
        </w:rPr>
        <w:t>19</w:t>
      </w:r>
      <w:r>
        <w:rPr>
          <w:rFonts w:hint="eastAsia" w:ascii="ＭＳ Ｐゴシック" w:hAnsi="ＭＳ Ｐゴシック" w:eastAsia="ＭＳ Ｐゴシック"/>
          <w:b w:val="1"/>
          <w:strike w:val="0"/>
          <w:dstrike w:val="0"/>
          <w:sz w:val="24"/>
          <w:u w:val="thick" w:color="auto"/>
        </w:rPr>
        <w:t>条　支援に関する指針</w:t>
      </w:r>
    </w:p>
    <w:p>
      <w:pPr>
        <w:pStyle w:val="0"/>
        <w:ind w:left="0" w:leftChars="0" w:firstLine="240" w:firstLineChars="10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県は、犯罪被害者等の支援を総合的かつ計画的に推進するため、犯罪被害者等の支援</w:t>
      </w:r>
    </w:p>
    <w:p>
      <w:pPr>
        <w:pStyle w:val="0"/>
        <w:ind w:leftChars="0" w:firstLineChars="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に関する指針（以下この条において「指針」という。）を定めるものとする。</w:t>
      </w:r>
      <w:r>
        <w:rPr>
          <w:rFonts w:hint="eastAsia" w:ascii="ＭＳ Ｐゴシック" w:hAnsi="ＭＳ Ｐゴシック" w:eastAsia="ＭＳ Ｐゴシック"/>
          <w:strike w:val="0"/>
          <w:dstrike w:val="0"/>
          <w:sz w:val="24"/>
        </w:rPr>
        <w:t xml:space="preserve"> </w:t>
      </w:r>
    </w:p>
    <w:p>
      <w:pPr>
        <w:pStyle w:val="0"/>
        <w:ind w:left="470" w:leftChars="50" w:hanging="360" w:hangingChars="15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２</w:t>
      </w:r>
      <w:r>
        <w:rPr>
          <w:rFonts w:hint="eastAsia" w:ascii="ＭＳ Ｐゴシック" w:hAnsi="ＭＳ Ｐゴシック" w:eastAsia="ＭＳ Ｐゴシック"/>
          <w:strike w:val="0"/>
          <w:dstrike w:val="0"/>
          <w:sz w:val="24"/>
        </w:rPr>
        <w:t xml:space="preserve"> </w:t>
      </w:r>
      <w:r>
        <w:rPr>
          <w:rFonts w:hint="eastAsia" w:ascii="ＭＳ Ｐゴシック" w:hAnsi="ＭＳ Ｐゴシック" w:eastAsia="ＭＳ Ｐゴシック"/>
          <w:strike w:val="0"/>
          <w:dstrike w:val="0"/>
          <w:sz w:val="24"/>
        </w:rPr>
        <w:t>指針は、次に掲げる事項について定めるものとする。</w:t>
      </w:r>
      <w:r>
        <w:rPr>
          <w:rFonts w:hint="eastAsia" w:ascii="ＭＳ Ｐゴシック" w:hAnsi="ＭＳ Ｐゴシック" w:eastAsia="ＭＳ Ｐゴシック"/>
          <w:strike w:val="0"/>
          <w:dstrike w:val="0"/>
          <w:sz w:val="24"/>
        </w:rPr>
        <w:t xml:space="preserve"> </w:t>
      </w:r>
    </w:p>
    <w:p>
      <w:pPr>
        <w:pStyle w:val="0"/>
        <w:ind w:left="470" w:leftChars="50" w:hanging="360" w:hangingChars="15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 xml:space="preserve">(1) </w:t>
      </w:r>
      <w:r>
        <w:rPr>
          <w:rFonts w:hint="eastAsia" w:ascii="ＭＳ Ｐゴシック" w:hAnsi="ＭＳ Ｐゴシック" w:eastAsia="ＭＳ Ｐゴシック"/>
          <w:strike w:val="0"/>
          <w:dstrike w:val="0"/>
          <w:sz w:val="24"/>
        </w:rPr>
        <w:t>犯罪被害者等の支援に関する基本方針</w:t>
      </w:r>
      <w:r>
        <w:rPr>
          <w:rFonts w:hint="eastAsia" w:ascii="ＭＳ Ｐゴシック" w:hAnsi="ＭＳ Ｐゴシック" w:eastAsia="ＭＳ Ｐゴシック"/>
          <w:strike w:val="0"/>
          <w:dstrike w:val="0"/>
          <w:sz w:val="24"/>
        </w:rPr>
        <w:t xml:space="preserve"> </w:t>
      </w:r>
    </w:p>
    <w:p>
      <w:pPr>
        <w:pStyle w:val="0"/>
        <w:ind w:left="470" w:leftChars="50" w:hanging="360" w:hangingChars="15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 xml:space="preserve">(2) </w:t>
      </w:r>
      <w:r>
        <w:rPr>
          <w:rFonts w:hint="eastAsia" w:ascii="ＭＳ Ｐゴシック" w:hAnsi="ＭＳ Ｐゴシック" w:eastAsia="ＭＳ Ｐゴシック"/>
          <w:strike w:val="0"/>
          <w:dstrike w:val="0"/>
          <w:sz w:val="24"/>
        </w:rPr>
        <w:t>犯罪被害者等の支援に関する具体的施策</w:t>
      </w:r>
      <w:r>
        <w:rPr>
          <w:rFonts w:hint="eastAsia" w:ascii="ＭＳ Ｐゴシック" w:hAnsi="ＭＳ Ｐゴシック" w:eastAsia="ＭＳ Ｐゴシック"/>
          <w:strike w:val="0"/>
          <w:dstrike w:val="0"/>
          <w:sz w:val="24"/>
        </w:rPr>
        <w:t xml:space="preserve"> </w:t>
      </w:r>
    </w:p>
    <w:p>
      <w:pPr>
        <w:pStyle w:val="0"/>
        <w:ind w:left="470" w:leftChars="50" w:hanging="360" w:hangingChars="15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 xml:space="preserve">(3) </w:t>
      </w:r>
      <w:r>
        <w:rPr>
          <w:rFonts w:hint="eastAsia" w:ascii="ＭＳ Ｐゴシック" w:hAnsi="ＭＳ Ｐゴシック" w:eastAsia="ＭＳ Ｐゴシック"/>
          <w:strike w:val="0"/>
          <w:dstrike w:val="0"/>
          <w:sz w:val="24"/>
        </w:rPr>
        <w:t>前２号に掲げるもののほか、犯罪被害者等の支援を推進するために必要な事項</w:t>
      </w:r>
      <w:r>
        <w:rPr>
          <w:rFonts w:hint="eastAsia" w:ascii="ＭＳ Ｐゴシック" w:hAnsi="ＭＳ Ｐゴシック" w:eastAsia="ＭＳ Ｐゴシック"/>
          <w:strike w:val="0"/>
          <w:dstrike w:val="0"/>
          <w:sz w:val="24"/>
        </w:rPr>
        <w:t xml:space="preserve"> </w:t>
      </w:r>
    </w:p>
    <w:p>
      <w:pPr>
        <w:pStyle w:val="0"/>
        <w:ind w:left="470" w:leftChars="50" w:hanging="360" w:hangingChars="15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３</w:t>
      </w:r>
      <w:r>
        <w:rPr>
          <w:rFonts w:hint="eastAsia" w:ascii="ＭＳ Ｐゴシック" w:hAnsi="ＭＳ Ｐゴシック" w:eastAsia="ＭＳ Ｐゴシック"/>
          <w:strike w:val="0"/>
          <w:dstrike w:val="0"/>
          <w:sz w:val="24"/>
        </w:rPr>
        <w:t xml:space="preserve"> </w:t>
      </w:r>
      <w:r>
        <w:rPr>
          <w:rFonts w:hint="eastAsia" w:ascii="ＭＳ Ｐゴシック" w:hAnsi="ＭＳ Ｐゴシック" w:eastAsia="ＭＳ Ｐゴシック"/>
          <w:strike w:val="0"/>
          <w:dstrike w:val="0"/>
          <w:sz w:val="24"/>
        </w:rPr>
        <w:t>県は、指針を定めるに当たっては、あらかじめ、県民の意見を反映するために必要な措置を講ずるものとする。</w:t>
      </w:r>
      <w:r>
        <w:rPr>
          <w:rFonts w:hint="eastAsia" w:ascii="ＭＳ Ｐゴシック" w:hAnsi="ＭＳ Ｐゴシック" w:eastAsia="ＭＳ Ｐゴシック"/>
          <w:strike w:val="0"/>
          <w:dstrike w:val="0"/>
          <w:sz w:val="24"/>
        </w:rPr>
        <w:t xml:space="preserve"> </w:t>
      </w:r>
    </w:p>
    <w:p>
      <w:pPr>
        <w:pStyle w:val="0"/>
        <w:ind w:left="470" w:leftChars="50" w:hanging="360" w:hangingChars="15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４</w:t>
      </w:r>
      <w:r>
        <w:rPr>
          <w:rFonts w:hint="eastAsia" w:ascii="ＭＳ Ｐゴシック" w:hAnsi="ＭＳ Ｐゴシック" w:eastAsia="ＭＳ Ｐゴシック"/>
          <w:strike w:val="0"/>
          <w:dstrike w:val="0"/>
          <w:sz w:val="24"/>
        </w:rPr>
        <w:t xml:space="preserve"> </w:t>
      </w:r>
      <w:r>
        <w:rPr>
          <w:rFonts w:hint="eastAsia" w:ascii="ＭＳ Ｐゴシック" w:hAnsi="ＭＳ Ｐゴシック" w:eastAsia="ＭＳ Ｐゴシック"/>
          <w:strike w:val="0"/>
          <w:dstrike w:val="0"/>
          <w:sz w:val="24"/>
        </w:rPr>
        <w:t>県は、指針を定めたときは、遅滞なく、これを公表するものとする。</w:t>
      </w:r>
      <w:r>
        <w:rPr>
          <w:rFonts w:hint="eastAsia" w:ascii="ＭＳ Ｐゴシック" w:hAnsi="ＭＳ Ｐゴシック" w:eastAsia="ＭＳ Ｐゴシック"/>
          <w:strike w:val="0"/>
          <w:dstrike w:val="0"/>
          <w:sz w:val="24"/>
        </w:rPr>
        <w:t xml:space="preserve"> </w:t>
      </w:r>
    </w:p>
    <w:p>
      <w:pPr>
        <w:pStyle w:val="0"/>
        <w:ind w:left="99" w:leftChars="45" w:firstLine="0" w:firstLineChars="0"/>
        <w:rPr>
          <w:rFonts w:hint="eastAsia" w:ascii="ＭＳ Ｐゴシック" w:hAnsi="ＭＳ Ｐゴシック" w:eastAsia="ＭＳ Ｐゴシック"/>
          <w:strike w:val="0"/>
          <w:dstrike w:val="0"/>
          <w:sz w:val="24"/>
        </w:rPr>
      </w:pPr>
      <w:r>
        <w:rPr>
          <w:rFonts w:hint="eastAsia" w:ascii="ＭＳ Ｐゴシック" w:hAnsi="ＭＳ Ｐゴシック" w:eastAsia="ＭＳ Ｐゴシック"/>
          <w:strike w:val="0"/>
          <w:dstrike w:val="0"/>
          <w:sz w:val="24"/>
        </w:rPr>
        <w:t>５</w:t>
      </w:r>
      <w:r>
        <w:rPr>
          <w:rFonts w:hint="eastAsia" w:ascii="ＭＳ Ｐゴシック" w:hAnsi="ＭＳ Ｐゴシック" w:eastAsia="ＭＳ Ｐゴシック"/>
          <w:strike w:val="0"/>
          <w:dstrike w:val="0"/>
          <w:sz w:val="24"/>
        </w:rPr>
        <w:t xml:space="preserve"> </w:t>
      </w:r>
      <w:r>
        <w:rPr>
          <w:rFonts w:hint="eastAsia" w:ascii="ＭＳ Ｐゴシック" w:hAnsi="ＭＳ Ｐゴシック" w:eastAsia="ＭＳ Ｐゴシック"/>
          <w:strike w:val="0"/>
          <w:dstrike w:val="0"/>
          <w:sz w:val="24"/>
        </w:rPr>
        <w:t>前２項の規定は、指針の変更について準用する。</w:t>
      </w:r>
      <w:r>
        <w:rPr>
          <w:rFonts w:hint="eastAsia" w:ascii="ＭＳ Ｐゴシック" w:hAnsi="ＭＳ Ｐゴシック" w:eastAsia="ＭＳ Ｐゴシック"/>
          <w:strike w:val="0"/>
          <w:dstrike w:val="0"/>
          <w:sz w:val="24"/>
        </w:rPr>
        <w:t xml:space="preserve"> </w:t>
      </w:r>
    </w:p>
    <w:p>
      <w:pPr>
        <w:pStyle w:val="0"/>
        <w:ind w:left="110" w:leftChars="50" w:firstLineChars="0"/>
        <w:rPr>
          <w:rFonts w:hint="eastAsia" w:ascii="ＭＳ Ｐゴシック" w:hAnsi="ＭＳ Ｐゴシック" w:eastAsia="ＭＳ Ｐゴシック"/>
          <w:sz w:val="24"/>
        </w:rPr>
      </w:pPr>
      <w:r>
        <w:rPr>
          <w:rFonts w:hint="eastAsia" w:ascii="ＭＳ Ｐゴシック" w:hAnsi="ＭＳ Ｐゴシック" w:eastAsia="ＭＳ Ｐゴシック"/>
          <w:strike w:val="0"/>
          <w:dstrike w:val="0"/>
          <w:sz w:val="24"/>
        </w:rPr>
        <w:t>６　県は、指針に基づく施策の実施</w:t>
      </w:r>
      <w:r>
        <w:rPr>
          <w:rFonts w:hint="eastAsia" w:ascii="ＭＳ Ｐゴシック" w:hAnsi="ＭＳ Ｐゴシック" w:eastAsia="ＭＳ Ｐゴシック"/>
          <w:b w:val="0"/>
          <w:strike w:val="0"/>
          <w:dstrike w:val="0"/>
          <w:color w:val="auto"/>
          <w:sz w:val="24"/>
        </w:rPr>
        <w:t>状況</w:t>
      </w:r>
      <w:r>
        <w:rPr>
          <w:rFonts w:hint="eastAsia" w:ascii="ＭＳ Ｐゴシック" w:hAnsi="ＭＳ Ｐゴシック" w:eastAsia="ＭＳ Ｐゴシック"/>
          <w:strike w:val="0"/>
          <w:dstrike w:val="0"/>
          <w:color w:val="auto"/>
          <w:sz w:val="24"/>
        </w:rPr>
        <w:t>に</w:t>
      </w:r>
      <w:r>
        <w:rPr>
          <w:rFonts w:hint="eastAsia" w:ascii="ＭＳ Ｐゴシック" w:hAnsi="ＭＳ Ｐゴシック" w:eastAsia="ＭＳ Ｐゴシック"/>
          <w:strike w:val="0"/>
          <w:dstrike w:val="0"/>
          <w:sz w:val="24"/>
        </w:rPr>
        <w:t>ついて、適宜、公表する。</w:t>
      </w:r>
    </w:p>
    <w:p>
      <w:pPr>
        <w:pStyle w:val="0"/>
        <w:ind w:leftChars="0" w:firstLineChars="0"/>
        <w:rPr>
          <w:rFonts w:hint="eastAsia" w:ascii="ＭＳ Ｐゴシック" w:hAnsi="ＭＳ Ｐゴシック" w:eastAsia="ＭＳ Ｐゴシック"/>
          <w:sz w:val="24"/>
        </w:rPr>
      </w:pPr>
    </w:p>
    <w:p>
      <w:pPr>
        <w:pStyle w:val="0"/>
        <w:ind w:leftChars="0" w:firstLineChars="0"/>
        <w:rPr>
          <w:rFonts w:hint="eastAsia" w:ascii="ＭＳ Ｐゴシック" w:hAnsi="ＭＳ Ｐゴシック" w:eastAsia="ＭＳ Ｐゴシック"/>
          <w:sz w:val="24"/>
        </w:rPr>
      </w:pPr>
    </w:p>
    <w:p>
      <w:pPr>
        <w:pStyle w:val="0"/>
        <w:ind w:leftChars="0" w:firstLineChars="0"/>
        <w:rPr>
          <w:rFonts w:hint="eastAsia" w:ascii="ＭＳ Ｐゴシック" w:hAnsi="ＭＳ Ｐゴシック" w:eastAsia="ＭＳ Ｐゴシック"/>
          <w:sz w:val="24"/>
        </w:rPr>
      </w:pPr>
    </w:p>
    <w:p>
      <w:pPr>
        <w:pStyle w:val="0"/>
        <w:ind w:leftChars="0" w:firstLineChars="0"/>
        <w:rPr>
          <w:rFonts w:hint="eastAsia" w:ascii="ＭＳ Ｐゴシック" w:hAnsi="ＭＳ Ｐゴシック" w:eastAsia="ＭＳ Ｐゴシック"/>
          <w:sz w:val="24"/>
        </w:rPr>
      </w:pPr>
    </w:p>
    <w:p>
      <w:pPr>
        <w:pStyle w:val="0"/>
        <w:ind w:leftChars="0" w:firstLineChars="0"/>
        <w:rPr>
          <w:rFonts w:hint="eastAsia" w:ascii="ＭＳ Ｐゴシック" w:hAnsi="ＭＳ Ｐゴシック" w:eastAsia="ＭＳ Ｐゴシック"/>
          <w:sz w:val="24"/>
        </w:rPr>
      </w:pPr>
    </w:p>
    <w:p>
      <w:pPr>
        <w:pStyle w:val="0"/>
        <w:spacing w:after="180" w:afterLines="50" w:afterAutospacing="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w:t>
      </w:r>
      <w:r>
        <w:rPr>
          <w:rFonts w:hint="eastAsia" w:ascii="ＭＳ Ｐゴシック" w:hAnsi="ＭＳ Ｐゴシック" w:eastAsia="ＭＳ Ｐゴシック"/>
          <w:b w:val="1"/>
          <w:strike w:val="0"/>
          <w:dstrike w:val="0"/>
          <w:sz w:val="24"/>
          <w:u w:val="thick" w:color="auto"/>
        </w:rPr>
        <w:t>　</w:t>
      </w:r>
      <w:r>
        <w:rPr>
          <w:rFonts w:hint="eastAsia" w:ascii="ＭＳ Ｐゴシック" w:hAnsi="ＭＳ Ｐゴシック" w:eastAsia="ＭＳ Ｐゴシック"/>
          <w:b w:val="1"/>
          <w:strike w:val="0"/>
          <w:dstrike w:val="0"/>
          <w:sz w:val="24"/>
          <w:u w:val="thick" w:color="auto"/>
        </w:rPr>
        <w:t>20</w:t>
      </w:r>
      <w:r>
        <w:rPr>
          <w:rFonts w:hint="eastAsia" w:ascii="ＭＳ Ｐゴシック" w:hAnsi="ＭＳ Ｐゴシック" w:eastAsia="ＭＳ Ｐゴシック"/>
          <w:b w:val="1"/>
          <w:sz w:val="24"/>
          <w:u w:val="thick" w:color="auto"/>
        </w:rPr>
        <w:t>条　高知県犯罪被害者等支援推進会議</w:t>
      </w:r>
    </w:p>
    <w:p>
      <w:pPr>
        <w:pStyle w:val="0"/>
        <w:ind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　県は、犯罪被害者等支援施策の推進に関し、必要に応じて重要事項を調査協議させるため、高知県犯罪被害者等支援推進会議（以下「推進会議」という。）を置く。</w:t>
      </w:r>
    </w:p>
    <w:p>
      <w:pPr>
        <w:pStyle w:val="0"/>
        <w:ind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２　知事は、前条の指針を定めるに当たっては、あらかじめ推進会議の意見を聴くものとする。</w:t>
      </w:r>
    </w:p>
    <w:p>
      <w:pPr>
        <w:pStyle w:val="0"/>
        <w:ind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３　県は、前条の指針の進ちょく状況等を推進会議において検証し、必要な措置を講ずるものとする。</w:t>
      </w:r>
    </w:p>
    <w:p>
      <w:pPr>
        <w:pStyle w:val="0"/>
        <w:ind w:leftChars="0" w:firstLineChars="0"/>
        <w:rPr>
          <w:rFonts w:hint="eastAsia" w:ascii="ＭＳ Ｐゴシック" w:hAnsi="ＭＳ Ｐゴシック" w:eastAsia="ＭＳ Ｐゴシック"/>
          <w:sz w:val="24"/>
        </w:rPr>
      </w:pPr>
      <w:r>
        <w:rPr>
          <w:rFonts w:hint="eastAsia" w:ascii="ＭＳ Ｐゴシック" w:hAnsi="ＭＳ Ｐゴシック" w:eastAsia="ＭＳ Ｐゴシック"/>
          <w:sz w:val="24"/>
        </w:rPr>
        <w:t>４　推進会議は、犯罪被害者等支援に関する事項に関し、知事に意見を述べることができる。</w:t>
      </w:r>
    </w:p>
    <w:p>
      <w:pPr>
        <w:pStyle w:val="0"/>
        <w:ind w:left="440" w:leftChars="200" w:firstLine="240" w:firstLineChars="100"/>
        <w:rPr>
          <w:rFonts w:hint="eastAsia" w:ascii="ＭＳ Ｐゴシック" w:hAnsi="ＭＳ Ｐゴシック" w:eastAsia="ＭＳ Ｐゴシック"/>
          <w:sz w:val="24"/>
        </w:rPr>
      </w:pPr>
    </w:p>
    <w:p>
      <w:pPr>
        <w:pStyle w:val="0"/>
        <w:spacing w:after="180" w:afterLines="50" w:afterAutospacing="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w:t>
      </w:r>
      <w:r>
        <w:rPr>
          <w:rFonts w:hint="eastAsia" w:ascii="ＭＳ Ｐゴシック" w:hAnsi="ＭＳ Ｐゴシック" w:eastAsia="ＭＳ Ｐゴシック"/>
          <w:b w:val="1"/>
          <w:strike w:val="0"/>
          <w:dstrike w:val="0"/>
          <w:sz w:val="24"/>
          <w:u w:val="thick" w:color="auto"/>
        </w:rPr>
        <w:t>　</w:t>
      </w:r>
      <w:r>
        <w:rPr>
          <w:rFonts w:hint="eastAsia" w:ascii="ＭＳ Ｐゴシック" w:hAnsi="ＭＳ Ｐゴシック" w:eastAsia="ＭＳ Ｐゴシック"/>
          <w:b w:val="1"/>
          <w:strike w:val="0"/>
          <w:dstrike w:val="0"/>
          <w:sz w:val="24"/>
          <w:u w:val="thick" w:color="auto"/>
        </w:rPr>
        <w:t>21</w:t>
      </w:r>
      <w:r>
        <w:rPr>
          <w:rFonts w:hint="eastAsia" w:ascii="ＭＳ Ｐゴシック" w:hAnsi="ＭＳ Ｐゴシック" w:eastAsia="ＭＳ Ｐゴシック"/>
          <w:b w:val="1"/>
          <w:sz w:val="24"/>
          <w:u w:val="thick" w:color="auto"/>
        </w:rPr>
        <w:t>条　財政上の措置</w: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県は、犯罪被害者等の支援を推進するために必要な財政上の措置を講ずるよう</w:t>
      </w:r>
      <w:r>
        <w:rPr>
          <w:rFonts w:hint="eastAsia" w:ascii="ＭＳ Ｐゴシック" w:hAnsi="ＭＳ Ｐゴシック" w:eastAsia="ＭＳ Ｐゴシック"/>
          <w:sz w:val="24"/>
          <w:u w:val="none" w:color="auto"/>
        </w:rPr>
        <w:t>努めるものとする。</w:t>
      </w:r>
    </w:p>
    <w:p>
      <w:pPr>
        <w:pStyle w:val="0"/>
        <w:rPr>
          <w:rFonts w:hint="eastAsia" w:ascii="ＭＳ Ｐゴシック" w:hAnsi="ＭＳ Ｐゴシック" w:eastAsia="ＭＳ Ｐゴシック"/>
          <w:sz w:val="24"/>
        </w:rPr>
      </w:pPr>
    </w:p>
    <w:p>
      <w:pPr>
        <w:pStyle w:val="0"/>
        <w:spacing w:after="180" w:afterLines="50" w:afterAutospacing="0"/>
        <w:rPr>
          <w:rFonts w:hint="eastAsia" w:ascii="ＭＳ Ｐゴシック" w:hAnsi="ＭＳ Ｐゴシック" w:eastAsia="ＭＳ Ｐゴシック"/>
          <w:b w:val="1"/>
          <w:sz w:val="24"/>
          <w:u w:val="thick" w:color="auto"/>
        </w:rPr>
      </w:pPr>
      <w:r>
        <w:rPr>
          <w:rFonts w:hint="eastAsia" w:ascii="ＭＳ Ｐゴシック" w:hAnsi="ＭＳ Ｐゴシック" w:eastAsia="ＭＳ Ｐゴシック"/>
          <w:b w:val="1"/>
          <w:sz w:val="24"/>
          <w:u w:val="thick" w:color="auto"/>
        </w:rPr>
        <w:t>第</w:t>
      </w:r>
      <w:r>
        <w:rPr>
          <w:rFonts w:hint="eastAsia" w:ascii="ＭＳ Ｐゴシック" w:hAnsi="ＭＳ Ｐゴシック" w:eastAsia="ＭＳ Ｐゴシック"/>
          <w:b w:val="1"/>
          <w:strike w:val="0"/>
          <w:dstrike w:val="0"/>
          <w:sz w:val="24"/>
          <w:u w:val="thick" w:color="auto"/>
        </w:rPr>
        <w:t>22</w:t>
      </w:r>
      <w:r>
        <w:rPr>
          <w:rFonts w:hint="eastAsia" w:ascii="ＭＳ Ｐゴシック" w:hAnsi="ＭＳ Ｐゴシック" w:eastAsia="ＭＳ Ｐゴシック"/>
          <w:b w:val="1"/>
          <w:sz w:val="24"/>
          <w:u w:val="thick" w:color="auto"/>
        </w:rPr>
        <w:t>条　附則関係</w:t>
      </w:r>
    </w:p>
    <w:p>
      <w:pPr>
        <w:pStyle w:val="0"/>
        <w:ind w:left="110" w:leftChars="50"/>
        <w:rPr>
          <w:rFonts w:hint="eastAsia" w:ascii="ＭＳ Ｐゴシック" w:hAnsi="ＭＳ Ｐゴシック" w:eastAsia="ＭＳ Ｐゴシック"/>
          <w:sz w:val="24"/>
        </w:rPr>
      </w:pPr>
      <w:r>
        <w:rPr>
          <w:rFonts w:hint="eastAsia" w:ascii="ＭＳ Ｐゴシック" w:hAnsi="ＭＳ Ｐゴシック" w:eastAsia="ＭＳ Ｐゴシック"/>
          <w:sz w:val="24"/>
        </w:rPr>
        <w:t>(1)</w:t>
      </w:r>
      <w:r>
        <w:rPr>
          <w:rFonts w:hint="eastAsia" w:ascii="ＭＳ Ｐゴシック" w:hAnsi="ＭＳ Ｐゴシック" w:eastAsia="ＭＳ Ｐゴシック"/>
          <w:sz w:val="24"/>
        </w:rPr>
        <w:t>　施行期日</w:t>
      </w:r>
    </w:p>
    <w:p>
      <w:pPr>
        <w:pStyle w:val="0"/>
        <w:ind w:left="110" w:leftChars="50"/>
        <w:rPr>
          <w:rFonts w:hint="default"/>
          <w:sz w:val="24"/>
        </w:rPr>
      </w:pPr>
      <w:r>
        <w:rPr>
          <w:rFonts w:hint="eastAsia" w:ascii="ＭＳ Ｐゴシック" w:hAnsi="ＭＳ Ｐゴシック" w:eastAsia="ＭＳ Ｐゴシック"/>
          <w:sz w:val="24"/>
        </w:rPr>
        <w:t>(2)</w:t>
      </w:r>
      <w:r>
        <w:rPr>
          <w:rFonts w:hint="eastAsia" w:ascii="ＭＳ Ｐゴシック" w:hAnsi="ＭＳ Ｐゴシック" w:eastAsia="ＭＳ Ｐゴシック"/>
          <w:sz w:val="24"/>
        </w:rPr>
        <w:t>　見直し（県は、社会状況の変化等を踏まえ、必要に応じてこの条例を見直す）</w:t>
      </w:r>
    </w:p>
    <w:sectPr>
      <w:footerReference r:id="rId5" w:type="default"/>
      <w:pgSz w:w="11906" w:h="16838"/>
      <w:pgMar w:top="1134" w:right="1134" w:bottom="1134" w:left="1418" w:header="567" w:footer="567" w:gutter="0"/>
      <w:pgNumType w:fmt="numberInDash"/>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10"/>
  <w:drawingGridVerticalSpacing w:val="12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Meiryo UI" w:asciiTheme="minorHAnsi" w:hAnsiTheme="minorHAnsi"/>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4294</TotalTime>
  <Pages>4</Pages>
  <Words>39</Words>
  <Characters>3302</Characters>
  <Application>JUST Note</Application>
  <Lines>149</Lines>
  <Paragraphs>81</Paragraphs>
  <CharactersWithSpaces>3377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457493</cp:lastModifiedBy>
  <cp:lastPrinted>2019-03-20T04:29:29Z</cp:lastPrinted>
  <dcterms:created xsi:type="dcterms:W3CDTF">2018-12-12T02:00:00Z</dcterms:created>
  <dcterms:modified xsi:type="dcterms:W3CDTF">2019-03-20T04:26:53Z</dcterms:modified>
  <cp:revision>38</cp:revision>
</cp:coreProperties>
</file>