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10500" w:type="auto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5250"/>
        <w:gridCol w:w="5250"/>
      </w:tblGrid>
      <w:tr>
        <w:trPr/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>
          <w:trHeight w:val="13670" w:hRule="atLeast"/>
        </w:trPr>
        <w:tc>
          <w:tcPr>
            <w:tcW w:w="5250" w:type="dxa"/>
            <w:vAlign w:val="top"/>
          </w:tcPr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１～２　略</w:t>
            </w: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３　報告の手順</w:t>
            </w:r>
          </w:p>
          <w:p>
            <w:pPr>
              <w:pStyle w:val="0"/>
              <w:widowControl w:val="0"/>
              <w:spacing w:line="240" w:lineRule="auto"/>
              <w:ind w:left="690" w:leftChars="100" w:hanging="480" w:hangingChars="200"/>
              <w:jc w:val="both"/>
              <w:rPr>
                <w:rFonts w:hint="default" w:ascii="游明朝" w:hAnsi="游明朝" w:eastAsia="ＭＳ 明朝"/>
                <w:kern w:val="2"/>
                <w:sz w:val="24"/>
                <w:u w:val="single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（１）</w:t>
            </w:r>
            <w:r>
              <w:rPr>
                <w:rFonts w:hint="eastAsia" w:ascii="游明朝" w:hAnsi="游明朝" w:eastAsia="ＭＳ 明朝"/>
                <w:kern w:val="2"/>
                <w:sz w:val="24"/>
                <w:u w:val="single"/>
              </w:rPr>
              <w:t>事業者は、</w:t>
            </w:r>
            <w:r>
              <w:rPr>
                <w:rFonts w:hint="eastAsia" w:ascii="游明朝" w:hAnsi="游明朝" w:eastAsia="ＭＳ 明朝"/>
                <w:kern w:val="2"/>
                <w:sz w:val="24"/>
                <w:u w:val="none"/>
              </w:rPr>
              <w:t>事故発生後</w:t>
            </w:r>
            <w:r>
              <w:rPr>
                <w:rFonts w:hint="eastAsia" w:ascii="游明朝" w:hAnsi="游明朝" w:eastAsia="ＭＳ 明朝"/>
                <w:kern w:val="2"/>
                <w:sz w:val="24"/>
                <w:u w:val="single"/>
              </w:rPr>
              <w:t>速やかに、遅くとも５日以内を目安に市町村へ報告すること（別紙様式「事故報告書」を参考とすること）</w:t>
            </w:r>
          </w:p>
          <w:p>
            <w:pPr>
              <w:pStyle w:val="0"/>
              <w:widowControl w:val="0"/>
              <w:spacing w:line="240" w:lineRule="auto"/>
              <w:ind w:left="690" w:leftChars="100" w:hanging="480" w:hangingChars="20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  <w:u w:val="none"/>
              </w:rPr>
              <w:t>（２）事故処理の経過についても、</w:t>
            </w:r>
            <w:r>
              <w:rPr>
                <w:rFonts w:hint="eastAsia" w:ascii="游明朝" w:hAnsi="游明朝" w:eastAsia="ＭＳ 明朝"/>
                <w:kern w:val="2"/>
                <w:sz w:val="24"/>
                <w:u w:val="single"/>
              </w:rPr>
              <w:t>適宜報告すること。</w:t>
            </w:r>
          </w:p>
          <w:p>
            <w:pPr>
              <w:pStyle w:val="0"/>
              <w:widowControl w:val="0"/>
              <w:spacing w:line="240" w:lineRule="auto"/>
              <w:ind w:left="690" w:leftChars="100" w:hanging="480" w:hangingChars="200"/>
              <w:jc w:val="both"/>
              <w:rPr>
                <w:rFonts w:hint="default" w:ascii="游明朝" w:hAnsi="游明朝" w:eastAsia="ＭＳ 明朝"/>
                <w:kern w:val="2"/>
                <w:sz w:val="24"/>
                <w:u w:val="single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（３）</w:t>
            </w:r>
            <w:r>
              <w:rPr>
                <w:rFonts w:hint="eastAsia" w:ascii="游明朝" w:hAnsi="游明朝" w:eastAsia="ＭＳ 明朝"/>
                <w:kern w:val="2"/>
                <w:sz w:val="24"/>
                <w:u w:val="none"/>
              </w:rPr>
              <w:t>事故処理の区切りがついたところで、</w:t>
            </w:r>
            <w:r>
              <w:rPr>
                <w:rFonts w:hint="eastAsia" w:ascii="游明朝" w:hAnsi="游明朝" w:eastAsia="ＭＳ 明朝"/>
                <w:kern w:val="2"/>
                <w:sz w:val="24"/>
                <w:u w:val="single"/>
              </w:rPr>
              <w:t>最終報告を行うこと。</w:t>
            </w:r>
          </w:p>
          <w:p>
            <w:pPr>
              <w:pStyle w:val="0"/>
              <w:widowControl w:val="0"/>
              <w:spacing w:line="240" w:lineRule="auto"/>
              <w:ind w:left="690" w:leftChars="100" w:hanging="480" w:hangingChars="200"/>
              <w:jc w:val="both"/>
              <w:rPr>
                <w:rFonts w:hint="default" w:ascii="游明朝" w:hAnsi="游明朝" w:eastAsia="ＭＳ 明朝"/>
                <w:kern w:val="2"/>
                <w:sz w:val="24"/>
                <w:u w:val="single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  <w:u w:val="single"/>
              </w:rPr>
              <w:t>（４）報告の方法は、原則、電子メール等の電磁的方法によること。</w:t>
            </w:r>
          </w:p>
          <w:p>
            <w:pPr>
              <w:pStyle w:val="0"/>
              <w:widowControl w:val="0"/>
              <w:spacing w:line="240" w:lineRule="auto"/>
              <w:ind w:left="690" w:leftChars="100" w:hanging="480" w:hangingChars="200"/>
              <w:jc w:val="both"/>
              <w:rPr>
                <w:rFonts w:hint="default" w:ascii="游明朝" w:hAnsi="游明朝" w:eastAsia="ＭＳ 明朝"/>
                <w:kern w:val="2"/>
                <w:sz w:val="24"/>
                <w:u w:val="single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４　略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ind w:firstLine="240" w:firstLineChars="10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５　報告を受けた市町村での対応</w:t>
            </w:r>
          </w:p>
          <w:p>
            <w:pPr>
              <w:pStyle w:val="0"/>
              <w:widowControl w:val="0"/>
              <w:ind w:firstLine="240" w:firstLineChars="10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（１）略</w:t>
            </w:r>
          </w:p>
          <w:p>
            <w:pPr>
              <w:pStyle w:val="0"/>
              <w:widowControl w:val="0"/>
              <w:spacing w:line="240" w:lineRule="auto"/>
              <w:ind w:left="564" w:leftChars="97" w:hanging="360" w:hangingChars="15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（２）県・国保連合会等における対応が必要と判断される場合の連絡調整</w:t>
            </w:r>
          </w:p>
          <w:p>
            <w:pPr>
              <w:pStyle w:val="0"/>
              <w:widowControl w:val="0"/>
              <w:spacing w:line="240" w:lineRule="auto"/>
              <w:ind w:left="729" w:leftChars="347" w:firstLine="240" w:firstLineChars="100"/>
              <w:jc w:val="both"/>
              <w:rPr>
                <w:rFonts w:hint="default" w:ascii="游明朝" w:hAnsi="游明朝" w:eastAsia="ＭＳ 明朝"/>
                <w:kern w:val="2"/>
                <w:sz w:val="24"/>
                <w:u w:val="single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指定基準に違反する恐れがあると判断される場合、その他、市町村長が県への報告を必要と判断する場合には、県に連絡</w:t>
            </w:r>
            <w:r>
              <w:rPr>
                <w:rFonts w:hint="eastAsia" w:ascii="游明朝" w:hAnsi="游明朝" w:eastAsia="ＭＳ 明朝"/>
                <w:kern w:val="2"/>
                <w:sz w:val="24"/>
                <w:u w:val="single"/>
              </w:rPr>
              <w:t>を行う。なお、事故報告書の提出は、高知県電子申請サービスにより行うこと。</w:t>
            </w:r>
          </w:p>
          <w:p>
            <w:pPr>
              <w:pStyle w:val="0"/>
              <w:widowControl w:val="0"/>
              <w:spacing w:line="240" w:lineRule="auto"/>
              <w:ind w:left="729" w:leftChars="347" w:firstLine="240" w:firstLineChars="10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また、利用者や家族等からサービスに関する苦情相談があった場合には、国保連合会との連携等必要な対応を行う。</w:t>
            </w:r>
          </w:p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240" w:lineRule="auto"/>
              <w:ind w:left="99" w:leftChars="47" w:firstLine="240" w:firstLineChars="10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注）（県に連絡する事例）</w:t>
            </w:r>
          </w:p>
          <w:p>
            <w:pPr>
              <w:pStyle w:val="0"/>
              <w:widowControl w:val="0"/>
              <w:ind w:left="210" w:leftChars="100" w:firstLineChars="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死亡事故、事故による通院・入院、職員の不祥事が原因の事案</w:t>
            </w:r>
            <w:r>
              <w:rPr>
                <w:rFonts w:hint="eastAsia" w:ascii="游明朝" w:hAnsi="游明朝" w:eastAsia="ＭＳ 明朝"/>
                <w:kern w:val="2"/>
                <w:sz w:val="24"/>
                <w:u w:val="single"/>
              </w:rPr>
              <w:t>（誤薬を含む。）</w:t>
            </w:r>
            <w:r>
              <w:rPr>
                <w:rFonts w:hint="eastAsia" w:ascii="游明朝" w:hAnsi="游明朝" w:eastAsia="ＭＳ 明朝"/>
                <w:kern w:val="2"/>
                <w:sz w:val="24"/>
              </w:rPr>
              <w:t>、重大・重症事故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3228975" cy="784415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784415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vAlign w:val="top"/>
          </w:tcPr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１～２　略</w:t>
            </w: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３　報告の手順</w:t>
            </w: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default" w:ascii="游明朝" w:hAnsi="游明朝" w:eastAsia="ＭＳ 明朝"/>
                <w:kern w:val="2"/>
                <w:sz w:val="24"/>
                <w:u w:val="dash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（１）事故発生後</w:t>
            </w:r>
            <w:r>
              <w:rPr>
                <w:rFonts w:hint="eastAsia" w:ascii="游明朝" w:hAnsi="游明朝" w:eastAsia="ＭＳ 明朝"/>
                <w:kern w:val="2"/>
                <w:sz w:val="24"/>
                <w:u w:val="dash"/>
              </w:rPr>
              <w:t>、各事業者は</w:t>
            </w:r>
            <w:r>
              <w:rPr>
                <w:rFonts w:hint="eastAsia" w:ascii="游明朝" w:hAnsi="游明朝" w:eastAsia="ＭＳ 明朝"/>
                <w:kern w:val="2"/>
                <w:sz w:val="24"/>
              </w:rPr>
              <w:t>速やかに市町村へ</w:t>
            </w:r>
            <w:r>
              <w:rPr>
                <w:rFonts w:hint="eastAsia" w:ascii="游明朝" w:hAnsi="游明朝" w:eastAsia="ＭＳ 明朝"/>
                <w:kern w:val="2"/>
                <w:sz w:val="24"/>
                <w:u w:val="dash"/>
              </w:rPr>
              <w:t>電話又はファクシミリ</w:t>
            </w:r>
            <w:r>
              <w:rPr>
                <w:rFonts w:hint="eastAsia" w:ascii="游明朝" w:hAnsi="游明朝" w:eastAsia="ＭＳ 明朝"/>
                <w:kern w:val="2"/>
                <w:sz w:val="24"/>
                <w:u w:val="none"/>
              </w:rPr>
              <w:t>により報告すること。</w:t>
            </w:r>
            <w:r>
              <w:rPr>
                <w:rFonts w:hint="eastAsia" w:ascii="游明朝" w:hAnsi="游明朝" w:eastAsia="ＭＳ 明朝"/>
                <w:kern w:val="2"/>
                <w:sz w:val="24"/>
                <w:u w:val="dash"/>
              </w:rPr>
              <w:t>（第一報）</w:t>
            </w: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default" w:ascii="游明朝" w:hAnsi="游明朝" w:eastAsia="ＭＳ 明朝"/>
                <w:kern w:val="2"/>
                <w:sz w:val="24"/>
                <w:u w:val="dash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　　　</w:t>
            </w:r>
            <w:r>
              <w:rPr>
                <w:rFonts w:hint="eastAsia" w:ascii="游明朝" w:hAnsi="游明朝" w:eastAsia="ＭＳ 明朝"/>
                <w:kern w:val="2"/>
                <w:sz w:val="24"/>
                <w:u w:val="dash"/>
              </w:rPr>
              <w:t>※ファクシミリの場合は、プライバシーに配慮すること。</w:t>
            </w: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（２）事故処理の経過についても、</w:t>
            </w:r>
            <w:r>
              <w:rPr>
                <w:rFonts w:hint="eastAsia" w:ascii="游明朝" w:hAnsi="游明朝" w:eastAsia="ＭＳ 明朝"/>
                <w:kern w:val="2"/>
                <w:sz w:val="24"/>
                <w:u w:val="dash"/>
              </w:rPr>
              <w:t>電話又はファクシミリにより</w:t>
            </w:r>
            <w:r>
              <w:rPr>
                <w:rFonts w:hint="eastAsia" w:ascii="游明朝" w:hAnsi="游明朝" w:eastAsia="ＭＳ 明朝"/>
                <w:kern w:val="2"/>
                <w:sz w:val="24"/>
              </w:rPr>
              <w:t>適宜報告すること。</w:t>
            </w: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eastAsia" w:ascii="Century" w:hAnsi="Century" w:eastAsia="ＭＳ 明朝"/>
                <w:kern w:val="2"/>
                <w:sz w:val="21"/>
                <w:u w:val="dash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（３）事故処理の区切りがついたところで、</w:t>
            </w:r>
            <w:r>
              <w:rPr>
                <w:rFonts w:hint="eastAsia" w:ascii="游明朝" w:hAnsi="游明朝" w:eastAsia="ＭＳ 明朝"/>
                <w:kern w:val="2"/>
                <w:sz w:val="24"/>
                <w:u w:val="dash"/>
              </w:rPr>
              <w:t>文書（別添「介護保険事業者　事故報告書」を参考とすること</w:t>
            </w:r>
            <w:bookmarkStart w:id="0" w:name="_GoBack"/>
            <w:bookmarkEnd w:id="0"/>
            <w:r>
              <w:rPr>
                <w:rFonts w:hint="eastAsia" w:ascii="游明朝" w:hAnsi="游明朝" w:eastAsia="ＭＳ 明朝"/>
                <w:kern w:val="2"/>
                <w:sz w:val="24"/>
                <w:u w:val="dash"/>
              </w:rPr>
              <w:t>）で報告すること。</w:t>
            </w: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４略</w:t>
            </w: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240" w:lineRule="auto"/>
              <w:ind w:left="0" w:leftChars="0" w:firstLine="120" w:firstLineChars="5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５　報告を受けた市町村での対応</w:t>
            </w:r>
          </w:p>
          <w:p>
            <w:pPr>
              <w:pStyle w:val="0"/>
              <w:widowControl w:val="0"/>
              <w:spacing w:line="240" w:lineRule="auto"/>
              <w:ind w:left="0" w:leftChars="0" w:firstLine="120" w:firstLineChars="5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游明朝" w:hAnsi="游明朝" w:eastAsia="ＭＳ 明朝"/>
                <w:kern w:val="2"/>
                <w:sz w:val="24"/>
              </w:rPr>
              <w:t>（１）略</w:t>
            </w:r>
          </w:p>
          <w:p>
            <w:pPr>
              <w:pStyle w:val="0"/>
              <w:widowControl w:val="0"/>
              <w:spacing w:line="240" w:lineRule="auto"/>
              <w:ind w:left="684" w:leftChars="97" w:hanging="480" w:hangingChars="20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（２）県・国保連合会等における対応が必要と判断される場合の連絡調整</w:t>
            </w:r>
          </w:p>
          <w:p>
            <w:pPr>
              <w:pStyle w:val="0"/>
              <w:widowControl w:val="0"/>
              <w:spacing w:line="240" w:lineRule="auto"/>
              <w:ind w:left="729" w:leftChars="347" w:firstLine="240" w:firstLineChars="10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指定基準に違反する恐れがあると判断される場合、その他、市町村長が県への報告を必要と判断する場合には、県に連絡</w:t>
            </w:r>
            <w:r>
              <w:rPr>
                <w:rFonts w:hint="eastAsia" w:ascii="游明朝" w:hAnsi="游明朝" w:eastAsia="ＭＳ 明朝"/>
                <w:kern w:val="2"/>
                <w:sz w:val="24"/>
                <w:u w:val="dash"/>
              </w:rPr>
              <w:t>する。</w:t>
            </w:r>
          </w:p>
          <w:p>
            <w:pPr>
              <w:pStyle w:val="0"/>
              <w:widowControl w:val="0"/>
              <w:spacing w:line="240" w:lineRule="auto"/>
              <w:ind w:left="729" w:leftChars="347" w:firstLine="240" w:firstLineChars="10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また、利用者や家族等からサービスに関する苦情相談があった場合には、国保連合会との連携等必要な対応を行う。</w:t>
            </w:r>
          </w:p>
          <w:p>
            <w:pPr>
              <w:pStyle w:val="0"/>
              <w:widowControl w:val="0"/>
              <w:spacing w:line="240" w:lineRule="auto"/>
              <w:ind w:left="210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240" w:lineRule="auto"/>
              <w:ind w:left="99" w:leftChars="47" w:firstLine="240" w:firstLineChars="10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</w:p>
          <w:p>
            <w:pPr>
              <w:pStyle w:val="0"/>
              <w:widowControl w:val="0"/>
              <w:spacing w:line="240" w:lineRule="auto"/>
              <w:ind w:left="99" w:leftChars="47" w:firstLine="240" w:firstLineChars="100"/>
              <w:jc w:val="both"/>
              <w:rPr>
                <w:rFonts w:hint="default" w:ascii="游明朝" w:hAnsi="游明朝" w:eastAsia="ＭＳ 明朝"/>
                <w:kern w:val="2"/>
                <w:sz w:val="24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注）（県に連絡する事例）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游明朝" w:hAnsi="游明朝" w:eastAsia="ＭＳ 明朝"/>
                <w:kern w:val="2"/>
                <w:sz w:val="24"/>
              </w:rPr>
              <w:t>死亡事故、事故による通院・入院、職員の不祥事が原因の事案、重大・重症事故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3199130" cy="7916545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130" cy="791654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514468</cp:lastModifiedBy>
  <cp:lastPrinted>2025-01-28T06:23:24Z</cp:lastPrinted>
  <dcterms:modified xsi:type="dcterms:W3CDTF">2025-01-28T06:12:55Z</dcterms:modified>
  <cp:revision>3</cp:revision>
</cp:coreProperties>
</file>