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theme/themeOverride10.xml" ContentType="application/vnd.openxmlformats-officedocument.themeOverride+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F5" w:rsidRDefault="009557F5" w:rsidP="009557F5">
      <w:pPr>
        <w:ind w:left="420"/>
        <w:jc w:val="center"/>
        <w:rPr>
          <w:rFonts w:asciiTheme="minorEastAsia" w:hAnsiTheme="minorEastAsia"/>
          <w:sz w:val="38"/>
          <w:szCs w:val="38"/>
        </w:rPr>
      </w:pPr>
      <w:bookmarkStart w:id="0" w:name="_Toc331449304"/>
      <w:bookmarkStart w:id="1" w:name="_Toc331449306"/>
    </w:p>
    <w:p w:rsidR="009557F5" w:rsidRDefault="009557F5" w:rsidP="009557F5">
      <w:pPr>
        <w:ind w:left="420"/>
        <w:jc w:val="center"/>
        <w:rPr>
          <w:rFonts w:asciiTheme="minorEastAsia" w:hAnsiTheme="minorEastAsia"/>
          <w:sz w:val="38"/>
          <w:szCs w:val="38"/>
        </w:rPr>
      </w:pPr>
      <w:bookmarkStart w:id="2" w:name="_GoBack"/>
      <w:bookmarkEnd w:id="2"/>
    </w:p>
    <w:p w:rsidR="009557F5" w:rsidRPr="00687B11" w:rsidRDefault="009557F5" w:rsidP="009557F5">
      <w:pPr>
        <w:ind w:left="420"/>
        <w:jc w:val="center"/>
        <w:rPr>
          <w:sz w:val="38"/>
          <w:szCs w:val="38"/>
        </w:rPr>
      </w:pPr>
      <w:r w:rsidRPr="00687B11">
        <w:rPr>
          <w:noProof/>
          <w:sz w:val="38"/>
          <w:szCs w:val="38"/>
        </w:rPr>
        <w:drawing>
          <wp:anchor distT="0" distB="0" distL="114300" distR="114300" simplePos="0" relativeHeight="251659264" behindDoc="0" locked="0" layoutInCell="1" allowOverlap="1">
            <wp:simplePos x="0" y="0"/>
            <wp:positionH relativeFrom="column">
              <wp:posOffset>4663440</wp:posOffset>
            </wp:positionH>
            <wp:positionV relativeFrom="paragraph">
              <wp:posOffset>-536575</wp:posOffset>
            </wp:positionV>
            <wp:extent cx="790575" cy="1000125"/>
            <wp:effectExtent l="19050" t="0" r="9525" b="0"/>
            <wp:wrapNone/>
            <wp:docPr id="1" name="図 1" descr="C:\Users\ioas_user\Desktop\kouchike_logo_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s_user\Desktop\kouchike_logo_d1.jpg"/>
                    <pic:cNvPicPr>
                      <a:picLocks noChangeAspect="1" noChangeArrowheads="1"/>
                    </pic:cNvPicPr>
                  </pic:nvPicPr>
                  <pic:blipFill>
                    <a:blip r:embed="rId7" cstate="print"/>
                    <a:srcRect/>
                    <a:stretch>
                      <a:fillRect/>
                    </a:stretch>
                  </pic:blipFill>
                  <pic:spPr bwMode="auto">
                    <a:xfrm>
                      <a:off x="0" y="0"/>
                      <a:ext cx="790575" cy="1000125"/>
                    </a:xfrm>
                    <a:prstGeom prst="rect">
                      <a:avLst/>
                    </a:prstGeom>
                    <a:noFill/>
                    <a:ln w="9525">
                      <a:noFill/>
                      <a:miter lim="800000"/>
                      <a:headEnd/>
                      <a:tailEnd/>
                    </a:ln>
                  </pic:spPr>
                </pic:pic>
              </a:graphicData>
            </a:graphic>
          </wp:anchor>
        </w:drawing>
      </w:r>
      <w:r w:rsidRPr="00687B11">
        <w:rPr>
          <w:rFonts w:hint="eastAsia"/>
          <w:sz w:val="38"/>
          <w:szCs w:val="38"/>
        </w:rPr>
        <w:t>平成29年度</w:t>
      </w:r>
    </w:p>
    <w:p w:rsidR="009557F5" w:rsidRPr="0071528C" w:rsidRDefault="009557F5" w:rsidP="009557F5">
      <w:pPr>
        <w:ind w:left="420"/>
        <w:jc w:val="center"/>
        <w:rPr>
          <w:rFonts w:asciiTheme="majorEastAsia" w:eastAsiaTheme="majorEastAsia" w:hAnsiTheme="majorEastAsia"/>
          <w:szCs w:val="80"/>
        </w:rPr>
      </w:pPr>
    </w:p>
    <w:p w:rsidR="009557F5" w:rsidRPr="0071528C" w:rsidRDefault="009557F5" w:rsidP="009557F5">
      <w:pPr>
        <w:ind w:left="420"/>
        <w:jc w:val="center"/>
        <w:rPr>
          <w:rFonts w:asciiTheme="majorEastAsia" w:eastAsiaTheme="majorEastAsia" w:hAnsiTheme="majorEastAsia"/>
          <w:sz w:val="80"/>
          <w:szCs w:val="80"/>
        </w:rPr>
      </w:pPr>
      <w:r w:rsidRPr="0071528C">
        <w:rPr>
          <w:rFonts w:asciiTheme="majorEastAsia" w:eastAsiaTheme="majorEastAsia" w:hAnsiTheme="majorEastAsia" w:hint="eastAsia"/>
          <w:sz w:val="80"/>
          <w:szCs w:val="80"/>
        </w:rPr>
        <w:t>県 民 世 論 調 査</w:t>
      </w:r>
    </w:p>
    <w:p w:rsidR="009557F5" w:rsidRDefault="009557F5" w:rsidP="009557F5">
      <w:pPr>
        <w:spacing w:line="576" w:lineRule="auto"/>
        <w:ind w:left="420"/>
        <w:rPr>
          <w:sz w:val="32"/>
        </w:rPr>
      </w:pPr>
    </w:p>
    <w:p w:rsidR="009557F5" w:rsidRPr="00687B11" w:rsidRDefault="009557F5" w:rsidP="009557F5">
      <w:pPr>
        <w:spacing w:line="576" w:lineRule="auto"/>
        <w:ind w:left="420" w:firstLineChars="300" w:firstLine="960"/>
        <w:rPr>
          <w:sz w:val="32"/>
        </w:rPr>
      </w:pPr>
      <w:r w:rsidRPr="00687B11">
        <w:rPr>
          <w:rFonts w:hint="eastAsia"/>
          <w:sz w:val="32"/>
        </w:rPr>
        <w:t>県の基本政策について</w:t>
      </w:r>
    </w:p>
    <w:p w:rsidR="009557F5" w:rsidRPr="00687B11" w:rsidRDefault="009557F5" w:rsidP="009557F5">
      <w:pPr>
        <w:spacing w:line="576" w:lineRule="auto"/>
        <w:ind w:left="420" w:firstLineChars="300" w:firstLine="972"/>
        <w:rPr>
          <w:spacing w:val="2"/>
          <w:sz w:val="32"/>
        </w:rPr>
      </w:pPr>
      <w:r w:rsidRPr="00687B11">
        <w:rPr>
          <w:rFonts w:hint="eastAsia"/>
          <w:spacing w:val="2"/>
          <w:sz w:val="32"/>
        </w:rPr>
        <w:t>南海トラフ地震対策について</w:t>
      </w:r>
    </w:p>
    <w:p w:rsidR="009557F5" w:rsidRPr="00687B11" w:rsidRDefault="009557F5" w:rsidP="009557F5">
      <w:pPr>
        <w:spacing w:line="576" w:lineRule="auto"/>
        <w:ind w:left="420" w:firstLineChars="300" w:firstLine="960"/>
        <w:rPr>
          <w:sz w:val="32"/>
        </w:rPr>
      </w:pPr>
      <w:r w:rsidRPr="00687B11">
        <w:rPr>
          <w:rFonts w:hint="eastAsia"/>
          <w:sz w:val="32"/>
        </w:rPr>
        <w:t>在宅医療について</w:t>
      </w:r>
    </w:p>
    <w:p w:rsidR="009557F5" w:rsidRPr="00687B11" w:rsidRDefault="009557F5" w:rsidP="009557F5">
      <w:pPr>
        <w:spacing w:line="576" w:lineRule="auto"/>
        <w:ind w:left="420" w:firstLineChars="300" w:firstLine="960"/>
        <w:rPr>
          <w:sz w:val="32"/>
        </w:rPr>
      </w:pPr>
      <w:r w:rsidRPr="00687B11">
        <w:rPr>
          <w:rFonts w:hint="eastAsia"/>
          <w:sz w:val="32"/>
        </w:rPr>
        <w:t>飲酒と健康について</w:t>
      </w:r>
    </w:p>
    <w:p w:rsidR="009557F5" w:rsidRPr="00687B11" w:rsidRDefault="009557F5" w:rsidP="000571BB">
      <w:pPr>
        <w:spacing w:line="576" w:lineRule="auto"/>
        <w:ind w:leftChars="0" w:left="0" w:firstLineChars="400" w:firstLine="1280"/>
        <w:rPr>
          <w:sz w:val="32"/>
        </w:rPr>
      </w:pPr>
      <w:r w:rsidRPr="00687B11">
        <w:rPr>
          <w:rFonts w:hint="eastAsia"/>
          <w:sz w:val="32"/>
        </w:rPr>
        <w:t>子どものスポーツ振興施策について</w:t>
      </w:r>
    </w:p>
    <w:p w:rsidR="009557F5" w:rsidRPr="00687B11" w:rsidRDefault="009557F5" w:rsidP="009557F5">
      <w:pPr>
        <w:spacing w:line="576" w:lineRule="auto"/>
        <w:ind w:left="420" w:firstLineChars="300" w:firstLine="960"/>
        <w:rPr>
          <w:sz w:val="32"/>
        </w:rPr>
      </w:pPr>
      <w:r w:rsidRPr="00687B11">
        <w:rPr>
          <w:rFonts w:hint="eastAsia"/>
          <w:sz w:val="32"/>
        </w:rPr>
        <w:t>第３期産業振興計画ver.２について</w:t>
      </w:r>
    </w:p>
    <w:p w:rsidR="009557F5" w:rsidRPr="00687B11" w:rsidRDefault="009557F5" w:rsidP="009557F5">
      <w:pPr>
        <w:spacing w:line="576" w:lineRule="auto"/>
        <w:ind w:left="420" w:firstLineChars="300" w:firstLine="960"/>
        <w:rPr>
          <w:sz w:val="32"/>
        </w:rPr>
      </w:pPr>
      <w:r>
        <w:rPr>
          <w:rFonts w:hint="eastAsia"/>
          <w:sz w:val="32"/>
        </w:rPr>
        <w:t>県の広報</w:t>
      </w:r>
      <w:r w:rsidRPr="00687B11">
        <w:rPr>
          <w:rFonts w:hint="eastAsia"/>
          <w:sz w:val="32"/>
        </w:rPr>
        <w:t>について</w:t>
      </w:r>
    </w:p>
    <w:p w:rsidR="009557F5" w:rsidRPr="00687B11" w:rsidRDefault="009557F5" w:rsidP="009557F5">
      <w:pPr>
        <w:spacing w:line="576" w:lineRule="auto"/>
        <w:ind w:left="420" w:firstLineChars="300" w:firstLine="960"/>
        <w:rPr>
          <w:sz w:val="32"/>
        </w:rPr>
      </w:pPr>
      <w:r>
        <w:rPr>
          <w:rFonts w:hint="eastAsia"/>
          <w:sz w:val="32"/>
        </w:rPr>
        <w:t>幼児教育</w:t>
      </w:r>
      <w:r w:rsidRPr="00687B11">
        <w:rPr>
          <w:rFonts w:hint="eastAsia"/>
          <w:sz w:val="32"/>
        </w:rPr>
        <w:t>について</w:t>
      </w:r>
    </w:p>
    <w:p w:rsidR="009557F5" w:rsidRPr="00687B11" w:rsidRDefault="009557F5" w:rsidP="009557F5">
      <w:pPr>
        <w:spacing w:line="576" w:lineRule="auto"/>
        <w:ind w:left="420" w:firstLineChars="300" w:firstLine="960"/>
        <w:rPr>
          <w:sz w:val="32"/>
        </w:rPr>
      </w:pPr>
    </w:p>
    <w:p w:rsidR="009557F5" w:rsidRDefault="009557F5" w:rsidP="009557F5">
      <w:pPr>
        <w:spacing w:line="576" w:lineRule="auto"/>
        <w:ind w:left="420" w:firstLineChars="300" w:firstLine="960"/>
        <w:rPr>
          <w:sz w:val="32"/>
        </w:rPr>
      </w:pPr>
    </w:p>
    <w:p w:rsidR="009557F5" w:rsidRPr="0071528C" w:rsidRDefault="009557F5" w:rsidP="009557F5">
      <w:pPr>
        <w:spacing w:line="576" w:lineRule="auto"/>
        <w:ind w:left="420" w:firstLineChars="300" w:firstLine="960"/>
        <w:rPr>
          <w:sz w:val="32"/>
        </w:rPr>
      </w:pPr>
    </w:p>
    <w:p w:rsidR="009557F5" w:rsidRPr="0071528C" w:rsidRDefault="009557F5" w:rsidP="009557F5">
      <w:pPr>
        <w:spacing w:line="576" w:lineRule="auto"/>
        <w:ind w:left="420"/>
        <w:jc w:val="center"/>
        <w:rPr>
          <w:sz w:val="38"/>
          <w:szCs w:val="38"/>
        </w:rPr>
      </w:pPr>
      <w:r w:rsidRPr="0071528C">
        <w:rPr>
          <w:rFonts w:hint="eastAsia"/>
          <w:sz w:val="38"/>
          <w:szCs w:val="38"/>
        </w:rPr>
        <w:t>高</w:t>
      </w:r>
      <w:r>
        <w:rPr>
          <w:rFonts w:hint="eastAsia"/>
          <w:sz w:val="38"/>
          <w:szCs w:val="38"/>
        </w:rPr>
        <w:t xml:space="preserve">　　　</w:t>
      </w:r>
      <w:r w:rsidRPr="0071528C">
        <w:rPr>
          <w:rFonts w:hint="eastAsia"/>
          <w:sz w:val="38"/>
          <w:szCs w:val="38"/>
        </w:rPr>
        <w:t>知</w:t>
      </w:r>
      <w:r>
        <w:rPr>
          <w:rFonts w:hint="eastAsia"/>
          <w:sz w:val="38"/>
          <w:szCs w:val="38"/>
        </w:rPr>
        <w:t xml:space="preserve">　　　県</w:t>
      </w:r>
    </w:p>
    <w:p w:rsidR="009557F5" w:rsidRPr="00596335" w:rsidRDefault="009557F5" w:rsidP="009557F5">
      <w:pPr>
        <w:tabs>
          <w:tab w:val="left" w:pos="483"/>
          <w:tab w:val="left" w:leader="middleDot" w:pos="7560"/>
          <w:tab w:val="right" w:pos="7980"/>
          <w:tab w:val="left" w:leader="middleDot" w:pos="8820"/>
          <w:tab w:val="right" w:pos="9345"/>
        </w:tabs>
        <w:spacing w:line="360" w:lineRule="auto"/>
        <w:ind w:left="420"/>
        <w:rPr>
          <w:rFonts w:asciiTheme="minorEastAsia" w:hAnsiTheme="minorEastAsia"/>
          <w:sz w:val="18"/>
          <w:szCs w:val="21"/>
          <w:lang w:eastAsia="zh-TW"/>
        </w:rPr>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sectPr w:rsidR="009557F5" w:rsidSect="008A0B91">
          <w:headerReference w:type="even" r:id="rId8"/>
          <w:headerReference w:type="default" r:id="rId9"/>
          <w:footerReference w:type="even" r:id="rId10"/>
          <w:footerReference w:type="default" r:id="rId11"/>
          <w:headerReference w:type="first" r:id="rId12"/>
          <w:footerReference w:type="first" r:id="rId13"/>
          <w:pgSz w:w="11906" w:h="16838"/>
          <w:pgMar w:top="964" w:right="1219" w:bottom="1021" w:left="1219" w:header="624" w:footer="397" w:gutter="0"/>
          <w:pgNumType w:fmt="numberInDash" w:start="1"/>
          <w:cols w:space="720"/>
          <w:docGrid w:type="lines" w:linePitch="297"/>
        </w:sectPr>
      </w:pPr>
    </w:p>
    <w:p w:rsidR="008672A1" w:rsidRDefault="008672A1" w:rsidP="009557F5">
      <w:pPr>
        <w:widowControl/>
        <w:tabs>
          <w:tab w:val="left" w:pos="238"/>
        </w:tabs>
        <w:spacing w:line="500" w:lineRule="exact"/>
        <w:ind w:leftChars="0" w:left="0" w:firstLineChars="1" w:firstLine="4"/>
        <w:jc w:val="center"/>
        <w:rPr>
          <w:rFonts w:hAnsi="Century"/>
          <w:kern w:val="2"/>
          <w:sz w:val="39"/>
          <w:szCs w:val="39"/>
        </w:rPr>
      </w:pPr>
    </w:p>
    <w:p w:rsidR="009557F5" w:rsidRPr="00B61295" w:rsidRDefault="009557F5" w:rsidP="009557F5">
      <w:pPr>
        <w:widowControl/>
        <w:tabs>
          <w:tab w:val="left" w:pos="238"/>
        </w:tabs>
        <w:spacing w:line="500" w:lineRule="exact"/>
        <w:ind w:leftChars="0" w:left="0" w:firstLineChars="1" w:firstLine="4"/>
        <w:jc w:val="center"/>
        <w:rPr>
          <w:rFonts w:hAnsi="Century"/>
          <w:kern w:val="2"/>
          <w:sz w:val="39"/>
          <w:szCs w:val="39"/>
        </w:rPr>
      </w:pPr>
      <w:r w:rsidRPr="00B61295">
        <w:rPr>
          <w:rFonts w:hAnsi="Century" w:hint="eastAsia"/>
          <w:kern w:val="2"/>
          <w:sz w:val="39"/>
          <w:szCs w:val="39"/>
        </w:rPr>
        <w:t>は　じ　め　に</w:t>
      </w:r>
    </w:p>
    <w:p w:rsidR="009557F5" w:rsidRPr="00B61295" w:rsidRDefault="009557F5" w:rsidP="009557F5">
      <w:pPr>
        <w:widowControl/>
        <w:tabs>
          <w:tab w:val="left" w:pos="238"/>
        </w:tabs>
        <w:spacing w:line="480" w:lineRule="exact"/>
        <w:ind w:leftChars="0" w:left="420" w:firstLineChars="257" w:firstLine="1002"/>
        <w:jc w:val="center"/>
        <w:rPr>
          <w:rFonts w:hAnsi="Century"/>
          <w:kern w:val="2"/>
          <w:sz w:val="39"/>
          <w:szCs w:val="39"/>
        </w:rPr>
      </w:pPr>
    </w:p>
    <w:p w:rsidR="009557F5" w:rsidRPr="00B61295" w:rsidRDefault="009557F5" w:rsidP="009557F5">
      <w:pPr>
        <w:tabs>
          <w:tab w:val="left" w:pos="238"/>
        </w:tabs>
        <w:spacing w:line="480" w:lineRule="exact"/>
        <w:ind w:leftChars="0" w:left="0" w:firstLineChars="100" w:firstLine="240"/>
        <w:jc w:val="both"/>
        <w:rPr>
          <w:kern w:val="2"/>
          <w:sz w:val="24"/>
          <w:szCs w:val="24"/>
        </w:rPr>
      </w:pPr>
      <w:r w:rsidRPr="00B61295">
        <w:rPr>
          <w:rFonts w:hint="eastAsia"/>
          <w:kern w:val="2"/>
          <w:sz w:val="24"/>
          <w:szCs w:val="24"/>
        </w:rPr>
        <w:t>高知県は、全国に先行した人口の自然減や</w:t>
      </w:r>
      <w:r>
        <w:rPr>
          <w:rFonts w:hint="eastAsia"/>
          <w:kern w:val="2"/>
          <w:sz w:val="24"/>
          <w:szCs w:val="24"/>
        </w:rPr>
        <w:t>、</w:t>
      </w:r>
      <w:r w:rsidRPr="00B61295">
        <w:rPr>
          <w:rFonts w:hint="eastAsia"/>
          <w:kern w:val="2"/>
          <w:sz w:val="24"/>
          <w:szCs w:val="24"/>
        </w:rPr>
        <w:t>これに伴う経済規模の縮小、災害の多発といった数多くの課題に直面してきました。</w:t>
      </w:r>
    </w:p>
    <w:p w:rsidR="009557F5" w:rsidRPr="00B61295" w:rsidRDefault="009557F5" w:rsidP="009557F5">
      <w:pPr>
        <w:tabs>
          <w:tab w:val="left" w:pos="238"/>
        </w:tabs>
        <w:spacing w:line="480" w:lineRule="exact"/>
        <w:ind w:leftChars="0" w:left="0" w:firstLineChars="100" w:firstLine="240"/>
        <w:jc w:val="both"/>
        <w:rPr>
          <w:kern w:val="2"/>
          <w:sz w:val="24"/>
          <w:szCs w:val="24"/>
        </w:rPr>
      </w:pPr>
      <w:r>
        <w:rPr>
          <w:rFonts w:hint="eastAsia"/>
          <w:kern w:val="2"/>
          <w:sz w:val="24"/>
          <w:szCs w:val="24"/>
        </w:rPr>
        <w:t>本県が抱える</w:t>
      </w:r>
      <w:r w:rsidRPr="00B61295">
        <w:rPr>
          <w:rFonts w:hint="eastAsia"/>
          <w:kern w:val="2"/>
          <w:sz w:val="24"/>
          <w:szCs w:val="24"/>
        </w:rPr>
        <w:t>、そうした</w:t>
      </w:r>
      <w:r>
        <w:rPr>
          <w:rFonts w:hint="eastAsia"/>
          <w:kern w:val="2"/>
          <w:sz w:val="24"/>
          <w:szCs w:val="24"/>
        </w:rPr>
        <w:t>根本的な</w:t>
      </w:r>
      <w:r w:rsidRPr="00B61295">
        <w:rPr>
          <w:rFonts w:hint="eastAsia"/>
          <w:kern w:val="2"/>
          <w:sz w:val="24"/>
          <w:szCs w:val="24"/>
        </w:rPr>
        <w:t>課題</w:t>
      </w:r>
      <w:r>
        <w:rPr>
          <w:rFonts w:hint="eastAsia"/>
          <w:kern w:val="2"/>
          <w:sz w:val="24"/>
          <w:szCs w:val="24"/>
        </w:rPr>
        <w:t>の解決につながる持続的な好循環を作り出し、正面から取り組んで</w:t>
      </w:r>
      <w:r w:rsidRPr="00B61295">
        <w:rPr>
          <w:rFonts w:hint="eastAsia"/>
          <w:kern w:val="2"/>
          <w:sz w:val="24"/>
          <w:szCs w:val="24"/>
        </w:rPr>
        <w:t>いくために、県では、産業振興計画の推進による「経済の活性化」をはじめ、「日本一の健康長寿県づくり」、「教育の充実と子育て支援」、「南海トラフ地震対策の抜本強化・加速化」、「インフラの充実と有効活用」の５つの基本政策のほか、「中山間対策の充実・強化」、「少子化</w:t>
      </w:r>
      <w:r>
        <w:rPr>
          <w:rFonts w:hint="eastAsia"/>
          <w:kern w:val="2"/>
          <w:sz w:val="24"/>
          <w:szCs w:val="24"/>
        </w:rPr>
        <w:t>対策の充実・強化と女性の活躍の場の拡大」、「文化芸術とスポーツの振興」など、県勢浮揚に向けた取組</w:t>
      </w:r>
      <w:r w:rsidRPr="00B61295">
        <w:rPr>
          <w:rFonts w:hint="eastAsia"/>
          <w:kern w:val="2"/>
          <w:sz w:val="24"/>
          <w:szCs w:val="24"/>
        </w:rPr>
        <w:t>を進めています。</w:t>
      </w:r>
    </w:p>
    <w:p w:rsidR="009557F5" w:rsidRPr="00B61295" w:rsidRDefault="009557F5" w:rsidP="009557F5">
      <w:pPr>
        <w:tabs>
          <w:tab w:val="left" w:pos="238"/>
        </w:tabs>
        <w:spacing w:line="480" w:lineRule="exact"/>
        <w:ind w:leftChars="0" w:left="0" w:firstLineChars="100" w:firstLine="240"/>
        <w:jc w:val="both"/>
        <w:rPr>
          <w:kern w:val="2"/>
          <w:sz w:val="24"/>
          <w:szCs w:val="24"/>
        </w:rPr>
      </w:pPr>
      <w:r>
        <w:rPr>
          <w:rFonts w:hint="eastAsia"/>
          <w:kern w:val="2"/>
          <w:sz w:val="24"/>
          <w:szCs w:val="24"/>
        </w:rPr>
        <w:t>こうした取組</w:t>
      </w:r>
      <w:r w:rsidRPr="00B61295">
        <w:rPr>
          <w:rFonts w:hint="eastAsia"/>
          <w:kern w:val="2"/>
          <w:sz w:val="24"/>
          <w:szCs w:val="24"/>
        </w:rPr>
        <w:t>を進めていくためには、県民の皆様のニーズを的確に把握、分析し、それを生かした政策づくりが大変重要であると考えています。</w:t>
      </w:r>
    </w:p>
    <w:p w:rsidR="009557F5" w:rsidRPr="00B61295" w:rsidRDefault="009557F5" w:rsidP="009557F5">
      <w:pPr>
        <w:tabs>
          <w:tab w:val="left" w:pos="238"/>
        </w:tabs>
        <w:spacing w:line="480" w:lineRule="exact"/>
        <w:ind w:leftChars="0" w:left="0" w:firstLineChars="100" w:firstLine="240"/>
        <w:jc w:val="both"/>
        <w:rPr>
          <w:kern w:val="2"/>
          <w:sz w:val="24"/>
          <w:szCs w:val="24"/>
        </w:rPr>
      </w:pPr>
      <w:r>
        <w:rPr>
          <w:rFonts w:hint="eastAsia"/>
          <w:kern w:val="2"/>
          <w:sz w:val="24"/>
          <w:szCs w:val="24"/>
        </w:rPr>
        <w:t>この調査は、県民の皆様の県政に対する</w:t>
      </w:r>
      <w:r w:rsidRPr="00B61295">
        <w:rPr>
          <w:rFonts w:hint="eastAsia"/>
          <w:kern w:val="2"/>
          <w:sz w:val="24"/>
          <w:szCs w:val="24"/>
        </w:rPr>
        <w:t>関心やご意見などを把握し、その結果を県政運営の基礎資料とするために実施したものです。</w:t>
      </w:r>
    </w:p>
    <w:p w:rsidR="009557F5" w:rsidRPr="00B61295" w:rsidRDefault="009557F5" w:rsidP="009557F5">
      <w:pPr>
        <w:tabs>
          <w:tab w:val="left" w:pos="238"/>
        </w:tabs>
        <w:spacing w:line="480" w:lineRule="exact"/>
        <w:ind w:leftChars="0" w:left="0" w:firstLineChars="100" w:firstLine="240"/>
        <w:jc w:val="both"/>
        <w:rPr>
          <w:rFonts w:hAnsi="Century"/>
          <w:kern w:val="2"/>
          <w:sz w:val="24"/>
          <w:szCs w:val="24"/>
        </w:rPr>
      </w:pPr>
      <w:r w:rsidRPr="00B61295">
        <w:rPr>
          <w:rFonts w:hAnsi="Century" w:hint="eastAsia"/>
          <w:kern w:val="2"/>
          <w:sz w:val="24"/>
          <w:szCs w:val="24"/>
        </w:rPr>
        <w:t>本年度は、「県の基本政策</w:t>
      </w:r>
      <w:r>
        <w:rPr>
          <w:rFonts w:hAnsi="Century" w:hint="eastAsia"/>
          <w:kern w:val="2"/>
          <w:sz w:val="24"/>
          <w:szCs w:val="24"/>
        </w:rPr>
        <w:t>」、「南海トラフ地震対策」、「在宅医療」、「飲酒と健康」、「子どものスポーツ振興施策</w:t>
      </w:r>
      <w:r w:rsidRPr="00B61295">
        <w:rPr>
          <w:rFonts w:hAnsi="Century" w:hint="eastAsia"/>
          <w:kern w:val="2"/>
          <w:sz w:val="24"/>
          <w:szCs w:val="24"/>
        </w:rPr>
        <w:t>」</w:t>
      </w:r>
      <w:r>
        <w:rPr>
          <w:rFonts w:hAnsi="Century" w:hint="eastAsia"/>
          <w:kern w:val="2"/>
          <w:sz w:val="24"/>
          <w:szCs w:val="24"/>
        </w:rPr>
        <w:t>、「第３期産業振興計画」、「県の広報」、「幼児教育」</w:t>
      </w:r>
      <w:r w:rsidRPr="00B61295">
        <w:rPr>
          <w:rFonts w:hAnsi="Century" w:hint="eastAsia"/>
          <w:kern w:val="2"/>
          <w:sz w:val="24"/>
          <w:szCs w:val="24"/>
        </w:rPr>
        <w:t>の</w:t>
      </w:r>
      <w:r>
        <w:rPr>
          <w:rFonts w:hAnsi="Century" w:hint="eastAsia"/>
          <w:kern w:val="2"/>
          <w:sz w:val="24"/>
          <w:szCs w:val="24"/>
        </w:rPr>
        <w:t>８つ</w:t>
      </w:r>
      <w:r w:rsidRPr="00B61295">
        <w:rPr>
          <w:rFonts w:hAnsi="Century" w:hint="eastAsia"/>
          <w:kern w:val="2"/>
          <w:sz w:val="24"/>
          <w:szCs w:val="24"/>
        </w:rPr>
        <w:t>のテーマについて</w:t>
      </w:r>
      <w:r>
        <w:rPr>
          <w:rFonts w:hAnsi="Century" w:hint="eastAsia"/>
          <w:kern w:val="2"/>
          <w:sz w:val="24"/>
          <w:szCs w:val="24"/>
        </w:rPr>
        <w:t>、</w:t>
      </w:r>
      <w:r w:rsidRPr="00B61295">
        <w:rPr>
          <w:rFonts w:hAnsi="Century" w:hint="eastAsia"/>
          <w:kern w:val="2"/>
          <w:sz w:val="24"/>
          <w:szCs w:val="24"/>
        </w:rPr>
        <w:t>調査</w:t>
      </w:r>
      <w:r>
        <w:rPr>
          <w:rFonts w:hAnsi="Century" w:hint="eastAsia"/>
          <w:kern w:val="2"/>
          <w:sz w:val="24"/>
          <w:szCs w:val="24"/>
        </w:rPr>
        <w:t>を行いました。</w:t>
      </w:r>
    </w:p>
    <w:p w:rsidR="009557F5" w:rsidRPr="00B61295" w:rsidRDefault="009557F5" w:rsidP="009557F5">
      <w:pPr>
        <w:tabs>
          <w:tab w:val="left" w:pos="238"/>
        </w:tabs>
        <w:spacing w:line="480" w:lineRule="exact"/>
        <w:ind w:leftChars="0" w:left="0" w:firstLineChars="100" w:firstLine="240"/>
        <w:jc w:val="both"/>
        <w:rPr>
          <w:kern w:val="2"/>
          <w:sz w:val="24"/>
          <w:szCs w:val="24"/>
        </w:rPr>
      </w:pPr>
      <w:r w:rsidRPr="00B61295">
        <w:rPr>
          <w:rFonts w:hint="eastAsia"/>
          <w:kern w:val="2"/>
          <w:sz w:val="24"/>
          <w:szCs w:val="24"/>
        </w:rPr>
        <w:t>これらの調査に集約された県民の皆様の声を、今後の県政に十分反映させていきたいと考えています。また、各方面でも幅広く活用されることを願っています。</w:t>
      </w:r>
    </w:p>
    <w:p w:rsidR="009557F5" w:rsidRPr="00B61295" w:rsidRDefault="009557F5" w:rsidP="009557F5">
      <w:pPr>
        <w:tabs>
          <w:tab w:val="left" w:pos="238"/>
        </w:tabs>
        <w:spacing w:line="480" w:lineRule="exact"/>
        <w:ind w:leftChars="0" w:left="0" w:firstLineChars="100" w:firstLine="240"/>
        <w:jc w:val="both"/>
        <w:rPr>
          <w:kern w:val="2"/>
          <w:sz w:val="24"/>
          <w:szCs w:val="24"/>
        </w:rPr>
      </w:pPr>
      <w:r w:rsidRPr="00B61295">
        <w:rPr>
          <w:rFonts w:hint="eastAsia"/>
          <w:kern w:val="2"/>
          <w:sz w:val="24"/>
          <w:szCs w:val="24"/>
        </w:rPr>
        <w:t>この調査にご協力いただきました県民の皆様をはじめ、関係者の皆様に厚くお礼申し上げます。</w:t>
      </w:r>
    </w:p>
    <w:p w:rsidR="009557F5" w:rsidRPr="00B61295" w:rsidRDefault="009557F5" w:rsidP="009557F5">
      <w:pPr>
        <w:tabs>
          <w:tab w:val="left" w:pos="238"/>
        </w:tabs>
        <w:spacing w:line="480" w:lineRule="exact"/>
        <w:ind w:leftChars="0" w:left="0" w:firstLineChars="257" w:firstLine="617"/>
        <w:jc w:val="both"/>
        <w:rPr>
          <w:kern w:val="2"/>
          <w:sz w:val="24"/>
          <w:szCs w:val="24"/>
        </w:rPr>
      </w:pPr>
    </w:p>
    <w:p w:rsidR="009557F5" w:rsidRDefault="009557F5" w:rsidP="009557F5">
      <w:pPr>
        <w:tabs>
          <w:tab w:val="left" w:pos="238"/>
        </w:tabs>
        <w:spacing w:line="480" w:lineRule="exact"/>
        <w:ind w:leftChars="0" w:left="0" w:firstLineChars="257" w:firstLine="617"/>
        <w:jc w:val="both"/>
        <w:rPr>
          <w:kern w:val="2"/>
          <w:sz w:val="24"/>
          <w:szCs w:val="24"/>
        </w:rPr>
      </w:pPr>
      <w:r>
        <w:rPr>
          <w:rFonts w:hint="eastAsia"/>
          <w:kern w:val="2"/>
          <w:sz w:val="24"/>
          <w:szCs w:val="24"/>
        </w:rPr>
        <w:t>平成２９</w:t>
      </w:r>
      <w:r w:rsidRPr="00B61295">
        <w:rPr>
          <w:rFonts w:hint="eastAsia"/>
          <w:kern w:val="2"/>
          <w:sz w:val="24"/>
          <w:szCs w:val="24"/>
        </w:rPr>
        <w:t>年１２月</w:t>
      </w:r>
      <w:r>
        <w:rPr>
          <w:rFonts w:hint="eastAsia"/>
          <w:kern w:val="2"/>
          <w:sz w:val="24"/>
          <w:szCs w:val="24"/>
        </w:rPr>
        <w:t xml:space="preserve">　　　　　　　　</w:t>
      </w:r>
      <w:r w:rsidRPr="00B61295">
        <w:rPr>
          <w:rFonts w:hint="eastAsia"/>
          <w:kern w:val="2"/>
          <w:sz w:val="24"/>
          <w:szCs w:val="24"/>
        </w:rPr>
        <w:t xml:space="preserve">　</w:t>
      </w:r>
    </w:p>
    <w:p w:rsidR="009557F5" w:rsidRPr="005F7DCA" w:rsidRDefault="009557F5" w:rsidP="009557F5">
      <w:pPr>
        <w:tabs>
          <w:tab w:val="left" w:pos="238"/>
        </w:tabs>
        <w:spacing w:line="480" w:lineRule="exact"/>
        <w:ind w:leftChars="0" w:left="0" w:firstLineChars="1957" w:firstLine="4697"/>
        <w:jc w:val="both"/>
        <w:rPr>
          <w:kern w:val="2"/>
          <w:sz w:val="24"/>
          <w:szCs w:val="24"/>
        </w:rPr>
      </w:pPr>
      <w:r w:rsidRPr="00B61295">
        <w:rPr>
          <w:rFonts w:hint="eastAsia"/>
          <w:kern w:val="2"/>
          <w:sz w:val="24"/>
          <w:szCs w:val="24"/>
        </w:rPr>
        <w:t>高知県総務部長　　梶　　元　伸</w:t>
      </w: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8672A1" w:rsidRDefault="008672A1"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420"/>
        <w:jc w:val="center"/>
        <w:rPr>
          <w:rFonts w:asciiTheme="majorEastAsia" w:eastAsiaTheme="majorEastAsia" w:hAnsiTheme="majorEastAsia"/>
          <w:sz w:val="28"/>
        </w:rPr>
      </w:pPr>
      <w:r>
        <w:rPr>
          <w:rFonts w:asciiTheme="majorEastAsia" w:eastAsiaTheme="majorEastAsia" w:hAnsiTheme="majorEastAsia" w:hint="eastAsia"/>
          <w:sz w:val="28"/>
        </w:rPr>
        <w:lastRenderedPageBreak/>
        <w:t>目　　次</w:t>
      </w:r>
    </w:p>
    <w:p w:rsidR="009557F5" w:rsidRDefault="009557F5" w:rsidP="009557F5">
      <w:pPr>
        <w:ind w:left="420"/>
        <w:jc w:val="center"/>
        <w:rPr>
          <w:rFonts w:asciiTheme="minorEastAsia" w:hAnsiTheme="minorEastAsia"/>
          <w:sz w:val="14"/>
        </w:rPr>
      </w:pPr>
      <w:r>
        <w:rPr>
          <w:rFonts w:asciiTheme="minorEastAsia" w:hAnsiTheme="minorEastAsia" w:hint="eastAsia"/>
          <w:sz w:val="10"/>
        </w:rPr>
        <w:t xml:space="preserve">　　　　　　　　　　　　　　　　　　　　　　　　　　　　　　　　　　　　　　　　　　　　　　　　　　　</w:t>
      </w:r>
      <w:r w:rsidR="00E937BB">
        <w:rPr>
          <w:rFonts w:asciiTheme="minorEastAsia" w:hAnsiTheme="minorEastAsia" w:hint="eastAsia"/>
          <w:sz w:val="10"/>
        </w:rPr>
        <w:t xml:space="preserve">　</w:t>
      </w:r>
      <w:r w:rsidR="009B0DCF">
        <w:rPr>
          <w:rFonts w:asciiTheme="minorEastAsia" w:hAnsiTheme="minorEastAsia" w:hint="eastAsia"/>
          <w:sz w:val="10"/>
        </w:rPr>
        <w:t xml:space="preserve">　　　　　　</w:t>
      </w:r>
      <w:r w:rsidR="00E937BB">
        <w:rPr>
          <w:rFonts w:asciiTheme="minorEastAsia" w:hAnsiTheme="minorEastAsia" w:hint="eastAsia"/>
          <w:sz w:val="10"/>
        </w:rPr>
        <w:t xml:space="preserve">　</w:t>
      </w:r>
      <w:r>
        <w:rPr>
          <w:rFonts w:asciiTheme="minorEastAsia" w:hAnsiTheme="minorEastAsia" w:hint="eastAsia"/>
          <w:sz w:val="14"/>
        </w:rPr>
        <w:t>ページ</w:t>
      </w:r>
    </w:p>
    <w:p w:rsidR="009557F5" w:rsidRDefault="009557F5" w:rsidP="008672A1">
      <w:pPr>
        <w:tabs>
          <w:tab w:val="left" w:pos="483"/>
          <w:tab w:val="left" w:leader="middleDot" w:pos="7560"/>
          <w:tab w:val="right" w:pos="7980"/>
          <w:tab w:val="left" w:leader="middleDot" w:pos="8820"/>
          <w:tab w:val="right" w:pos="9345"/>
        </w:tabs>
        <w:spacing w:line="480" w:lineRule="exact"/>
        <w:ind w:leftChars="0" w:left="0"/>
        <w:rPr>
          <w:rFonts w:asciiTheme="minorEastAsia" w:hAnsiTheme="minorEastAsia"/>
          <w:sz w:val="18"/>
        </w:rPr>
      </w:pPr>
      <w:r>
        <w:rPr>
          <w:rFonts w:asciiTheme="minorEastAsia" w:hAnsiTheme="minorEastAsia" w:hint="eastAsia"/>
          <w:sz w:val="24"/>
        </w:rPr>
        <w:t>Ⅰ　調査の設計</w:t>
      </w:r>
      <w:r>
        <w:rPr>
          <w:rFonts w:asciiTheme="minorEastAsia" w:hAnsiTheme="minorEastAsia" w:hint="eastAsia"/>
          <w:sz w:val="24"/>
        </w:rPr>
        <w:tab/>
      </w:r>
      <w:r>
        <w:rPr>
          <w:rFonts w:asciiTheme="minorEastAsia" w:hAnsiTheme="minorEastAsia" w:hint="eastAsia"/>
          <w:sz w:val="24"/>
        </w:rPr>
        <w:tab/>
        <w:t>1</w:t>
      </w:r>
    </w:p>
    <w:p w:rsidR="009557F5" w:rsidRDefault="009557F5" w:rsidP="008672A1">
      <w:pPr>
        <w:tabs>
          <w:tab w:val="left" w:pos="483"/>
          <w:tab w:val="left" w:leader="middleDot" w:pos="7560"/>
          <w:tab w:val="right" w:pos="7980"/>
          <w:tab w:val="left" w:leader="middleDot" w:pos="8820"/>
          <w:tab w:val="right" w:pos="9345"/>
        </w:tabs>
        <w:spacing w:line="480" w:lineRule="exact"/>
        <w:ind w:leftChars="0" w:left="0"/>
        <w:rPr>
          <w:rFonts w:asciiTheme="minorEastAsia" w:hAnsiTheme="minorEastAsia"/>
          <w:sz w:val="24"/>
        </w:rPr>
      </w:pPr>
      <w:r>
        <w:rPr>
          <w:rFonts w:asciiTheme="minorEastAsia" w:hAnsiTheme="minorEastAsia" w:hint="eastAsia"/>
          <w:sz w:val="24"/>
        </w:rPr>
        <w:t>Ⅱ　調査結果の見方</w:t>
      </w:r>
      <w:r>
        <w:rPr>
          <w:rFonts w:asciiTheme="minorEastAsia" w:hAnsiTheme="minorEastAsia" w:hint="eastAsia"/>
          <w:sz w:val="24"/>
        </w:rPr>
        <w:tab/>
      </w:r>
      <w:r>
        <w:rPr>
          <w:rFonts w:asciiTheme="minorEastAsia" w:hAnsiTheme="minorEastAsia" w:hint="eastAsia"/>
        </w:rPr>
        <w:tab/>
      </w:r>
      <w:r>
        <w:rPr>
          <w:rFonts w:asciiTheme="minorEastAsia" w:hAnsiTheme="minorEastAsia" w:hint="eastAsia"/>
          <w:sz w:val="24"/>
        </w:rPr>
        <w:t>3</w:t>
      </w:r>
    </w:p>
    <w:p w:rsidR="009557F5" w:rsidRDefault="009557F5" w:rsidP="008672A1">
      <w:pPr>
        <w:tabs>
          <w:tab w:val="left" w:pos="483"/>
          <w:tab w:val="left" w:leader="middleDot" w:pos="7560"/>
          <w:tab w:val="right" w:pos="7980"/>
          <w:tab w:val="left" w:leader="middleDot" w:pos="8820"/>
          <w:tab w:val="right" w:pos="9345"/>
        </w:tabs>
        <w:spacing w:line="480" w:lineRule="exact"/>
        <w:ind w:leftChars="0" w:left="0"/>
        <w:rPr>
          <w:sz w:val="24"/>
        </w:rPr>
      </w:pPr>
      <w:r>
        <w:rPr>
          <w:rFonts w:asciiTheme="minorEastAsia" w:hAnsiTheme="minorEastAsia" w:hint="eastAsia"/>
          <w:sz w:val="24"/>
        </w:rPr>
        <w:t>Ⅲ　調査対象者の特性</w:t>
      </w:r>
      <w:r>
        <w:rPr>
          <w:rFonts w:asciiTheme="minorEastAsia" w:hAnsiTheme="minorEastAsia" w:hint="eastAsia"/>
          <w:sz w:val="24"/>
        </w:rPr>
        <w:tab/>
      </w:r>
      <w:r>
        <w:rPr>
          <w:rFonts w:asciiTheme="minorEastAsia" w:hAnsiTheme="minorEastAsia" w:hint="eastAsia"/>
        </w:rPr>
        <w:tab/>
      </w:r>
      <w:r>
        <w:rPr>
          <w:rFonts w:asciiTheme="minorEastAsia" w:hAnsiTheme="minorEastAsia" w:hint="eastAsia"/>
          <w:sz w:val="24"/>
        </w:rPr>
        <w:t>5</w:t>
      </w:r>
    </w:p>
    <w:p w:rsidR="008672A1" w:rsidRDefault="009557F5" w:rsidP="008672A1">
      <w:pPr>
        <w:tabs>
          <w:tab w:val="left" w:leader="middleDot" w:pos="7560"/>
          <w:tab w:val="right" w:pos="7980"/>
          <w:tab w:val="left" w:leader="middleDot" w:pos="8820"/>
          <w:tab w:val="right" w:pos="9345"/>
        </w:tabs>
        <w:spacing w:line="480" w:lineRule="exact"/>
        <w:ind w:leftChars="0" w:firstLineChars="100" w:firstLine="210"/>
        <w:rPr>
          <w:sz w:val="32"/>
        </w:rPr>
      </w:pPr>
      <w:r>
        <w:rPr>
          <w:rFonts w:asciiTheme="minorEastAsia" w:hAnsiTheme="minorEastAsia" w:hint="eastAsia"/>
        </w:rPr>
        <w:t>１．広域市町村圏別の配布・回収状況</w:t>
      </w:r>
      <w:r>
        <w:rPr>
          <w:rFonts w:asciiTheme="minorEastAsia" w:hAnsiTheme="minorEastAsia" w:hint="eastAsia"/>
          <w:sz w:val="24"/>
        </w:rPr>
        <w:tab/>
      </w:r>
      <w:r>
        <w:rPr>
          <w:rFonts w:asciiTheme="minorEastAsia" w:hAnsiTheme="minorEastAsia" w:hint="eastAsia"/>
        </w:rPr>
        <w:tab/>
      </w:r>
      <w:r>
        <w:rPr>
          <w:rFonts w:asciiTheme="minorEastAsia" w:hAnsiTheme="minorEastAsia" w:hint="eastAsia"/>
          <w:sz w:val="24"/>
        </w:rPr>
        <w:t>5</w:t>
      </w:r>
    </w:p>
    <w:p w:rsidR="009557F5" w:rsidRPr="008672A1" w:rsidRDefault="009557F5" w:rsidP="008672A1">
      <w:pPr>
        <w:tabs>
          <w:tab w:val="left" w:leader="middleDot" w:pos="7560"/>
          <w:tab w:val="right" w:pos="7980"/>
          <w:tab w:val="left" w:leader="middleDot" w:pos="8820"/>
          <w:tab w:val="right" w:pos="9345"/>
        </w:tabs>
        <w:spacing w:line="480" w:lineRule="exact"/>
        <w:ind w:leftChars="0" w:firstLineChars="100" w:firstLine="210"/>
        <w:rPr>
          <w:sz w:val="32"/>
        </w:rPr>
      </w:pPr>
      <w:r>
        <w:rPr>
          <w:rFonts w:asciiTheme="minorEastAsia" w:hAnsiTheme="minorEastAsia" w:hint="eastAsia"/>
        </w:rPr>
        <w:t>２．対象者の特性</w:t>
      </w:r>
      <w:r>
        <w:rPr>
          <w:rFonts w:asciiTheme="minorEastAsia" w:hAnsiTheme="minorEastAsia" w:hint="eastAsia"/>
          <w:sz w:val="24"/>
        </w:rPr>
        <w:tab/>
      </w:r>
      <w:r>
        <w:rPr>
          <w:rFonts w:asciiTheme="minorEastAsia" w:hAnsiTheme="minorEastAsia" w:hint="eastAsia"/>
          <w:sz w:val="24"/>
        </w:rPr>
        <w:tab/>
        <w:t>5</w:t>
      </w:r>
    </w:p>
    <w:p w:rsidR="009557F5" w:rsidRDefault="009557F5" w:rsidP="008672A1">
      <w:pPr>
        <w:tabs>
          <w:tab w:val="left" w:pos="483"/>
          <w:tab w:val="left" w:leader="middleDot" w:pos="7560"/>
          <w:tab w:val="right" w:pos="7980"/>
          <w:tab w:val="left" w:leader="middleDot" w:pos="8820"/>
          <w:tab w:val="right" w:pos="9345"/>
        </w:tabs>
        <w:spacing w:line="520" w:lineRule="exact"/>
        <w:ind w:leftChars="0" w:left="0"/>
        <w:rPr>
          <w:sz w:val="24"/>
        </w:rPr>
      </w:pPr>
      <w:r>
        <w:rPr>
          <w:rFonts w:asciiTheme="minorEastAsia" w:hAnsiTheme="minorEastAsia" w:hint="eastAsia"/>
          <w:sz w:val="24"/>
        </w:rPr>
        <w:t>Ⅳ　調査結果のあらまし</w:t>
      </w:r>
      <w:r>
        <w:rPr>
          <w:rFonts w:asciiTheme="minorEastAsia" w:hAnsiTheme="minorEastAsia" w:hint="eastAsia"/>
          <w:sz w:val="24"/>
        </w:rPr>
        <w:tab/>
      </w:r>
      <w:r>
        <w:rPr>
          <w:rFonts w:asciiTheme="minorEastAsia" w:hAnsiTheme="minorEastAsia" w:hint="eastAsia"/>
          <w:sz w:val="24"/>
        </w:rPr>
        <w:tab/>
        <w:t>9</w:t>
      </w:r>
    </w:p>
    <w:p w:rsidR="009557F5" w:rsidRDefault="009557F5" w:rsidP="008672A1">
      <w:pPr>
        <w:tabs>
          <w:tab w:val="left" w:pos="483"/>
          <w:tab w:val="left" w:leader="middleDot" w:pos="7560"/>
          <w:tab w:val="right" w:pos="7980"/>
          <w:tab w:val="left" w:leader="middleDot" w:pos="8820"/>
          <w:tab w:val="right" w:pos="9345"/>
        </w:tabs>
        <w:spacing w:line="480" w:lineRule="exact"/>
        <w:ind w:leftChars="0" w:left="0"/>
        <w:rPr>
          <w:rFonts w:asciiTheme="minorEastAsia" w:hAnsiTheme="minorEastAsia"/>
          <w:sz w:val="24"/>
        </w:rPr>
      </w:pPr>
      <w:r>
        <w:rPr>
          <w:rFonts w:asciiTheme="minorEastAsia" w:hAnsiTheme="minorEastAsia" w:hint="eastAsia"/>
          <w:sz w:val="24"/>
        </w:rPr>
        <w:t>Ⅴ　調査結果〔解説・グラフ〕</w:t>
      </w:r>
    </w:p>
    <w:p w:rsidR="009557F5" w:rsidRDefault="005570A6" w:rsidP="009557F5">
      <w:pPr>
        <w:tabs>
          <w:tab w:val="left" w:pos="795"/>
          <w:tab w:val="left" w:leader="middleDot" w:pos="7560"/>
          <w:tab w:val="right" w:pos="7980"/>
          <w:tab w:val="left" w:leader="middleDot" w:pos="8820"/>
          <w:tab w:val="right" w:pos="9345"/>
        </w:tabs>
        <w:spacing w:line="480" w:lineRule="exact"/>
        <w:ind w:leftChars="100" w:left="210"/>
        <w:rPr>
          <w:rFonts w:asciiTheme="minorEastAsia" w:hAnsiTheme="minorEastAsia"/>
          <w:sz w:val="24"/>
        </w:rPr>
      </w:pPr>
      <w:r>
        <w:rPr>
          <w:rFonts w:asciiTheme="minorEastAsia" w:hAnsiTheme="minorEastAsia"/>
          <w:sz w:val="24"/>
        </w:rPr>
        <w:pict>
          <v:shapetype id="_x0000_t202" coordsize="21600,21600" o:spt="202" path="m,l,21600r21600,l21600,xe">
            <v:stroke joinstyle="miter"/>
            <v:path gradientshapeok="t" o:connecttype="rect"/>
          </v:shapetype>
          <v:shape id="テキスト ボックス 1" o:spid="_x0000_s2053" type="#_x0000_t202" style="position:absolute;left:0;text-align:left;margin-left:346.05pt;margin-top:5.95pt;width:80.7pt;height:26.1pt;z-index:251661312" fillcolor="white [3201]" stroked="f">
            <v:textbox>
              <w:txbxContent>
                <w:p w:rsidR="00E937BB" w:rsidRDefault="00E937BB" w:rsidP="009557F5">
                  <w:pPr>
                    <w:spacing w:line="0" w:lineRule="atLeast"/>
                    <w:ind w:left="420"/>
                    <w:rPr>
                      <w:sz w:val="14"/>
                    </w:rPr>
                  </w:pPr>
                  <w:r>
                    <w:rPr>
                      <w:rFonts w:hint="eastAsia"/>
                      <w:sz w:val="14"/>
                    </w:rPr>
                    <w:t>解説・グラフ</w:t>
                  </w:r>
                </w:p>
                <w:p w:rsidR="00E937BB" w:rsidRDefault="00E937BB" w:rsidP="009557F5">
                  <w:pPr>
                    <w:spacing w:line="0" w:lineRule="atLeast"/>
                    <w:ind w:left="420" w:firstLineChars="100" w:firstLine="140"/>
                    <w:rPr>
                      <w:sz w:val="14"/>
                    </w:rPr>
                  </w:pPr>
                  <w:r>
                    <w:rPr>
                      <w:rFonts w:hint="eastAsia"/>
                      <w:sz w:val="14"/>
                    </w:rPr>
                    <w:t>ページ</w:t>
                  </w:r>
                </w:p>
              </w:txbxContent>
            </v:textbox>
          </v:shape>
        </w:pict>
      </w:r>
      <w:r>
        <w:rPr>
          <w:rFonts w:asciiTheme="minorEastAsia" w:hAnsiTheme="minorEastAsia"/>
          <w:sz w:val="24"/>
        </w:rPr>
        <w:pict>
          <v:shape id="テキスト ボックス 2" o:spid="_x0000_s2054" type="#_x0000_t202" style="position:absolute;left:0;text-align:left;margin-left:419.1pt;margin-top:5.95pt;width:64.65pt;height:26.1pt;z-index:251662336" filled="f" stroked="f">
            <v:textbox>
              <w:txbxContent>
                <w:p w:rsidR="00E937BB" w:rsidRDefault="00E937BB" w:rsidP="009557F5">
                  <w:pPr>
                    <w:spacing w:line="0" w:lineRule="atLeast"/>
                    <w:ind w:left="420"/>
                    <w:rPr>
                      <w:sz w:val="14"/>
                    </w:rPr>
                  </w:pPr>
                  <w:r>
                    <w:rPr>
                      <w:rFonts w:hint="eastAsia"/>
                      <w:sz w:val="14"/>
                    </w:rPr>
                    <w:t>数　表</w:t>
                  </w:r>
                </w:p>
                <w:p w:rsidR="00E937BB" w:rsidRDefault="00E937BB" w:rsidP="009557F5">
                  <w:pPr>
                    <w:spacing w:line="0" w:lineRule="atLeast"/>
                    <w:ind w:left="420"/>
                    <w:rPr>
                      <w:sz w:val="14"/>
                    </w:rPr>
                  </w:pPr>
                  <w:r>
                    <w:rPr>
                      <w:rFonts w:hint="eastAsia"/>
                      <w:sz w:val="14"/>
                    </w:rPr>
                    <w:t>ページ</w:t>
                  </w:r>
                </w:p>
              </w:txbxContent>
            </v:textbox>
          </v:shape>
        </w:pict>
      </w:r>
      <w:r w:rsidR="009557F5">
        <w:rPr>
          <w:rFonts w:asciiTheme="minorEastAsia" w:hAnsiTheme="minorEastAsia" w:hint="eastAsia"/>
          <w:sz w:val="24"/>
        </w:rPr>
        <w:t xml:space="preserve">〔１〕県の基本政策について　　　　　　　　　　　　　　　　</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rPr>
      </w:pPr>
      <w:r>
        <w:rPr>
          <w:rFonts w:asciiTheme="minorEastAsia" w:hAnsiTheme="minorEastAsia" w:hint="eastAsia"/>
          <w:sz w:val="24"/>
        </w:rPr>
        <w:tab/>
      </w:r>
      <w:r>
        <w:rPr>
          <w:rFonts w:asciiTheme="minorEastAsia" w:hAnsiTheme="minorEastAsia" w:hint="eastAsia"/>
        </w:rPr>
        <w:t>１．「経済の活性化」について特に力を入れるべき施策</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16</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168</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２．「</w:t>
      </w:r>
      <w:r>
        <w:rPr>
          <w:rFonts w:hint="eastAsia"/>
        </w:rPr>
        <w:t>日本一の健康長寿県づくり」について特に力</w:t>
      </w:r>
      <w:r>
        <w:rPr>
          <w:rFonts w:asciiTheme="minorEastAsia" w:hAnsiTheme="minorEastAsia" w:hint="eastAsia"/>
        </w:rPr>
        <w:t>を入れるべき施策</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20</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170</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３．「教育の充実と子育て支援」について特に力を入れるべき施策</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24</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172</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rPr>
      </w:pPr>
      <w:r>
        <w:rPr>
          <w:rFonts w:asciiTheme="minorEastAsia" w:hAnsiTheme="minorEastAsia" w:hint="eastAsia"/>
        </w:rPr>
        <w:tab/>
        <w:t>４．「南海トラフ地震対策の抜本強化・加速化」について特に力を</w:t>
      </w:r>
    </w:p>
    <w:p w:rsidR="009557F5" w:rsidRDefault="002D5054" w:rsidP="002D5054">
      <w:pPr>
        <w:tabs>
          <w:tab w:val="left" w:pos="1005"/>
          <w:tab w:val="left" w:leader="middleDot" w:pos="7560"/>
          <w:tab w:val="right" w:pos="7980"/>
          <w:tab w:val="left" w:leader="middleDot" w:pos="8820"/>
          <w:tab w:val="right" w:pos="9345"/>
        </w:tabs>
        <w:spacing w:line="480" w:lineRule="exact"/>
        <w:ind w:leftChars="95" w:left="199"/>
        <w:rPr>
          <w:rFonts w:asciiTheme="minorEastAsia" w:hAnsiTheme="minorEastAsia"/>
          <w:sz w:val="24"/>
        </w:rPr>
      </w:pPr>
      <w:r>
        <w:rPr>
          <w:rFonts w:asciiTheme="minorEastAsia" w:hAnsiTheme="minorEastAsia" w:hint="eastAsia"/>
        </w:rPr>
        <w:tab/>
      </w:r>
      <w:r w:rsidR="009557F5">
        <w:rPr>
          <w:rFonts w:asciiTheme="minorEastAsia" w:hAnsiTheme="minorEastAsia" w:hint="eastAsia"/>
        </w:rPr>
        <w:t>入れるべき施策</w:t>
      </w:r>
      <w:r w:rsidR="009557F5">
        <w:rPr>
          <w:rFonts w:asciiTheme="minorEastAsia" w:hAnsiTheme="minorEastAsia" w:hint="eastAsia"/>
        </w:rPr>
        <w:tab/>
      </w:r>
      <w:r w:rsidR="009557F5">
        <w:rPr>
          <w:rFonts w:asciiTheme="minorEastAsia" w:hAnsiTheme="minorEastAsia" w:hint="eastAsia"/>
        </w:rPr>
        <w:tab/>
      </w:r>
      <w:r w:rsidR="009557F5">
        <w:rPr>
          <w:rFonts w:asciiTheme="minorEastAsia" w:hAnsiTheme="minorEastAsia" w:hint="eastAsia"/>
          <w:sz w:val="24"/>
        </w:rPr>
        <w:t>28</w:t>
      </w:r>
      <w:r w:rsidR="009557F5">
        <w:rPr>
          <w:rFonts w:asciiTheme="minorEastAsia" w:hAnsiTheme="minorEastAsia" w:hint="eastAsia"/>
        </w:rPr>
        <w:tab/>
      </w:r>
      <w:r w:rsidR="009557F5">
        <w:rPr>
          <w:rFonts w:asciiTheme="minorEastAsia" w:hAnsiTheme="minorEastAsia" w:hint="eastAsia"/>
        </w:rPr>
        <w:tab/>
      </w:r>
      <w:r w:rsidR="009557F5">
        <w:rPr>
          <w:rFonts w:asciiTheme="minorEastAsia" w:hAnsiTheme="minorEastAsia" w:hint="eastAsia"/>
          <w:sz w:val="24"/>
        </w:rPr>
        <w:t>174</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５．「インフラの充実と有効活用」について特に力を入れるべき施策</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32</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176</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６．「中山間対策の充実・強化」について特に力を入れるべき施策</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36</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177</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rPr>
      </w:pPr>
      <w:r>
        <w:rPr>
          <w:rFonts w:asciiTheme="minorEastAsia" w:hAnsiTheme="minorEastAsia" w:hint="eastAsia"/>
        </w:rPr>
        <w:tab/>
        <w:t>７．「少子化対策の充実・強化と女性の活躍の場の拡大」について</w:t>
      </w:r>
    </w:p>
    <w:p w:rsidR="009557F5" w:rsidRDefault="009557F5" w:rsidP="002D5054">
      <w:pPr>
        <w:tabs>
          <w:tab w:val="left" w:pos="483"/>
          <w:tab w:val="left" w:leader="middleDot" w:pos="7560"/>
          <w:tab w:val="right" w:pos="7980"/>
          <w:tab w:val="left" w:leader="middleDot" w:pos="8820"/>
          <w:tab w:val="right" w:pos="9345"/>
        </w:tabs>
        <w:spacing w:line="480" w:lineRule="exact"/>
        <w:ind w:leftChars="95" w:left="199" w:firstLineChars="400" w:firstLine="840"/>
        <w:rPr>
          <w:rFonts w:asciiTheme="minorEastAsia" w:hAnsiTheme="minorEastAsia"/>
          <w:sz w:val="24"/>
        </w:rPr>
      </w:pPr>
      <w:r>
        <w:rPr>
          <w:rFonts w:asciiTheme="minorEastAsia" w:hAnsiTheme="minorEastAsia" w:hint="eastAsia"/>
        </w:rPr>
        <w:t>特に力を入れるべき施策</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40</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178</w:t>
      </w:r>
    </w:p>
    <w:p w:rsidR="009557F5" w:rsidRDefault="009557F5" w:rsidP="008672A1">
      <w:pPr>
        <w:tabs>
          <w:tab w:val="left" w:pos="900"/>
          <w:tab w:val="left" w:leader="middleDot" w:pos="7560"/>
          <w:tab w:val="right" w:pos="7980"/>
          <w:tab w:val="left" w:leader="middleDot" w:pos="8820"/>
          <w:tab w:val="right" w:pos="9345"/>
        </w:tabs>
        <w:spacing w:line="480" w:lineRule="exact"/>
        <w:ind w:leftChars="95" w:left="199" w:firstLineChars="150" w:firstLine="315"/>
        <w:rPr>
          <w:rFonts w:asciiTheme="minorEastAsia" w:hAnsiTheme="minorEastAsia"/>
          <w:sz w:val="24"/>
        </w:rPr>
      </w:pPr>
      <w:r>
        <w:rPr>
          <w:rFonts w:asciiTheme="minorEastAsia" w:hAnsiTheme="minorEastAsia" w:hint="eastAsia"/>
        </w:rPr>
        <w:t>８．文化芸術の振興について特に力を入れるべき施策</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44</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179</w:t>
      </w:r>
    </w:p>
    <w:p w:rsidR="009557F5" w:rsidRDefault="009557F5" w:rsidP="008672A1">
      <w:pPr>
        <w:tabs>
          <w:tab w:val="left" w:pos="900"/>
          <w:tab w:val="left" w:leader="middleDot" w:pos="7560"/>
          <w:tab w:val="right" w:pos="7980"/>
          <w:tab w:val="left" w:leader="middleDot" w:pos="8820"/>
          <w:tab w:val="right" w:pos="9345"/>
        </w:tabs>
        <w:spacing w:line="480" w:lineRule="exact"/>
        <w:ind w:leftChars="95" w:left="199" w:firstLineChars="150" w:firstLine="315"/>
        <w:rPr>
          <w:rFonts w:asciiTheme="minorEastAsia" w:hAnsiTheme="minorEastAsia"/>
          <w:sz w:val="24"/>
        </w:rPr>
      </w:pPr>
      <w:r>
        <w:rPr>
          <w:rFonts w:asciiTheme="minorEastAsia" w:hAnsiTheme="minorEastAsia" w:hint="eastAsia"/>
        </w:rPr>
        <w:t>９．スポーツの振興について特に力を入れるべき施策</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47</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180</w:t>
      </w:r>
    </w:p>
    <w:p w:rsidR="009557F5" w:rsidRDefault="008672A1" w:rsidP="009557F5">
      <w:pPr>
        <w:tabs>
          <w:tab w:val="left" w:pos="480"/>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 xml:space="preserve"> </w:t>
      </w:r>
      <w:r w:rsidR="009557F5">
        <w:rPr>
          <w:rFonts w:asciiTheme="minorEastAsia" w:hAnsiTheme="minorEastAsia" w:hint="eastAsia"/>
        </w:rPr>
        <w:t>10．８つの政策のうち、より一層力を入れて取り組むべきもの</w:t>
      </w:r>
      <w:r w:rsidR="009557F5">
        <w:rPr>
          <w:rFonts w:asciiTheme="minorEastAsia" w:hAnsiTheme="minorEastAsia" w:hint="eastAsia"/>
        </w:rPr>
        <w:tab/>
      </w:r>
      <w:r w:rsidR="009557F5">
        <w:rPr>
          <w:rFonts w:asciiTheme="minorEastAsia" w:hAnsiTheme="minorEastAsia" w:hint="eastAsia"/>
        </w:rPr>
        <w:tab/>
      </w:r>
      <w:r w:rsidR="009557F5">
        <w:rPr>
          <w:rFonts w:asciiTheme="minorEastAsia" w:hAnsiTheme="minorEastAsia" w:hint="eastAsia"/>
          <w:sz w:val="24"/>
        </w:rPr>
        <w:t>50</w:t>
      </w:r>
      <w:r w:rsidR="009557F5">
        <w:rPr>
          <w:rFonts w:asciiTheme="minorEastAsia" w:hAnsiTheme="minorEastAsia" w:hint="eastAsia"/>
        </w:rPr>
        <w:tab/>
      </w:r>
      <w:r w:rsidR="009557F5">
        <w:rPr>
          <w:rFonts w:asciiTheme="minorEastAsia" w:hAnsiTheme="minorEastAsia" w:hint="eastAsia"/>
        </w:rPr>
        <w:tab/>
      </w:r>
      <w:r w:rsidR="009557F5">
        <w:rPr>
          <w:rFonts w:asciiTheme="minorEastAsia" w:hAnsiTheme="minorEastAsia" w:hint="eastAsia"/>
          <w:sz w:val="24"/>
        </w:rPr>
        <w:t>181</w:t>
      </w:r>
    </w:p>
    <w:p w:rsidR="009557F5" w:rsidRDefault="009557F5" w:rsidP="008672A1">
      <w:pPr>
        <w:tabs>
          <w:tab w:val="left" w:pos="480"/>
          <w:tab w:val="left" w:leader="middleDot" w:pos="7560"/>
          <w:tab w:val="right" w:pos="7980"/>
          <w:tab w:val="left" w:leader="middleDot" w:pos="8820"/>
          <w:tab w:val="right" w:pos="9345"/>
        </w:tabs>
        <w:spacing w:line="480" w:lineRule="exact"/>
        <w:ind w:leftChars="95" w:left="199" w:firstLineChars="150" w:firstLine="315"/>
        <w:rPr>
          <w:rFonts w:asciiTheme="minorEastAsia" w:hAnsiTheme="minorEastAsia"/>
          <w:sz w:val="24"/>
        </w:rPr>
      </w:pPr>
      <w:r>
        <w:rPr>
          <w:rFonts w:asciiTheme="minorEastAsia" w:hAnsiTheme="minorEastAsia" w:hint="eastAsia"/>
        </w:rPr>
        <w:t>11．８つの政策以外に力を入れて取り組むべきもの</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244</w:t>
      </w:r>
    </w:p>
    <w:p w:rsidR="009557F5" w:rsidRDefault="009557F5" w:rsidP="008672A1">
      <w:pPr>
        <w:tabs>
          <w:tab w:val="left" w:pos="284"/>
          <w:tab w:val="left" w:pos="795"/>
          <w:tab w:val="left" w:leader="middleDot" w:pos="7560"/>
          <w:tab w:val="right" w:pos="7980"/>
          <w:tab w:val="left" w:leader="middleDot" w:pos="8820"/>
          <w:tab w:val="right" w:pos="9345"/>
        </w:tabs>
        <w:spacing w:line="480" w:lineRule="exact"/>
        <w:ind w:leftChars="95" w:left="199"/>
        <w:rPr>
          <w:rFonts w:asciiTheme="minorEastAsia" w:hAnsiTheme="minorEastAsia"/>
          <w:sz w:val="24"/>
        </w:rPr>
      </w:pPr>
      <w:r>
        <w:rPr>
          <w:rFonts w:asciiTheme="minorEastAsia" w:hAnsiTheme="minorEastAsia" w:hint="eastAsia"/>
          <w:sz w:val="24"/>
        </w:rPr>
        <w:t>〔２〕南海トラフ地震対策について</w:t>
      </w:r>
    </w:p>
    <w:p w:rsidR="009557F5" w:rsidRDefault="009557F5" w:rsidP="008672A1">
      <w:pPr>
        <w:tabs>
          <w:tab w:val="left" w:pos="284"/>
          <w:tab w:val="left" w:pos="795"/>
          <w:tab w:val="left" w:leader="middleDot" w:pos="7560"/>
          <w:tab w:val="right" w:pos="7980"/>
          <w:tab w:val="left" w:leader="middleDot" w:pos="8820"/>
          <w:tab w:val="right" w:pos="9345"/>
        </w:tabs>
        <w:spacing w:line="480" w:lineRule="exact"/>
        <w:ind w:leftChars="95" w:left="199" w:firstLineChars="100" w:firstLine="210"/>
        <w:rPr>
          <w:rFonts w:asciiTheme="minorEastAsia" w:hAnsiTheme="minorEastAsia"/>
          <w:sz w:val="24"/>
        </w:rPr>
      </w:pPr>
      <w:r>
        <w:rPr>
          <w:rFonts w:asciiTheme="minorEastAsia" w:hAnsiTheme="minorEastAsia" w:hint="eastAsia"/>
        </w:rPr>
        <w:t>【南海トラフ地震対策】</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12．津波での浸水が予測される地域かどうか</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54</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182</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13．いつ避難をするか</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56</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183</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14．自宅における家具や家電などの固定状況</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59</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185</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15．避難所の開設や運営に関わろうと思うか</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61</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186</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16．食料の備蓄について</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63</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187</w:t>
      </w:r>
    </w:p>
    <w:p w:rsidR="009557F5" w:rsidRDefault="009557F5" w:rsidP="009557F5">
      <w:pPr>
        <w:tabs>
          <w:tab w:val="left" w:pos="480"/>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17．飲料水の備蓄について</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65</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188</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rPr>
      </w:pPr>
      <w:r>
        <w:rPr>
          <w:rFonts w:asciiTheme="minorEastAsia" w:hAnsiTheme="minorEastAsia" w:hint="eastAsia"/>
        </w:rPr>
        <w:lastRenderedPageBreak/>
        <w:tab/>
        <w:t>18．防災訓練の活動への参加状況</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67</w:t>
      </w:r>
      <w:r>
        <w:rPr>
          <w:rFonts w:asciiTheme="minorEastAsia" w:hAnsiTheme="minorEastAsia" w:hint="eastAsia"/>
        </w:rPr>
        <w:tab/>
      </w:r>
      <w:r>
        <w:rPr>
          <w:rFonts w:asciiTheme="minorEastAsia" w:hAnsiTheme="minorEastAsia" w:hint="eastAsia"/>
        </w:rPr>
        <w:tab/>
        <w:t>189</w:t>
      </w:r>
    </w:p>
    <w:p w:rsidR="009557F5" w:rsidRDefault="009557F5" w:rsidP="009557F5">
      <w:pPr>
        <w:tabs>
          <w:tab w:val="left" w:pos="480"/>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19．どうすれば防災訓練に参加する人が増えるか</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69</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190</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rPr>
      </w:pPr>
      <w:r>
        <w:rPr>
          <w:rFonts w:asciiTheme="minorEastAsia" w:hAnsiTheme="minorEastAsia" w:hint="eastAsia"/>
        </w:rPr>
        <w:tab/>
        <w:t>【住宅の耐震化】</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20．自宅の建築年と構造について</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72</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191</w:t>
      </w:r>
    </w:p>
    <w:p w:rsidR="009557F5" w:rsidRDefault="009557F5" w:rsidP="009557F5">
      <w:pPr>
        <w:tabs>
          <w:tab w:val="left" w:pos="690"/>
          <w:tab w:val="left" w:pos="796"/>
          <w:tab w:val="left" w:leader="middleDot" w:pos="7560"/>
          <w:tab w:val="right" w:pos="7980"/>
          <w:tab w:val="left" w:leader="middleDot" w:pos="8820"/>
          <w:tab w:val="right" w:pos="9345"/>
        </w:tabs>
        <w:spacing w:line="480" w:lineRule="exact"/>
        <w:ind w:left="420" w:firstLineChars="350" w:firstLine="735"/>
        <w:rPr>
          <w:rFonts w:asciiTheme="minorEastAsia" w:hAnsiTheme="minorEastAsia"/>
          <w:sz w:val="24"/>
        </w:rPr>
      </w:pPr>
      <w:r>
        <w:rPr>
          <w:rFonts w:asciiTheme="minorEastAsia" w:hAnsiTheme="minorEastAsia" w:hint="eastAsia"/>
        </w:rPr>
        <w:t>副問１　耐震診断の受診の有無及び結果について</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74</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192</w:t>
      </w:r>
    </w:p>
    <w:p w:rsidR="009557F5" w:rsidRDefault="009557F5" w:rsidP="009557F5">
      <w:pPr>
        <w:tabs>
          <w:tab w:val="left" w:pos="483"/>
          <w:tab w:val="left" w:pos="796"/>
          <w:tab w:val="left" w:leader="middleDot" w:pos="7560"/>
          <w:tab w:val="right" w:pos="7980"/>
          <w:tab w:val="left" w:leader="middleDot" w:pos="8820"/>
          <w:tab w:val="right" w:pos="9345"/>
        </w:tabs>
        <w:spacing w:line="480" w:lineRule="exact"/>
        <w:ind w:left="420" w:firstLineChars="350" w:firstLine="735"/>
        <w:rPr>
          <w:rFonts w:asciiTheme="minorEastAsia" w:hAnsiTheme="minorEastAsia"/>
          <w:sz w:val="24"/>
        </w:rPr>
      </w:pPr>
      <w:r>
        <w:rPr>
          <w:rFonts w:asciiTheme="minorEastAsia" w:hAnsiTheme="minorEastAsia" w:hint="eastAsia"/>
        </w:rPr>
        <w:t>副問２　耐震改修工事又は建て替えの実施状況</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76</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193</w:t>
      </w:r>
    </w:p>
    <w:p w:rsidR="009557F5" w:rsidRDefault="009557F5" w:rsidP="009557F5">
      <w:pPr>
        <w:tabs>
          <w:tab w:val="left" w:pos="483"/>
          <w:tab w:val="left" w:pos="796"/>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 xml:space="preserve">　　　 副問３　耐震診断を受けていない理由</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78</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194</w:t>
      </w:r>
    </w:p>
    <w:p w:rsidR="009557F5" w:rsidRDefault="009557F5" w:rsidP="009557F5">
      <w:pPr>
        <w:tabs>
          <w:tab w:val="left" w:pos="483"/>
          <w:tab w:val="left" w:pos="796"/>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 xml:space="preserve">　　　 副問４　耐震改修工事を行っていない理由</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81</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196</w:t>
      </w:r>
    </w:p>
    <w:p w:rsidR="009557F5" w:rsidRDefault="009557F5" w:rsidP="009557F5">
      <w:pPr>
        <w:tabs>
          <w:tab w:val="left" w:pos="483"/>
          <w:tab w:val="left" w:pos="796"/>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 xml:space="preserve">　　　 副問５　補助金が出ることを知っているか</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84</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197</w:t>
      </w:r>
    </w:p>
    <w:p w:rsidR="009557F5" w:rsidRDefault="009557F5" w:rsidP="009557F5">
      <w:pPr>
        <w:tabs>
          <w:tab w:val="left" w:pos="483"/>
          <w:tab w:val="left" w:leader="middleDot" w:pos="7560"/>
          <w:tab w:val="right" w:pos="7980"/>
          <w:tab w:val="left" w:leader="middleDot" w:pos="8820"/>
          <w:tab w:val="right" w:pos="9345"/>
        </w:tabs>
        <w:spacing w:line="480" w:lineRule="exact"/>
        <w:ind w:leftChars="95" w:left="199"/>
        <w:rPr>
          <w:rFonts w:asciiTheme="minorEastAsia" w:hAnsiTheme="minorEastAsia"/>
          <w:sz w:val="24"/>
        </w:rPr>
      </w:pPr>
      <w:r>
        <w:rPr>
          <w:rFonts w:asciiTheme="minorEastAsia" w:hAnsiTheme="minorEastAsia" w:hint="eastAsia"/>
        </w:rPr>
        <w:tab/>
        <w:t>21．耐震工事における自己負担額について</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86</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198</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 xml:space="preserve"> 22．県が市町村等と協力して特に力を入れるべき施策</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89</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200</w:t>
      </w:r>
    </w:p>
    <w:p w:rsidR="009557F5" w:rsidRDefault="009557F5" w:rsidP="009557F5">
      <w:pPr>
        <w:tabs>
          <w:tab w:val="left" w:pos="483"/>
          <w:tab w:val="left" w:leader="middleDot" w:pos="7560"/>
          <w:tab w:val="right" w:pos="7980"/>
          <w:tab w:val="left" w:leader="middleDot" w:pos="8820"/>
          <w:tab w:val="right" w:pos="9345"/>
        </w:tabs>
        <w:spacing w:line="480" w:lineRule="exact"/>
        <w:ind w:leftChars="95" w:left="199"/>
        <w:rPr>
          <w:rFonts w:asciiTheme="minorEastAsia" w:hAnsiTheme="minorEastAsia"/>
        </w:rPr>
      </w:pPr>
      <w:r>
        <w:rPr>
          <w:rFonts w:hint="eastAsia"/>
          <w:sz w:val="24"/>
        </w:rPr>
        <w:t>〔３〕在宅医療について</w:t>
      </w:r>
      <w:r>
        <w:rPr>
          <w:rFonts w:asciiTheme="minorEastAsia" w:hAnsiTheme="minorEastAsia" w:hint="eastAsia"/>
        </w:rPr>
        <w:t xml:space="preserve">　　</w:t>
      </w:r>
    </w:p>
    <w:p w:rsidR="009557F5" w:rsidRDefault="009557F5" w:rsidP="009557F5">
      <w:pPr>
        <w:tabs>
          <w:tab w:val="left" w:leader="middleDot" w:pos="7560"/>
          <w:tab w:val="right" w:pos="7980"/>
          <w:tab w:val="left" w:leader="middleDot" w:pos="8820"/>
          <w:tab w:val="right" w:pos="9345"/>
        </w:tabs>
        <w:spacing w:line="480" w:lineRule="exact"/>
        <w:ind w:leftChars="95" w:left="199" w:firstLineChars="150" w:firstLine="315"/>
        <w:rPr>
          <w:rFonts w:asciiTheme="minorEastAsia" w:hAnsiTheme="minorEastAsia"/>
          <w:sz w:val="24"/>
        </w:rPr>
      </w:pPr>
      <w:r>
        <w:rPr>
          <w:rFonts w:asciiTheme="minorEastAsia" w:hAnsiTheme="minorEastAsia" w:hint="eastAsia"/>
        </w:rPr>
        <w:t>23．かかりつけ医の有無</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93</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202</w:t>
      </w:r>
    </w:p>
    <w:p w:rsidR="009557F5" w:rsidRDefault="009557F5" w:rsidP="009557F5">
      <w:pPr>
        <w:tabs>
          <w:tab w:val="left" w:leader="middleDot" w:pos="7560"/>
          <w:tab w:val="right" w:pos="7980"/>
          <w:tab w:val="left" w:leader="middleDot" w:pos="8820"/>
          <w:tab w:val="right" w:pos="9345"/>
        </w:tabs>
        <w:spacing w:line="480" w:lineRule="exact"/>
        <w:ind w:leftChars="95" w:left="199" w:firstLineChars="150" w:firstLine="315"/>
        <w:rPr>
          <w:rFonts w:asciiTheme="minorEastAsia" w:hAnsiTheme="minorEastAsia"/>
          <w:sz w:val="24"/>
        </w:rPr>
      </w:pPr>
      <w:r>
        <w:rPr>
          <w:rFonts w:asciiTheme="minorEastAsia" w:hAnsiTheme="minorEastAsia" w:hint="eastAsia"/>
        </w:rPr>
        <w:t>24．長期の治療が必要になった場合の医療の選択</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95</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203</w:t>
      </w:r>
    </w:p>
    <w:p w:rsidR="009557F5" w:rsidRDefault="009557F5" w:rsidP="009557F5">
      <w:pPr>
        <w:tabs>
          <w:tab w:val="left" w:pos="690"/>
          <w:tab w:val="left" w:pos="796"/>
          <w:tab w:val="left" w:leader="middleDot" w:pos="7560"/>
          <w:tab w:val="right" w:pos="7980"/>
          <w:tab w:val="left" w:leader="middleDot" w:pos="8820"/>
          <w:tab w:val="right" w:pos="9345"/>
        </w:tabs>
        <w:spacing w:line="480" w:lineRule="exact"/>
        <w:ind w:leftChars="95" w:left="199" w:firstLineChars="150" w:firstLine="315"/>
        <w:rPr>
          <w:rFonts w:asciiTheme="minorEastAsia" w:hAnsiTheme="minorEastAsia"/>
          <w:sz w:val="24"/>
        </w:rPr>
      </w:pPr>
      <w:r>
        <w:rPr>
          <w:rFonts w:asciiTheme="minorEastAsia" w:hAnsiTheme="minorEastAsia" w:hint="eastAsia"/>
        </w:rPr>
        <w:t>25．在宅医療を選択するための条件や環境</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98</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205</w:t>
      </w:r>
    </w:p>
    <w:p w:rsidR="009557F5" w:rsidRDefault="009557F5" w:rsidP="009557F5">
      <w:pPr>
        <w:tabs>
          <w:tab w:val="left" w:pos="690"/>
          <w:tab w:val="left" w:pos="796"/>
          <w:tab w:val="left" w:leader="middleDot" w:pos="7560"/>
          <w:tab w:val="right" w:pos="7980"/>
          <w:tab w:val="left" w:leader="middleDot" w:pos="8820"/>
          <w:tab w:val="right" w:pos="9345"/>
        </w:tabs>
        <w:spacing w:line="480" w:lineRule="exact"/>
        <w:ind w:leftChars="100" w:left="210" w:firstLineChars="150" w:firstLine="315"/>
        <w:rPr>
          <w:rFonts w:asciiTheme="minorEastAsia" w:hAnsiTheme="minorEastAsia"/>
          <w:sz w:val="24"/>
        </w:rPr>
      </w:pPr>
      <w:r>
        <w:rPr>
          <w:rFonts w:asciiTheme="minorEastAsia" w:hAnsiTheme="minorEastAsia" w:hint="eastAsia"/>
        </w:rPr>
        <w:t>26．在宅医療を選択する場合の相談先</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102</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207</w:t>
      </w:r>
    </w:p>
    <w:p w:rsidR="009557F5" w:rsidRDefault="009557F5" w:rsidP="009557F5">
      <w:pPr>
        <w:tabs>
          <w:tab w:val="left" w:pos="270"/>
          <w:tab w:val="left" w:leader="middleDot" w:pos="7560"/>
          <w:tab w:val="right" w:pos="7980"/>
          <w:tab w:val="left" w:leader="middleDot" w:pos="8820"/>
          <w:tab w:val="right" w:pos="9345"/>
        </w:tabs>
        <w:spacing w:line="480" w:lineRule="exact"/>
        <w:ind w:leftChars="95" w:left="199"/>
        <w:rPr>
          <w:rFonts w:asciiTheme="minorEastAsia" w:hAnsiTheme="minorEastAsia"/>
        </w:rPr>
      </w:pPr>
      <w:r>
        <w:rPr>
          <w:rFonts w:asciiTheme="minorEastAsia" w:hAnsiTheme="minorEastAsia" w:hint="eastAsia"/>
          <w:sz w:val="24"/>
        </w:rPr>
        <w:t>〔４〕飲酒と健康について</w:t>
      </w:r>
    </w:p>
    <w:p w:rsidR="009557F5" w:rsidRDefault="009557F5" w:rsidP="009557F5">
      <w:pPr>
        <w:tabs>
          <w:tab w:val="left" w:pos="795"/>
          <w:tab w:val="left" w:leader="middleDot" w:pos="7560"/>
          <w:tab w:val="right" w:pos="7980"/>
          <w:tab w:val="left" w:leader="middleDot" w:pos="8820"/>
          <w:tab w:val="right" w:pos="9345"/>
        </w:tabs>
        <w:spacing w:line="480" w:lineRule="exact"/>
        <w:ind w:leftChars="250" w:left="630" w:hangingChars="50" w:hanging="105"/>
        <w:rPr>
          <w:rFonts w:asciiTheme="minorEastAsia" w:hAnsiTheme="minorEastAsia"/>
          <w:sz w:val="24"/>
        </w:rPr>
      </w:pPr>
      <w:r>
        <w:rPr>
          <w:rFonts w:asciiTheme="minorEastAsia" w:hAnsiTheme="minorEastAsia" w:hint="eastAsia"/>
        </w:rPr>
        <w:t>27. 飲酒の頻度</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105</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208</w:t>
      </w:r>
      <w:r>
        <w:rPr>
          <w:rFonts w:asciiTheme="minorEastAsia" w:hAnsiTheme="minorEastAsia" w:hint="eastAsia"/>
        </w:rPr>
        <w:tab/>
        <w:t>副問１　飲酒の理由</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107</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210</w:t>
      </w:r>
    </w:p>
    <w:p w:rsidR="009557F5" w:rsidRDefault="009557F5" w:rsidP="009557F5">
      <w:pPr>
        <w:tabs>
          <w:tab w:val="left" w:pos="795"/>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副問２　飲酒時の心がけについて</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111</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214</w:t>
      </w:r>
    </w:p>
    <w:p w:rsidR="009557F5" w:rsidRDefault="009557F5" w:rsidP="009557F5">
      <w:pPr>
        <w:tabs>
          <w:tab w:val="left" w:pos="795"/>
          <w:tab w:val="left" w:leader="middleDot" w:pos="7560"/>
          <w:tab w:val="right" w:pos="7980"/>
          <w:tab w:val="left" w:leader="middleDot" w:pos="8820"/>
          <w:tab w:val="right" w:pos="9345"/>
        </w:tabs>
        <w:spacing w:line="480" w:lineRule="exact"/>
        <w:ind w:leftChars="95" w:left="199" w:firstLineChars="150" w:firstLine="315"/>
        <w:rPr>
          <w:rFonts w:asciiTheme="minorEastAsia" w:hAnsiTheme="minorEastAsia"/>
          <w:sz w:val="24"/>
        </w:rPr>
      </w:pPr>
      <w:r>
        <w:rPr>
          <w:rFonts w:asciiTheme="minorEastAsia" w:hAnsiTheme="minorEastAsia" w:hint="eastAsia"/>
        </w:rPr>
        <w:t>28.</w:t>
      </w:r>
      <w:r>
        <w:rPr>
          <w:rFonts w:hint="eastAsia"/>
        </w:rPr>
        <w:t xml:space="preserve"> </w:t>
      </w:r>
      <w:r>
        <w:rPr>
          <w:rFonts w:asciiTheme="minorEastAsia" w:hAnsiTheme="minorEastAsia" w:hint="eastAsia"/>
        </w:rPr>
        <w:t>アルコールが体に及ぼす影響についての知識の有無</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115</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217</w:t>
      </w:r>
    </w:p>
    <w:p w:rsidR="009557F5" w:rsidRDefault="009557F5" w:rsidP="009557F5">
      <w:pPr>
        <w:tabs>
          <w:tab w:val="left" w:pos="795"/>
          <w:tab w:val="left" w:leader="middleDot" w:pos="7560"/>
          <w:tab w:val="right" w:pos="7980"/>
          <w:tab w:val="left" w:leader="middleDot" w:pos="8820"/>
          <w:tab w:val="right" w:pos="9345"/>
        </w:tabs>
        <w:spacing w:line="480" w:lineRule="exact"/>
        <w:ind w:leftChars="95" w:left="199" w:firstLineChars="150" w:firstLine="315"/>
        <w:rPr>
          <w:rFonts w:asciiTheme="minorEastAsia" w:hAnsiTheme="minorEastAsia"/>
          <w:sz w:val="24"/>
        </w:rPr>
      </w:pPr>
      <w:r>
        <w:rPr>
          <w:rFonts w:asciiTheme="minorEastAsia" w:hAnsiTheme="minorEastAsia" w:hint="eastAsia"/>
        </w:rPr>
        <w:t>29.</w:t>
      </w:r>
      <w:r>
        <w:rPr>
          <w:rFonts w:hint="eastAsia"/>
        </w:rPr>
        <w:t xml:space="preserve"> </w:t>
      </w:r>
      <w:r>
        <w:rPr>
          <w:rFonts w:asciiTheme="minorEastAsia" w:hAnsiTheme="minorEastAsia" w:hint="eastAsia"/>
        </w:rPr>
        <w:t>不適切な飲酒により経験した事象</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119</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220</w:t>
      </w:r>
    </w:p>
    <w:p w:rsidR="009557F5" w:rsidRDefault="009557F5" w:rsidP="009557F5">
      <w:pPr>
        <w:tabs>
          <w:tab w:val="left" w:pos="795"/>
          <w:tab w:val="left" w:leader="middleDot" w:pos="7560"/>
          <w:tab w:val="right" w:pos="7980"/>
          <w:tab w:val="left" w:leader="middleDot" w:pos="8820"/>
          <w:tab w:val="right" w:pos="9345"/>
        </w:tabs>
        <w:spacing w:line="480" w:lineRule="exact"/>
        <w:ind w:leftChars="95" w:left="199" w:firstLineChars="150" w:firstLine="315"/>
        <w:rPr>
          <w:rFonts w:asciiTheme="minorEastAsia" w:hAnsiTheme="minorEastAsia"/>
          <w:sz w:val="24"/>
        </w:rPr>
      </w:pPr>
      <w:r>
        <w:rPr>
          <w:rFonts w:asciiTheme="minorEastAsia" w:hAnsiTheme="minorEastAsia" w:hint="eastAsia"/>
        </w:rPr>
        <w:t>30.</w:t>
      </w:r>
      <w:r>
        <w:rPr>
          <w:rFonts w:hint="eastAsia"/>
        </w:rPr>
        <w:t xml:space="preserve"> アルコール依存症についての知識の有無</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122</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222</w:t>
      </w:r>
    </w:p>
    <w:p w:rsidR="009557F5" w:rsidRDefault="009557F5" w:rsidP="009557F5">
      <w:pPr>
        <w:tabs>
          <w:tab w:val="left" w:pos="795"/>
          <w:tab w:val="left" w:leader="middleDot" w:pos="7560"/>
          <w:tab w:val="right" w:pos="7980"/>
          <w:tab w:val="left" w:leader="middleDot" w:pos="8820"/>
          <w:tab w:val="right" w:pos="9345"/>
        </w:tabs>
        <w:spacing w:line="480" w:lineRule="exact"/>
        <w:ind w:leftChars="95" w:left="199" w:firstLineChars="150" w:firstLine="315"/>
        <w:rPr>
          <w:rFonts w:asciiTheme="minorEastAsia" w:hAnsiTheme="minorEastAsia"/>
          <w:sz w:val="24"/>
        </w:rPr>
      </w:pPr>
      <w:r>
        <w:rPr>
          <w:rFonts w:asciiTheme="minorEastAsia" w:hAnsiTheme="minorEastAsia" w:hint="eastAsia"/>
        </w:rPr>
        <w:t>31．相談窓口を知っていれば相談するか</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125</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224</w:t>
      </w:r>
    </w:p>
    <w:p w:rsidR="009557F5" w:rsidRDefault="009557F5" w:rsidP="009557F5">
      <w:pPr>
        <w:tabs>
          <w:tab w:val="left" w:pos="795"/>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副問１　相談しない理由</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128</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226</w:t>
      </w:r>
    </w:p>
    <w:p w:rsidR="009557F5" w:rsidRDefault="009557F5" w:rsidP="009557F5">
      <w:pPr>
        <w:tabs>
          <w:tab w:val="left" w:pos="795"/>
          <w:tab w:val="left" w:leader="middleDot" w:pos="7560"/>
          <w:tab w:val="right" w:pos="7980"/>
          <w:tab w:val="left" w:leader="middleDot" w:pos="8820"/>
          <w:tab w:val="right" w:pos="9345"/>
        </w:tabs>
        <w:spacing w:line="480" w:lineRule="exact"/>
        <w:ind w:leftChars="100" w:left="210"/>
        <w:rPr>
          <w:rFonts w:asciiTheme="minorEastAsia" w:hAnsiTheme="minorEastAsia"/>
          <w:sz w:val="24"/>
        </w:rPr>
      </w:pPr>
      <w:r>
        <w:rPr>
          <w:rFonts w:asciiTheme="minorEastAsia" w:hAnsiTheme="minorEastAsia" w:hint="eastAsia"/>
          <w:sz w:val="24"/>
        </w:rPr>
        <w:t>〔５〕子どものスポーツ振興施策について</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32．スポーツに取り組むきっかけ</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131</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227</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33．スポーツに親しむための有効な取組</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133</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228</w:t>
      </w:r>
    </w:p>
    <w:p w:rsidR="009557F5" w:rsidRDefault="009557F5" w:rsidP="009557F5">
      <w:pPr>
        <w:tabs>
          <w:tab w:val="left" w:pos="795"/>
          <w:tab w:val="left" w:leader="middleDot" w:pos="7560"/>
          <w:tab w:val="right" w:pos="7980"/>
          <w:tab w:val="left" w:leader="middleDot" w:pos="8820"/>
          <w:tab w:val="right" w:pos="9345"/>
        </w:tabs>
        <w:spacing w:line="480" w:lineRule="exact"/>
        <w:ind w:leftChars="100" w:left="210"/>
        <w:rPr>
          <w:rFonts w:asciiTheme="minorEastAsia" w:hAnsiTheme="minorEastAsia"/>
        </w:rPr>
      </w:pPr>
      <w:r>
        <w:rPr>
          <w:rFonts w:asciiTheme="minorEastAsia" w:hAnsiTheme="minorEastAsia" w:hint="eastAsia"/>
          <w:sz w:val="24"/>
        </w:rPr>
        <w:t>〔６〕第３期産業振興計画ver.２について</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34．高知県内での若者の就職数を増やすために力を入れるべきこと</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135</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229</w:t>
      </w:r>
    </w:p>
    <w:p w:rsidR="009557F5" w:rsidRDefault="009557F5" w:rsidP="00E937BB">
      <w:pPr>
        <w:tabs>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lastRenderedPageBreak/>
        <w:t>35．</w:t>
      </w:r>
      <w:r>
        <w:rPr>
          <w:rFonts w:hint="eastAsia"/>
        </w:rPr>
        <w:t>高知県への移住者を増やすために力を入れていくべき取組</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138</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230</w:t>
      </w:r>
    </w:p>
    <w:p w:rsidR="009557F5" w:rsidRDefault="009557F5" w:rsidP="009557F5">
      <w:pPr>
        <w:tabs>
          <w:tab w:val="left" w:pos="483"/>
          <w:tab w:val="left" w:leader="middleDot" w:pos="7560"/>
          <w:tab w:val="right" w:pos="7980"/>
          <w:tab w:val="left" w:leader="middleDot" w:pos="8820"/>
          <w:tab w:val="right" w:pos="9345"/>
        </w:tabs>
        <w:spacing w:line="480" w:lineRule="exact"/>
        <w:ind w:left="420"/>
        <w:rPr>
          <w:rFonts w:asciiTheme="minorEastAsia" w:hAnsiTheme="minorEastAsia"/>
        </w:rPr>
      </w:pPr>
      <w:r>
        <w:rPr>
          <w:rFonts w:asciiTheme="minorEastAsia" w:hAnsiTheme="minorEastAsia" w:hint="eastAsia"/>
        </w:rPr>
        <w:tab/>
      </w:r>
    </w:p>
    <w:p w:rsidR="009557F5" w:rsidRDefault="009557F5" w:rsidP="009557F5">
      <w:pPr>
        <w:tabs>
          <w:tab w:val="left" w:pos="795"/>
          <w:tab w:val="left" w:leader="middleDot" w:pos="7560"/>
          <w:tab w:val="right" w:pos="7980"/>
          <w:tab w:val="left" w:leader="middleDot" w:pos="8820"/>
          <w:tab w:val="right" w:pos="9345"/>
        </w:tabs>
        <w:spacing w:line="480" w:lineRule="exact"/>
        <w:ind w:leftChars="100" w:left="210"/>
        <w:rPr>
          <w:rFonts w:asciiTheme="minorEastAsia" w:hAnsiTheme="minorEastAsia"/>
        </w:rPr>
      </w:pPr>
      <w:r>
        <w:rPr>
          <w:rFonts w:asciiTheme="minorEastAsia" w:hAnsiTheme="minorEastAsia" w:hint="eastAsia"/>
          <w:sz w:val="24"/>
        </w:rPr>
        <w:t>〔７〕県の広報について</w:t>
      </w:r>
    </w:p>
    <w:p w:rsidR="009557F5" w:rsidRDefault="009557F5" w:rsidP="00187409">
      <w:pPr>
        <w:tabs>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36．県の行っている広報活動について知っているか</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141</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231</w:t>
      </w:r>
    </w:p>
    <w:p w:rsidR="009557F5" w:rsidRDefault="009557F5" w:rsidP="009557F5">
      <w:pPr>
        <w:tabs>
          <w:tab w:val="left" w:pos="796"/>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副問１　県広報紙「さんSUN高知」をどの程度読んでいるか</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144</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232</w:t>
      </w:r>
    </w:p>
    <w:p w:rsidR="009557F5" w:rsidRDefault="009557F5" w:rsidP="009557F5">
      <w:pPr>
        <w:tabs>
          <w:tab w:val="left" w:pos="796"/>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副問２　県広報紙「さんSUN高知」で必ず読む記事</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146</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233</w:t>
      </w:r>
    </w:p>
    <w:p w:rsidR="009557F5" w:rsidRDefault="009557F5" w:rsidP="009557F5">
      <w:pPr>
        <w:tabs>
          <w:tab w:val="left" w:pos="796"/>
          <w:tab w:val="left" w:leader="middleDot" w:pos="7560"/>
          <w:tab w:val="right" w:pos="7980"/>
          <w:tab w:val="left" w:leader="middleDot" w:pos="8820"/>
          <w:tab w:val="right" w:pos="9345"/>
        </w:tabs>
        <w:spacing w:line="480" w:lineRule="exact"/>
        <w:ind w:left="420"/>
        <w:rPr>
          <w:rFonts w:asciiTheme="minorEastAsia" w:hAnsiTheme="minorEastAsia"/>
        </w:rPr>
      </w:pPr>
      <w:r>
        <w:rPr>
          <w:rFonts w:asciiTheme="minorEastAsia" w:hAnsiTheme="minorEastAsia" w:hint="eastAsia"/>
        </w:rPr>
        <w:tab/>
        <w:t>副問３　県広報紙「さんSUN高知」の紙面を</w:t>
      </w:r>
    </w:p>
    <w:p w:rsidR="009557F5" w:rsidRDefault="009557F5" w:rsidP="009557F5">
      <w:pPr>
        <w:tabs>
          <w:tab w:val="left" w:pos="796"/>
          <w:tab w:val="left" w:leader="middleDot" w:pos="7560"/>
          <w:tab w:val="right" w:pos="7980"/>
          <w:tab w:val="left" w:leader="middleDot" w:pos="8820"/>
          <w:tab w:val="right" w:pos="9345"/>
        </w:tabs>
        <w:spacing w:line="480" w:lineRule="exact"/>
        <w:ind w:left="420" w:firstLineChars="675" w:firstLine="1418"/>
        <w:rPr>
          <w:rFonts w:asciiTheme="minorEastAsia" w:hAnsiTheme="minorEastAsia"/>
          <w:sz w:val="24"/>
        </w:rPr>
      </w:pPr>
      <w:r>
        <w:rPr>
          <w:rFonts w:asciiTheme="minorEastAsia" w:hAnsiTheme="minorEastAsia" w:hint="eastAsia"/>
        </w:rPr>
        <w:t>魅力的で分かりやすくするためにするべきこと</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149</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234</w:t>
      </w:r>
    </w:p>
    <w:p w:rsidR="009557F5" w:rsidRDefault="009557F5" w:rsidP="009557F5">
      <w:pPr>
        <w:tabs>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37．県広報紙「さんSUN高知」で取り上げるべき内容</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152</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236</w:t>
      </w:r>
    </w:p>
    <w:p w:rsidR="009557F5" w:rsidRDefault="009557F5" w:rsidP="009557F5">
      <w:pPr>
        <w:tabs>
          <w:tab w:val="left" w:pos="483"/>
          <w:tab w:val="left" w:leader="middleDot" w:pos="7560"/>
          <w:tab w:val="right" w:pos="7980"/>
          <w:tab w:val="left" w:leader="middleDot" w:pos="8820"/>
          <w:tab w:val="right" w:pos="9345"/>
        </w:tabs>
        <w:spacing w:line="480" w:lineRule="exact"/>
        <w:ind w:leftChars="95" w:left="199"/>
        <w:rPr>
          <w:rFonts w:asciiTheme="minorEastAsia" w:hAnsiTheme="minorEastAsia"/>
        </w:rPr>
      </w:pPr>
      <w:r>
        <w:rPr>
          <w:rFonts w:asciiTheme="minorEastAsia" w:hAnsiTheme="minorEastAsia" w:hint="eastAsia"/>
          <w:sz w:val="24"/>
        </w:rPr>
        <w:t>〔８〕幼児教育について</w:t>
      </w:r>
    </w:p>
    <w:p w:rsidR="009557F5" w:rsidRDefault="009557F5" w:rsidP="009557F5">
      <w:pPr>
        <w:tabs>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38．幼児教育について力を入れるべき取組</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155</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238</w:t>
      </w:r>
    </w:p>
    <w:p w:rsidR="009557F5" w:rsidRDefault="009557F5" w:rsidP="009557F5">
      <w:pPr>
        <w:tabs>
          <w:tab w:val="left" w:pos="483"/>
          <w:tab w:val="left" w:leader="middleDot" w:pos="7560"/>
          <w:tab w:val="right" w:pos="7980"/>
          <w:tab w:val="left" w:leader="middleDot" w:pos="8820"/>
          <w:tab w:val="right" w:pos="9345"/>
        </w:tabs>
        <w:spacing w:line="480" w:lineRule="exact"/>
        <w:ind w:leftChars="0" w:left="0" w:firstLineChars="200" w:firstLine="420"/>
        <w:rPr>
          <w:rFonts w:asciiTheme="minorEastAsia" w:hAnsiTheme="minorEastAsia"/>
          <w:sz w:val="24"/>
        </w:rPr>
      </w:pPr>
      <w:r>
        <w:rPr>
          <w:rFonts w:asciiTheme="minorEastAsia" w:hAnsiTheme="minorEastAsia" w:hint="eastAsia"/>
        </w:rPr>
        <w:t>39．家庭の果たす重要な役割についての施策</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159</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240</w:t>
      </w:r>
    </w:p>
    <w:p w:rsidR="009557F5" w:rsidRDefault="009557F5" w:rsidP="009557F5">
      <w:pPr>
        <w:tabs>
          <w:tab w:val="left" w:leader="middleDot" w:pos="7560"/>
          <w:tab w:val="right" w:pos="7980"/>
          <w:tab w:val="left" w:leader="middleDot" w:pos="8820"/>
          <w:tab w:val="right" w:pos="9345"/>
        </w:tabs>
        <w:spacing w:line="480" w:lineRule="exact"/>
        <w:ind w:leftChars="0" w:left="0" w:firstLineChars="200" w:firstLine="420"/>
        <w:rPr>
          <w:rFonts w:asciiTheme="minorEastAsia" w:hAnsiTheme="minorEastAsia"/>
          <w:sz w:val="24"/>
        </w:rPr>
      </w:pPr>
      <w:r>
        <w:rPr>
          <w:rFonts w:asciiTheme="minorEastAsia" w:hAnsiTheme="minorEastAsia" w:hint="eastAsia"/>
        </w:rPr>
        <w:t>40．現在の家庭の役割について十分か</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162</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241</w:t>
      </w:r>
    </w:p>
    <w:p w:rsidR="009557F5" w:rsidRDefault="009557F5" w:rsidP="009557F5">
      <w:pPr>
        <w:tabs>
          <w:tab w:val="left" w:pos="796"/>
          <w:tab w:val="left" w:leader="middleDot" w:pos="7560"/>
          <w:tab w:val="right" w:pos="7980"/>
          <w:tab w:val="left" w:leader="middleDot" w:pos="8820"/>
          <w:tab w:val="right" w:pos="9345"/>
        </w:tabs>
        <w:spacing w:line="480" w:lineRule="exact"/>
        <w:ind w:left="420"/>
        <w:rPr>
          <w:rFonts w:asciiTheme="minorEastAsia" w:hAnsiTheme="minorEastAsia"/>
          <w:sz w:val="24"/>
        </w:rPr>
      </w:pPr>
      <w:r>
        <w:rPr>
          <w:rFonts w:asciiTheme="minorEastAsia" w:hAnsiTheme="minorEastAsia" w:hint="eastAsia"/>
        </w:rPr>
        <w:tab/>
        <w:t>副問１　家庭の役割ができていない要因</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164</w:t>
      </w:r>
      <w:r>
        <w:rPr>
          <w:rFonts w:asciiTheme="minorEastAsia" w:hAnsiTheme="minorEastAsia" w:hint="eastAsia"/>
        </w:rPr>
        <w:tab/>
      </w:r>
      <w:r>
        <w:rPr>
          <w:rFonts w:asciiTheme="minorEastAsia" w:hAnsiTheme="minorEastAsia" w:hint="eastAsia"/>
        </w:rPr>
        <w:tab/>
      </w:r>
      <w:r>
        <w:rPr>
          <w:rFonts w:asciiTheme="minorEastAsia" w:hAnsiTheme="minorEastAsia" w:hint="eastAsia"/>
          <w:sz w:val="24"/>
        </w:rPr>
        <w:t>242</w:t>
      </w:r>
    </w:p>
    <w:p w:rsidR="009557F5" w:rsidRDefault="009557F5" w:rsidP="008672A1">
      <w:pPr>
        <w:tabs>
          <w:tab w:val="left" w:pos="483"/>
          <w:tab w:val="left" w:leader="middleDot" w:pos="7560"/>
          <w:tab w:val="right" w:pos="7980"/>
          <w:tab w:val="left" w:leader="middleDot" w:pos="8820"/>
          <w:tab w:val="right" w:pos="9345"/>
        </w:tabs>
        <w:spacing w:line="480" w:lineRule="exact"/>
        <w:ind w:leftChars="0" w:left="0"/>
        <w:rPr>
          <w:rFonts w:asciiTheme="minorEastAsia" w:hAnsiTheme="minorEastAsia"/>
          <w:sz w:val="24"/>
        </w:rPr>
      </w:pPr>
      <w:r>
        <w:rPr>
          <w:rFonts w:asciiTheme="minorEastAsia" w:hAnsiTheme="minorEastAsia" w:hint="eastAsia"/>
          <w:sz w:val="24"/>
        </w:rPr>
        <w:t>Ⅵ　調査結果〔数表〕</w:t>
      </w:r>
      <w:r>
        <w:rPr>
          <w:rFonts w:asciiTheme="minorEastAsia" w:hAnsiTheme="minorEastAsia" w:hint="eastAsia"/>
          <w:sz w:val="24"/>
        </w:rPr>
        <w:tab/>
      </w:r>
      <w:r>
        <w:rPr>
          <w:rFonts w:asciiTheme="minorEastAsia" w:hAnsiTheme="minorEastAsia" w:hint="eastAsia"/>
        </w:rPr>
        <w:tab/>
      </w:r>
      <w:r>
        <w:rPr>
          <w:rFonts w:asciiTheme="minorEastAsia" w:hAnsiTheme="minorEastAsia" w:hint="eastAsia"/>
          <w:sz w:val="24"/>
        </w:rPr>
        <w:t>168</w:t>
      </w:r>
    </w:p>
    <w:p w:rsidR="009557F5" w:rsidRDefault="009557F5" w:rsidP="008672A1">
      <w:pPr>
        <w:tabs>
          <w:tab w:val="left" w:pos="483"/>
          <w:tab w:val="left" w:leader="middleDot" w:pos="7560"/>
          <w:tab w:val="right" w:pos="7980"/>
          <w:tab w:val="left" w:leader="middleDot" w:pos="8820"/>
          <w:tab w:val="right" w:pos="9345"/>
        </w:tabs>
        <w:spacing w:line="480" w:lineRule="exact"/>
        <w:ind w:leftChars="0" w:left="0"/>
        <w:rPr>
          <w:rFonts w:asciiTheme="minorEastAsia" w:hAnsiTheme="minorEastAsia"/>
          <w:sz w:val="24"/>
        </w:rPr>
      </w:pPr>
      <w:r>
        <w:rPr>
          <w:rFonts w:asciiTheme="minorEastAsia" w:hAnsiTheme="minorEastAsia" w:hint="eastAsia"/>
          <w:sz w:val="24"/>
        </w:rPr>
        <w:t>Ⅶ　自由回答〔問11〕</w:t>
      </w:r>
      <w:r>
        <w:rPr>
          <w:rFonts w:asciiTheme="minorEastAsia" w:hAnsiTheme="minorEastAsia" w:hint="eastAsia"/>
          <w:sz w:val="24"/>
        </w:rPr>
        <w:tab/>
      </w:r>
      <w:r>
        <w:rPr>
          <w:rFonts w:asciiTheme="minorEastAsia" w:hAnsiTheme="minorEastAsia" w:hint="eastAsia"/>
        </w:rPr>
        <w:tab/>
      </w:r>
      <w:r>
        <w:rPr>
          <w:rFonts w:asciiTheme="minorEastAsia" w:hAnsiTheme="minorEastAsia" w:hint="eastAsia"/>
          <w:sz w:val="24"/>
        </w:rPr>
        <w:t>244</w:t>
      </w:r>
    </w:p>
    <w:p w:rsidR="009557F5" w:rsidRDefault="009557F5" w:rsidP="008672A1">
      <w:pPr>
        <w:tabs>
          <w:tab w:val="left" w:pos="483"/>
          <w:tab w:val="left" w:leader="middleDot" w:pos="7560"/>
          <w:tab w:val="right" w:pos="7980"/>
          <w:tab w:val="left" w:leader="middleDot" w:pos="8820"/>
          <w:tab w:val="right" w:pos="9345"/>
        </w:tabs>
        <w:spacing w:line="480" w:lineRule="exact"/>
        <w:ind w:leftChars="0" w:left="0"/>
        <w:rPr>
          <w:rFonts w:asciiTheme="minorEastAsia" w:hAnsiTheme="minorEastAsia"/>
          <w:sz w:val="24"/>
        </w:rPr>
      </w:pPr>
      <w:r>
        <w:rPr>
          <w:rFonts w:asciiTheme="minorEastAsia" w:hAnsiTheme="minorEastAsia" w:hint="eastAsia"/>
          <w:sz w:val="24"/>
        </w:rPr>
        <w:t>Ⅷ　自由回答〔その他〕</w:t>
      </w:r>
      <w:r>
        <w:rPr>
          <w:rFonts w:asciiTheme="minorEastAsia" w:hAnsiTheme="minorEastAsia" w:hint="eastAsia"/>
          <w:sz w:val="24"/>
        </w:rPr>
        <w:tab/>
      </w:r>
      <w:r>
        <w:rPr>
          <w:rFonts w:asciiTheme="minorEastAsia" w:hAnsiTheme="minorEastAsia" w:hint="eastAsia"/>
        </w:rPr>
        <w:tab/>
      </w:r>
      <w:r>
        <w:rPr>
          <w:rFonts w:asciiTheme="minorEastAsia" w:hAnsiTheme="minorEastAsia" w:hint="eastAsia"/>
          <w:sz w:val="24"/>
        </w:rPr>
        <w:t>248</w:t>
      </w:r>
    </w:p>
    <w:p w:rsidR="009557F5" w:rsidRDefault="009557F5" w:rsidP="008672A1">
      <w:pPr>
        <w:tabs>
          <w:tab w:val="left" w:pos="483"/>
          <w:tab w:val="left" w:leader="middleDot" w:pos="7560"/>
          <w:tab w:val="right" w:pos="7980"/>
          <w:tab w:val="left" w:leader="middleDot" w:pos="8820"/>
          <w:tab w:val="right" w:pos="9345"/>
        </w:tabs>
        <w:spacing w:line="480" w:lineRule="exact"/>
        <w:ind w:leftChars="0" w:left="0"/>
        <w:rPr>
          <w:rFonts w:asciiTheme="minorEastAsia" w:hAnsiTheme="minorEastAsia"/>
          <w:sz w:val="24"/>
        </w:rPr>
      </w:pPr>
      <w:r>
        <w:rPr>
          <w:rFonts w:asciiTheme="minorEastAsia" w:hAnsiTheme="minorEastAsia" w:hint="eastAsia"/>
          <w:sz w:val="24"/>
        </w:rPr>
        <w:t>Ⅸ　調査票〔単純集計結果〕</w:t>
      </w:r>
      <w:r>
        <w:rPr>
          <w:rFonts w:asciiTheme="minorEastAsia" w:hAnsiTheme="minorEastAsia" w:hint="eastAsia"/>
          <w:sz w:val="24"/>
        </w:rPr>
        <w:tab/>
      </w:r>
      <w:r>
        <w:rPr>
          <w:rFonts w:asciiTheme="minorEastAsia" w:hAnsiTheme="minorEastAsia" w:hint="eastAsia"/>
          <w:sz w:val="24"/>
        </w:rPr>
        <w:tab/>
        <w:t>257</w:t>
      </w:r>
    </w:p>
    <w:p w:rsidR="009557F5" w:rsidRP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187409" w:rsidRDefault="00187409"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pPr>
    </w:p>
    <w:p w:rsidR="009557F5" w:rsidRDefault="009557F5" w:rsidP="009557F5">
      <w:pPr>
        <w:ind w:leftChars="0" w:left="0"/>
        <w:rPr>
          <w:rFonts w:asciiTheme="majorHAnsi" w:hAnsiTheme="majorHAnsi"/>
          <w:sz w:val="36"/>
        </w:rPr>
      </w:pPr>
    </w:p>
    <w:p w:rsidR="009557F5" w:rsidRDefault="009557F5">
      <w:pPr>
        <w:pStyle w:val="1"/>
        <w:spacing w:line="380" w:lineRule="exact"/>
        <w:ind w:leftChars="0" w:left="0"/>
        <w:sectPr w:rsidR="009557F5" w:rsidSect="009557F5">
          <w:type w:val="continuous"/>
          <w:pgSz w:w="11906" w:h="16838"/>
          <w:pgMar w:top="964" w:right="1219" w:bottom="1021" w:left="1219" w:header="624" w:footer="397" w:gutter="0"/>
          <w:pgNumType w:fmt="numberInDash" w:start="1"/>
          <w:cols w:space="720"/>
          <w:docGrid w:type="lines" w:linePitch="297"/>
        </w:sectPr>
      </w:pPr>
    </w:p>
    <w:p w:rsidR="008A0B91" w:rsidRDefault="00844A5A">
      <w:pPr>
        <w:pStyle w:val="1"/>
        <w:spacing w:line="380" w:lineRule="exact"/>
        <w:ind w:leftChars="0" w:left="0"/>
      </w:pPr>
      <w:r>
        <w:rPr>
          <w:rFonts w:hint="eastAsia"/>
        </w:rPr>
        <w:lastRenderedPageBreak/>
        <w:t>Ⅰ　調査の設計</w:t>
      </w:r>
      <w:bookmarkEnd w:id="0"/>
    </w:p>
    <w:p w:rsidR="008A0B91" w:rsidRDefault="008A0B91">
      <w:pPr>
        <w:spacing w:line="380" w:lineRule="exact"/>
        <w:ind w:left="420" w:firstLine="565"/>
        <w:rPr>
          <w:sz w:val="22"/>
        </w:rPr>
      </w:pPr>
    </w:p>
    <w:p w:rsidR="008A0B91" w:rsidRDefault="00844A5A">
      <w:pPr>
        <w:spacing w:line="380" w:lineRule="exact"/>
        <w:ind w:leftChars="0" w:left="0"/>
        <w:rPr>
          <w:rFonts w:asciiTheme="majorEastAsia" w:eastAsiaTheme="majorEastAsia" w:hAnsiTheme="majorEastAsia"/>
          <w:sz w:val="24"/>
        </w:rPr>
      </w:pPr>
      <w:r>
        <w:rPr>
          <w:rFonts w:asciiTheme="majorEastAsia" w:eastAsiaTheme="majorEastAsia" w:hAnsiTheme="majorEastAsia" w:hint="eastAsia"/>
          <w:sz w:val="24"/>
        </w:rPr>
        <w:t>１．調査の目的</w:t>
      </w:r>
    </w:p>
    <w:p w:rsidR="008A0B91" w:rsidRDefault="00844A5A">
      <w:pPr>
        <w:spacing w:line="380" w:lineRule="exact"/>
        <w:ind w:left="420"/>
        <w:rPr>
          <w:sz w:val="22"/>
        </w:rPr>
      </w:pPr>
      <w:r>
        <w:rPr>
          <w:rFonts w:hint="eastAsia"/>
          <w:sz w:val="22"/>
        </w:rPr>
        <w:t>この調査は、県民のニーズ・意識などを把握し、県政運営上の基礎資料を得ることを目的とする。</w:t>
      </w:r>
    </w:p>
    <w:p w:rsidR="008A0B91" w:rsidRDefault="008A0B91">
      <w:pPr>
        <w:autoSpaceDE w:val="0"/>
        <w:autoSpaceDN w:val="0"/>
        <w:spacing w:line="380" w:lineRule="exact"/>
        <w:ind w:leftChars="0" w:left="440" w:hangingChars="200" w:hanging="440"/>
        <w:rPr>
          <w:sz w:val="22"/>
        </w:rPr>
      </w:pPr>
    </w:p>
    <w:p w:rsidR="008A0B91" w:rsidRDefault="00844A5A">
      <w:pPr>
        <w:spacing w:line="380" w:lineRule="exact"/>
        <w:ind w:leftChars="0" w:left="0"/>
        <w:rPr>
          <w:rFonts w:asciiTheme="majorEastAsia" w:eastAsiaTheme="majorEastAsia" w:hAnsiTheme="majorEastAsia"/>
          <w:sz w:val="24"/>
        </w:rPr>
      </w:pPr>
      <w:r>
        <w:rPr>
          <w:rFonts w:asciiTheme="majorEastAsia" w:eastAsiaTheme="majorEastAsia" w:hAnsiTheme="majorEastAsia" w:hint="eastAsia"/>
          <w:sz w:val="24"/>
        </w:rPr>
        <w:t>２．調査の事項</w:t>
      </w:r>
    </w:p>
    <w:p w:rsidR="008A0B91" w:rsidRDefault="00844A5A">
      <w:pPr>
        <w:spacing w:line="380" w:lineRule="exact"/>
        <w:ind w:leftChars="0" w:left="0" w:firstLineChars="100" w:firstLine="220"/>
        <w:rPr>
          <w:sz w:val="22"/>
        </w:rPr>
      </w:pPr>
      <w:r>
        <w:rPr>
          <w:rFonts w:hint="eastAsia"/>
          <w:sz w:val="22"/>
        </w:rPr>
        <w:t>(1)　県の</w:t>
      </w:r>
      <w:r>
        <w:rPr>
          <w:rFonts w:hint="eastAsia"/>
        </w:rPr>
        <w:t>基本政策</w:t>
      </w:r>
      <w:r>
        <w:rPr>
          <w:rFonts w:hint="eastAsia"/>
          <w:sz w:val="22"/>
        </w:rPr>
        <w:t>について</w:t>
      </w:r>
    </w:p>
    <w:p w:rsidR="008A0B91" w:rsidRDefault="00844A5A">
      <w:pPr>
        <w:tabs>
          <w:tab w:val="left" w:leader="middleDot" w:pos="7980"/>
          <w:tab w:val="right" w:pos="8400"/>
          <w:tab w:val="left" w:leader="middleDot" w:pos="9030"/>
          <w:tab w:val="right" w:pos="9450"/>
        </w:tabs>
        <w:autoSpaceDE w:val="0"/>
        <w:autoSpaceDN w:val="0"/>
        <w:spacing w:line="380" w:lineRule="exact"/>
        <w:ind w:leftChars="300" w:left="630"/>
        <w:rPr>
          <w:sz w:val="22"/>
        </w:rPr>
      </w:pPr>
      <w:r>
        <w:rPr>
          <w:rFonts w:hint="eastAsia"/>
          <w:sz w:val="22"/>
        </w:rPr>
        <w:t>「経済の活性化」について特に力を入れるべき</w:t>
      </w:r>
      <w:r>
        <w:rPr>
          <w:sz w:val="22"/>
        </w:rPr>
        <w:t>施策</w:t>
      </w:r>
      <w:r>
        <w:rPr>
          <w:rFonts w:hint="eastAsia"/>
          <w:sz w:val="22"/>
        </w:rPr>
        <w:t>／「日本一の健康長寿県づくり」について特に力を入れるべき施策／「教育の充実と子育て支援」について特に力を入れるべき施策／「南海トラフ地震対策の</w:t>
      </w:r>
      <w:r>
        <w:rPr>
          <w:sz w:val="22"/>
        </w:rPr>
        <w:t>抜本</w:t>
      </w:r>
      <w:r>
        <w:rPr>
          <w:rFonts w:hint="eastAsia"/>
          <w:sz w:val="22"/>
        </w:rPr>
        <w:t>強化・加速化」について特に力を入れるべき施策／「インフラの充実と有効活用」について特に力を入れるべき施策／「中山間対策の充実・強化」について特に力を入れるべき施策／「少子化対策の充実・強化と女性の活躍の場の拡大」について特に力を入れるべき施策／文化芸術の振興について特に力を入れるべき施策／スポーツの振興について特に力を入れるべき施策／８つの政策のうち、より一層力を入れて取り組むべきもの／８つの政策以外に力を入れて取り組むべきもの</w:t>
      </w:r>
    </w:p>
    <w:p w:rsidR="008A0B91" w:rsidRDefault="008A0B91">
      <w:pPr>
        <w:spacing w:line="380" w:lineRule="exact"/>
        <w:ind w:left="420"/>
        <w:rPr>
          <w:sz w:val="22"/>
        </w:rPr>
      </w:pPr>
    </w:p>
    <w:p w:rsidR="008A0B91" w:rsidRDefault="00844A5A">
      <w:pPr>
        <w:spacing w:line="380" w:lineRule="exact"/>
        <w:ind w:leftChars="95" w:left="199"/>
        <w:rPr>
          <w:sz w:val="22"/>
        </w:rPr>
      </w:pPr>
      <w:r>
        <w:rPr>
          <w:rFonts w:hint="eastAsia"/>
          <w:sz w:val="22"/>
        </w:rPr>
        <w:t>(2)　南海トラフ地震対策について</w:t>
      </w:r>
    </w:p>
    <w:p w:rsidR="008A0B91" w:rsidRDefault="00844A5A">
      <w:pPr>
        <w:spacing w:line="380" w:lineRule="exact"/>
        <w:ind w:leftChars="95" w:left="199"/>
        <w:rPr>
          <w:sz w:val="22"/>
        </w:rPr>
      </w:pPr>
      <w:r>
        <w:rPr>
          <w:rFonts w:hint="eastAsia"/>
          <w:sz w:val="22"/>
        </w:rPr>
        <w:t>【南海トラフ地震対策】</w:t>
      </w:r>
    </w:p>
    <w:p w:rsidR="008A0B91" w:rsidRDefault="00844A5A">
      <w:pPr>
        <w:tabs>
          <w:tab w:val="left" w:leader="middleDot" w:pos="7938"/>
          <w:tab w:val="left" w:leader="middleDot" w:pos="7980"/>
          <w:tab w:val="right" w:pos="8400"/>
          <w:tab w:val="left" w:leader="middleDot" w:pos="8925"/>
          <w:tab w:val="left" w:leader="middleDot" w:pos="9030"/>
          <w:tab w:val="right" w:pos="9450"/>
        </w:tabs>
        <w:autoSpaceDE w:val="0"/>
        <w:autoSpaceDN w:val="0"/>
        <w:spacing w:line="380" w:lineRule="exact"/>
        <w:ind w:leftChars="300" w:left="630"/>
        <w:rPr>
          <w:sz w:val="22"/>
        </w:rPr>
      </w:pPr>
      <w:r>
        <w:rPr>
          <w:rFonts w:hint="eastAsia"/>
          <w:sz w:val="22"/>
        </w:rPr>
        <w:t>津波での浸水が予測される地域かどうか／いつ避難をするか／自宅における家具や家電の固定状況／避難所の開設や運営に関わろうと思うか／食料の備蓄について／飲料水の備蓄について／防災訓練の活動への参加状況／どうすれば防災訓練に参加する人が増えるか</w:t>
      </w:r>
    </w:p>
    <w:p w:rsidR="008A0B91" w:rsidRDefault="00844A5A">
      <w:pPr>
        <w:tabs>
          <w:tab w:val="left" w:leader="middleDot" w:pos="7938"/>
          <w:tab w:val="left" w:leader="middleDot" w:pos="7980"/>
          <w:tab w:val="right" w:pos="8400"/>
          <w:tab w:val="left" w:leader="middleDot" w:pos="8925"/>
          <w:tab w:val="left" w:leader="middleDot" w:pos="9030"/>
          <w:tab w:val="right" w:pos="9450"/>
        </w:tabs>
        <w:autoSpaceDE w:val="0"/>
        <w:autoSpaceDN w:val="0"/>
        <w:spacing w:line="380" w:lineRule="exact"/>
        <w:ind w:leftChars="95" w:left="199"/>
        <w:rPr>
          <w:sz w:val="22"/>
        </w:rPr>
      </w:pPr>
      <w:r>
        <w:rPr>
          <w:rFonts w:hint="eastAsia"/>
          <w:sz w:val="22"/>
        </w:rPr>
        <w:t>【住宅の耐震化】</w:t>
      </w:r>
    </w:p>
    <w:p w:rsidR="008A0B91" w:rsidRDefault="00E3230F">
      <w:pPr>
        <w:tabs>
          <w:tab w:val="left" w:leader="middleDot" w:pos="7938"/>
          <w:tab w:val="left" w:leader="middleDot" w:pos="7980"/>
          <w:tab w:val="right" w:pos="8400"/>
          <w:tab w:val="left" w:leader="middleDot" w:pos="8925"/>
          <w:tab w:val="left" w:leader="middleDot" w:pos="9030"/>
          <w:tab w:val="right" w:pos="9450"/>
        </w:tabs>
        <w:autoSpaceDE w:val="0"/>
        <w:autoSpaceDN w:val="0"/>
        <w:spacing w:line="380" w:lineRule="exact"/>
        <w:ind w:leftChars="95" w:left="639" w:hangingChars="200" w:hanging="440"/>
        <w:rPr>
          <w:sz w:val="22"/>
        </w:rPr>
      </w:pPr>
      <w:r>
        <w:rPr>
          <w:rFonts w:hint="eastAsia"/>
          <w:sz w:val="22"/>
        </w:rPr>
        <w:t xml:space="preserve">　　自宅の建築年</w:t>
      </w:r>
      <w:r w:rsidR="00844A5A">
        <w:rPr>
          <w:rFonts w:hint="eastAsia"/>
          <w:sz w:val="22"/>
        </w:rPr>
        <w:t>と構造について／耐震診断の受診の有無及び結果について／耐震改修工事又は建て替えの実施状況／耐震診断を受けていない理由／耐震改修工事を行っていない理由／補助金が出ることを知っているか／耐震</w:t>
      </w:r>
      <w:r w:rsidR="00713DA6">
        <w:rPr>
          <w:rFonts w:hint="eastAsia"/>
          <w:sz w:val="22"/>
        </w:rPr>
        <w:t>改修</w:t>
      </w:r>
      <w:r w:rsidR="00844A5A">
        <w:rPr>
          <w:rFonts w:hint="eastAsia"/>
          <w:sz w:val="22"/>
        </w:rPr>
        <w:t>工事における自己負担額について／県が市町村等と協力して特に力を入れるべき施策</w:t>
      </w:r>
    </w:p>
    <w:p w:rsidR="008A0B91" w:rsidRDefault="008A0B91">
      <w:pPr>
        <w:tabs>
          <w:tab w:val="left" w:leader="middleDot" w:pos="7938"/>
          <w:tab w:val="left" w:leader="middleDot" w:pos="7980"/>
          <w:tab w:val="right" w:pos="8400"/>
          <w:tab w:val="left" w:leader="middleDot" w:pos="8925"/>
          <w:tab w:val="left" w:leader="middleDot" w:pos="9030"/>
          <w:tab w:val="right" w:pos="9450"/>
        </w:tabs>
        <w:autoSpaceDE w:val="0"/>
        <w:autoSpaceDN w:val="0"/>
        <w:spacing w:line="380" w:lineRule="exact"/>
        <w:ind w:leftChars="95" w:left="639" w:hangingChars="200" w:hanging="440"/>
        <w:rPr>
          <w:sz w:val="22"/>
        </w:rPr>
      </w:pPr>
    </w:p>
    <w:p w:rsidR="008A0B91" w:rsidRDefault="00844A5A">
      <w:pPr>
        <w:tabs>
          <w:tab w:val="left" w:leader="middleDot" w:pos="7938"/>
          <w:tab w:val="left" w:leader="middleDot" w:pos="7980"/>
          <w:tab w:val="right" w:pos="8400"/>
          <w:tab w:val="left" w:leader="middleDot" w:pos="8925"/>
          <w:tab w:val="left" w:leader="middleDot" w:pos="9030"/>
          <w:tab w:val="right" w:pos="9450"/>
        </w:tabs>
        <w:autoSpaceDE w:val="0"/>
        <w:autoSpaceDN w:val="0"/>
        <w:spacing w:line="380" w:lineRule="exact"/>
        <w:ind w:leftChars="95" w:left="199"/>
        <w:rPr>
          <w:sz w:val="22"/>
        </w:rPr>
      </w:pPr>
      <w:r>
        <w:rPr>
          <w:rFonts w:hint="eastAsia"/>
          <w:sz w:val="22"/>
        </w:rPr>
        <w:t>(3)　在宅医療について</w:t>
      </w:r>
    </w:p>
    <w:p w:rsidR="008A0B91" w:rsidRDefault="00844A5A">
      <w:pPr>
        <w:tabs>
          <w:tab w:val="left" w:leader="middleDot" w:pos="7938"/>
          <w:tab w:val="left" w:leader="middleDot" w:pos="7980"/>
          <w:tab w:val="right" w:pos="8400"/>
          <w:tab w:val="left" w:leader="middleDot" w:pos="8925"/>
          <w:tab w:val="left" w:leader="middleDot" w:pos="9030"/>
          <w:tab w:val="right" w:pos="9450"/>
        </w:tabs>
        <w:autoSpaceDE w:val="0"/>
        <w:autoSpaceDN w:val="0"/>
        <w:spacing w:line="380" w:lineRule="exact"/>
        <w:ind w:leftChars="295" w:left="619"/>
        <w:rPr>
          <w:sz w:val="22"/>
        </w:rPr>
      </w:pPr>
      <w:r>
        <w:rPr>
          <w:rFonts w:hint="eastAsia"/>
          <w:sz w:val="22"/>
        </w:rPr>
        <w:t>かかりつけ医の有無／長期の治療が必要になった場合の医療の選択／在宅医療を選択するための条件や環境／在宅医療を選択する場合の相談先</w:t>
      </w:r>
    </w:p>
    <w:p w:rsidR="008A0B91" w:rsidRDefault="008A0B91">
      <w:pPr>
        <w:tabs>
          <w:tab w:val="left" w:leader="middleDot" w:pos="7938"/>
          <w:tab w:val="left" w:leader="middleDot" w:pos="7980"/>
          <w:tab w:val="right" w:pos="8400"/>
          <w:tab w:val="left" w:leader="middleDot" w:pos="8925"/>
          <w:tab w:val="left" w:leader="middleDot" w:pos="9030"/>
          <w:tab w:val="right" w:pos="9450"/>
        </w:tabs>
        <w:autoSpaceDE w:val="0"/>
        <w:autoSpaceDN w:val="0"/>
        <w:spacing w:line="380" w:lineRule="exact"/>
        <w:ind w:leftChars="95" w:left="199"/>
        <w:rPr>
          <w:sz w:val="22"/>
        </w:rPr>
      </w:pPr>
    </w:p>
    <w:p w:rsidR="008A0B91" w:rsidRDefault="00844A5A">
      <w:pPr>
        <w:spacing w:line="380" w:lineRule="exact"/>
        <w:ind w:leftChars="100" w:left="210"/>
        <w:rPr>
          <w:sz w:val="22"/>
        </w:rPr>
      </w:pPr>
      <w:r>
        <w:rPr>
          <w:rFonts w:hint="eastAsia"/>
          <w:sz w:val="22"/>
        </w:rPr>
        <w:t>(4)　飲酒と健康について</w:t>
      </w:r>
    </w:p>
    <w:p w:rsidR="008A0B91" w:rsidRDefault="00844A5A" w:rsidP="00713DA6">
      <w:pPr>
        <w:tabs>
          <w:tab w:val="left" w:leader="middleDot" w:pos="7560"/>
          <w:tab w:val="right" w:pos="7980"/>
          <w:tab w:val="left" w:leader="middleDot" w:pos="8820"/>
          <w:tab w:val="right" w:pos="9345"/>
        </w:tabs>
        <w:spacing w:line="360" w:lineRule="auto"/>
        <w:ind w:leftChars="300" w:left="630"/>
        <w:rPr>
          <w:sz w:val="22"/>
        </w:rPr>
      </w:pPr>
      <w:r>
        <w:rPr>
          <w:rFonts w:hint="eastAsia"/>
          <w:sz w:val="22"/>
        </w:rPr>
        <w:t>飲酒の頻度／飲酒の理由／飲酒時の心がけについて／アルコールが体に及ぼす影響についての知識の有無／不適切な飲酒により経験した事象／アルコール依存症についての知識</w:t>
      </w:r>
      <w:r w:rsidR="00713DA6">
        <w:rPr>
          <w:rFonts w:hint="eastAsia"/>
          <w:sz w:val="22"/>
        </w:rPr>
        <w:t>の有無</w:t>
      </w:r>
      <w:r>
        <w:rPr>
          <w:rFonts w:hint="eastAsia"/>
          <w:sz w:val="22"/>
        </w:rPr>
        <w:t>／</w:t>
      </w:r>
      <w:r w:rsidR="00713DA6">
        <w:rPr>
          <w:rFonts w:hint="eastAsia"/>
          <w:sz w:val="22"/>
        </w:rPr>
        <w:t>相談窓口を知っていれば相談するか／相談しない理由</w:t>
      </w:r>
    </w:p>
    <w:p w:rsidR="008A0B91" w:rsidRDefault="008A0B91">
      <w:pPr>
        <w:tabs>
          <w:tab w:val="left" w:leader="middleDot" w:pos="7560"/>
          <w:tab w:val="right" w:pos="7980"/>
          <w:tab w:val="left" w:leader="middleDot" w:pos="8820"/>
          <w:tab w:val="right" w:pos="9345"/>
        </w:tabs>
        <w:spacing w:line="360" w:lineRule="auto"/>
        <w:ind w:leftChars="300" w:left="630"/>
        <w:rPr>
          <w:sz w:val="22"/>
        </w:rPr>
      </w:pPr>
    </w:p>
    <w:p w:rsidR="008A0B91" w:rsidRDefault="008A0B91">
      <w:pPr>
        <w:tabs>
          <w:tab w:val="left" w:leader="middleDot" w:pos="7560"/>
          <w:tab w:val="right" w:pos="7980"/>
          <w:tab w:val="left" w:leader="middleDot" w:pos="8820"/>
          <w:tab w:val="right" w:pos="9345"/>
        </w:tabs>
        <w:spacing w:line="360" w:lineRule="auto"/>
        <w:ind w:leftChars="300" w:left="630"/>
        <w:rPr>
          <w:sz w:val="22"/>
        </w:rPr>
      </w:pPr>
    </w:p>
    <w:p w:rsidR="008A0B91" w:rsidRDefault="00844A5A">
      <w:pPr>
        <w:spacing w:line="380" w:lineRule="exact"/>
        <w:ind w:leftChars="100" w:left="210"/>
        <w:rPr>
          <w:sz w:val="22"/>
        </w:rPr>
      </w:pPr>
      <w:r>
        <w:rPr>
          <w:rFonts w:hint="eastAsia"/>
          <w:sz w:val="22"/>
        </w:rPr>
        <w:lastRenderedPageBreak/>
        <w:t>(5)　子どものスポーツ振興施策について</w:t>
      </w:r>
    </w:p>
    <w:p w:rsidR="008A0B91" w:rsidRDefault="00713DA6">
      <w:pPr>
        <w:spacing w:line="380" w:lineRule="exact"/>
        <w:ind w:left="640" w:hangingChars="100" w:hanging="220"/>
        <w:rPr>
          <w:sz w:val="22"/>
        </w:rPr>
      </w:pPr>
      <w:r>
        <w:rPr>
          <w:rFonts w:hint="eastAsia"/>
          <w:sz w:val="22"/>
        </w:rPr>
        <w:t xml:space="preserve">　スポーツに取り組むきっかけ／スポーツに親しむための有効な取組</w:t>
      </w:r>
    </w:p>
    <w:p w:rsidR="008A0B91" w:rsidRDefault="008A0B91">
      <w:pPr>
        <w:spacing w:line="380" w:lineRule="exact"/>
        <w:ind w:left="420"/>
        <w:rPr>
          <w:sz w:val="22"/>
        </w:rPr>
      </w:pPr>
    </w:p>
    <w:p w:rsidR="008A0B91" w:rsidRDefault="00844A5A">
      <w:pPr>
        <w:spacing w:line="380" w:lineRule="exact"/>
        <w:ind w:leftChars="100" w:left="210"/>
        <w:rPr>
          <w:sz w:val="22"/>
        </w:rPr>
      </w:pPr>
      <w:r>
        <w:rPr>
          <w:rFonts w:hint="eastAsia"/>
          <w:sz w:val="22"/>
        </w:rPr>
        <w:t>(6)　第３期産業振興計画</w:t>
      </w:r>
      <w:r w:rsidR="00713DA6">
        <w:rPr>
          <w:rFonts w:hint="eastAsia"/>
          <w:sz w:val="22"/>
        </w:rPr>
        <w:t>v</w:t>
      </w:r>
      <w:r>
        <w:rPr>
          <w:rFonts w:hint="eastAsia"/>
          <w:sz w:val="22"/>
        </w:rPr>
        <w:t>er.２について</w:t>
      </w:r>
    </w:p>
    <w:p w:rsidR="008A0B91" w:rsidRDefault="00713DA6">
      <w:pPr>
        <w:tabs>
          <w:tab w:val="left" w:pos="3150"/>
          <w:tab w:val="left" w:leader="middleDot" w:pos="7938"/>
          <w:tab w:val="left" w:leader="middleDot" w:pos="7980"/>
          <w:tab w:val="right" w:pos="8400"/>
          <w:tab w:val="left" w:leader="middleDot" w:pos="8925"/>
          <w:tab w:val="left" w:leader="middleDot" w:pos="9030"/>
          <w:tab w:val="right" w:pos="9450"/>
        </w:tabs>
        <w:autoSpaceDE w:val="0"/>
        <w:autoSpaceDN w:val="0"/>
        <w:spacing w:line="380" w:lineRule="exact"/>
        <w:ind w:leftChars="300" w:left="630"/>
        <w:rPr>
          <w:sz w:val="22"/>
        </w:rPr>
      </w:pPr>
      <w:r>
        <w:rPr>
          <w:rFonts w:hint="eastAsia"/>
          <w:sz w:val="22"/>
        </w:rPr>
        <w:t>高知県内での若者の就職数を増やすために力を入れるべきこと／高知県への移住者を増やすために力を入れていくべき取組</w:t>
      </w:r>
    </w:p>
    <w:p w:rsidR="00713DA6" w:rsidRDefault="00713DA6">
      <w:pPr>
        <w:tabs>
          <w:tab w:val="left" w:pos="3150"/>
          <w:tab w:val="left" w:leader="middleDot" w:pos="7938"/>
          <w:tab w:val="left" w:leader="middleDot" w:pos="7980"/>
          <w:tab w:val="right" w:pos="8400"/>
          <w:tab w:val="left" w:leader="middleDot" w:pos="8925"/>
          <w:tab w:val="left" w:leader="middleDot" w:pos="9030"/>
          <w:tab w:val="right" w:pos="9450"/>
        </w:tabs>
        <w:autoSpaceDE w:val="0"/>
        <w:autoSpaceDN w:val="0"/>
        <w:spacing w:line="380" w:lineRule="exact"/>
        <w:ind w:leftChars="300" w:left="630"/>
        <w:rPr>
          <w:sz w:val="22"/>
        </w:rPr>
      </w:pPr>
    </w:p>
    <w:p w:rsidR="008A0B91" w:rsidRDefault="00844A5A">
      <w:pPr>
        <w:spacing w:line="380" w:lineRule="exact"/>
        <w:ind w:leftChars="100" w:left="210"/>
        <w:rPr>
          <w:sz w:val="22"/>
        </w:rPr>
      </w:pPr>
      <w:r>
        <w:rPr>
          <w:rFonts w:hint="eastAsia"/>
          <w:sz w:val="22"/>
        </w:rPr>
        <w:t>(7)　県の広報について</w:t>
      </w:r>
    </w:p>
    <w:p w:rsidR="008A0B91" w:rsidRDefault="00844A5A">
      <w:pPr>
        <w:spacing w:line="380" w:lineRule="exact"/>
        <w:ind w:left="640" w:hangingChars="100" w:hanging="220"/>
        <w:rPr>
          <w:sz w:val="22"/>
        </w:rPr>
      </w:pPr>
      <w:r>
        <w:rPr>
          <w:rFonts w:hint="eastAsia"/>
          <w:sz w:val="22"/>
        </w:rPr>
        <w:t xml:space="preserve">　県の行っている広報活動について知っているか／県広報紙「さんSUN高知」をどの程度読んでいるか／県広報紙「さんSUN高知」で必ず読む記事／県広報紙「さんSUN高知」の紙面を魅力的</w:t>
      </w:r>
      <w:r w:rsidR="00713DA6">
        <w:rPr>
          <w:rFonts w:hint="eastAsia"/>
          <w:sz w:val="22"/>
        </w:rPr>
        <w:t>で分かりやすくするためにす</w:t>
      </w:r>
      <w:r w:rsidR="00F61527">
        <w:rPr>
          <w:rFonts w:hint="eastAsia"/>
          <w:sz w:val="22"/>
        </w:rPr>
        <w:t>る</w:t>
      </w:r>
      <w:r w:rsidR="00713DA6">
        <w:rPr>
          <w:rFonts w:hint="eastAsia"/>
          <w:sz w:val="22"/>
        </w:rPr>
        <w:t>べきこと</w:t>
      </w:r>
      <w:r>
        <w:rPr>
          <w:rFonts w:hint="eastAsia"/>
          <w:sz w:val="22"/>
        </w:rPr>
        <w:t>／県広報紙「さんSUN高知」で取り上げるべき内容</w:t>
      </w:r>
    </w:p>
    <w:p w:rsidR="008A0B91" w:rsidRDefault="008A0B91">
      <w:pPr>
        <w:spacing w:line="380" w:lineRule="exact"/>
        <w:ind w:left="420"/>
        <w:rPr>
          <w:sz w:val="22"/>
        </w:rPr>
      </w:pPr>
    </w:p>
    <w:p w:rsidR="008A0B91" w:rsidRDefault="00844A5A">
      <w:pPr>
        <w:tabs>
          <w:tab w:val="left" w:leader="middleDot" w:pos="7560"/>
          <w:tab w:val="right" w:pos="7980"/>
          <w:tab w:val="left" w:leader="middleDot" w:pos="8820"/>
          <w:tab w:val="right" w:pos="9345"/>
        </w:tabs>
        <w:spacing w:line="360" w:lineRule="auto"/>
        <w:ind w:leftChars="95" w:left="199"/>
        <w:rPr>
          <w:sz w:val="22"/>
        </w:rPr>
      </w:pPr>
      <w:r>
        <w:rPr>
          <w:rFonts w:hint="eastAsia"/>
          <w:sz w:val="22"/>
        </w:rPr>
        <w:t>(8)　幼児教育について</w:t>
      </w:r>
    </w:p>
    <w:p w:rsidR="008A0B91" w:rsidRDefault="00713DA6">
      <w:pPr>
        <w:tabs>
          <w:tab w:val="left" w:leader="middleDot" w:pos="7938"/>
          <w:tab w:val="left" w:leader="middleDot" w:pos="7980"/>
          <w:tab w:val="right" w:pos="8400"/>
          <w:tab w:val="left" w:leader="middleDot" w:pos="8925"/>
          <w:tab w:val="left" w:leader="middleDot" w:pos="9030"/>
          <w:tab w:val="right" w:pos="9450"/>
        </w:tabs>
        <w:overflowPunct w:val="0"/>
        <w:autoSpaceDE w:val="0"/>
        <w:autoSpaceDN w:val="0"/>
        <w:spacing w:line="380" w:lineRule="exact"/>
        <w:ind w:leftChars="95" w:left="639" w:hangingChars="200" w:hanging="440"/>
        <w:textAlignment w:val="baseline"/>
        <w:rPr>
          <w:sz w:val="22"/>
        </w:rPr>
      </w:pPr>
      <w:r>
        <w:rPr>
          <w:rFonts w:hint="eastAsia"/>
          <w:sz w:val="22"/>
        </w:rPr>
        <w:t xml:space="preserve">　　幼児教育について力を入れるべき</w:t>
      </w:r>
      <w:r w:rsidR="00E3230F">
        <w:rPr>
          <w:rFonts w:hint="eastAsia"/>
          <w:sz w:val="22"/>
        </w:rPr>
        <w:t>取組／家庭の果たす役割として</w:t>
      </w:r>
      <w:r>
        <w:rPr>
          <w:rFonts w:hint="eastAsia"/>
          <w:sz w:val="22"/>
        </w:rPr>
        <w:t>重要なこと</w:t>
      </w:r>
      <w:r w:rsidR="00844A5A">
        <w:rPr>
          <w:rFonts w:hint="eastAsia"/>
          <w:sz w:val="22"/>
        </w:rPr>
        <w:t>／現在の家庭の役割について十分か／家庭の役割ができていない要因</w:t>
      </w:r>
    </w:p>
    <w:p w:rsidR="008A0B91" w:rsidRDefault="008A0B91">
      <w:pPr>
        <w:tabs>
          <w:tab w:val="left" w:leader="middleDot" w:pos="7938"/>
          <w:tab w:val="left" w:leader="middleDot" w:pos="7980"/>
          <w:tab w:val="right" w:pos="8400"/>
          <w:tab w:val="left" w:leader="middleDot" w:pos="8925"/>
          <w:tab w:val="left" w:leader="middleDot" w:pos="9030"/>
          <w:tab w:val="right" w:pos="9450"/>
        </w:tabs>
        <w:overflowPunct w:val="0"/>
        <w:autoSpaceDE w:val="0"/>
        <w:autoSpaceDN w:val="0"/>
        <w:spacing w:line="380" w:lineRule="exact"/>
        <w:ind w:leftChars="95" w:left="199"/>
        <w:textAlignment w:val="baseline"/>
        <w:rPr>
          <w:sz w:val="22"/>
        </w:rPr>
      </w:pPr>
    </w:p>
    <w:p w:rsidR="008A0B91" w:rsidRDefault="00844A5A">
      <w:pPr>
        <w:autoSpaceDE w:val="0"/>
        <w:autoSpaceDN w:val="0"/>
        <w:spacing w:line="380" w:lineRule="exact"/>
        <w:ind w:leftChars="0" w:left="0"/>
        <w:rPr>
          <w:rFonts w:asciiTheme="majorEastAsia" w:eastAsiaTheme="majorEastAsia" w:hAnsiTheme="majorEastAsia"/>
          <w:sz w:val="24"/>
        </w:rPr>
      </w:pPr>
      <w:r>
        <w:rPr>
          <w:rFonts w:asciiTheme="majorEastAsia" w:eastAsiaTheme="majorEastAsia" w:hAnsiTheme="majorEastAsia" w:hint="eastAsia"/>
          <w:sz w:val="24"/>
        </w:rPr>
        <w:t>３．調査の対象</w:t>
      </w:r>
    </w:p>
    <w:p w:rsidR="008A0B91" w:rsidRDefault="00844A5A">
      <w:pPr>
        <w:autoSpaceDE w:val="0"/>
        <w:autoSpaceDN w:val="0"/>
        <w:spacing w:line="380" w:lineRule="exact"/>
        <w:ind w:leftChars="0" w:left="0" w:firstLineChars="200" w:firstLine="440"/>
        <w:rPr>
          <w:sz w:val="22"/>
        </w:rPr>
      </w:pPr>
      <w:r>
        <w:rPr>
          <w:rFonts w:hint="eastAsia"/>
          <w:sz w:val="22"/>
        </w:rPr>
        <w:t>県内全域から１８歳以上の県民３，０００人を抽出（各市町村の「選挙人名簿」より）</w:t>
      </w:r>
    </w:p>
    <w:p w:rsidR="008A0B91" w:rsidRDefault="008A0B91">
      <w:pPr>
        <w:autoSpaceDE w:val="0"/>
        <w:autoSpaceDN w:val="0"/>
        <w:spacing w:line="380" w:lineRule="exact"/>
        <w:ind w:left="420"/>
        <w:rPr>
          <w:sz w:val="22"/>
        </w:rPr>
      </w:pPr>
    </w:p>
    <w:p w:rsidR="008A0B91" w:rsidRDefault="00844A5A">
      <w:pPr>
        <w:autoSpaceDE w:val="0"/>
        <w:autoSpaceDN w:val="0"/>
        <w:spacing w:line="380" w:lineRule="exact"/>
        <w:ind w:leftChars="0" w:left="0"/>
        <w:rPr>
          <w:rFonts w:asciiTheme="majorEastAsia" w:eastAsiaTheme="majorEastAsia" w:hAnsiTheme="majorEastAsia"/>
          <w:sz w:val="24"/>
        </w:rPr>
      </w:pPr>
      <w:r>
        <w:rPr>
          <w:rFonts w:asciiTheme="majorEastAsia" w:eastAsiaTheme="majorEastAsia" w:hAnsiTheme="majorEastAsia" w:hint="eastAsia"/>
          <w:sz w:val="24"/>
        </w:rPr>
        <w:t>４．対象者の抽出方法</w:t>
      </w:r>
    </w:p>
    <w:p w:rsidR="008A0B91" w:rsidRDefault="00844A5A">
      <w:pPr>
        <w:autoSpaceDE w:val="0"/>
        <w:autoSpaceDN w:val="0"/>
        <w:spacing w:line="380" w:lineRule="exact"/>
        <w:ind w:leftChars="0" w:left="0" w:firstLineChars="200" w:firstLine="440"/>
        <w:rPr>
          <w:sz w:val="22"/>
        </w:rPr>
      </w:pPr>
      <w:r>
        <w:rPr>
          <w:rFonts w:hint="eastAsia"/>
          <w:sz w:val="22"/>
        </w:rPr>
        <w:t>層化二段無作為抽出法</w:t>
      </w:r>
    </w:p>
    <w:p w:rsidR="008A0B91" w:rsidRDefault="008A0B91">
      <w:pPr>
        <w:autoSpaceDE w:val="0"/>
        <w:autoSpaceDN w:val="0"/>
        <w:spacing w:line="380" w:lineRule="exact"/>
        <w:ind w:left="420"/>
        <w:rPr>
          <w:sz w:val="22"/>
        </w:rPr>
      </w:pPr>
    </w:p>
    <w:p w:rsidR="008A0B91" w:rsidRDefault="00844A5A">
      <w:pPr>
        <w:autoSpaceDE w:val="0"/>
        <w:autoSpaceDN w:val="0"/>
        <w:spacing w:line="380" w:lineRule="exact"/>
        <w:ind w:leftChars="0" w:left="0"/>
        <w:rPr>
          <w:rFonts w:asciiTheme="majorEastAsia" w:eastAsiaTheme="majorEastAsia" w:hAnsiTheme="majorEastAsia"/>
          <w:sz w:val="24"/>
        </w:rPr>
      </w:pPr>
      <w:r>
        <w:rPr>
          <w:rFonts w:asciiTheme="majorEastAsia" w:eastAsiaTheme="majorEastAsia" w:hAnsiTheme="majorEastAsia" w:hint="eastAsia"/>
          <w:sz w:val="24"/>
        </w:rPr>
        <w:t>５．調査の方法</w:t>
      </w:r>
    </w:p>
    <w:p w:rsidR="008A0B91" w:rsidRDefault="00844A5A">
      <w:pPr>
        <w:autoSpaceDE w:val="0"/>
        <w:autoSpaceDN w:val="0"/>
        <w:spacing w:line="380" w:lineRule="exact"/>
        <w:ind w:leftChars="0" w:left="0" w:firstLineChars="200" w:firstLine="440"/>
        <w:rPr>
          <w:sz w:val="22"/>
        </w:rPr>
      </w:pPr>
      <w:r>
        <w:rPr>
          <w:rFonts w:hint="eastAsia"/>
          <w:sz w:val="22"/>
        </w:rPr>
        <w:t>郵送法</w:t>
      </w:r>
    </w:p>
    <w:p w:rsidR="008A0B91" w:rsidRDefault="008A0B91">
      <w:pPr>
        <w:autoSpaceDE w:val="0"/>
        <w:autoSpaceDN w:val="0"/>
        <w:spacing w:line="380" w:lineRule="exact"/>
        <w:ind w:left="420"/>
        <w:rPr>
          <w:sz w:val="22"/>
        </w:rPr>
      </w:pPr>
    </w:p>
    <w:p w:rsidR="008A0B91" w:rsidRDefault="00844A5A">
      <w:pPr>
        <w:autoSpaceDE w:val="0"/>
        <w:autoSpaceDN w:val="0"/>
        <w:spacing w:line="380" w:lineRule="exact"/>
        <w:ind w:leftChars="0" w:left="0"/>
        <w:rPr>
          <w:rFonts w:asciiTheme="majorEastAsia" w:eastAsiaTheme="majorEastAsia" w:hAnsiTheme="majorEastAsia"/>
          <w:sz w:val="24"/>
        </w:rPr>
      </w:pPr>
      <w:r>
        <w:rPr>
          <w:rFonts w:asciiTheme="majorEastAsia" w:eastAsiaTheme="majorEastAsia" w:hAnsiTheme="majorEastAsia" w:hint="eastAsia"/>
          <w:sz w:val="24"/>
        </w:rPr>
        <w:t>６．調査の期間</w:t>
      </w:r>
    </w:p>
    <w:p w:rsidR="008A0B91" w:rsidRDefault="00713DA6">
      <w:pPr>
        <w:autoSpaceDE w:val="0"/>
        <w:autoSpaceDN w:val="0"/>
        <w:spacing w:line="380" w:lineRule="exact"/>
        <w:ind w:leftChars="0" w:left="0" w:firstLineChars="200" w:firstLine="440"/>
        <w:rPr>
          <w:sz w:val="22"/>
        </w:rPr>
      </w:pPr>
      <w:r>
        <w:rPr>
          <w:rFonts w:hint="eastAsia"/>
          <w:sz w:val="22"/>
        </w:rPr>
        <w:t>平成２９年８月８日（火）～８月３１日（木）までの２４</w:t>
      </w:r>
      <w:r w:rsidR="00844A5A">
        <w:rPr>
          <w:rFonts w:hint="eastAsia"/>
          <w:sz w:val="22"/>
        </w:rPr>
        <w:t>日間</w:t>
      </w:r>
    </w:p>
    <w:p w:rsidR="008A0B91" w:rsidRDefault="008A0B91">
      <w:pPr>
        <w:autoSpaceDE w:val="0"/>
        <w:autoSpaceDN w:val="0"/>
        <w:spacing w:line="380" w:lineRule="exact"/>
        <w:ind w:leftChars="0" w:left="0"/>
        <w:rPr>
          <w:rFonts w:asciiTheme="majorEastAsia" w:eastAsiaTheme="majorEastAsia" w:hAnsiTheme="majorEastAsia"/>
          <w:sz w:val="24"/>
        </w:rPr>
      </w:pPr>
    </w:p>
    <w:p w:rsidR="008A0B91" w:rsidRDefault="00844A5A">
      <w:pPr>
        <w:autoSpaceDE w:val="0"/>
        <w:autoSpaceDN w:val="0"/>
        <w:spacing w:line="380" w:lineRule="exact"/>
        <w:ind w:leftChars="0" w:left="0"/>
        <w:rPr>
          <w:rFonts w:asciiTheme="majorEastAsia" w:eastAsiaTheme="majorEastAsia" w:hAnsiTheme="majorEastAsia"/>
          <w:sz w:val="24"/>
        </w:rPr>
      </w:pPr>
      <w:r>
        <w:rPr>
          <w:rFonts w:asciiTheme="majorEastAsia" w:eastAsiaTheme="majorEastAsia" w:hAnsiTheme="majorEastAsia" w:hint="eastAsia"/>
          <w:sz w:val="24"/>
        </w:rPr>
        <w:t>７．実査および集計</w:t>
      </w:r>
    </w:p>
    <w:p w:rsidR="008A0B91" w:rsidRDefault="00844A5A">
      <w:pPr>
        <w:autoSpaceDE w:val="0"/>
        <w:autoSpaceDN w:val="0"/>
        <w:spacing w:line="380" w:lineRule="exact"/>
        <w:ind w:leftChars="0" w:left="0" w:firstLineChars="200" w:firstLine="440"/>
        <w:rPr>
          <w:sz w:val="22"/>
        </w:rPr>
      </w:pPr>
      <w:r>
        <w:rPr>
          <w:rFonts w:hint="eastAsia"/>
          <w:sz w:val="22"/>
        </w:rPr>
        <w:t>株式会社　トミーコーポレーション</w:t>
      </w:r>
    </w:p>
    <w:p w:rsidR="008A0B91" w:rsidRDefault="008A0B91">
      <w:pPr>
        <w:autoSpaceDE w:val="0"/>
        <w:autoSpaceDN w:val="0"/>
        <w:spacing w:line="380" w:lineRule="exact"/>
        <w:ind w:leftChars="0" w:left="0"/>
        <w:rPr>
          <w:sz w:val="22"/>
        </w:rPr>
      </w:pPr>
    </w:p>
    <w:p w:rsidR="008A0B91" w:rsidRDefault="00844A5A">
      <w:pPr>
        <w:autoSpaceDE w:val="0"/>
        <w:autoSpaceDN w:val="0"/>
        <w:spacing w:line="380" w:lineRule="exact"/>
        <w:ind w:leftChars="0" w:left="0"/>
        <w:rPr>
          <w:rFonts w:asciiTheme="majorEastAsia" w:eastAsiaTheme="majorEastAsia" w:hAnsiTheme="majorEastAsia"/>
          <w:sz w:val="24"/>
        </w:rPr>
      </w:pPr>
      <w:r>
        <w:rPr>
          <w:rFonts w:asciiTheme="majorEastAsia" w:eastAsiaTheme="majorEastAsia" w:hAnsiTheme="majorEastAsia" w:hint="eastAsia"/>
          <w:sz w:val="24"/>
        </w:rPr>
        <w:t>８．調査票配布数と回収状況</w:t>
      </w:r>
    </w:p>
    <w:p w:rsidR="008A0B91" w:rsidRDefault="00844A5A">
      <w:pPr>
        <w:autoSpaceDE w:val="0"/>
        <w:autoSpaceDN w:val="0"/>
        <w:spacing w:line="380" w:lineRule="exact"/>
        <w:ind w:leftChars="0" w:left="0" w:firstLineChars="200" w:firstLine="440"/>
        <w:rPr>
          <w:rFonts w:asciiTheme="majorEastAsia" w:eastAsiaTheme="majorEastAsia" w:hAnsiTheme="majorEastAsia"/>
          <w:sz w:val="22"/>
        </w:rPr>
      </w:pPr>
      <w:r>
        <w:rPr>
          <w:rFonts w:hint="eastAsia"/>
          <w:sz w:val="22"/>
        </w:rPr>
        <w:t>配　布　数　　３，０００票</w:t>
      </w:r>
    </w:p>
    <w:p w:rsidR="008A0B91" w:rsidRDefault="00844A5A">
      <w:pPr>
        <w:autoSpaceDE w:val="0"/>
        <w:autoSpaceDN w:val="0"/>
        <w:spacing w:line="380" w:lineRule="exact"/>
        <w:ind w:leftChars="0" w:left="0" w:firstLineChars="200" w:firstLine="440"/>
        <w:rPr>
          <w:sz w:val="22"/>
        </w:rPr>
      </w:pPr>
      <w:r>
        <w:rPr>
          <w:rFonts w:hint="eastAsia"/>
          <w:sz w:val="22"/>
        </w:rPr>
        <w:t>有効回収数　　１，６０８票（有効回収率　５３．６％）</w:t>
      </w:r>
      <w:r>
        <w:rPr>
          <w:sz w:val="22"/>
        </w:rPr>
        <w:br w:type="page"/>
      </w:r>
    </w:p>
    <w:p w:rsidR="008A0B91" w:rsidRDefault="00844A5A">
      <w:pPr>
        <w:pStyle w:val="1"/>
        <w:spacing w:line="360" w:lineRule="exact"/>
        <w:ind w:left="420"/>
      </w:pPr>
      <w:bookmarkStart w:id="3" w:name="_Toc331449305"/>
      <w:r>
        <w:rPr>
          <w:rFonts w:hint="eastAsia"/>
        </w:rPr>
        <w:lastRenderedPageBreak/>
        <w:t>Ⅱ　調査結果の見方</w:t>
      </w:r>
      <w:bookmarkEnd w:id="3"/>
    </w:p>
    <w:p w:rsidR="008A0B91" w:rsidRDefault="008A0B91">
      <w:pPr>
        <w:spacing w:line="360" w:lineRule="exact"/>
        <w:ind w:left="420"/>
        <w:jc w:val="center"/>
      </w:pPr>
    </w:p>
    <w:p w:rsidR="008A0B91" w:rsidRDefault="00844A5A">
      <w:pPr>
        <w:autoSpaceDN w:val="0"/>
        <w:spacing w:line="360" w:lineRule="exact"/>
        <w:ind w:leftChars="0" w:left="220" w:hangingChars="100" w:hanging="220"/>
        <w:rPr>
          <w:sz w:val="22"/>
        </w:rPr>
      </w:pPr>
      <w:r>
        <w:rPr>
          <w:rFonts w:hint="eastAsia"/>
          <w:sz w:val="22"/>
        </w:rPr>
        <w:t>１．「Ｖ　調査結果〔解説・グラフ〕」は「Ⅵ　調査結果〔数表〕」に基づき、要点のみを記述してあるので、「Ⅵ　調査結果〔数表〕」をあわせて参照すること。</w:t>
      </w:r>
    </w:p>
    <w:p w:rsidR="008A0B91" w:rsidRDefault="008A0B91">
      <w:pPr>
        <w:autoSpaceDN w:val="0"/>
        <w:spacing w:line="360" w:lineRule="exact"/>
        <w:ind w:left="420"/>
        <w:rPr>
          <w:sz w:val="22"/>
        </w:rPr>
      </w:pPr>
    </w:p>
    <w:p w:rsidR="008A0B91" w:rsidRDefault="00844A5A">
      <w:pPr>
        <w:autoSpaceDN w:val="0"/>
        <w:spacing w:line="360" w:lineRule="exact"/>
        <w:ind w:leftChars="0" w:left="220" w:hangingChars="100" w:hanging="220"/>
        <w:rPr>
          <w:sz w:val="22"/>
        </w:rPr>
      </w:pPr>
      <w:r>
        <w:rPr>
          <w:rFonts w:hint="eastAsia"/>
          <w:sz w:val="22"/>
        </w:rPr>
        <w:t>２．「Ⅵ　調査結果〔数表〕」の「サンプル」は有効調査人数を示し、比率（％）算出の基礎となっている。</w:t>
      </w:r>
    </w:p>
    <w:p w:rsidR="008A0B91" w:rsidRDefault="008A0B91">
      <w:pPr>
        <w:autoSpaceDN w:val="0"/>
        <w:spacing w:line="360" w:lineRule="exact"/>
        <w:ind w:left="420"/>
        <w:rPr>
          <w:sz w:val="22"/>
        </w:rPr>
      </w:pPr>
    </w:p>
    <w:p w:rsidR="008A0B91" w:rsidRDefault="00844A5A">
      <w:pPr>
        <w:autoSpaceDN w:val="0"/>
        <w:spacing w:line="360" w:lineRule="exact"/>
        <w:ind w:leftChars="0" w:left="220" w:hangingChars="100" w:hanging="220"/>
        <w:rPr>
          <w:sz w:val="22"/>
        </w:rPr>
      </w:pPr>
      <w:r>
        <w:rPr>
          <w:rFonts w:hint="eastAsia"/>
          <w:sz w:val="22"/>
        </w:rPr>
        <w:t>３．「Ⅵ　調査結果〔数表〕」に記入してある数値は、回答人数又は各回答項目に対する回答率であり、回答率は下記の式により求めている。</w:t>
      </w:r>
    </w:p>
    <w:p w:rsidR="008A0B91" w:rsidRDefault="00844A5A">
      <w:pPr>
        <w:autoSpaceDN w:val="0"/>
        <w:spacing w:line="360" w:lineRule="exact"/>
        <w:ind w:leftChars="95" w:left="199" w:firstLineChars="1900" w:firstLine="4180"/>
        <w:rPr>
          <w:sz w:val="22"/>
        </w:rPr>
      </w:pPr>
      <w:r>
        <w:rPr>
          <w:rFonts w:hint="eastAsia"/>
          <w:sz w:val="22"/>
        </w:rPr>
        <w:t>回答人数</w:t>
      </w:r>
    </w:p>
    <w:p w:rsidR="008A0B91" w:rsidRDefault="00844A5A">
      <w:pPr>
        <w:autoSpaceDN w:val="0"/>
        <w:spacing w:line="240" w:lineRule="exact"/>
        <w:ind w:leftChars="95" w:left="199" w:firstLineChars="200" w:firstLine="440"/>
        <w:rPr>
          <w:sz w:val="22"/>
        </w:rPr>
      </w:pPr>
      <w:r>
        <w:rPr>
          <w:rFonts w:hint="eastAsia"/>
          <w:sz w:val="22"/>
        </w:rPr>
        <w:t xml:space="preserve">回答率（％）　＝　</w:t>
      </w:r>
      <w:r>
        <w:rPr>
          <w:rFonts w:hint="eastAsia"/>
          <w:strike/>
          <w:sz w:val="22"/>
        </w:rPr>
        <w:t xml:space="preserve">　　　　　　　　　　　　　　　　　　　　　</w:t>
      </w:r>
      <w:r>
        <w:rPr>
          <w:rFonts w:hint="eastAsia"/>
          <w:sz w:val="22"/>
        </w:rPr>
        <w:t xml:space="preserve">　×　１００</w:t>
      </w:r>
    </w:p>
    <w:p w:rsidR="008A0B91" w:rsidRDefault="00844A5A">
      <w:pPr>
        <w:autoSpaceDN w:val="0"/>
        <w:spacing w:line="360" w:lineRule="exact"/>
        <w:ind w:leftChars="95" w:left="199" w:firstLineChars="1600" w:firstLine="3520"/>
        <w:rPr>
          <w:sz w:val="22"/>
        </w:rPr>
      </w:pPr>
      <w:r>
        <w:rPr>
          <w:rFonts w:hint="eastAsia"/>
          <w:sz w:val="22"/>
        </w:rPr>
        <w:t>サンプル（有効調査人数）</w:t>
      </w:r>
    </w:p>
    <w:p w:rsidR="008A0B91" w:rsidRDefault="00844A5A">
      <w:pPr>
        <w:autoSpaceDN w:val="0"/>
        <w:spacing w:line="360" w:lineRule="exact"/>
        <w:ind w:leftChars="95" w:left="199" w:firstLineChars="100" w:firstLine="220"/>
        <w:rPr>
          <w:sz w:val="22"/>
        </w:rPr>
      </w:pPr>
      <w:r>
        <w:rPr>
          <w:rFonts w:hint="eastAsia"/>
          <w:sz w:val="22"/>
        </w:rPr>
        <w:t>なお、回答率は、小数第２位を四捨五入し、表示している。</w:t>
      </w:r>
    </w:p>
    <w:p w:rsidR="008A0B91" w:rsidRDefault="008A0B91">
      <w:pPr>
        <w:autoSpaceDN w:val="0"/>
        <w:spacing w:line="360" w:lineRule="exact"/>
        <w:ind w:left="420"/>
        <w:rPr>
          <w:sz w:val="22"/>
        </w:rPr>
      </w:pPr>
    </w:p>
    <w:p w:rsidR="008A0B91" w:rsidRDefault="00844A5A">
      <w:pPr>
        <w:autoSpaceDN w:val="0"/>
        <w:spacing w:line="360" w:lineRule="exact"/>
        <w:ind w:leftChars="0" w:left="220" w:hangingChars="100" w:hanging="220"/>
        <w:rPr>
          <w:sz w:val="22"/>
        </w:rPr>
      </w:pPr>
      <w:r>
        <w:rPr>
          <w:rFonts w:hint="eastAsia"/>
          <w:sz w:val="22"/>
        </w:rPr>
        <w:t>４．質問への回答方法は「１つだけ○印（どちらかに○印）」、「２つまで○印」、「３つまで○印」、「当てはまるものすべてに○印」などの方法を採用している。したがって、複数回答の質問は比率を合計すると100％以上になる。</w:t>
      </w:r>
    </w:p>
    <w:p w:rsidR="008A0B91" w:rsidRDefault="008A0B91">
      <w:pPr>
        <w:autoSpaceDN w:val="0"/>
        <w:spacing w:line="360" w:lineRule="exact"/>
        <w:ind w:leftChars="0" w:left="0"/>
        <w:rPr>
          <w:sz w:val="22"/>
        </w:rPr>
      </w:pPr>
    </w:p>
    <w:p w:rsidR="008A0B91" w:rsidRDefault="00844A5A">
      <w:pPr>
        <w:autoSpaceDN w:val="0"/>
        <w:spacing w:line="360" w:lineRule="exact"/>
        <w:ind w:leftChars="0" w:left="0"/>
        <w:rPr>
          <w:sz w:val="22"/>
        </w:rPr>
      </w:pPr>
      <w:r>
        <w:rPr>
          <w:rFonts w:hint="eastAsia"/>
          <w:sz w:val="22"/>
        </w:rPr>
        <w:t>５．副問については、該当者の人数を母数として回答率を算出した。</w:t>
      </w:r>
    </w:p>
    <w:p w:rsidR="008A0B91" w:rsidRDefault="008A0B91">
      <w:pPr>
        <w:autoSpaceDN w:val="0"/>
        <w:spacing w:line="360" w:lineRule="exact"/>
        <w:ind w:leftChars="0" w:left="0"/>
        <w:rPr>
          <w:sz w:val="22"/>
        </w:rPr>
      </w:pPr>
    </w:p>
    <w:p w:rsidR="008A0B91" w:rsidRDefault="00844A5A">
      <w:pPr>
        <w:autoSpaceDN w:val="0"/>
        <w:spacing w:line="360" w:lineRule="exact"/>
        <w:ind w:leftChars="0" w:left="220" w:hangingChars="100" w:hanging="220"/>
        <w:rPr>
          <w:sz w:val="22"/>
        </w:rPr>
      </w:pPr>
      <w:r>
        <w:rPr>
          <w:rFonts w:hint="eastAsia"/>
          <w:sz w:val="22"/>
        </w:rPr>
        <w:t>６．各質問に対する集計は、対象者の特性別（階層別）及び回答者別（質問間クロス）で分析した。</w:t>
      </w:r>
    </w:p>
    <w:p w:rsidR="008A0B91" w:rsidRDefault="00844A5A">
      <w:pPr>
        <w:autoSpaceDN w:val="0"/>
        <w:spacing w:line="360" w:lineRule="exact"/>
        <w:ind w:leftChars="100" w:left="210"/>
        <w:rPr>
          <w:sz w:val="22"/>
        </w:rPr>
      </w:pPr>
      <w:r>
        <w:rPr>
          <w:rFonts w:hint="eastAsia"/>
          <w:sz w:val="22"/>
        </w:rPr>
        <w:t xml:space="preserve">F１　 </w:t>
      </w:r>
      <w:r>
        <w:rPr>
          <w:rFonts w:hint="eastAsia"/>
          <w:spacing w:val="660"/>
          <w:sz w:val="22"/>
          <w:fitText w:val="1760" w:id="1"/>
        </w:rPr>
        <w:t>性</w:t>
      </w:r>
      <w:r>
        <w:rPr>
          <w:rFonts w:hint="eastAsia"/>
          <w:sz w:val="22"/>
          <w:fitText w:val="1760" w:id="1"/>
        </w:rPr>
        <w:t>別</w:t>
      </w:r>
      <w:r>
        <w:rPr>
          <w:rFonts w:hint="eastAsia"/>
          <w:sz w:val="22"/>
        </w:rPr>
        <w:t xml:space="preserve">　…　男女の別</w:t>
      </w:r>
    </w:p>
    <w:p w:rsidR="008A0B91" w:rsidRDefault="00844A5A">
      <w:pPr>
        <w:autoSpaceDN w:val="0"/>
        <w:spacing w:line="360" w:lineRule="exact"/>
        <w:ind w:leftChars="100" w:left="3290" w:hangingChars="1400" w:hanging="3080"/>
        <w:rPr>
          <w:sz w:val="22"/>
        </w:rPr>
      </w:pPr>
      <w:r>
        <w:rPr>
          <w:rFonts w:hint="eastAsia"/>
          <w:sz w:val="22"/>
        </w:rPr>
        <w:t xml:space="preserve">F２　 </w:t>
      </w:r>
      <w:r>
        <w:rPr>
          <w:rFonts w:hint="eastAsia"/>
          <w:spacing w:val="275"/>
          <w:sz w:val="22"/>
          <w:fitText w:val="1760" w:id="2"/>
        </w:rPr>
        <w:t>年代</w:t>
      </w:r>
      <w:r>
        <w:rPr>
          <w:rFonts w:hint="eastAsia"/>
          <w:sz w:val="22"/>
          <w:fitText w:val="1760" w:id="2"/>
        </w:rPr>
        <w:t>別</w:t>
      </w:r>
      <w:r>
        <w:rPr>
          <w:rFonts w:hint="eastAsia"/>
          <w:sz w:val="22"/>
        </w:rPr>
        <w:t xml:space="preserve">　…　10歳代、20歳代、30歳代、40歳代、50歳代、60歳代、70歳以上の７階層に分類</w:t>
      </w:r>
    </w:p>
    <w:p w:rsidR="008A0B91" w:rsidRDefault="00844A5A">
      <w:pPr>
        <w:autoSpaceDN w:val="0"/>
        <w:spacing w:line="360" w:lineRule="exact"/>
        <w:ind w:leftChars="100" w:left="3290" w:hangingChars="1400" w:hanging="3080"/>
        <w:rPr>
          <w:sz w:val="22"/>
        </w:rPr>
      </w:pPr>
      <w:r>
        <w:rPr>
          <w:rFonts w:hint="eastAsia"/>
          <w:sz w:val="22"/>
        </w:rPr>
        <w:t xml:space="preserve">F３　 </w:t>
      </w:r>
      <w:r>
        <w:rPr>
          <w:rFonts w:hint="eastAsia"/>
          <w:spacing w:val="275"/>
          <w:sz w:val="22"/>
          <w:fitText w:val="1760" w:id="3"/>
        </w:rPr>
        <w:t>職業</w:t>
      </w:r>
      <w:r>
        <w:rPr>
          <w:rFonts w:hint="eastAsia"/>
          <w:sz w:val="22"/>
          <w:fitText w:val="1760" w:id="3"/>
        </w:rPr>
        <w:t>別</w:t>
      </w:r>
      <w:r>
        <w:rPr>
          <w:rFonts w:hint="eastAsia"/>
          <w:sz w:val="22"/>
        </w:rPr>
        <w:t xml:space="preserve">　…　農林業、漁業、商工サービス業自営、事務職、技術職、労務職、管理職、自由業、主婦・主夫、学生、無職、その他の12種類に分類</w:t>
      </w:r>
    </w:p>
    <w:p w:rsidR="008A0B91" w:rsidRDefault="00844A5A">
      <w:pPr>
        <w:autoSpaceDN w:val="0"/>
        <w:spacing w:line="360" w:lineRule="exact"/>
        <w:ind w:leftChars="100" w:left="210"/>
        <w:rPr>
          <w:sz w:val="22"/>
        </w:rPr>
      </w:pPr>
      <w:r>
        <w:rPr>
          <w:rFonts w:hint="eastAsia"/>
          <w:sz w:val="22"/>
        </w:rPr>
        <w:t>F４　 属　 　性 　　別　…　世帯主、世帯主ではない（世帯員）の２種類に分類</w:t>
      </w:r>
    </w:p>
    <w:p w:rsidR="008A0B91" w:rsidRDefault="00844A5A">
      <w:pPr>
        <w:autoSpaceDN w:val="0"/>
        <w:spacing w:line="360" w:lineRule="exact"/>
        <w:ind w:leftChars="100" w:left="210"/>
        <w:rPr>
          <w:sz w:val="22"/>
        </w:rPr>
      </w:pPr>
      <w:r>
        <w:rPr>
          <w:rFonts w:hint="eastAsia"/>
          <w:sz w:val="22"/>
        </w:rPr>
        <w:t xml:space="preserve">F５　 </w:t>
      </w:r>
      <w:r>
        <w:rPr>
          <w:rFonts w:hint="eastAsia"/>
          <w:spacing w:val="82"/>
          <w:sz w:val="22"/>
          <w:fitText w:val="1760" w:id="4"/>
        </w:rPr>
        <w:t>婚姻状況</w:t>
      </w:r>
      <w:r>
        <w:rPr>
          <w:rFonts w:hint="eastAsia"/>
          <w:spacing w:val="2"/>
          <w:sz w:val="22"/>
          <w:fitText w:val="1760" w:id="4"/>
        </w:rPr>
        <w:t>別</w:t>
      </w:r>
      <w:r>
        <w:rPr>
          <w:rFonts w:hint="eastAsia"/>
          <w:sz w:val="22"/>
        </w:rPr>
        <w:t xml:space="preserve">　…　未婚、既婚、その他（離別、死別を含む）の３種類に分類</w:t>
      </w:r>
    </w:p>
    <w:p w:rsidR="008A0B91" w:rsidRDefault="00844A5A">
      <w:pPr>
        <w:autoSpaceDN w:val="0"/>
        <w:spacing w:line="360" w:lineRule="exact"/>
        <w:ind w:leftChars="100" w:left="3290" w:hangingChars="1400" w:hanging="3080"/>
        <w:rPr>
          <w:sz w:val="22"/>
        </w:rPr>
      </w:pPr>
      <w:r>
        <w:rPr>
          <w:rFonts w:hint="eastAsia"/>
          <w:sz w:val="22"/>
        </w:rPr>
        <w:t xml:space="preserve">F６　 </w:t>
      </w:r>
      <w:r>
        <w:rPr>
          <w:rFonts w:hint="eastAsia"/>
          <w:spacing w:val="18"/>
          <w:sz w:val="22"/>
          <w:fitText w:val="1760" w:id="5"/>
        </w:rPr>
        <w:t>子どもの状況</w:t>
      </w:r>
      <w:r>
        <w:rPr>
          <w:rFonts w:hint="eastAsia"/>
          <w:spacing w:val="2"/>
          <w:sz w:val="22"/>
          <w:fitText w:val="1760" w:id="5"/>
        </w:rPr>
        <w:t>別</w:t>
      </w:r>
      <w:r>
        <w:rPr>
          <w:rFonts w:hint="eastAsia"/>
          <w:sz w:val="22"/>
        </w:rPr>
        <w:t xml:space="preserve">　…　就学前の子どもがいる、小学生の子どもがいる、中学生の子どもがいる、高校生の子どもがいる、大学生・専門学校生等の子どもがいる、子どもは成人している又は独立している、子どもはいないの７種類に分類</w:t>
      </w:r>
    </w:p>
    <w:p w:rsidR="008A0B91" w:rsidRDefault="00844A5A">
      <w:pPr>
        <w:autoSpaceDN w:val="0"/>
        <w:spacing w:line="360" w:lineRule="exact"/>
        <w:ind w:leftChars="100" w:left="3400" w:hangingChars="1450" w:hanging="3190"/>
        <w:rPr>
          <w:sz w:val="22"/>
        </w:rPr>
      </w:pPr>
      <w:r>
        <w:rPr>
          <w:rFonts w:hint="eastAsia"/>
          <w:sz w:val="22"/>
        </w:rPr>
        <w:t>F７　 世帯の年間収入別　…　0～100万円未満、100～200万円未満、200～300万円未満、</w:t>
      </w:r>
    </w:p>
    <w:p w:rsidR="008A0B91" w:rsidRDefault="00844A5A">
      <w:pPr>
        <w:autoSpaceDN w:val="0"/>
        <w:spacing w:line="360" w:lineRule="exact"/>
        <w:ind w:leftChars="1500" w:left="3150" w:firstLineChars="50" w:firstLine="110"/>
        <w:rPr>
          <w:sz w:val="22"/>
        </w:rPr>
      </w:pPr>
      <w:r>
        <w:rPr>
          <w:rFonts w:hint="eastAsia"/>
          <w:sz w:val="22"/>
        </w:rPr>
        <w:t>300～400万円未満、400～600万円未満、600～800万円未満、</w:t>
      </w:r>
    </w:p>
    <w:p w:rsidR="008A0B91" w:rsidRDefault="00844A5A">
      <w:pPr>
        <w:autoSpaceDN w:val="0"/>
        <w:spacing w:line="360" w:lineRule="exact"/>
        <w:ind w:leftChars="1500" w:left="3150" w:firstLineChars="50" w:firstLine="110"/>
        <w:rPr>
          <w:sz w:val="22"/>
        </w:rPr>
      </w:pPr>
      <w:r>
        <w:rPr>
          <w:rFonts w:hint="eastAsia"/>
          <w:sz w:val="22"/>
        </w:rPr>
        <w:t>800～1,000 万円未満、1,000万円以上の８種類に分類</w:t>
      </w:r>
    </w:p>
    <w:p w:rsidR="008A0B91" w:rsidRDefault="00844A5A">
      <w:pPr>
        <w:autoSpaceDN w:val="0"/>
        <w:spacing w:line="360" w:lineRule="exact"/>
        <w:ind w:leftChars="100" w:left="3070" w:hangingChars="1300" w:hanging="2860"/>
        <w:rPr>
          <w:sz w:val="22"/>
        </w:rPr>
      </w:pPr>
      <w:r>
        <w:rPr>
          <w:rFonts w:hint="eastAsia"/>
          <w:sz w:val="22"/>
        </w:rPr>
        <w:t xml:space="preserve">F８　 </w:t>
      </w:r>
      <w:r>
        <w:rPr>
          <w:rFonts w:hint="eastAsia"/>
          <w:spacing w:val="18"/>
          <w:sz w:val="22"/>
          <w:fitText w:val="1760" w:id="6"/>
        </w:rPr>
        <w:t>住まいの状況</w:t>
      </w:r>
      <w:r>
        <w:rPr>
          <w:rFonts w:hint="eastAsia"/>
          <w:spacing w:val="2"/>
          <w:sz w:val="22"/>
          <w:fitText w:val="1760" w:id="6"/>
        </w:rPr>
        <w:t>別</w:t>
      </w:r>
      <w:r>
        <w:rPr>
          <w:rFonts w:hint="eastAsia"/>
          <w:sz w:val="22"/>
        </w:rPr>
        <w:t xml:space="preserve">　…　持家、借家の２種類に分類</w:t>
      </w:r>
    </w:p>
    <w:p w:rsidR="008A0B91" w:rsidRDefault="008A0B91">
      <w:pPr>
        <w:autoSpaceDN w:val="0"/>
        <w:spacing w:line="360" w:lineRule="exact"/>
        <w:ind w:leftChars="100" w:left="3290" w:hangingChars="1400" w:hanging="3080"/>
        <w:rPr>
          <w:sz w:val="22"/>
        </w:rPr>
      </w:pPr>
    </w:p>
    <w:p w:rsidR="008A0B91" w:rsidRDefault="008A0B91">
      <w:pPr>
        <w:autoSpaceDN w:val="0"/>
        <w:spacing w:line="360" w:lineRule="exact"/>
        <w:ind w:leftChars="100" w:left="3290" w:hangingChars="1400" w:hanging="3080"/>
        <w:rPr>
          <w:sz w:val="22"/>
        </w:rPr>
      </w:pPr>
    </w:p>
    <w:p w:rsidR="008A0B91" w:rsidRDefault="00844A5A">
      <w:pPr>
        <w:autoSpaceDN w:val="0"/>
        <w:spacing w:line="360" w:lineRule="exact"/>
        <w:ind w:leftChars="100" w:left="3290" w:hangingChars="1400" w:hanging="3080"/>
        <w:rPr>
          <w:sz w:val="22"/>
        </w:rPr>
      </w:pPr>
      <w:r>
        <w:rPr>
          <w:rFonts w:hint="eastAsia"/>
          <w:sz w:val="22"/>
        </w:rPr>
        <w:lastRenderedPageBreak/>
        <w:t xml:space="preserve">F９ 　</w:t>
      </w:r>
      <w:r>
        <w:rPr>
          <w:rFonts w:hint="eastAsia"/>
          <w:spacing w:val="18"/>
          <w:sz w:val="22"/>
          <w:fitText w:val="1760" w:id="7"/>
        </w:rPr>
        <w:t>広域市町村圏</w:t>
      </w:r>
      <w:r>
        <w:rPr>
          <w:rFonts w:hint="eastAsia"/>
          <w:spacing w:val="2"/>
          <w:sz w:val="22"/>
          <w:fitText w:val="1760" w:id="7"/>
        </w:rPr>
        <w:t>別</w:t>
      </w:r>
      <w:r>
        <w:rPr>
          <w:rFonts w:hint="eastAsia"/>
          <w:sz w:val="22"/>
        </w:rPr>
        <w:t xml:space="preserve">　…　高知市、安芸広域圏、南国・香美広域圏、嶺北広域圏、仁淀川広域圏、高吾北広域圏、高幡広域圏、幡多広域圏の１市７広域圏に分類</w:t>
      </w:r>
    </w:p>
    <w:p w:rsidR="008A0B91" w:rsidRDefault="00844A5A">
      <w:pPr>
        <w:autoSpaceDN w:val="0"/>
        <w:spacing w:line="360" w:lineRule="exact"/>
        <w:ind w:leftChars="100" w:left="3070" w:hangingChars="1300" w:hanging="2860"/>
        <w:rPr>
          <w:sz w:val="22"/>
        </w:rPr>
      </w:pPr>
      <w:r>
        <w:rPr>
          <w:rFonts w:hint="eastAsia"/>
          <w:sz w:val="22"/>
        </w:rPr>
        <w:t xml:space="preserve">F10　 </w:t>
      </w:r>
      <w:r>
        <w:rPr>
          <w:rFonts w:hint="eastAsia"/>
          <w:spacing w:val="146"/>
          <w:sz w:val="22"/>
          <w:fitText w:val="1760" w:id="8"/>
        </w:rPr>
        <w:t>沿岸部</w:t>
      </w:r>
      <w:r>
        <w:rPr>
          <w:rFonts w:hint="eastAsia"/>
          <w:spacing w:val="2"/>
          <w:sz w:val="22"/>
          <w:fitText w:val="1760" w:id="8"/>
        </w:rPr>
        <w:t>別</w:t>
      </w:r>
      <w:r>
        <w:rPr>
          <w:rFonts w:hint="eastAsia"/>
          <w:sz w:val="22"/>
        </w:rPr>
        <w:t xml:space="preserve">　…　沿岸部、非沿岸部の別</w:t>
      </w:r>
    </w:p>
    <w:p w:rsidR="008A0B91" w:rsidRDefault="008A0B91">
      <w:pPr>
        <w:autoSpaceDN w:val="0"/>
        <w:spacing w:line="360" w:lineRule="exact"/>
        <w:ind w:leftChars="100" w:left="210"/>
        <w:rPr>
          <w:sz w:val="22"/>
        </w:rPr>
      </w:pPr>
    </w:p>
    <w:p w:rsidR="008A0B91" w:rsidRDefault="00844A5A">
      <w:pPr>
        <w:autoSpaceDN w:val="0"/>
        <w:spacing w:line="360" w:lineRule="exact"/>
        <w:ind w:leftChars="100" w:left="210"/>
        <w:rPr>
          <w:sz w:val="22"/>
        </w:rPr>
      </w:pPr>
      <w:r>
        <w:rPr>
          <w:rFonts w:hint="eastAsia"/>
          <w:sz w:val="22"/>
        </w:rPr>
        <w:t>※　対象者の職業別、広域市町村圏別及び沿岸部別判定は次のとおりである。</w:t>
      </w:r>
    </w:p>
    <w:p w:rsidR="008A0B91" w:rsidRDefault="00844A5A">
      <w:pPr>
        <w:autoSpaceDN w:val="0"/>
        <w:spacing w:line="360" w:lineRule="exact"/>
        <w:ind w:leftChars="0" w:left="0" w:firstLineChars="200" w:firstLine="440"/>
        <w:rPr>
          <w:sz w:val="22"/>
        </w:rPr>
      </w:pPr>
      <w:r>
        <w:rPr>
          <w:rFonts w:hint="eastAsia"/>
          <w:sz w:val="22"/>
        </w:rPr>
        <w:t>◆職業別</w:t>
      </w:r>
    </w:p>
    <w:p w:rsidR="008A0B91" w:rsidRDefault="005570A6">
      <w:pPr>
        <w:tabs>
          <w:tab w:val="left" w:pos="2730"/>
        </w:tabs>
        <w:autoSpaceDN w:val="0"/>
        <w:spacing w:line="360" w:lineRule="exact"/>
        <w:ind w:leftChars="300" w:left="2830" w:hangingChars="1000" w:hanging="2200"/>
        <w:rPr>
          <w:sz w:val="22"/>
        </w:rPr>
      </w:pPr>
      <w:r w:rsidRPr="005570A6">
        <w:rPr>
          <w:spacing w:val="262"/>
          <w:sz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2051" type="#_x0000_t88" style="position:absolute;left:0;text-align:left;margin-left:123.55pt;margin-top:6.15pt;width:7.15pt;height:25.5pt;z-index:2" adj="5400">
            <v:textbox inset="5.85pt,.7pt,5.85pt,.7pt"/>
          </v:shape>
        </w:pict>
      </w:r>
      <w:r w:rsidR="00844A5A">
        <w:rPr>
          <w:rFonts w:hint="eastAsia"/>
          <w:spacing w:val="9"/>
          <w:sz w:val="22"/>
          <w:fitText w:val="1650" w:id="9"/>
        </w:rPr>
        <w:t xml:space="preserve">農　　林　　</w:t>
      </w:r>
      <w:r w:rsidR="00844A5A">
        <w:rPr>
          <w:rFonts w:hint="eastAsia"/>
          <w:spacing w:val="1"/>
          <w:sz w:val="22"/>
          <w:fitText w:val="1650" w:id="9"/>
        </w:rPr>
        <w:t>業</w:t>
      </w:r>
      <w:r w:rsidR="00844A5A">
        <w:rPr>
          <w:rFonts w:hint="eastAsia"/>
          <w:sz w:val="22"/>
        </w:rPr>
        <w:t xml:space="preserve">　  </w:t>
      </w:r>
      <w:r w:rsidR="00844A5A">
        <w:rPr>
          <w:rFonts w:hint="eastAsia"/>
        </w:rPr>
        <w:t>（主婦・主夫の場合は、家庭内の仕事と田畑、漁業に出る時間と比較</w:t>
      </w:r>
    </w:p>
    <w:p w:rsidR="008A0B91" w:rsidRDefault="00844A5A">
      <w:pPr>
        <w:tabs>
          <w:tab w:val="left" w:pos="2730"/>
        </w:tabs>
        <w:autoSpaceDN w:val="0"/>
        <w:spacing w:line="360" w:lineRule="exact"/>
        <w:ind w:leftChars="42" w:left="88" w:firstLineChars="250" w:firstLine="550"/>
        <w:rPr>
          <w:sz w:val="22"/>
        </w:rPr>
      </w:pPr>
      <w:r>
        <w:rPr>
          <w:rFonts w:hint="eastAsia"/>
          <w:sz w:val="22"/>
        </w:rPr>
        <w:t xml:space="preserve">漁　　　　　 業　　</w:t>
      </w:r>
      <w:r>
        <w:rPr>
          <w:rFonts w:hint="eastAsia"/>
        </w:rPr>
        <w:t xml:space="preserve"> して多い方を選択）</w:t>
      </w:r>
    </w:p>
    <w:p w:rsidR="008A0B91" w:rsidRDefault="00844A5A" w:rsidP="00844A5A">
      <w:pPr>
        <w:tabs>
          <w:tab w:val="left" w:pos="2730"/>
        </w:tabs>
        <w:autoSpaceDN w:val="0"/>
        <w:spacing w:line="360" w:lineRule="exact"/>
        <w:ind w:leftChars="300" w:left="2489" w:hangingChars="1000" w:hanging="1859"/>
        <w:rPr>
          <w:sz w:val="22"/>
        </w:rPr>
      </w:pPr>
      <w:r>
        <w:rPr>
          <w:rFonts w:hint="eastAsia"/>
          <w:spacing w:val="1"/>
          <w:w w:val="84"/>
          <w:sz w:val="22"/>
          <w:fitText w:val="1680" w:id="10"/>
        </w:rPr>
        <w:t>商工サービス業自</w:t>
      </w:r>
      <w:r>
        <w:rPr>
          <w:rFonts w:hint="eastAsia"/>
          <w:spacing w:val="4"/>
          <w:w w:val="84"/>
          <w:sz w:val="22"/>
          <w:fitText w:val="1680" w:id="10"/>
        </w:rPr>
        <w:t>営</w:t>
      </w:r>
      <w:r>
        <w:rPr>
          <w:rFonts w:hint="eastAsia"/>
          <w:sz w:val="22"/>
        </w:rPr>
        <w:tab/>
        <w:t xml:space="preserve">　</w:t>
      </w:r>
      <w:r>
        <w:rPr>
          <w:rFonts w:hint="eastAsia"/>
        </w:rPr>
        <w:t>（商店や工場などを自分でやっている人、家族従業者を含む）</w:t>
      </w:r>
    </w:p>
    <w:p w:rsidR="008A0B91" w:rsidRDefault="00844A5A">
      <w:pPr>
        <w:tabs>
          <w:tab w:val="left" w:pos="2730"/>
        </w:tabs>
        <w:autoSpaceDN w:val="0"/>
        <w:spacing w:line="360" w:lineRule="exact"/>
        <w:ind w:leftChars="300" w:left="630"/>
        <w:rPr>
          <w:sz w:val="22"/>
        </w:rPr>
      </w:pPr>
      <w:r>
        <w:rPr>
          <w:rFonts w:hint="eastAsia"/>
          <w:spacing w:val="255"/>
          <w:sz w:val="22"/>
          <w:fitText w:val="1680" w:id="11"/>
        </w:rPr>
        <w:t>事務</w:t>
      </w:r>
      <w:r>
        <w:rPr>
          <w:rFonts w:hint="eastAsia"/>
          <w:sz w:val="22"/>
          <w:fitText w:val="1680" w:id="11"/>
        </w:rPr>
        <w:t>職</w:t>
      </w:r>
      <w:r>
        <w:rPr>
          <w:rFonts w:hint="eastAsia"/>
          <w:sz w:val="22"/>
        </w:rPr>
        <w:tab/>
      </w:r>
      <w:r>
        <w:rPr>
          <w:rFonts w:hint="eastAsia"/>
        </w:rPr>
        <w:t>（勤め人や公務員で主に事務系の仕事の人、課長以上を除く）</w:t>
      </w:r>
    </w:p>
    <w:p w:rsidR="008A0B91" w:rsidRDefault="00844A5A">
      <w:pPr>
        <w:tabs>
          <w:tab w:val="left" w:pos="2730"/>
        </w:tabs>
        <w:autoSpaceDN w:val="0"/>
        <w:spacing w:line="360" w:lineRule="exact"/>
        <w:ind w:leftChars="300" w:left="630"/>
      </w:pPr>
      <w:r>
        <w:rPr>
          <w:rFonts w:hint="eastAsia"/>
          <w:spacing w:val="255"/>
          <w:sz w:val="22"/>
          <w:fitText w:val="1680" w:id="12"/>
        </w:rPr>
        <w:t>技術</w:t>
      </w:r>
      <w:r>
        <w:rPr>
          <w:rFonts w:hint="eastAsia"/>
          <w:sz w:val="22"/>
          <w:fitText w:val="1680" w:id="12"/>
        </w:rPr>
        <w:t>職</w:t>
      </w:r>
      <w:r>
        <w:rPr>
          <w:rFonts w:hint="eastAsia"/>
          <w:sz w:val="22"/>
        </w:rPr>
        <w:tab/>
      </w:r>
      <w:r>
        <w:rPr>
          <w:rFonts w:hint="eastAsia"/>
        </w:rPr>
        <w:t>（主に技術系の仕事の人、看護師、保育士、教員など、課長以上を除く）</w:t>
      </w:r>
    </w:p>
    <w:p w:rsidR="008A0B91" w:rsidRDefault="00844A5A">
      <w:pPr>
        <w:tabs>
          <w:tab w:val="left" w:pos="2730"/>
          <w:tab w:val="left" w:pos="2835"/>
        </w:tabs>
        <w:autoSpaceDN w:val="0"/>
        <w:spacing w:line="360" w:lineRule="exact"/>
        <w:ind w:leftChars="300" w:left="630"/>
        <w:rPr>
          <w:sz w:val="22"/>
        </w:rPr>
      </w:pPr>
      <w:r>
        <w:rPr>
          <w:rFonts w:hint="eastAsia"/>
          <w:spacing w:val="255"/>
          <w:sz w:val="22"/>
          <w:fitText w:val="1680" w:id="13"/>
        </w:rPr>
        <w:t>労務</w:t>
      </w:r>
      <w:r>
        <w:rPr>
          <w:rFonts w:hint="eastAsia"/>
          <w:sz w:val="22"/>
          <w:fitText w:val="1680" w:id="13"/>
        </w:rPr>
        <w:t>職</w:t>
      </w:r>
      <w:r>
        <w:rPr>
          <w:rFonts w:hint="eastAsia"/>
          <w:sz w:val="22"/>
        </w:rPr>
        <w:tab/>
      </w:r>
      <w:r>
        <w:rPr>
          <w:rFonts w:hint="eastAsia"/>
        </w:rPr>
        <w:t>（現場従業者、工員、運転手、店員、日雇い、大工など）</w:t>
      </w:r>
    </w:p>
    <w:p w:rsidR="008A0B91" w:rsidRDefault="00844A5A">
      <w:pPr>
        <w:tabs>
          <w:tab w:val="left" w:pos="2730"/>
          <w:tab w:val="left" w:pos="2835"/>
        </w:tabs>
        <w:autoSpaceDN w:val="0"/>
        <w:spacing w:line="360" w:lineRule="exact"/>
        <w:ind w:leftChars="300" w:left="630"/>
        <w:rPr>
          <w:sz w:val="22"/>
        </w:rPr>
      </w:pPr>
      <w:r>
        <w:rPr>
          <w:rFonts w:hint="eastAsia"/>
          <w:spacing w:val="255"/>
          <w:sz w:val="22"/>
          <w:fitText w:val="1680" w:id="14"/>
        </w:rPr>
        <w:t>管理</w:t>
      </w:r>
      <w:r>
        <w:rPr>
          <w:rFonts w:hint="eastAsia"/>
          <w:sz w:val="22"/>
          <w:fitText w:val="1680" w:id="14"/>
        </w:rPr>
        <w:t>職</w:t>
      </w:r>
      <w:r>
        <w:rPr>
          <w:rFonts w:hint="eastAsia"/>
          <w:sz w:val="22"/>
        </w:rPr>
        <w:tab/>
      </w:r>
      <w:r>
        <w:rPr>
          <w:rFonts w:hint="eastAsia"/>
        </w:rPr>
        <w:t>（勤め人・公務員で課長以上の場合、校長・教頭など）</w:t>
      </w:r>
    </w:p>
    <w:p w:rsidR="008A0B91" w:rsidRDefault="00844A5A">
      <w:pPr>
        <w:tabs>
          <w:tab w:val="left" w:pos="2730"/>
          <w:tab w:val="left" w:pos="2835"/>
        </w:tabs>
        <w:autoSpaceDN w:val="0"/>
        <w:spacing w:line="360" w:lineRule="exact"/>
        <w:ind w:leftChars="300" w:left="630"/>
        <w:rPr>
          <w:sz w:val="22"/>
        </w:rPr>
      </w:pPr>
      <w:r>
        <w:rPr>
          <w:rFonts w:hint="eastAsia"/>
          <w:spacing w:val="255"/>
          <w:sz w:val="22"/>
          <w:fitText w:val="1680" w:id="15"/>
        </w:rPr>
        <w:t>自由</w:t>
      </w:r>
      <w:r>
        <w:rPr>
          <w:rFonts w:hint="eastAsia"/>
          <w:sz w:val="22"/>
          <w:fitText w:val="1680" w:id="15"/>
        </w:rPr>
        <w:t>業</w:t>
      </w:r>
      <w:r>
        <w:rPr>
          <w:rFonts w:hint="eastAsia"/>
          <w:sz w:val="22"/>
        </w:rPr>
        <w:tab/>
      </w:r>
      <w:r>
        <w:rPr>
          <w:rFonts w:hint="eastAsia"/>
        </w:rPr>
        <w:t>（医師、弁護士、画家、僧侶など）</w:t>
      </w:r>
    </w:p>
    <w:p w:rsidR="008A0B91" w:rsidRDefault="00844A5A">
      <w:pPr>
        <w:tabs>
          <w:tab w:val="left" w:pos="2730"/>
          <w:tab w:val="left" w:pos="2835"/>
        </w:tabs>
        <w:autoSpaceDN w:val="0"/>
        <w:spacing w:line="360" w:lineRule="exact"/>
        <w:ind w:leftChars="300" w:left="630"/>
        <w:rPr>
          <w:sz w:val="22"/>
        </w:rPr>
      </w:pPr>
      <w:r>
        <w:rPr>
          <w:rFonts w:hint="eastAsia"/>
          <w:spacing w:val="11"/>
          <w:sz w:val="22"/>
          <w:fitText w:val="1681" w:id="16"/>
        </w:rPr>
        <w:t xml:space="preserve">主　婦・主　</w:t>
      </w:r>
      <w:r>
        <w:rPr>
          <w:rFonts w:hint="eastAsia"/>
          <w:spacing w:val="4"/>
          <w:sz w:val="22"/>
          <w:fitText w:val="1681" w:id="16"/>
        </w:rPr>
        <w:t>夫</w:t>
      </w:r>
      <w:r>
        <w:rPr>
          <w:rFonts w:hint="eastAsia"/>
          <w:sz w:val="22"/>
        </w:rPr>
        <w:tab/>
      </w:r>
      <w:r>
        <w:rPr>
          <w:rFonts w:hint="eastAsia"/>
        </w:rPr>
        <w:t>（家庭内の仕事が一日で最も多い場合）</w:t>
      </w:r>
    </w:p>
    <w:p w:rsidR="008A0B91" w:rsidRDefault="00844A5A">
      <w:pPr>
        <w:tabs>
          <w:tab w:val="left" w:pos="2730"/>
          <w:tab w:val="left" w:pos="2835"/>
        </w:tabs>
        <w:autoSpaceDN w:val="0"/>
        <w:spacing w:line="360" w:lineRule="exact"/>
        <w:ind w:leftChars="300" w:left="630"/>
        <w:rPr>
          <w:sz w:val="22"/>
        </w:rPr>
      </w:pPr>
      <w:r>
        <w:rPr>
          <w:rFonts w:hint="eastAsia"/>
          <w:spacing w:val="620"/>
          <w:sz w:val="22"/>
          <w:fitText w:val="1680" w:id="17"/>
        </w:rPr>
        <w:t>学</w:t>
      </w:r>
      <w:r>
        <w:rPr>
          <w:rFonts w:hint="eastAsia"/>
          <w:sz w:val="22"/>
          <w:fitText w:val="1680" w:id="17"/>
        </w:rPr>
        <w:t>生</w:t>
      </w:r>
      <w:r>
        <w:rPr>
          <w:rFonts w:hint="eastAsia"/>
          <w:sz w:val="22"/>
        </w:rPr>
        <w:tab/>
      </w:r>
      <w:r>
        <w:rPr>
          <w:rFonts w:hint="eastAsia"/>
        </w:rPr>
        <w:t>（高校、短大、大学、その他の学校在学中）</w:t>
      </w:r>
    </w:p>
    <w:p w:rsidR="008A0B91" w:rsidRDefault="00844A5A">
      <w:pPr>
        <w:tabs>
          <w:tab w:val="left" w:pos="2730"/>
          <w:tab w:val="left" w:pos="2835"/>
        </w:tabs>
        <w:autoSpaceDN w:val="0"/>
        <w:spacing w:line="360" w:lineRule="exact"/>
        <w:ind w:leftChars="300" w:left="630"/>
      </w:pPr>
      <w:r>
        <w:rPr>
          <w:rFonts w:hint="eastAsia"/>
          <w:spacing w:val="620"/>
          <w:sz w:val="22"/>
          <w:fitText w:val="1680" w:id="18"/>
        </w:rPr>
        <w:t>無</w:t>
      </w:r>
      <w:r>
        <w:rPr>
          <w:rFonts w:hint="eastAsia"/>
          <w:sz w:val="22"/>
          <w:fitText w:val="1680" w:id="18"/>
        </w:rPr>
        <w:t>職</w:t>
      </w:r>
      <w:r>
        <w:rPr>
          <w:rFonts w:hint="eastAsia"/>
          <w:sz w:val="22"/>
        </w:rPr>
        <w:tab/>
        <w:t>（</w:t>
      </w:r>
      <w:r>
        <w:rPr>
          <w:rFonts w:hint="eastAsia"/>
        </w:rPr>
        <w:t>年金などで生活しているか、自分の収入がなく、または働いていない</w:t>
      </w:r>
    </w:p>
    <w:p w:rsidR="008A0B91" w:rsidRDefault="00844A5A">
      <w:pPr>
        <w:tabs>
          <w:tab w:val="left" w:pos="2940"/>
          <w:tab w:val="left" w:pos="3045"/>
        </w:tabs>
        <w:autoSpaceDN w:val="0"/>
        <w:spacing w:line="360" w:lineRule="exact"/>
        <w:ind w:leftChars="300" w:left="630"/>
      </w:pPr>
      <w:r>
        <w:rPr>
          <w:rFonts w:hint="eastAsia"/>
        </w:rPr>
        <w:tab/>
        <w:t>場合）</w:t>
      </w:r>
    </w:p>
    <w:p w:rsidR="008A0B91" w:rsidRDefault="00844A5A">
      <w:pPr>
        <w:tabs>
          <w:tab w:val="left" w:pos="2730"/>
          <w:tab w:val="left" w:pos="2835"/>
        </w:tabs>
        <w:autoSpaceDN w:val="0"/>
        <w:spacing w:line="360" w:lineRule="exact"/>
        <w:ind w:leftChars="300" w:left="630"/>
      </w:pPr>
      <w:r>
        <w:rPr>
          <w:rFonts w:hint="eastAsia"/>
          <w:spacing w:val="255"/>
          <w:sz w:val="22"/>
          <w:fitText w:val="1680" w:id="19"/>
        </w:rPr>
        <w:t>その</w:t>
      </w:r>
      <w:r>
        <w:rPr>
          <w:rFonts w:hint="eastAsia"/>
          <w:sz w:val="22"/>
          <w:fitText w:val="1680" w:id="19"/>
        </w:rPr>
        <w:t>他</w:t>
      </w:r>
      <w:r>
        <w:rPr>
          <w:rFonts w:hint="eastAsia"/>
          <w:sz w:val="22"/>
        </w:rPr>
        <w:tab/>
      </w:r>
      <w:r>
        <w:rPr>
          <w:rFonts w:hint="eastAsia"/>
        </w:rPr>
        <w:t>（上のいずれにも属さないもの）</w:t>
      </w:r>
    </w:p>
    <w:p w:rsidR="008A0B91" w:rsidRDefault="008A0B91">
      <w:pPr>
        <w:tabs>
          <w:tab w:val="left" w:leader="middleDot" w:pos="2730"/>
          <w:tab w:val="left" w:pos="2835"/>
        </w:tabs>
        <w:autoSpaceDN w:val="0"/>
        <w:spacing w:line="360" w:lineRule="exact"/>
        <w:ind w:left="420"/>
        <w:rPr>
          <w:sz w:val="22"/>
        </w:rPr>
      </w:pPr>
    </w:p>
    <w:p w:rsidR="008A0B91" w:rsidRDefault="00844A5A">
      <w:pPr>
        <w:tabs>
          <w:tab w:val="left" w:leader="middleDot" w:pos="2730"/>
          <w:tab w:val="left" w:pos="2835"/>
        </w:tabs>
        <w:autoSpaceDN w:val="0"/>
        <w:spacing w:line="360" w:lineRule="exact"/>
        <w:ind w:leftChars="100" w:left="210" w:firstLineChars="100" w:firstLine="220"/>
        <w:rPr>
          <w:sz w:val="22"/>
        </w:rPr>
      </w:pPr>
      <w:r>
        <w:rPr>
          <w:rFonts w:hint="eastAsia"/>
          <w:sz w:val="22"/>
        </w:rPr>
        <w:t>◆広域市町村圏別</w:t>
      </w:r>
    </w:p>
    <w:p w:rsidR="008A0B91" w:rsidRDefault="00844A5A">
      <w:pPr>
        <w:tabs>
          <w:tab w:val="left" w:leader="middleDot" w:pos="840"/>
          <w:tab w:val="left" w:pos="2730"/>
          <w:tab w:val="left" w:pos="2835"/>
        </w:tabs>
        <w:autoSpaceDN w:val="0"/>
        <w:spacing w:line="360" w:lineRule="exact"/>
        <w:ind w:leftChars="300" w:left="630"/>
        <w:rPr>
          <w:sz w:val="22"/>
        </w:rPr>
      </w:pPr>
      <w:r>
        <w:rPr>
          <w:rFonts w:hint="eastAsia"/>
          <w:spacing w:val="255"/>
          <w:sz w:val="22"/>
          <w:fitText w:val="1680" w:id="20"/>
        </w:rPr>
        <w:t>高知</w:t>
      </w:r>
      <w:r>
        <w:rPr>
          <w:rFonts w:hint="eastAsia"/>
          <w:sz w:val="22"/>
          <w:fitText w:val="1680" w:id="20"/>
        </w:rPr>
        <w:t>市</w:t>
      </w:r>
      <w:r>
        <w:rPr>
          <w:rFonts w:hint="eastAsia"/>
          <w:sz w:val="22"/>
        </w:rPr>
        <w:tab/>
      </w:r>
    </w:p>
    <w:p w:rsidR="008A0B91" w:rsidRDefault="00844A5A">
      <w:pPr>
        <w:tabs>
          <w:tab w:val="left" w:pos="2730"/>
        </w:tabs>
        <w:autoSpaceDN w:val="0"/>
        <w:spacing w:line="360" w:lineRule="exact"/>
        <w:ind w:leftChars="300" w:left="630"/>
        <w:rPr>
          <w:sz w:val="22"/>
        </w:rPr>
      </w:pPr>
      <w:r>
        <w:rPr>
          <w:rFonts w:hint="eastAsia"/>
          <w:spacing w:val="72"/>
          <w:sz w:val="22"/>
          <w:fitText w:val="1680" w:id="21"/>
        </w:rPr>
        <w:t>安芸広域</w:t>
      </w:r>
      <w:r>
        <w:rPr>
          <w:rFonts w:hint="eastAsia"/>
          <w:spacing w:val="2"/>
          <w:sz w:val="22"/>
          <w:fitText w:val="1680" w:id="21"/>
        </w:rPr>
        <w:t>圏</w:t>
      </w:r>
      <w:r>
        <w:rPr>
          <w:rFonts w:hint="eastAsia"/>
          <w:sz w:val="22"/>
        </w:rPr>
        <w:tab/>
        <w:t>室戸市、安芸市、東洋町、奈半利町、田野町、安田町、北川村</w:t>
      </w:r>
    </w:p>
    <w:p w:rsidR="008A0B91" w:rsidRDefault="00844A5A">
      <w:pPr>
        <w:tabs>
          <w:tab w:val="left" w:pos="2730"/>
        </w:tabs>
        <w:autoSpaceDN w:val="0"/>
        <w:spacing w:line="360" w:lineRule="exact"/>
        <w:ind w:leftChars="300" w:left="630"/>
        <w:rPr>
          <w:sz w:val="22"/>
        </w:rPr>
      </w:pPr>
      <w:r>
        <w:rPr>
          <w:rFonts w:hint="eastAsia"/>
          <w:sz w:val="22"/>
        </w:rPr>
        <w:tab/>
        <w:t>馬路村、芸西村</w:t>
      </w:r>
    </w:p>
    <w:p w:rsidR="008A0B91" w:rsidRDefault="00844A5A">
      <w:pPr>
        <w:tabs>
          <w:tab w:val="left" w:pos="2730"/>
        </w:tabs>
        <w:autoSpaceDN w:val="0"/>
        <w:spacing w:line="360" w:lineRule="exact"/>
        <w:ind w:leftChars="300" w:left="630"/>
        <w:rPr>
          <w:sz w:val="22"/>
        </w:rPr>
      </w:pPr>
      <w:r>
        <w:rPr>
          <w:rFonts w:hint="eastAsia"/>
          <w:spacing w:val="1"/>
          <w:w w:val="95"/>
          <w:sz w:val="22"/>
          <w:fitText w:val="1680" w:id="22"/>
        </w:rPr>
        <w:t>南国・香美広域圏</w:t>
      </w:r>
      <w:r>
        <w:rPr>
          <w:rFonts w:hint="eastAsia"/>
          <w:sz w:val="22"/>
        </w:rPr>
        <w:tab/>
        <w:t>南国市、香南市、香美市</w:t>
      </w:r>
    </w:p>
    <w:p w:rsidR="008A0B91" w:rsidRDefault="00844A5A">
      <w:pPr>
        <w:tabs>
          <w:tab w:val="left" w:leader="middleDot" w:pos="840"/>
          <w:tab w:val="left" w:pos="2730"/>
          <w:tab w:val="left" w:pos="2835"/>
        </w:tabs>
        <w:autoSpaceDN w:val="0"/>
        <w:spacing w:line="360" w:lineRule="exact"/>
        <w:ind w:leftChars="300" w:left="630"/>
        <w:rPr>
          <w:sz w:val="22"/>
        </w:rPr>
      </w:pPr>
      <w:r>
        <w:rPr>
          <w:rFonts w:hint="eastAsia"/>
          <w:spacing w:val="72"/>
          <w:sz w:val="22"/>
          <w:fitText w:val="1680" w:id="23"/>
        </w:rPr>
        <w:t>嶺北広域</w:t>
      </w:r>
      <w:r>
        <w:rPr>
          <w:rFonts w:hint="eastAsia"/>
          <w:spacing w:val="2"/>
          <w:sz w:val="22"/>
          <w:fitText w:val="1680" w:id="23"/>
        </w:rPr>
        <w:t>圏</w:t>
      </w:r>
      <w:r>
        <w:rPr>
          <w:rFonts w:hint="eastAsia"/>
          <w:sz w:val="22"/>
        </w:rPr>
        <w:tab/>
        <w:t>本山町、大豊町、土佐町、大川村</w:t>
      </w:r>
    </w:p>
    <w:p w:rsidR="008A0B91" w:rsidRDefault="00844A5A">
      <w:pPr>
        <w:tabs>
          <w:tab w:val="left" w:pos="2730"/>
          <w:tab w:val="left" w:pos="2835"/>
        </w:tabs>
        <w:autoSpaceDN w:val="0"/>
        <w:spacing w:line="360" w:lineRule="exact"/>
        <w:ind w:leftChars="300" w:left="630"/>
        <w:rPr>
          <w:sz w:val="22"/>
        </w:rPr>
      </w:pPr>
      <w:r>
        <w:rPr>
          <w:rFonts w:hint="eastAsia"/>
          <w:spacing w:val="36"/>
          <w:sz w:val="22"/>
          <w:fitText w:val="1680" w:id="24"/>
        </w:rPr>
        <w:t>仁淀川広域</w:t>
      </w:r>
      <w:r>
        <w:rPr>
          <w:rFonts w:hint="eastAsia"/>
          <w:sz w:val="22"/>
          <w:fitText w:val="1680" w:id="24"/>
        </w:rPr>
        <w:t>圏</w:t>
      </w:r>
      <w:r>
        <w:rPr>
          <w:rFonts w:hint="eastAsia"/>
          <w:sz w:val="22"/>
        </w:rPr>
        <w:tab/>
        <w:t>土佐市、いの町、日高村</w:t>
      </w:r>
    </w:p>
    <w:p w:rsidR="008A0B91" w:rsidRDefault="00844A5A">
      <w:pPr>
        <w:tabs>
          <w:tab w:val="left" w:pos="2730"/>
          <w:tab w:val="left" w:pos="2835"/>
        </w:tabs>
        <w:autoSpaceDN w:val="0"/>
        <w:spacing w:line="360" w:lineRule="exact"/>
        <w:ind w:leftChars="300" w:left="630"/>
        <w:rPr>
          <w:sz w:val="22"/>
        </w:rPr>
      </w:pPr>
      <w:r>
        <w:rPr>
          <w:rFonts w:hint="eastAsia"/>
          <w:spacing w:val="36"/>
          <w:sz w:val="22"/>
          <w:fitText w:val="1680" w:id="25"/>
        </w:rPr>
        <w:t>高吾北広域</w:t>
      </w:r>
      <w:r>
        <w:rPr>
          <w:rFonts w:hint="eastAsia"/>
          <w:sz w:val="22"/>
          <w:fitText w:val="1680" w:id="25"/>
        </w:rPr>
        <w:t>圏</w:t>
      </w:r>
      <w:r>
        <w:rPr>
          <w:rFonts w:hint="eastAsia"/>
          <w:sz w:val="22"/>
        </w:rPr>
        <w:tab/>
        <w:t>佐川町、越知町、仁淀川町</w:t>
      </w:r>
    </w:p>
    <w:p w:rsidR="008A0B91" w:rsidRDefault="00844A5A">
      <w:pPr>
        <w:tabs>
          <w:tab w:val="left" w:pos="2730"/>
          <w:tab w:val="left" w:pos="2835"/>
        </w:tabs>
        <w:autoSpaceDN w:val="0"/>
        <w:spacing w:line="360" w:lineRule="exact"/>
        <w:ind w:leftChars="300" w:left="630"/>
        <w:rPr>
          <w:sz w:val="22"/>
        </w:rPr>
      </w:pPr>
      <w:r>
        <w:rPr>
          <w:rFonts w:hint="eastAsia"/>
          <w:spacing w:val="72"/>
          <w:sz w:val="22"/>
          <w:fitText w:val="1680" w:id="26"/>
        </w:rPr>
        <w:t>高幡広域</w:t>
      </w:r>
      <w:r>
        <w:rPr>
          <w:rFonts w:hint="eastAsia"/>
          <w:spacing w:val="2"/>
          <w:sz w:val="22"/>
          <w:fitText w:val="1680" w:id="26"/>
        </w:rPr>
        <w:t>圏</w:t>
      </w:r>
      <w:r>
        <w:rPr>
          <w:rFonts w:hint="eastAsia"/>
          <w:sz w:val="22"/>
        </w:rPr>
        <w:tab/>
        <w:t>須崎市、中土佐町、梼原町、津野町、四万十町</w:t>
      </w:r>
    </w:p>
    <w:p w:rsidR="008A0B91" w:rsidRDefault="00844A5A">
      <w:pPr>
        <w:tabs>
          <w:tab w:val="left" w:pos="2730"/>
          <w:tab w:val="left" w:pos="2835"/>
        </w:tabs>
        <w:autoSpaceDN w:val="0"/>
        <w:spacing w:line="360" w:lineRule="exact"/>
        <w:ind w:leftChars="300" w:left="630"/>
        <w:rPr>
          <w:sz w:val="22"/>
        </w:rPr>
      </w:pPr>
      <w:r>
        <w:rPr>
          <w:rFonts w:hint="eastAsia"/>
          <w:spacing w:val="72"/>
          <w:sz w:val="22"/>
          <w:fitText w:val="1680" w:id="27"/>
        </w:rPr>
        <w:t>幡多広域</w:t>
      </w:r>
      <w:r>
        <w:rPr>
          <w:rFonts w:hint="eastAsia"/>
          <w:spacing w:val="2"/>
          <w:sz w:val="22"/>
          <w:fitText w:val="1680" w:id="27"/>
        </w:rPr>
        <w:t>圏</w:t>
      </w:r>
      <w:r>
        <w:rPr>
          <w:rFonts w:hint="eastAsia"/>
          <w:sz w:val="22"/>
        </w:rPr>
        <w:tab/>
        <w:t>宿毛市、土佐清水市、四万十市、大月町、三原村、黒潮町</w:t>
      </w:r>
    </w:p>
    <w:p w:rsidR="008A0B91" w:rsidRDefault="008A0B91">
      <w:pPr>
        <w:tabs>
          <w:tab w:val="left" w:pos="2730"/>
          <w:tab w:val="left" w:pos="2835"/>
        </w:tabs>
        <w:autoSpaceDN w:val="0"/>
        <w:spacing w:line="360" w:lineRule="exact"/>
        <w:ind w:left="420"/>
        <w:rPr>
          <w:sz w:val="22"/>
        </w:rPr>
      </w:pPr>
    </w:p>
    <w:p w:rsidR="008A0B91" w:rsidRDefault="00844A5A">
      <w:pPr>
        <w:tabs>
          <w:tab w:val="left" w:pos="2730"/>
          <w:tab w:val="left" w:pos="2835"/>
        </w:tabs>
        <w:autoSpaceDN w:val="0"/>
        <w:spacing w:line="360" w:lineRule="exact"/>
        <w:ind w:leftChars="0" w:left="0" w:firstLineChars="200" w:firstLine="440"/>
        <w:rPr>
          <w:sz w:val="22"/>
        </w:rPr>
      </w:pPr>
      <w:r>
        <w:rPr>
          <w:rFonts w:hint="eastAsia"/>
          <w:sz w:val="22"/>
        </w:rPr>
        <w:t>◆沿岸部別</w:t>
      </w:r>
    </w:p>
    <w:p w:rsidR="008A0B91" w:rsidRDefault="00844A5A">
      <w:pPr>
        <w:tabs>
          <w:tab w:val="left" w:pos="2730"/>
          <w:tab w:val="left" w:pos="2835"/>
        </w:tabs>
        <w:autoSpaceDN w:val="0"/>
        <w:spacing w:line="360" w:lineRule="exact"/>
        <w:ind w:leftChars="300" w:left="630"/>
        <w:rPr>
          <w:sz w:val="22"/>
        </w:rPr>
      </w:pPr>
      <w:r>
        <w:rPr>
          <w:rFonts w:hint="eastAsia"/>
          <w:sz w:val="22"/>
        </w:rPr>
        <w:t>居住地が沿岸部であると判断する目安は、海（海岸、岸壁、港、湾、河口付近）から直線距離で約５㎞（または車で約10分）を目安とする。</w:t>
      </w:r>
    </w:p>
    <w:p w:rsidR="008A0B91" w:rsidRDefault="00844A5A">
      <w:pPr>
        <w:widowControl/>
        <w:ind w:left="420"/>
        <w:rPr>
          <w:sz w:val="22"/>
        </w:rPr>
      </w:pPr>
      <w:r>
        <w:rPr>
          <w:sz w:val="22"/>
        </w:rPr>
        <w:br w:type="page"/>
      </w:r>
    </w:p>
    <w:p w:rsidR="008A0B91" w:rsidRDefault="00844A5A">
      <w:pPr>
        <w:pStyle w:val="1"/>
        <w:ind w:left="420"/>
      </w:pPr>
      <w:r>
        <w:rPr>
          <w:rFonts w:hint="eastAsia"/>
        </w:rPr>
        <w:lastRenderedPageBreak/>
        <w:t>Ⅲ　調査対象者の特性</w:t>
      </w:r>
      <w:bookmarkEnd w:id="1"/>
    </w:p>
    <w:p w:rsidR="008A0B91" w:rsidRDefault="008A0B91">
      <w:pPr>
        <w:ind w:left="420"/>
        <w:rPr>
          <w:sz w:val="22"/>
        </w:rPr>
      </w:pPr>
    </w:p>
    <w:p w:rsidR="008A0B91" w:rsidRDefault="00844A5A">
      <w:pPr>
        <w:ind w:left="420"/>
      </w:pPr>
      <w:r>
        <w:rPr>
          <w:rFonts w:hint="eastAsia"/>
        </w:rPr>
        <w:t>※構成比は小数第２位を四捨五入しているため合計が100％にならない場合もある。</w:t>
      </w:r>
      <w:bookmarkStart w:id="4" w:name="_Toc331449307"/>
    </w:p>
    <w:p w:rsidR="008A0B91" w:rsidRDefault="00844A5A">
      <w:pPr>
        <w:ind w:leftChars="0" w:left="0"/>
        <w:rPr>
          <w:rFonts w:ascii="ＭＳ ゴシック" w:eastAsia="ＭＳ ゴシック" w:hAnsi="ＭＳ ゴシック"/>
        </w:rPr>
      </w:pPr>
      <w:r>
        <w:rPr>
          <w:rFonts w:ascii="ＭＳ ゴシック" w:eastAsia="ＭＳ ゴシック" w:hAnsi="ＭＳ ゴシック" w:hint="eastAsia"/>
        </w:rPr>
        <w:t>１．広域市町村圏別の配布・回収状況</w:t>
      </w:r>
      <w:bookmarkEnd w:id="4"/>
    </w:p>
    <w:p w:rsidR="008A0B91" w:rsidRDefault="008A0B91">
      <w:pPr>
        <w:ind w:leftChars="0" w:left="0"/>
        <w:rPr>
          <w:rFonts w:ascii="ＭＳ ゴシック" w:eastAsia="ＭＳ ゴシック" w:hAnsi="ＭＳ ゴシック"/>
        </w:rPr>
      </w:pP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984"/>
        <w:gridCol w:w="2126"/>
        <w:gridCol w:w="1654"/>
        <w:gridCol w:w="1654"/>
        <w:gridCol w:w="1654"/>
      </w:tblGrid>
      <w:tr w:rsidR="008A0B91">
        <w:trPr>
          <w:trHeight w:hRule="exact" w:val="374"/>
        </w:trPr>
        <w:tc>
          <w:tcPr>
            <w:tcW w:w="1984" w:type="dxa"/>
            <w:vMerge w:val="restart"/>
            <w:shd w:val="clear" w:color="auto" w:fill="EEECE1" w:themeFill="background2"/>
            <w:vAlign w:val="center"/>
          </w:tcPr>
          <w:p w:rsidR="008A0B91" w:rsidRDefault="00844A5A">
            <w:pPr>
              <w:widowControl/>
              <w:spacing w:line="200" w:lineRule="exact"/>
              <w:ind w:leftChars="0"/>
              <w:jc w:val="center"/>
              <w:rPr>
                <w:rFonts w:asciiTheme="minorEastAsia" w:eastAsiaTheme="minorEastAsia" w:hAnsiTheme="minorEastAsia"/>
                <w:sz w:val="20"/>
              </w:rPr>
            </w:pPr>
            <w:r>
              <w:rPr>
                <w:rFonts w:asciiTheme="minorEastAsia" w:eastAsiaTheme="minorEastAsia" w:hAnsiTheme="minorEastAsia" w:hint="eastAsia"/>
                <w:sz w:val="20"/>
              </w:rPr>
              <w:t>広域市町村圏</w:t>
            </w:r>
          </w:p>
        </w:tc>
        <w:tc>
          <w:tcPr>
            <w:tcW w:w="2126" w:type="dxa"/>
            <w:vMerge w:val="restart"/>
            <w:shd w:val="clear" w:color="auto" w:fill="EEECE1" w:themeFill="background2"/>
            <w:vAlign w:val="center"/>
          </w:tcPr>
          <w:p w:rsidR="008A0B91" w:rsidRDefault="00844A5A">
            <w:pPr>
              <w:widowControl/>
              <w:spacing w:line="200" w:lineRule="exact"/>
              <w:ind w:leftChars="0" w:left="0"/>
              <w:jc w:val="center"/>
              <w:rPr>
                <w:rFonts w:asciiTheme="minorEastAsia" w:eastAsiaTheme="minorEastAsia" w:hAnsiTheme="minorEastAsia"/>
                <w:sz w:val="20"/>
              </w:rPr>
            </w:pPr>
            <w:r>
              <w:rPr>
                <w:rFonts w:asciiTheme="minorEastAsia" w:eastAsiaTheme="minorEastAsia" w:hAnsiTheme="minorEastAsia" w:hint="eastAsia"/>
                <w:sz w:val="20"/>
              </w:rPr>
              <w:t>配布数（人）</w:t>
            </w:r>
          </w:p>
        </w:tc>
        <w:tc>
          <w:tcPr>
            <w:tcW w:w="4962" w:type="dxa"/>
            <w:gridSpan w:val="3"/>
            <w:shd w:val="clear" w:color="auto" w:fill="EEECE1" w:themeFill="background2"/>
            <w:vAlign w:val="center"/>
          </w:tcPr>
          <w:p w:rsidR="008A0B91" w:rsidRDefault="00844A5A">
            <w:pPr>
              <w:widowControl/>
              <w:spacing w:line="200" w:lineRule="exact"/>
              <w:ind w:leftChars="0" w:left="0"/>
              <w:jc w:val="center"/>
              <w:rPr>
                <w:rFonts w:asciiTheme="minorEastAsia" w:eastAsiaTheme="minorEastAsia" w:hAnsiTheme="minorEastAsia"/>
                <w:sz w:val="20"/>
              </w:rPr>
            </w:pPr>
            <w:r>
              <w:rPr>
                <w:rFonts w:asciiTheme="minorEastAsia" w:eastAsiaTheme="minorEastAsia" w:hAnsiTheme="minorEastAsia" w:hint="eastAsia"/>
                <w:sz w:val="20"/>
              </w:rPr>
              <w:t>有効回収状況</w:t>
            </w:r>
          </w:p>
        </w:tc>
      </w:tr>
      <w:tr w:rsidR="008A0B91">
        <w:trPr>
          <w:trHeight w:hRule="exact" w:val="374"/>
        </w:trPr>
        <w:tc>
          <w:tcPr>
            <w:tcW w:w="1984" w:type="dxa"/>
            <w:vMerge/>
            <w:shd w:val="clear" w:color="auto" w:fill="EEECE1" w:themeFill="background2"/>
            <w:vAlign w:val="center"/>
          </w:tcPr>
          <w:p w:rsidR="008A0B91" w:rsidRDefault="008A0B91">
            <w:pPr>
              <w:widowControl/>
              <w:spacing w:line="200" w:lineRule="exact"/>
              <w:ind w:leftChars="0" w:left="0"/>
              <w:jc w:val="center"/>
              <w:rPr>
                <w:rFonts w:asciiTheme="minorEastAsia" w:eastAsiaTheme="minorEastAsia" w:hAnsiTheme="minorEastAsia"/>
                <w:sz w:val="20"/>
              </w:rPr>
            </w:pPr>
          </w:p>
        </w:tc>
        <w:tc>
          <w:tcPr>
            <w:tcW w:w="2126" w:type="dxa"/>
            <w:vMerge/>
            <w:shd w:val="clear" w:color="auto" w:fill="EEECE1" w:themeFill="background2"/>
            <w:vAlign w:val="center"/>
          </w:tcPr>
          <w:p w:rsidR="008A0B91" w:rsidRDefault="008A0B91">
            <w:pPr>
              <w:widowControl/>
              <w:spacing w:line="200" w:lineRule="exact"/>
              <w:ind w:leftChars="0" w:left="0"/>
              <w:jc w:val="center"/>
              <w:rPr>
                <w:rFonts w:asciiTheme="minorEastAsia" w:eastAsiaTheme="minorEastAsia" w:hAnsiTheme="minorEastAsia"/>
                <w:sz w:val="20"/>
              </w:rPr>
            </w:pPr>
          </w:p>
        </w:tc>
        <w:tc>
          <w:tcPr>
            <w:tcW w:w="1654" w:type="dxa"/>
            <w:shd w:val="clear" w:color="auto" w:fill="EEECE1" w:themeFill="background2"/>
            <w:vAlign w:val="center"/>
          </w:tcPr>
          <w:p w:rsidR="008A0B91" w:rsidRDefault="00844A5A">
            <w:pPr>
              <w:widowControl/>
              <w:spacing w:line="200" w:lineRule="exact"/>
              <w:ind w:leftChars="0" w:left="0"/>
              <w:jc w:val="center"/>
              <w:rPr>
                <w:rFonts w:asciiTheme="minorEastAsia" w:eastAsiaTheme="minorEastAsia" w:hAnsiTheme="minorEastAsia"/>
                <w:sz w:val="20"/>
              </w:rPr>
            </w:pPr>
            <w:r>
              <w:rPr>
                <w:rFonts w:asciiTheme="minorEastAsia" w:eastAsiaTheme="minorEastAsia" w:hAnsiTheme="minorEastAsia" w:hint="eastAsia"/>
                <w:sz w:val="20"/>
              </w:rPr>
              <w:t>回答数（人）</w:t>
            </w:r>
          </w:p>
        </w:tc>
        <w:tc>
          <w:tcPr>
            <w:tcW w:w="1654" w:type="dxa"/>
            <w:shd w:val="clear" w:color="auto" w:fill="EEECE1" w:themeFill="background2"/>
            <w:vAlign w:val="center"/>
          </w:tcPr>
          <w:p w:rsidR="008A0B91" w:rsidRDefault="00844A5A">
            <w:pPr>
              <w:widowControl/>
              <w:spacing w:line="200" w:lineRule="exact"/>
              <w:ind w:leftChars="0" w:left="0"/>
              <w:jc w:val="center"/>
              <w:rPr>
                <w:rFonts w:asciiTheme="minorEastAsia" w:eastAsiaTheme="minorEastAsia" w:hAnsiTheme="minorEastAsia"/>
                <w:sz w:val="20"/>
              </w:rPr>
            </w:pPr>
            <w:r>
              <w:rPr>
                <w:rFonts w:asciiTheme="minorEastAsia" w:eastAsiaTheme="minorEastAsia" w:hAnsiTheme="minorEastAsia" w:hint="eastAsia"/>
                <w:sz w:val="20"/>
              </w:rPr>
              <w:t>回収率（％）</w:t>
            </w:r>
          </w:p>
        </w:tc>
        <w:tc>
          <w:tcPr>
            <w:tcW w:w="1654" w:type="dxa"/>
            <w:shd w:val="clear" w:color="auto" w:fill="EEECE1" w:themeFill="background2"/>
            <w:vAlign w:val="center"/>
          </w:tcPr>
          <w:p w:rsidR="008A0B91" w:rsidRDefault="00844A5A">
            <w:pPr>
              <w:widowControl/>
              <w:spacing w:line="200" w:lineRule="exact"/>
              <w:ind w:leftChars="0" w:left="0"/>
              <w:jc w:val="center"/>
              <w:rPr>
                <w:rFonts w:asciiTheme="minorEastAsia" w:eastAsiaTheme="minorEastAsia" w:hAnsiTheme="minorEastAsia"/>
                <w:sz w:val="20"/>
              </w:rPr>
            </w:pPr>
            <w:r>
              <w:rPr>
                <w:rFonts w:asciiTheme="minorEastAsia" w:eastAsiaTheme="minorEastAsia" w:hAnsiTheme="minorEastAsia" w:hint="eastAsia"/>
                <w:sz w:val="20"/>
              </w:rPr>
              <w:t>構成比（％）</w:t>
            </w:r>
          </w:p>
        </w:tc>
      </w:tr>
      <w:tr w:rsidR="008A0B91">
        <w:trPr>
          <w:trHeight w:hRule="exact" w:val="374"/>
        </w:trPr>
        <w:tc>
          <w:tcPr>
            <w:tcW w:w="1984" w:type="dxa"/>
            <w:shd w:val="clear" w:color="auto" w:fill="auto"/>
            <w:vAlign w:val="center"/>
          </w:tcPr>
          <w:p w:rsidR="008A0B91" w:rsidRDefault="00844A5A">
            <w:pPr>
              <w:widowControl/>
              <w:spacing w:line="200" w:lineRule="exact"/>
              <w:ind w:leftChars="0" w:left="0"/>
              <w:jc w:val="center"/>
              <w:rPr>
                <w:rFonts w:asciiTheme="minorEastAsia" w:eastAsiaTheme="minorEastAsia" w:hAnsiTheme="minorEastAsia"/>
                <w:sz w:val="20"/>
              </w:rPr>
            </w:pPr>
            <w:r>
              <w:rPr>
                <w:rFonts w:asciiTheme="minorEastAsia" w:eastAsiaTheme="minorEastAsia" w:hAnsiTheme="minorEastAsia" w:hint="eastAsia"/>
                <w:sz w:val="20"/>
              </w:rPr>
              <w:t>高知市</w:t>
            </w:r>
          </w:p>
        </w:tc>
        <w:tc>
          <w:tcPr>
            <w:tcW w:w="2126" w:type="dxa"/>
            <w:vAlign w:val="center"/>
          </w:tcPr>
          <w:p w:rsidR="008A0B91" w:rsidRDefault="00844A5A">
            <w:pPr>
              <w:widowControl/>
              <w:spacing w:line="200" w:lineRule="exact"/>
              <w:ind w:leftChars="0" w:left="0"/>
              <w:jc w:val="right"/>
              <w:rPr>
                <w:sz w:val="20"/>
              </w:rPr>
            </w:pPr>
            <w:r>
              <w:rPr>
                <w:rFonts w:hint="eastAsia"/>
                <w:sz w:val="20"/>
              </w:rPr>
              <w:t>1,350</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710</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52.6％</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44.2％</w:t>
            </w:r>
          </w:p>
        </w:tc>
      </w:tr>
      <w:tr w:rsidR="008A0B91">
        <w:trPr>
          <w:trHeight w:hRule="exact" w:val="374"/>
        </w:trPr>
        <w:tc>
          <w:tcPr>
            <w:tcW w:w="1984" w:type="dxa"/>
            <w:shd w:val="clear" w:color="auto" w:fill="auto"/>
            <w:vAlign w:val="center"/>
          </w:tcPr>
          <w:p w:rsidR="008A0B91" w:rsidRDefault="00844A5A">
            <w:pPr>
              <w:widowControl/>
              <w:spacing w:line="200" w:lineRule="exact"/>
              <w:ind w:leftChars="0" w:left="0"/>
              <w:jc w:val="center"/>
              <w:rPr>
                <w:rFonts w:asciiTheme="minorEastAsia" w:eastAsiaTheme="minorEastAsia" w:hAnsiTheme="minorEastAsia"/>
                <w:sz w:val="20"/>
              </w:rPr>
            </w:pPr>
            <w:r>
              <w:rPr>
                <w:rFonts w:asciiTheme="minorEastAsia" w:eastAsiaTheme="minorEastAsia" w:hAnsiTheme="minorEastAsia" w:hint="eastAsia"/>
                <w:sz w:val="20"/>
              </w:rPr>
              <w:t>安芸広域圏</w:t>
            </w:r>
          </w:p>
        </w:tc>
        <w:tc>
          <w:tcPr>
            <w:tcW w:w="2126" w:type="dxa"/>
            <w:vAlign w:val="center"/>
          </w:tcPr>
          <w:p w:rsidR="008A0B91" w:rsidRDefault="00844A5A">
            <w:pPr>
              <w:widowControl/>
              <w:spacing w:line="200" w:lineRule="exact"/>
              <w:ind w:leftChars="0" w:left="0"/>
              <w:jc w:val="right"/>
              <w:rPr>
                <w:sz w:val="20"/>
              </w:rPr>
            </w:pPr>
            <w:r>
              <w:rPr>
                <w:rFonts w:hint="eastAsia"/>
                <w:sz w:val="20"/>
              </w:rPr>
              <w:t>210</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114</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54.3％</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7.1％</w:t>
            </w:r>
          </w:p>
        </w:tc>
      </w:tr>
      <w:tr w:rsidR="008A0B91">
        <w:trPr>
          <w:trHeight w:hRule="exact" w:val="374"/>
        </w:trPr>
        <w:tc>
          <w:tcPr>
            <w:tcW w:w="1984" w:type="dxa"/>
            <w:shd w:val="clear" w:color="auto" w:fill="auto"/>
            <w:vAlign w:val="center"/>
          </w:tcPr>
          <w:p w:rsidR="008A0B91" w:rsidRDefault="00844A5A">
            <w:pPr>
              <w:widowControl/>
              <w:spacing w:line="200" w:lineRule="exact"/>
              <w:ind w:leftChars="0" w:left="0"/>
              <w:jc w:val="center"/>
              <w:rPr>
                <w:rFonts w:asciiTheme="minorEastAsia" w:eastAsiaTheme="minorEastAsia" w:hAnsiTheme="minorEastAsia"/>
                <w:sz w:val="20"/>
              </w:rPr>
            </w:pPr>
            <w:r>
              <w:rPr>
                <w:rFonts w:asciiTheme="minorEastAsia" w:eastAsiaTheme="minorEastAsia" w:hAnsiTheme="minorEastAsia" w:hint="eastAsia"/>
                <w:sz w:val="20"/>
              </w:rPr>
              <w:t>南国・香美広域圏</w:t>
            </w:r>
          </w:p>
        </w:tc>
        <w:tc>
          <w:tcPr>
            <w:tcW w:w="2126" w:type="dxa"/>
            <w:vAlign w:val="center"/>
          </w:tcPr>
          <w:p w:rsidR="008A0B91" w:rsidRDefault="00844A5A">
            <w:pPr>
              <w:widowControl/>
              <w:spacing w:line="200" w:lineRule="exact"/>
              <w:ind w:leftChars="0" w:left="0"/>
              <w:jc w:val="right"/>
              <w:rPr>
                <w:sz w:val="20"/>
              </w:rPr>
            </w:pPr>
            <w:r>
              <w:rPr>
                <w:rFonts w:hint="eastAsia"/>
                <w:sz w:val="20"/>
              </w:rPr>
              <w:t>440</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229</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52.0％</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14.2％</w:t>
            </w:r>
          </w:p>
        </w:tc>
      </w:tr>
      <w:tr w:rsidR="008A0B91">
        <w:trPr>
          <w:trHeight w:hRule="exact" w:val="374"/>
        </w:trPr>
        <w:tc>
          <w:tcPr>
            <w:tcW w:w="1984" w:type="dxa"/>
            <w:shd w:val="clear" w:color="auto" w:fill="auto"/>
            <w:vAlign w:val="center"/>
          </w:tcPr>
          <w:p w:rsidR="008A0B91" w:rsidRDefault="00844A5A">
            <w:pPr>
              <w:widowControl/>
              <w:spacing w:line="200" w:lineRule="exact"/>
              <w:ind w:leftChars="0" w:left="0"/>
              <w:jc w:val="center"/>
              <w:rPr>
                <w:rFonts w:asciiTheme="minorEastAsia" w:eastAsiaTheme="minorEastAsia" w:hAnsiTheme="minorEastAsia"/>
                <w:sz w:val="20"/>
              </w:rPr>
            </w:pPr>
            <w:r>
              <w:rPr>
                <w:rFonts w:asciiTheme="minorEastAsia" w:eastAsiaTheme="minorEastAsia" w:hAnsiTheme="minorEastAsia" w:hint="eastAsia"/>
                <w:sz w:val="20"/>
              </w:rPr>
              <w:t>嶺北広域圏</w:t>
            </w:r>
          </w:p>
        </w:tc>
        <w:tc>
          <w:tcPr>
            <w:tcW w:w="2126" w:type="dxa"/>
            <w:vAlign w:val="center"/>
          </w:tcPr>
          <w:p w:rsidR="008A0B91" w:rsidRDefault="00844A5A">
            <w:pPr>
              <w:widowControl/>
              <w:spacing w:line="200" w:lineRule="exact"/>
              <w:ind w:leftChars="0" w:left="0"/>
              <w:jc w:val="right"/>
              <w:rPr>
                <w:sz w:val="20"/>
              </w:rPr>
            </w:pPr>
            <w:r>
              <w:rPr>
                <w:rFonts w:hint="eastAsia"/>
                <w:sz w:val="20"/>
              </w:rPr>
              <w:t>52</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34</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65.4％</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2.1％</w:t>
            </w:r>
          </w:p>
        </w:tc>
      </w:tr>
      <w:tr w:rsidR="008A0B91">
        <w:trPr>
          <w:trHeight w:hRule="exact" w:val="374"/>
        </w:trPr>
        <w:tc>
          <w:tcPr>
            <w:tcW w:w="1984" w:type="dxa"/>
            <w:shd w:val="clear" w:color="auto" w:fill="auto"/>
            <w:vAlign w:val="center"/>
          </w:tcPr>
          <w:p w:rsidR="008A0B91" w:rsidRDefault="00844A5A">
            <w:pPr>
              <w:widowControl/>
              <w:spacing w:line="200" w:lineRule="exact"/>
              <w:ind w:leftChars="0" w:left="0"/>
              <w:jc w:val="center"/>
              <w:rPr>
                <w:rFonts w:asciiTheme="minorEastAsia" w:eastAsiaTheme="minorEastAsia" w:hAnsiTheme="minorEastAsia"/>
                <w:sz w:val="20"/>
              </w:rPr>
            </w:pPr>
            <w:r>
              <w:rPr>
                <w:rFonts w:asciiTheme="minorEastAsia" w:eastAsiaTheme="minorEastAsia" w:hAnsiTheme="minorEastAsia" w:hint="eastAsia"/>
                <w:sz w:val="20"/>
              </w:rPr>
              <w:t>仁淀川広域圏</w:t>
            </w:r>
          </w:p>
        </w:tc>
        <w:tc>
          <w:tcPr>
            <w:tcW w:w="2126" w:type="dxa"/>
            <w:vAlign w:val="center"/>
          </w:tcPr>
          <w:p w:rsidR="008A0B91" w:rsidRDefault="00844A5A">
            <w:pPr>
              <w:widowControl/>
              <w:spacing w:line="200" w:lineRule="exact"/>
              <w:ind w:leftChars="0" w:left="0"/>
              <w:jc w:val="right"/>
              <w:rPr>
                <w:sz w:val="20"/>
              </w:rPr>
            </w:pPr>
            <w:r>
              <w:rPr>
                <w:rFonts w:hint="eastAsia"/>
                <w:sz w:val="20"/>
              </w:rPr>
              <w:t>235</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126</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53.6％</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7.8％</w:t>
            </w:r>
          </w:p>
        </w:tc>
      </w:tr>
      <w:tr w:rsidR="008A0B91">
        <w:trPr>
          <w:trHeight w:hRule="exact" w:val="374"/>
        </w:trPr>
        <w:tc>
          <w:tcPr>
            <w:tcW w:w="1984" w:type="dxa"/>
            <w:shd w:val="clear" w:color="auto" w:fill="auto"/>
            <w:vAlign w:val="center"/>
          </w:tcPr>
          <w:p w:rsidR="008A0B91" w:rsidRDefault="00844A5A">
            <w:pPr>
              <w:widowControl/>
              <w:spacing w:line="200" w:lineRule="exact"/>
              <w:ind w:leftChars="0" w:left="0"/>
              <w:jc w:val="center"/>
              <w:rPr>
                <w:rFonts w:asciiTheme="minorEastAsia" w:eastAsiaTheme="minorEastAsia" w:hAnsiTheme="minorEastAsia"/>
                <w:sz w:val="20"/>
              </w:rPr>
            </w:pPr>
            <w:r>
              <w:rPr>
                <w:rFonts w:asciiTheme="minorEastAsia" w:eastAsiaTheme="minorEastAsia" w:hAnsiTheme="minorEastAsia" w:hint="eastAsia"/>
                <w:sz w:val="20"/>
              </w:rPr>
              <w:t>高吾北広域圏</w:t>
            </w:r>
          </w:p>
        </w:tc>
        <w:tc>
          <w:tcPr>
            <w:tcW w:w="2126" w:type="dxa"/>
            <w:vAlign w:val="center"/>
          </w:tcPr>
          <w:p w:rsidR="008A0B91" w:rsidRDefault="00844A5A">
            <w:pPr>
              <w:widowControl/>
              <w:spacing w:line="200" w:lineRule="exact"/>
              <w:ind w:leftChars="0" w:left="0"/>
              <w:jc w:val="right"/>
              <w:rPr>
                <w:sz w:val="20"/>
              </w:rPr>
            </w:pPr>
            <w:r>
              <w:rPr>
                <w:rFonts w:hint="eastAsia"/>
                <w:sz w:val="20"/>
              </w:rPr>
              <w:t>105</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51</w:t>
            </w:r>
          </w:p>
        </w:tc>
        <w:tc>
          <w:tcPr>
            <w:tcW w:w="1654" w:type="dxa"/>
            <w:shd w:val="clear" w:color="auto" w:fill="auto"/>
            <w:vAlign w:val="center"/>
          </w:tcPr>
          <w:p w:rsidR="008A0B91" w:rsidRDefault="00844A5A">
            <w:pPr>
              <w:wordWrap w:val="0"/>
              <w:ind w:left="420"/>
              <w:jc w:val="right"/>
              <w:rPr>
                <w:color w:val="000000"/>
                <w:sz w:val="20"/>
              </w:rPr>
            </w:pPr>
            <w:r>
              <w:rPr>
                <w:rFonts w:hint="eastAsia"/>
                <w:color w:val="000000"/>
                <w:sz w:val="20"/>
              </w:rPr>
              <w:t>48.6％</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3.2％</w:t>
            </w:r>
          </w:p>
        </w:tc>
      </w:tr>
      <w:tr w:rsidR="008A0B91">
        <w:trPr>
          <w:trHeight w:hRule="exact" w:val="374"/>
        </w:trPr>
        <w:tc>
          <w:tcPr>
            <w:tcW w:w="1984" w:type="dxa"/>
            <w:shd w:val="clear" w:color="auto" w:fill="auto"/>
            <w:vAlign w:val="center"/>
          </w:tcPr>
          <w:p w:rsidR="008A0B91" w:rsidRDefault="00844A5A">
            <w:pPr>
              <w:widowControl/>
              <w:spacing w:line="200" w:lineRule="exact"/>
              <w:ind w:leftChars="0" w:left="0"/>
              <w:jc w:val="center"/>
              <w:rPr>
                <w:rFonts w:asciiTheme="minorEastAsia" w:eastAsiaTheme="minorEastAsia" w:hAnsiTheme="minorEastAsia"/>
                <w:sz w:val="20"/>
              </w:rPr>
            </w:pPr>
            <w:r>
              <w:rPr>
                <w:rFonts w:asciiTheme="minorEastAsia" w:eastAsiaTheme="minorEastAsia" w:hAnsiTheme="minorEastAsia" w:hint="eastAsia"/>
                <w:sz w:val="20"/>
              </w:rPr>
              <w:t>高幡広域圏</w:t>
            </w:r>
          </w:p>
        </w:tc>
        <w:tc>
          <w:tcPr>
            <w:tcW w:w="2126" w:type="dxa"/>
            <w:vAlign w:val="center"/>
          </w:tcPr>
          <w:p w:rsidR="008A0B91" w:rsidRDefault="00844A5A">
            <w:pPr>
              <w:widowControl/>
              <w:spacing w:line="200" w:lineRule="exact"/>
              <w:ind w:leftChars="0" w:left="0"/>
              <w:jc w:val="right"/>
              <w:rPr>
                <w:sz w:val="20"/>
              </w:rPr>
            </w:pPr>
            <w:r>
              <w:rPr>
                <w:rFonts w:hint="eastAsia"/>
                <w:sz w:val="20"/>
              </w:rPr>
              <w:t>239</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123</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51.5％</w:t>
            </w:r>
          </w:p>
        </w:tc>
        <w:tc>
          <w:tcPr>
            <w:tcW w:w="1654" w:type="dxa"/>
            <w:shd w:val="clear" w:color="auto" w:fill="auto"/>
            <w:vAlign w:val="center"/>
          </w:tcPr>
          <w:p w:rsidR="008A0B91" w:rsidRDefault="00844A5A">
            <w:pPr>
              <w:ind w:left="420"/>
              <w:jc w:val="right"/>
              <w:rPr>
                <w:color w:val="000000"/>
                <w:sz w:val="20"/>
              </w:rPr>
            </w:pPr>
            <w:r>
              <w:rPr>
                <w:rFonts w:hint="eastAsia"/>
                <w:color w:val="000000"/>
                <w:sz w:val="20"/>
              </w:rPr>
              <w:t>7.6％</w:t>
            </w:r>
          </w:p>
        </w:tc>
      </w:tr>
      <w:tr w:rsidR="008A0B91">
        <w:trPr>
          <w:trHeight w:hRule="exact" w:val="374"/>
        </w:trPr>
        <w:tc>
          <w:tcPr>
            <w:tcW w:w="1984" w:type="dxa"/>
            <w:shd w:val="clear" w:color="auto" w:fill="auto"/>
            <w:vAlign w:val="center"/>
          </w:tcPr>
          <w:p w:rsidR="008A0B91" w:rsidRDefault="00844A5A">
            <w:pPr>
              <w:widowControl/>
              <w:spacing w:line="200" w:lineRule="exact"/>
              <w:ind w:leftChars="0" w:left="0"/>
              <w:jc w:val="center"/>
              <w:rPr>
                <w:rFonts w:asciiTheme="minorEastAsia" w:eastAsiaTheme="minorEastAsia" w:hAnsiTheme="minorEastAsia"/>
                <w:sz w:val="20"/>
              </w:rPr>
            </w:pPr>
            <w:r>
              <w:rPr>
                <w:rFonts w:asciiTheme="minorEastAsia" w:eastAsiaTheme="minorEastAsia" w:hAnsiTheme="minorEastAsia" w:hint="eastAsia"/>
                <w:sz w:val="20"/>
              </w:rPr>
              <w:t>幡多広域圏</w:t>
            </w:r>
          </w:p>
        </w:tc>
        <w:tc>
          <w:tcPr>
            <w:tcW w:w="2126" w:type="dxa"/>
            <w:tcBorders>
              <w:bottom w:val="single" w:sz="4" w:space="0" w:color="auto"/>
            </w:tcBorders>
            <w:vAlign w:val="center"/>
          </w:tcPr>
          <w:p w:rsidR="008A0B91" w:rsidRDefault="00844A5A">
            <w:pPr>
              <w:widowControl/>
              <w:spacing w:line="200" w:lineRule="exact"/>
              <w:ind w:leftChars="0" w:left="0"/>
              <w:jc w:val="right"/>
              <w:rPr>
                <w:sz w:val="20"/>
              </w:rPr>
            </w:pPr>
            <w:r>
              <w:rPr>
                <w:rFonts w:hint="eastAsia"/>
                <w:sz w:val="20"/>
              </w:rPr>
              <w:t>369</w:t>
            </w:r>
          </w:p>
        </w:tc>
        <w:tc>
          <w:tcPr>
            <w:tcW w:w="1654" w:type="dxa"/>
            <w:tcBorders>
              <w:bottom w:val="nil"/>
            </w:tcBorders>
            <w:shd w:val="clear" w:color="auto" w:fill="auto"/>
            <w:vAlign w:val="center"/>
          </w:tcPr>
          <w:p w:rsidR="008A0B91" w:rsidRDefault="00844A5A">
            <w:pPr>
              <w:ind w:left="420"/>
              <w:jc w:val="right"/>
              <w:rPr>
                <w:color w:val="000000"/>
                <w:sz w:val="20"/>
              </w:rPr>
            </w:pPr>
            <w:r>
              <w:rPr>
                <w:rFonts w:hint="eastAsia"/>
                <w:color w:val="000000"/>
                <w:sz w:val="20"/>
              </w:rPr>
              <w:t>201</w:t>
            </w:r>
          </w:p>
        </w:tc>
        <w:tc>
          <w:tcPr>
            <w:tcW w:w="1654" w:type="dxa"/>
            <w:tcBorders>
              <w:bottom w:val="nil"/>
            </w:tcBorders>
            <w:shd w:val="clear" w:color="auto" w:fill="auto"/>
            <w:vAlign w:val="center"/>
          </w:tcPr>
          <w:p w:rsidR="008A0B91" w:rsidRDefault="00844A5A">
            <w:pPr>
              <w:ind w:left="420"/>
              <w:jc w:val="right"/>
              <w:rPr>
                <w:color w:val="000000"/>
                <w:sz w:val="20"/>
              </w:rPr>
            </w:pPr>
            <w:r>
              <w:rPr>
                <w:rFonts w:hint="eastAsia"/>
                <w:color w:val="000000"/>
                <w:sz w:val="20"/>
              </w:rPr>
              <w:t>54.5％</w:t>
            </w:r>
          </w:p>
        </w:tc>
        <w:tc>
          <w:tcPr>
            <w:tcW w:w="1654" w:type="dxa"/>
            <w:tcBorders>
              <w:bottom w:val="nil"/>
            </w:tcBorders>
            <w:shd w:val="clear" w:color="auto" w:fill="auto"/>
            <w:vAlign w:val="center"/>
          </w:tcPr>
          <w:p w:rsidR="008A0B91" w:rsidRDefault="00844A5A">
            <w:pPr>
              <w:ind w:left="420"/>
              <w:jc w:val="right"/>
              <w:rPr>
                <w:color w:val="000000"/>
                <w:sz w:val="20"/>
              </w:rPr>
            </w:pPr>
            <w:r>
              <w:rPr>
                <w:rFonts w:hint="eastAsia"/>
                <w:color w:val="000000"/>
                <w:sz w:val="20"/>
              </w:rPr>
              <w:t>12.5％</w:t>
            </w:r>
          </w:p>
        </w:tc>
      </w:tr>
      <w:tr w:rsidR="008A0B91">
        <w:trPr>
          <w:trHeight w:hRule="exact" w:val="374"/>
        </w:trPr>
        <w:tc>
          <w:tcPr>
            <w:tcW w:w="1984" w:type="dxa"/>
            <w:tcBorders>
              <w:top w:val="nil"/>
              <w:bottom w:val="double" w:sz="4" w:space="0" w:color="auto"/>
            </w:tcBorders>
            <w:shd w:val="clear" w:color="auto" w:fill="auto"/>
            <w:vAlign w:val="center"/>
          </w:tcPr>
          <w:p w:rsidR="008A0B91" w:rsidRDefault="00844A5A">
            <w:pPr>
              <w:widowControl/>
              <w:spacing w:line="200" w:lineRule="exact"/>
              <w:ind w:leftChars="0" w:left="0"/>
              <w:jc w:val="center"/>
              <w:rPr>
                <w:rFonts w:asciiTheme="minorEastAsia" w:eastAsiaTheme="minorEastAsia" w:hAnsiTheme="minorEastAsia"/>
                <w:sz w:val="20"/>
              </w:rPr>
            </w:pPr>
            <w:r>
              <w:rPr>
                <w:rFonts w:asciiTheme="minorEastAsia" w:eastAsiaTheme="minorEastAsia" w:hAnsiTheme="minorEastAsia" w:hint="eastAsia"/>
                <w:sz w:val="20"/>
              </w:rPr>
              <w:t>無回答</w:t>
            </w:r>
          </w:p>
        </w:tc>
        <w:tc>
          <w:tcPr>
            <w:tcW w:w="2126" w:type="dxa"/>
            <w:tcBorders>
              <w:top w:val="nil"/>
              <w:bottom w:val="double" w:sz="4" w:space="0" w:color="auto"/>
              <w:tr2bl w:val="single" w:sz="4" w:space="0" w:color="auto"/>
            </w:tcBorders>
            <w:vAlign w:val="center"/>
          </w:tcPr>
          <w:p w:rsidR="008A0B91" w:rsidRDefault="008A0B91">
            <w:pPr>
              <w:widowControl/>
              <w:spacing w:line="200" w:lineRule="exact"/>
              <w:ind w:leftChars="0" w:left="0"/>
              <w:jc w:val="right"/>
              <w:rPr>
                <w:sz w:val="20"/>
              </w:rPr>
            </w:pPr>
          </w:p>
        </w:tc>
        <w:tc>
          <w:tcPr>
            <w:tcW w:w="1654" w:type="dxa"/>
            <w:tcBorders>
              <w:bottom w:val="double" w:sz="4" w:space="0" w:color="auto"/>
            </w:tcBorders>
            <w:shd w:val="clear" w:color="auto" w:fill="auto"/>
            <w:vAlign w:val="center"/>
          </w:tcPr>
          <w:p w:rsidR="008A0B91" w:rsidRDefault="00844A5A">
            <w:pPr>
              <w:ind w:left="420"/>
              <w:jc w:val="right"/>
              <w:rPr>
                <w:color w:val="000000"/>
                <w:sz w:val="20"/>
              </w:rPr>
            </w:pPr>
            <w:r>
              <w:rPr>
                <w:rFonts w:hint="eastAsia"/>
                <w:color w:val="000000"/>
                <w:sz w:val="20"/>
              </w:rPr>
              <w:t>20</w:t>
            </w:r>
          </w:p>
        </w:tc>
        <w:tc>
          <w:tcPr>
            <w:tcW w:w="1654" w:type="dxa"/>
            <w:tcBorders>
              <w:bottom w:val="double" w:sz="4" w:space="0" w:color="auto"/>
              <w:tr2bl w:val="single" w:sz="4" w:space="0" w:color="auto"/>
            </w:tcBorders>
            <w:shd w:val="clear" w:color="auto" w:fill="auto"/>
            <w:vAlign w:val="center"/>
          </w:tcPr>
          <w:p w:rsidR="008A0B91" w:rsidRDefault="008A0B91">
            <w:pPr>
              <w:widowControl/>
              <w:spacing w:line="200" w:lineRule="exact"/>
              <w:ind w:leftChars="0" w:left="0"/>
              <w:jc w:val="right"/>
              <w:rPr>
                <w:sz w:val="20"/>
              </w:rPr>
            </w:pPr>
          </w:p>
        </w:tc>
        <w:tc>
          <w:tcPr>
            <w:tcW w:w="1654" w:type="dxa"/>
            <w:tcBorders>
              <w:bottom w:val="double" w:sz="4" w:space="0" w:color="auto"/>
            </w:tcBorders>
            <w:shd w:val="clear" w:color="auto" w:fill="auto"/>
            <w:vAlign w:val="center"/>
          </w:tcPr>
          <w:p w:rsidR="008A0B91" w:rsidRDefault="00844A5A">
            <w:pPr>
              <w:ind w:left="420"/>
              <w:jc w:val="right"/>
              <w:rPr>
                <w:color w:val="000000"/>
                <w:sz w:val="20"/>
              </w:rPr>
            </w:pPr>
            <w:r>
              <w:rPr>
                <w:rFonts w:hint="eastAsia"/>
                <w:color w:val="000000"/>
                <w:sz w:val="20"/>
              </w:rPr>
              <w:t>1.2％</w:t>
            </w:r>
          </w:p>
        </w:tc>
      </w:tr>
      <w:tr w:rsidR="008A0B91">
        <w:trPr>
          <w:trHeight w:hRule="exact" w:val="374"/>
        </w:trPr>
        <w:tc>
          <w:tcPr>
            <w:tcW w:w="1984" w:type="dxa"/>
            <w:tcBorders>
              <w:top w:val="double" w:sz="4" w:space="0" w:color="auto"/>
            </w:tcBorders>
            <w:shd w:val="clear" w:color="auto" w:fill="auto"/>
            <w:vAlign w:val="center"/>
          </w:tcPr>
          <w:p w:rsidR="008A0B91" w:rsidRDefault="00844A5A">
            <w:pPr>
              <w:spacing w:line="200" w:lineRule="exact"/>
              <w:ind w:leftChars="0" w:left="0"/>
              <w:jc w:val="center"/>
              <w:rPr>
                <w:rFonts w:asciiTheme="minorEastAsia" w:eastAsiaTheme="minorEastAsia" w:hAnsiTheme="minorEastAsia"/>
                <w:sz w:val="20"/>
              </w:rPr>
            </w:pPr>
            <w:r>
              <w:rPr>
                <w:rFonts w:asciiTheme="minorEastAsia" w:eastAsiaTheme="minorEastAsia" w:hAnsiTheme="minorEastAsia" w:hint="eastAsia"/>
                <w:sz w:val="20"/>
              </w:rPr>
              <w:t>合　計</w:t>
            </w:r>
          </w:p>
        </w:tc>
        <w:tc>
          <w:tcPr>
            <w:tcW w:w="2126" w:type="dxa"/>
            <w:tcBorders>
              <w:top w:val="double" w:sz="4" w:space="0" w:color="auto"/>
            </w:tcBorders>
            <w:vAlign w:val="center"/>
          </w:tcPr>
          <w:p w:rsidR="008A0B91" w:rsidRDefault="00844A5A">
            <w:pPr>
              <w:widowControl/>
              <w:spacing w:line="200" w:lineRule="exact"/>
              <w:ind w:leftChars="0" w:left="0"/>
              <w:jc w:val="right"/>
              <w:rPr>
                <w:sz w:val="20"/>
              </w:rPr>
            </w:pPr>
            <w:r>
              <w:rPr>
                <w:rFonts w:hint="eastAsia"/>
                <w:sz w:val="20"/>
              </w:rPr>
              <w:t>3,000</w:t>
            </w:r>
          </w:p>
        </w:tc>
        <w:tc>
          <w:tcPr>
            <w:tcW w:w="1654" w:type="dxa"/>
            <w:tcBorders>
              <w:top w:val="double" w:sz="4" w:space="0" w:color="auto"/>
            </w:tcBorders>
            <w:shd w:val="clear" w:color="auto" w:fill="auto"/>
            <w:vAlign w:val="center"/>
          </w:tcPr>
          <w:p w:rsidR="008A0B91" w:rsidRDefault="00844A5A">
            <w:pPr>
              <w:widowControl/>
              <w:wordWrap w:val="0"/>
              <w:spacing w:line="200" w:lineRule="exact"/>
              <w:ind w:leftChars="0" w:left="0"/>
              <w:jc w:val="right"/>
              <w:rPr>
                <w:sz w:val="20"/>
              </w:rPr>
            </w:pPr>
            <w:r>
              <w:rPr>
                <w:rFonts w:hint="eastAsia"/>
                <w:sz w:val="20"/>
              </w:rPr>
              <w:t>1,608</w:t>
            </w:r>
          </w:p>
        </w:tc>
        <w:tc>
          <w:tcPr>
            <w:tcW w:w="1654" w:type="dxa"/>
            <w:tcBorders>
              <w:top w:val="double" w:sz="4" w:space="0" w:color="auto"/>
              <w:tr2bl w:val="nil"/>
            </w:tcBorders>
            <w:shd w:val="clear" w:color="auto" w:fill="auto"/>
            <w:vAlign w:val="center"/>
          </w:tcPr>
          <w:p w:rsidR="008A0B91" w:rsidRDefault="00844A5A">
            <w:pPr>
              <w:widowControl/>
              <w:spacing w:line="200" w:lineRule="exact"/>
              <w:ind w:leftChars="0" w:left="0"/>
              <w:jc w:val="right"/>
              <w:rPr>
                <w:sz w:val="20"/>
              </w:rPr>
            </w:pPr>
            <w:r>
              <w:rPr>
                <w:rFonts w:hint="eastAsia"/>
                <w:sz w:val="20"/>
              </w:rPr>
              <w:t>53.6％</w:t>
            </w:r>
          </w:p>
        </w:tc>
        <w:tc>
          <w:tcPr>
            <w:tcW w:w="1654" w:type="dxa"/>
            <w:tcBorders>
              <w:top w:val="double" w:sz="4" w:space="0" w:color="auto"/>
            </w:tcBorders>
            <w:shd w:val="clear" w:color="auto" w:fill="auto"/>
            <w:vAlign w:val="center"/>
          </w:tcPr>
          <w:p w:rsidR="008A0B91" w:rsidRDefault="00844A5A">
            <w:pPr>
              <w:widowControl/>
              <w:spacing w:line="200" w:lineRule="exact"/>
              <w:ind w:leftChars="0" w:left="0"/>
              <w:jc w:val="right"/>
              <w:rPr>
                <w:sz w:val="20"/>
              </w:rPr>
            </w:pPr>
            <w:r>
              <w:rPr>
                <w:rFonts w:hint="eastAsia"/>
                <w:sz w:val="20"/>
              </w:rPr>
              <w:t>100.0％</w:t>
            </w:r>
          </w:p>
        </w:tc>
      </w:tr>
    </w:tbl>
    <w:p w:rsidR="008A0B91" w:rsidRDefault="008A0B91">
      <w:pPr>
        <w:ind w:leftChars="0" w:left="0"/>
        <w:rPr>
          <w:rFonts w:ascii="ＭＳ ゴシック" w:eastAsia="ＭＳ ゴシック" w:hAnsi="ＭＳ ゴシック"/>
        </w:rPr>
      </w:pPr>
    </w:p>
    <w:p w:rsidR="008A0B91" w:rsidRDefault="00844A5A">
      <w:pPr>
        <w:ind w:leftChars="0" w:left="0"/>
        <w:rPr>
          <w:rFonts w:ascii="ＭＳ ゴシック" w:eastAsia="ＭＳ ゴシック" w:hAnsi="ＭＳ ゴシック"/>
        </w:rPr>
      </w:pPr>
      <w:bookmarkStart w:id="5" w:name="_Toc331449308"/>
      <w:r>
        <w:rPr>
          <w:rFonts w:ascii="ＭＳ ゴシック" w:eastAsia="ＭＳ ゴシック" w:hAnsi="ＭＳ ゴシック" w:hint="eastAsia"/>
        </w:rPr>
        <w:t>２．対象者の特性</w:t>
      </w:r>
      <w:bookmarkEnd w:id="5"/>
    </w:p>
    <w:p w:rsidR="008A0B91" w:rsidRDefault="00844A5A">
      <w:pPr>
        <w:ind w:leftChars="0" w:left="0" w:firstLineChars="100" w:firstLine="210"/>
        <w:rPr>
          <w:rFonts w:ascii="ＭＳ ゴシック" w:eastAsia="ＭＳ ゴシック" w:hAnsi="ＭＳ ゴシック"/>
        </w:rPr>
      </w:pPr>
      <w:r>
        <w:rPr>
          <w:rFonts w:ascii="ＭＳ ゴシック" w:eastAsia="ＭＳ ゴシック" w:hAnsi="ＭＳ ゴシック" w:hint="eastAsia"/>
        </w:rPr>
        <w:t>Ｆ１　性別</w:t>
      </w:r>
    </w:p>
    <w:tbl>
      <w:tblPr>
        <w:tblpPr w:leftFromText="142" w:rightFromText="142" w:vertAnchor="text" w:tblpX="4185" w:tblpY="225"/>
        <w:tblOverlap w:val="never"/>
        <w:tblW w:w="5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552"/>
        <w:gridCol w:w="1553"/>
      </w:tblGrid>
      <w:tr w:rsidR="008A0B91">
        <w:tc>
          <w:tcPr>
            <w:tcW w:w="2376" w:type="dxa"/>
            <w:tcBorders>
              <w:bottom w:val="nil"/>
            </w:tcBorders>
            <w:shd w:val="clear" w:color="auto" w:fill="D9D9D9" w:themeFill="background1" w:themeFillShade="D9"/>
            <w:vAlign w:val="center"/>
          </w:tcPr>
          <w:p w:rsidR="008A0B91" w:rsidRDefault="00844A5A">
            <w:pPr>
              <w:ind w:leftChars="0" w:left="0"/>
              <w:jc w:val="center"/>
            </w:pPr>
            <w:r>
              <w:rPr>
                <w:rFonts w:hint="eastAsia"/>
              </w:rPr>
              <w:t>区　分</w:t>
            </w:r>
          </w:p>
        </w:tc>
        <w:tc>
          <w:tcPr>
            <w:tcW w:w="1552" w:type="dxa"/>
            <w:tcBorders>
              <w:bottom w:val="nil"/>
            </w:tcBorders>
            <w:shd w:val="clear" w:color="auto" w:fill="D9D9D9" w:themeFill="background1" w:themeFillShade="D9"/>
            <w:vAlign w:val="center"/>
          </w:tcPr>
          <w:p w:rsidR="008A0B91" w:rsidRDefault="00844A5A">
            <w:pPr>
              <w:ind w:leftChars="0" w:left="0"/>
              <w:jc w:val="center"/>
            </w:pPr>
            <w:r>
              <w:rPr>
                <w:rFonts w:hint="eastAsia"/>
              </w:rPr>
              <w:t>回答数（人）</w:t>
            </w:r>
          </w:p>
        </w:tc>
        <w:tc>
          <w:tcPr>
            <w:tcW w:w="1553" w:type="dxa"/>
            <w:tcBorders>
              <w:bottom w:val="nil"/>
            </w:tcBorders>
            <w:shd w:val="clear" w:color="auto" w:fill="D9D9D9" w:themeFill="background1" w:themeFillShade="D9"/>
            <w:vAlign w:val="center"/>
          </w:tcPr>
          <w:p w:rsidR="008A0B91" w:rsidRDefault="00844A5A">
            <w:pPr>
              <w:ind w:leftChars="0" w:left="0"/>
              <w:jc w:val="center"/>
            </w:pPr>
            <w:r>
              <w:rPr>
                <w:rFonts w:hint="eastAsia"/>
              </w:rPr>
              <w:t>構成比（％）</w:t>
            </w:r>
          </w:p>
        </w:tc>
      </w:tr>
      <w:tr w:rsidR="008A0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center"/>
            </w:pPr>
            <w:r>
              <w:rPr>
                <w:rFonts w:hint="eastAsia"/>
              </w:rPr>
              <w:t>男　性</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right"/>
            </w:pPr>
            <w:r>
              <w:rPr>
                <w:rFonts w:hint="eastAsia"/>
              </w:rPr>
              <w:t>722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right"/>
            </w:pPr>
            <w:r>
              <w:rPr>
                <w:rFonts w:hint="eastAsia"/>
              </w:rPr>
              <w:t>44.9％</w:t>
            </w:r>
          </w:p>
        </w:tc>
      </w:tr>
      <w:tr w:rsidR="008A0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center"/>
            </w:pPr>
            <w:r>
              <w:rPr>
                <w:rFonts w:hint="eastAsia"/>
              </w:rPr>
              <w:t>女　性</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right"/>
            </w:pPr>
            <w:r>
              <w:rPr>
                <w:rFonts w:hint="eastAsia"/>
              </w:rPr>
              <w:t>875</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right"/>
            </w:pPr>
            <w:r>
              <w:rPr>
                <w:rFonts w:hint="eastAsia"/>
              </w:rPr>
              <w:t>54.4％</w:t>
            </w:r>
          </w:p>
        </w:tc>
      </w:tr>
      <w:tr w:rsidR="008A0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Borders>
              <w:top w:val="single" w:sz="4" w:space="0" w:color="auto"/>
              <w:left w:val="single" w:sz="4" w:space="0" w:color="auto"/>
              <w:bottom w:val="double" w:sz="4" w:space="0" w:color="auto"/>
              <w:right w:val="single" w:sz="4" w:space="0" w:color="auto"/>
            </w:tcBorders>
            <w:shd w:val="clear" w:color="auto" w:fill="auto"/>
            <w:vAlign w:val="center"/>
          </w:tcPr>
          <w:p w:rsidR="008A0B91" w:rsidRDefault="00844A5A">
            <w:pPr>
              <w:ind w:leftChars="0" w:left="0"/>
              <w:jc w:val="center"/>
            </w:pPr>
            <w:r>
              <w:rPr>
                <w:rFonts w:hint="eastAsia"/>
              </w:rPr>
              <w:t>無回答</w:t>
            </w:r>
          </w:p>
        </w:tc>
        <w:tc>
          <w:tcPr>
            <w:tcW w:w="1552" w:type="dxa"/>
            <w:tcBorders>
              <w:top w:val="single" w:sz="4" w:space="0" w:color="auto"/>
              <w:left w:val="single" w:sz="4" w:space="0" w:color="auto"/>
              <w:bottom w:val="double" w:sz="4" w:space="0" w:color="auto"/>
              <w:right w:val="single" w:sz="4" w:space="0" w:color="auto"/>
            </w:tcBorders>
            <w:shd w:val="clear" w:color="auto" w:fill="auto"/>
            <w:vAlign w:val="center"/>
          </w:tcPr>
          <w:p w:rsidR="008A0B91" w:rsidRDefault="00844A5A">
            <w:pPr>
              <w:ind w:leftChars="0" w:left="0"/>
              <w:jc w:val="right"/>
            </w:pPr>
            <w:r>
              <w:rPr>
                <w:rFonts w:hint="eastAsia"/>
              </w:rPr>
              <w:t>11</w:t>
            </w:r>
          </w:p>
        </w:tc>
        <w:tc>
          <w:tcPr>
            <w:tcW w:w="1553" w:type="dxa"/>
            <w:tcBorders>
              <w:top w:val="single" w:sz="4" w:space="0" w:color="auto"/>
              <w:left w:val="single" w:sz="4" w:space="0" w:color="auto"/>
              <w:bottom w:val="double" w:sz="4" w:space="0" w:color="auto"/>
              <w:right w:val="single" w:sz="4" w:space="0" w:color="auto"/>
            </w:tcBorders>
            <w:shd w:val="clear" w:color="auto" w:fill="auto"/>
            <w:vAlign w:val="center"/>
          </w:tcPr>
          <w:p w:rsidR="008A0B91" w:rsidRDefault="00844A5A">
            <w:pPr>
              <w:ind w:leftChars="0" w:left="0"/>
              <w:jc w:val="right"/>
            </w:pPr>
            <w:r>
              <w:rPr>
                <w:rFonts w:hint="eastAsia"/>
              </w:rPr>
              <w:t>0.7％</w:t>
            </w:r>
          </w:p>
        </w:tc>
      </w:tr>
      <w:tr w:rsidR="008A0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Borders>
              <w:top w:val="doub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center"/>
            </w:pPr>
            <w:r>
              <w:rPr>
                <w:rFonts w:hint="eastAsia"/>
              </w:rPr>
              <w:t>合　計</w:t>
            </w:r>
          </w:p>
        </w:tc>
        <w:tc>
          <w:tcPr>
            <w:tcW w:w="1552" w:type="dxa"/>
            <w:tcBorders>
              <w:top w:val="doub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right"/>
            </w:pPr>
            <w:r>
              <w:rPr>
                <w:rFonts w:hint="eastAsia"/>
              </w:rPr>
              <w:t>1,608</w:t>
            </w:r>
          </w:p>
        </w:tc>
        <w:tc>
          <w:tcPr>
            <w:tcW w:w="1553" w:type="dxa"/>
            <w:tcBorders>
              <w:top w:val="doub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right"/>
            </w:pPr>
            <w:r>
              <w:rPr>
                <w:rFonts w:hint="eastAsia"/>
              </w:rPr>
              <w:t>100.0％</w:t>
            </w:r>
          </w:p>
        </w:tc>
      </w:tr>
    </w:tbl>
    <w:p w:rsidR="008A0B91" w:rsidRDefault="00844A5A">
      <w:pPr>
        <w:ind w:leftChars="0" w:left="0" w:firstLineChars="100" w:firstLine="210"/>
        <w:rPr>
          <w:rFonts w:ascii="ＭＳ ゴシック" w:eastAsia="ＭＳ ゴシック" w:hAnsi="ＭＳ ゴシック"/>
        </w:rPr>
      </w:pPr>
      <w:r>
        <w:rPr>
          <w:rFonts w:ascii="ＭＳ ゴシック" w:eastAsia="ＭＳ ゴシック" w:hAnsi="ＭＳ ゴシック"/>
          <w:noProof/>
        </w:rPr>
        <w:drawing>
          <wp:inline distT="0" distB="0" distL="0" distR="0">
            <wp:extent cx="2469515" cy="2095500"/>
            <wp:effectExtent l="0" t="0" r="0" b="0"/>
            <wp:docPr id="1027" name="オブジェクト 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0B91" w:rsidRDefault="008A0B91">
      <w:pPr>
        <w:ind w:left="420"/>
        <w:jc w:val="right"/>
        <w:rPr>
          <w:rFonts w:ascii="ＭＳ ゴシック" w:eastAsia="ＭＳ ゴシック" w:hAnsi="ＭＳ ゴシック"/>
        </w:rPr>
      </w:pPr>
    </w:p>
    <w:p w:rsidR="008A0B91" w:rsidRDefault="00844A5A">
      <w:pPr>
        <w:ind w:left="420"/>
        <w:rPr>
          <w:rFonts w:ascii="ＭＳ ゴシック" w:eastAsia="ＭＳ ゴシック" w:hAnsi="ＭＳ ゴシック"/>
        </w:rPr>
      </w:pPr>
      <w:r>
        <w:rPr>
          <w:rFonts w:ascii="ＭＳ ゴシック" w:eastAsia="ＭＳ ゴシック" w:hAnsi="ＭＳ ゴシック" w:hint="eastAsia"/>
        </w:rPr>
        <w:t>Ｆ２　年代別</w:t>
      </w:r>
    </w:p>
    <w:tbl>
      <w:tblPr>
        <w:tblpPr w:leftFromText="142" w:rightFromText="142" w:vertAnchor="text" w:horzAnchor="margin" w:tblpXSpec="right" w:tblpY="225"/>
        <w:tblOverlap w:val="never"/>
        <w:tblW w:w="5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544"/>
        <w:gridCol w:w="1545"/>
      </w:tblGrid>
      <w:tr w:rsidR="008A0B91">
        <w:tc>
          <w:tcPr>
            <w:tcW w:w="2376" w:type="dxa"/>
            <w:tcBorders>
              <w:bottom w:val="nil"/>
            </w:tcBorders>
            <w:shd w:val="clear" w:color="auto" w:fill="D9D9D9" w:themeFill="background1" w:themeFillShade="D9"/>
            <w:vAlign w:val="center"/>
          </w:tcPr>
          <w:p w:rsidR="008A0B91" w:rsidRDefault="00844A5A">
            <w:pPr>
              <w:ind w:leftChars="0" w:left="0"/>
              <w:jc w:val="center"/>
            </w:pPr>
            <w:r>
              <w:rPr>
                <w:rFonts w:hint="eastAsia"/>
              </w:rPr>
              <w:t>区　分</w:t>
            </w:r>
          </w:p>
        </w:tc>
        <w:tc>
          <w:tcPr>
            <w:tcW w:w="1544" w:type="dxa"/>
            <w:tcBorders>
              <w:bottom w:val="nil"/>
            </w:tcBorders>
            <w:shd w:val="clear" w:color="auto" w:fill="D9D9D9" w:themeFill="background1" w:themeFillShade="D9"/>
            <w:vAlign w:val="center"/>
          </w:tcPr>
          <w:p w:rsidR="008A0B91" w:rsidRDefault="00844A5A">
            <w:pPr>
              <w:ind w:leftChars="0" w:left="0"/>
              <w:jc w:val="center"/>
            </w:pPr>
            <w:r>
              <w:rPr>
                <w:rFonts w:hint="eastAsia"/>
              </w:rPr>
              <w:t>回答数（人）</w:t>
            </w:r>
          </w:p>
        </w:tc>
        <w:tc>
          <w:tcPr>
            <w:tcW w:w="1545" w:type="dxa"/>
            <w:tcBorders>
              <w:bottom w:val="nil"/>
            </w:tcBorders>
            <w:shd w:val="clear" w:color="auto" w:fill="D9D9D9" w:themeFill="background1" w:themeFillShade="D9"/>
            <w:vAlign w:val="center"/>
          </w:tcPr>
          <w:p w:rsidR="008A0B91" w:rsidRDefault="00844A5A">
            <w:pPr>
              <w:ind w:leftChars="0" w:left="0"/>
              <w:jc w:val="center"/>
            </w:pPr>
            <w:r>
              <w:rPr>
                <w:rFonts w:hint="eastAsia"/>
              </w:rPr>
              <w:t>構成比（％）</w:t>
            </w:r>
          </w:p>
        </w:tc>
      </w:tr>
      <w:tr w:rsidR="008A0B91">
        <w:tc>
          <w:tcPr>
            <w:tcW w:w="2376" w:type="dxa"/>
            <w:tcBorders>
              <w:bottom w:val="nil"/>
            </w:tcBorders>
            <w:vAlign w:val="center"/>
          </w:tcPr>
          <w:p w:rsidR="008A0B91" w:rsidRDefault="00844A5A">
            <w:pPr>
              <w:ind w:leftChars="0" w:left="0"/>
              <w:jc w:val="center"/>
            </w:pPr>
            <w:r>
              <w:rPr>
                <w:rFonts w:hint="eastAsia"/>
              </w:rPr>
              <w:t>10歳代</w:t>
            </w:r>
          </w:p>
        </w:tc>
        <w:tc>
          <w:tcPr>
            <w:tcW w:w="1544" w:type="dxa"/>
            <w:tcBorders>
              <w:bottom w:val="nil"/>
            </w:tcBorders>
            <w:vAlign w:val="center"/>
          </w:tcPr>
          <w:p w:rsidR="008A0B91" w:rsidRDefault="00844A5A">
            <w:pPr>
              <w:ind w:leftChars="0" w:left="0"/>
              <w:jc w:val="right"/>
            </w:pPr>
            <w:r>
              <w:rPr>
                <w:rFonts w:hint="eastAsia"/>
              </w:rPr>
              <w:t>87</w:t>
            </w:r>
          </w:p>
        </w:tc>
        <w:tc>
          <w:tcPr>
            <w:tcW w:w="1545" w:type="dxa"/>
            <w:tcBorders>
              <w:bottom w:val="nil"/>
            </w:tcBorders>
            <w:vAlign w:val="center"/>
          </w:tcPr>
          <w:p w:rsidR="008A0B91" w:rsidRDefault="00844A5A">
            <w:pPr>
              <w:ind w:leftChars="0" w:left="0"/>
              <w:jc w:val="right"/>
            </w:pPr>
            <w:r>
              <w:rPr>
                <w:rFonts w:hint="eastAsia"/>
              </w:rPr>
              <w:t>5.4％</w:t>
            </w:r>
          </w:p>
        </w:tc>
      </w:tr>
      <w:tr w:rsidR="008A0B91">
        <w:tc>
          <w:tcPr>
            <w:tcW w:w="2376" w:type="dxa"/>
            <w:vAlign w:val="center"/>
          </w:tcPr>
          <w:p w:rsidR="008A0B91" w:rsidRDefault="00844A5A">
            <w:pPr>
              <w:ind w:leftChars="0" w:left="0"/>
              <w:jc w:val="center"/>
            </w:pPr>
            <w:r>
              <w:rPr>
                <w:rFonts w:hint="eastAsia"/>
              </w:rPr>
              <w:t>20歳代</w:t>
            </w:r>
          </w:p>
        </w:tc>
        <w:tc>
          <w:tcPr>
            <w:tcW w:w="1544" w:type="dxa"/>
            <w:vAlign w:val="center"/>
          </w:tcPr>
          <w:p w:rsidR="008A0B91" w:rsidRDefault="00844A5A">
            <w:pPr>
              <w:ind w:leftChars="0" w:left="0"/>
              <w:jc w:val="right"/>
            </w:pPr>
            <w:r>
              <w:rPr>
                <w:rFonts w:hint="eastAsia"/>
              </w:rPr>
              <w:t>202</w:t>
            </w:r>
          </w:p>
        </w:tc>
        <w:tc>
          <w:tcPr>
            <w:tcW w:w="1545" w:type="dxa"/>
            <w:vAlign w:val="center"/>
          </w:tcPr>
          <w:p w:rsidR="008A0B91" w:rsidRDefault="00844A5A">
            <w:pPr>
              <w:ind w:leftChars="0" w:left="0"/>
              <w:jc w:val="right"/>
            </w:pPr>
            <w:r>
              <w:rPr>
                <w:rFonts w:hint="eastAsia"/>
              </w:rPr>
              <w:t>12.6％</w:t>
            </w:r>
          </w:p>
        </w:tc>
      </w:tr>
      <w:tr w:rsidR="008A0B91">
        <w:tc>
          <w:tcPr>
            <w:tcW w:w="2376" w:type="dxa"/>
            <w:vAlign w:val="center"/>
          </w:tcPr>
          <w:p w:rsidR="008A0B91" w:rsidRDefault="00844A5A">
            <w:pPr>
              <w:ind w:leftChars="0" w:left="0"/>
              <w:jc w:val="center"/>
            </w:pPr>
            <w:r>
              <w:rPr>
                <w:rFonts w:hint="eastAsia"/>
              </w:rPr>
              <w:t>30歳代</w:t>
            </w:r>
          </w:p>
        </w:tc>
        <w:tc>
          <w:tcPr>
            <w:tcW w:w="1544" w:type="dxa"/>
            <w:vAlign w:val="center"/>
          </w:tcPr>
          <w:p w:rsidR="008A0B91" w:rsidRDefault="00844A5A">
            <w:pPr>
              <w:ind w:leftChars="0" w:left="0"/>
              <w:jc w:val="right"/>
            </w:pPr>
            <w:r>
              <w:rPr>
                <w:rFonts w:hint="eastAsia"/>
              </w:rPr>
              <w:t>253</w:t>
            </w:r>
          </w:p>
        </w:tc>
        <w:tc>
          <w:tcPr>
            <w:tcW w:w="1545" w:type="dxa"/>
            <w:vAlign w:val="center"/>
          </w:tcPr>
          <w:p w:rsidR="008A0B91" w:rsidRDefault="00844A5A">
            <w:pPr>
              <w:ind w:leftChars="0" w:left="0"/>
              <w:jc w:val="right"/>
            </w:pPr>
            <w:r>
              <w:rPr>
                <w:rFonts w:hint="eastAsia"/>
              </w:rPr>
              <w:t>15.7％</w:t>
            </w:r>
          </w:p>
        </w:tc>
      </w:tr>
      <w:tr w:rsidR="008A0B91">
        <w:tc>
          <w:tcPr>
            <w:tcW w:w="2376" w:type="dxa"/>
            <w:vAlign w:val="center"/>
          </w:tcPr>
          <w:p w:rsidR="008A0B91" w:rsidRDefault="00844A5A">
            <w:pPr>
              <w:ind w:leftChars="0" w:left="0"/>
              <w:jc w:val="center"/>
            </w:pPr>
            <w:r>
              <w:rPr>
                <w:rFonts w:hint="eastAsia"/>
              </w:rPr>
              <w:t>40歳代</w:t>
            </w:r>
          </w:p>
        </w:tc>
        <w:tc>
          <w:tcPr>
            <w:tcW w:w="1544" w:type="dxa"/>
            <w:vAlign w:val="center"/>
          </w:tcPr>
          <w:p w:rsidR="008A0B91" w:rsidRDefault="00844A5A">
            <w:pPr>
              <w:ind w:leftChars="0" w:left="0"/>
              <w:jc w:val="right"/>
            </w:pPr>
            <w:r>
              <w:rPr>
                <w:rFonts w:hint="eastAsia"/>
              </w:rPr>
              <w:t>350</w:t>
            </w:r>
          </w:p>
        </w:tc>
        <w:tc>
          <w:tcPr>
            <w:tcW w:w="1545" w:type="dxa"/>
            <w:vAlign w:val="center"/>
          </w:tcPr>
          <w:p w:rsidR="008A0B91" w:rsidRDefault="00844A5A">
            <w:pPr>
              <w:ind w:leftChars="0" w:left="0"/>
              <w:jc w:val="right"/>
            </w:pPr>
            <w:r>
              <w:rPr>
                <w:rFonts w:hint="eastAsia"/>
              </w:rPr>
              <w:t>21.8％</w:t>
            </w:r>
          </w:p>
        </w:tc>
      </w:tr>
      <w:tr w:rsidR="008A0B91">
        <w:tc>
          <w:tcPr>
            <w:tcW w:w="2376" w:type="dxa"/>
            <w:vAlign w:val="center"/>
          </w:tcPr>
          <w:p w:rsidR="008A0B91" w:rsidRDefault="00844A5A">
            <w:pPr>
              <w:ind w:leftChars="0" w:left="0"/>
              <w:jc w:val="center"/>
            </w:pPr>
            <w:r>
              <w:rPr>
                <w:rFonts w:hint="eastAsia"/>
              </w:rPr>
              <w:t>50歳代</w:t>
            </w:r>
          </w:p>
        </w:tc>
        <w:tc>
          <w:tcPr>
            <w:tcW w:w="1544" w:type="dxa"/>
            <w:vAlign w:val="center"/>
          </w:tcPr>
          <w:p w:rsidR="008A0B91" w:rsidRDefault="00844A5A">
            <w:pPr>
              <w:ind w:leftChars="0" w:left="0"/>
              <w:jc w:val="right"/>
            </w:pPr>
            <w:r>
              <w:rPr>
                <w:rFonts w:hint="eastAsia"/>
              </w:rPr>
              <w:t>343</w:t>
            </w:r>
          </w:p>
        </w:tc>
        <w:tc>
          <w:tcPr>
            <w:tcW w:w="1545" w:type="dxa"/>
            <w:vAlign w:val="center"/>
          </w:tcPr>
          <w:p w:rsidR="008A0B91" w:rsidRDefault="00844A5A">
            <w:pPr>
              <w:ind w:leftChars="0" w:left="0"/>
              <w:jc w:val="right"/>
            </w:pPr>
            <w:r>
              <w:rPr>
                <w:rFonts w:hint="eastAsia"/>
              </w:rPr>
              <w:t>21.3％</w:t>
            </w:r>
          </w:p>
        </w:tc>
      </w:tr>
      <w:tr w:rsidR="008A0B91">
        <w:tc>
          <w:tcPr>
            <w:tcW w:w="2376" w:type="dxa"/>
            <w:vAlign w:val="center"/>
          </w:tcPr>
          <w:p w:rsidR="008A0B91" w:rsidRDefault="00844A5A">
            <w:pPr>
              <w:ind w:leftChars="0" w:left="0"/>
              <w:jc w:val="center"/>
            </w:pPr>
            <w:r>
              <w:rPr>
                <w:rFonts w:hint="eastAsia"/>
              </w:rPr>
              <w:t>60歳代</w:t>
            </w:r>
          </w:p>
        </w:tc>
        <w:tc>
          <w:tcPr>
            <w:tcW w:w="1544" w:type="dxa"/>
            <w:vAlign w:val="center"/>
          </w:tcPr>
          <w:p w:rsidR="008A0B91" w:rsidRDefault="00844A5A">
            <w:pPr>
              <w:ind w:leftChars="0" w:left="0"/>
              <w:jc w:val="right"/>
            </w:pPr>
            <w:r>
              <w:rPr>
                <w:rFonts w:hint="eastAsia"/>
              </w:rPr>
              <w:t>261</w:t>
            </w:r>
          </w:p>
        </w:tc>
        <w:tc>
          <w:tcPr>
            <w:tcW w:w="1545" w:type="dxa"/>
            <w:vAlign w:val="center"/>
          </w:tcPr>
          <w:p w:rsidR="008A0B91" w:rsidRDefault="00844A5A">
            <w:pPr>
              <w:ind w:leftChars="0" w:left="0"/>
              <w:jc w:val="right"/>
            </w:pPr>
            <w:r>
              <w:rPr>
                <w:rFonts w:hint="eastAsia"/>
              </w:rPr>
              <w:t>16.2％</w:t>
            </w:r>
          </w:p>
        </w:tc>
      </w:tr>
      <w:tr w:rsidR="008A0B91">
        <w:tc>
          <w:tcPr>
            <w:tcW w:w="2376" w:type="dxa"/>
            <w:vAlign w:val="center"/>
          </w:tcPr>
          <w:p w:rsidR="008A0B91" w:rsidRDefault="00844A5A">
            <w:pPr>
              <w:ind w:leftChars="0" w:left="0"/>
              <w:jc w:val="center"/>
            </w:pPr>
            <w:r>
              <w:rPr>
                <w:rFonts w:hint="eastAsia"/>
              </w:rPr>
              <w:t>70歳以上</w:t>
            </w:r>
          </w:p>
        </w:tc>
        <w:tc>
          <w:tcPr>
            <w:tcW w:w="1544" w:type="dxa"/>
            <w:vAlign w:val="center"/>
          </w:tcPr>
          <w:p w:rsidR="008A0B91" w:rsidRDefault="00844A5A">
            <w:pPr>
              <w:ind w:leftChars="0" w:left="0"/>
              <w:jc w:val="right"/>
            </w:pPr>
            <w:r>
              <w:rPr>
                <w:rFonts w:hint="eastAsia"/>
              </w:rPr>
              <w:t>98</w:t>
            </w:r>
          </w:p>
        </w:tc>
        <w:tc>
          <w:tcPr>
            <w:tcW w:w="1545" w:type="dxa"/>
            <w:vAlign w:val="center"/>
          </w:tcPr>
          <w:p w:rsidR="008A0B91" w:rsidRDefault="00844A5A">
            <w:pPr>
              <w:ind w:leftChars="0" w:left="0"/>
              <w:jc w:val="right"/>
            </w:pPr>
            <w:r>
              <w:rPr>
                <w:rFonts w:hint="eastAsia"/>
              </w:rPr>
              <w:t>6.1％</w:t>
            </w:r>
          </w:p>
        </w:tc>
      </w:tr>
      <w:tr w:rsidR="008A0B91">
        <w:tc>
          <w:tcPr>
            <w:tcW w:w="2376" w:type="dxa"/>
            <w:tcBorders>
              <w:bottom w:val="double" w:sz="4" w:space="0" w:color="auto"/>
            </w:tcBorders>
            <w:vAlign w:val="center"/>
          </w:tcPr>
          <w:p w:rsidR="008A0B91" w:rsidRDefault="00844A5A">
            <w:pPr>
              <w:ind w:leftChars="0" w:left="0"/>
              <w:jc w:val="center"/>
            </w:pPr>
            <w:r>
              <w:rPr>
                <w:rFonts w:hint="eastAsia"/>
              </w:rPr>
              <w:t>無回答</w:t>
            </w:r>
          </w:p>
        </w:tc>
        <w:tc>
          <w:tcPr>
            <w:tcW w:w="1544" w:type="dxa"/>
            <w:tcBorders>
              <w:bottom w:val="double" w:sz="4" w:space="0" w:color="auto"/>
            </w:tcBorders>
            <w:vAlign w:val="center"/>
          </w:tcPr>
          <w:p w:rsidR="008A0B91" w:rsidRDefault="00844A5A">
            <w:pPr>
              <w:ind w:leftChars="0" w:left="0"/>
              <w:jc w:val="right"/>
            </w:pPr>
            <w:r>
              <w:rPr>
                <w:rFonts w:hint="eastAsia"/>
              </w:rPr>
              <w:t>14</w:t>
            </w:r>
          </w:p>
        </w:tc>
        <w:tc>
          <w:tcPr>
            <w:tcW w:w="1545" w:type="dxa"/>
            <w:tcBorders>
              <w:bottom w:val="double" w:sz="4" w:space="0" w:color="auto"/>
            </w:tcBorders>
            <w:vAlign w:val="center"/>
          </w:tcPr>
          <w:p w:rsidR="008A0B91" w:rsidRDefault="00844A5A">
            <w:pPr>
              <w:ind w:leftChars="0" w:left="0"/>
              <w:jc w:val="right"/>
            </w:pPr>
            <w:r>
              <w:rPr>
                <w:rFonts w:hint="eastAsia"/>
              </w:rPr>
              <w:t>0.9％</w:t>
            </w:r>
          </w:p>
        </w:tc>
      </w:tr>
      <w:tr w:rsidR="008A0B91">
        <w:tc>
          <w:tcPr>
            <w:tcW w:w="2376" w:type="dxa"/>
            <w:tcBorders>
              <w:top w:val="double" w:sz="4" w:space="0" w:color="auto"/>
            </w:tcBorders>
            <w:vAlign w:val="center"/>
          </w:tcPr>
          <w:p w:rsidR="008A0B91" w:rsidRDefault="00844A5A">
            <w:pPr>
              <w:ind w:leftChars="0" w:left="0"/>
              <w:jc w:val="center"/>
            </w:pPr>
            <w:r>
              <w:rPr>
                <w:rFonts w:hint="eastAsia"/>
              </w:rPr>
              <w:t>合　計</w:t>
            </w:r>
          </w:p>
        </w:tc>
        <w:tc>
          <w:tcPr>
            <w:tcW w:w="1544" w:type="dxa"/>
            <w:tcBorders>
              <w:top w:val="double" w:sz="4" w:space="0" w:color="auto"/>
            </w:tcBorders>
            <w:vAlign w:val="center"/>
          </w:tcPr>
          <w:p w:rsidR="008A0B91" w:rsidRDefault="00844A5A">
            <w:pPr>
              <w:ind w:leftChars="0" w:left="0"/>
              <w:jc w:val="right"/>
            </w:pPr>
            <w:r>
              <w:rPr>
                <w:rFonts w:hint="eastAsia"/>
              </w:rPr>
              <w:t>1,608</w:t>
            </w:r>
          </w:p>
        </w:tc>
        <w:tc>
          <w:tcPr>
            <w:tcW w:w="1545" w:type="dxa"/>
            <w:tcBorders>
              <w:top w:val="double" w:sz="4" w:space="0" w:color="auto"/>
            </w:tcBorders>
            <w:vAlign w:val="center"/>
          </w:tcPr>
          <w:p w:rsidR="008A0B91" w:rsidRDefault="00844A5A">
            <w:pPr>
              <w:ind w:leftChars="0" w:left="0"/>
              <w:jc w:val="right"/>
            </w:pPr>
            <w:r>
              <w:rPr>
                <w:rFonts w:hint="eastAsia"/>
              </w:rPr>
              <w:t>100.0％</w:t>
            </w:r>
          </w:p>
        </w:tc>
      </w:tr>
    </w:tbl>
    <w:p w:rsidR="008A0B91" w:rsidRDefault="00844A5A">
      <w:pPr>
        <w:ind w:left="420"/>
        <w:rPr>
          <w:rFonts w:ascii="ＭＳ ゴシック" w:eastAsia="ＭＳ ゴシック" w:hAnsi="ＭＳ ゴシック"/>
        </w:rPr>
      </w:pPr>
      <w:r>
        <w:rPr>
          <w:rFonts w:ascii="ＭＳ ゴシック" w:eastAsia="ＭＳ ゴシック" w:hAnsi="ＭＳ ゴシック"/>
          <w:noProof/>
        </w:rPr>
        <w:drawing>
          <wp:inline distT="0" distB="0" distL="0" distR="0">
            <wp:extent cx="2305050" cy="2019300"/>
            <wp:effectExtent l="0" t="0" r="0" b="0"/>
            <wp:docPr id="1028" name="オブジェクト 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A0B91" w:rsidRDefault="00844A5A">
      <w:pPr>
        <w:ind w:left="420"/>
        <w:rPr>
          <w:rFonts w:ascii="ＭＳ ゴシック" w:eastAsia="ＭＳ ゴシック" w:hAnsi="ＭＳ ゴシック"/>
        </w:rPr>
      </w:pPr>
      <w:r>
        <w:rPr>
          <w:rFonts w:ascii="ＭＳ ゴシック" w:eastAsia="ＭＳ ゴシック" w:hAnsi="ＭＳ ゴシック" w:hint="eastAsia"/>
        </w:rPr>
        <w:lastRenderedPageBreak/>
        <w:t>Ｆ３　職業別</w:t>
      </w:r>
    </w:p>
    <w:tbl>
      <w:tblPr>
        <w:tblpPr w:leftFromText="142" w:rightFromText="142" w:vertAnchor="text" w:tblpX="4219" w:tblpY="1"/>
        <w:tblOverlap w:val="never"/>
        <w:tblW w:w="5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527"/>
        <w:gridCol w:w="1528"/>
      </w:tblGrid>
      <w:tr w:rsidR="008A0B91" w:rsidTr="00E937BB">
        <w:tc>
          <w:tcPr>
            <w:tcW w:w="2410" w:type="dxa"/>
            <w:shd w:val="clear" w:color="auto" w:fill="D9D9D9" w:themeFill="background1" w:themeFillShade="D9"/>
            <w:vAlign w:val="center"/>
          </w:tcPr>
          <w:p w:rsidR="008A0B91" w:rsidRDefault="00844A5A">
            <w:pPr>
              <w:ind w:leftChars="0" w:left="0"/>
              <w:jc w:val="center"/>
            </w:pPr>
            <w:r>
              <w:rPr>
                <w:rFonts w:hint="eastAsia"/>
              </w:rPr>
              <w:t>区　分</w:t>
            </w:r>
          </w:p>
        </w:tc>
        <w:tc>
          <w:tcPr>
            <w:tcW w:w="1527" w:type="dxa"/>
            <w:shd w:val="clear" w:color="auto" w:fill="D9D9D9" w:themeFill="background1" w:themeFillShade="D9"/>
            <w:vAlign w:val="center"/>
          </w:tcPr>
          <w:p w:rsidR="008A0B91" w:rsidRDefault="00844A5A">
            <w:pPr>
              <w:ind w:leftChars="0" w:left="0"/>
              <w:jc w:val="center"/>
            </w:pPr>
            <w:r>
              <w:rPr>
                <w:rFonts w:hint="eastAsia"/>
              </w:rPr>
              <w:t>回答数（人）</w:t>
            </w:r>
          </w:p>
        </w:tc>
        <w:tc>
          <w:tcPr>
            <w:tcW w:w="1528" w:type="dxa"/>
            <w:shd w:val="clear" w:color="auto" w:fill="D9D9D9" w:themeFill="background1" w:themeFillShade="D9"/>
            <w:vAlign w:val="center"/>
          </w:tcPr>
          <w:p w:rsidR="008A0B91" w:rsidRDefault="00844A5A">
            <w:pPr>
              <w:ind w:leftChars="0" w:left="0"/>
              <w:jc w:val="center"/>
            </w:pPr>
            <w:r>
              <w:rPr>
                <w:rFonts w:hint="eastAsia"/>
              </w:rPr>
              <w:t>構成比（％）</w:t>
            </w:r>
          </w:p>
        </w:tc>
      </w:tr>
      <w:tr w:rsidR="008A0B91" w:rsidTr="00E937BB">
        <w:tc>
          <w:tcPr>
            <w:tcW w:w="2410" w:type="dxa"/>
            <w:vAlign w:val="center"/>
          </w:tcPr>
          <w:p w:rsidR="008A0B91" w:rsidRDefault="00844A5A">
            <w:pPr>
              <w:ind w:leftChars="0" w:left="0"/>
              <w:jc w:val="center"/>
            </w:pPr>
            <w:r>
              <w:rPr>
                <w:rFonts w:hint="eastAsia"/>
              </w:rPr>
              <w:t>農林業</w:t>
            </w:r>
          </w:p>
        </w:tc>
        <w:tc>
          <w:tcPr>
            <w:tcW w:w="1527" w:type="dxa"/>
            <w:vAlign w:val="center"/>
          </w:tcPr>
          <w:p w:rsidR="008A0B91" w:rsidRDefault="00844A5A">
            <w:pPr>
              <w:ind w:leftChars="0" w:left="0"/>
              <w:jc w:val="right"/>
            </w:pPr>
            <w:r>
              <w:rPr>
                <w:rFonts w:hint="eastAsia"/>
              </w:rPr>
              <w:t>97</w:t>
            </w:r>
          </w:p>
        </w:tc>
        <w:tc>
          <w:tcPr>
            <w:tcW w:w="1528" w:type="dxa"/>
            <w:vAlign w:val="center"/>
          </w:tcPr>
          <w:p w:rsidR="008A0B91" w:rsidRDefault="00844A5A">
            <w:pPr>
              <w:ind w:leftChars="0" w:left="0"/>
              <w:jc w:val="right"/>
            </w:pPr>
            <w:r>
              <w:rPr>
                <w:rFonts w:hint="eastAsia"/>
              </w:rPr>
              <w:t>6.0％</w:t>
            </w:r>
          </w:p>
        </w:tc>
      </w:tr>
      <w:tr w:rsidR="008A0B91" w:rsidTr="00E937BB">
        <w:tc>
          <w:tcPr>
            <w:tcW w:w="2410" w:type="dxa"/>
            <w:vAlign w:val="center"/>
          </w:tcPr>
          <w:p w:rsidR="008A0B91" w:rsidRDefault="00844A5A">
            <w:pPr>
              <w:ind w:leftChars="0" w:left="0"/>
              <w:jc w:val="center"/>
            </w:pPr>
            <w:r>
              <w:rPr>
                <w:rFonts w:hint="eastAsia"/>
              </w:rPr>
              <w:t>漁　業</w:t>
            </w:r>
          </w:p>
        </w:tc>
        <w:tc>
          <w:tcPr>
            <w:tcW w:w="1527" w:type="dxa"/>
            <w:vAlign w:val="center"/>
          </w:tcPr>
          <w:p w:rsidR="008A0B91" w:rsidRDefault="00844A5A">
            <w:pPr>
              <w:ind w:leftChars="0" w:left="0"/>
              <w:jc w:val="right"/>
            </w:pPr>
            <w:r>
              <w:rPr>
                <w:rFonts w:hint="eastAsia"/>
              </w:rPr>
              <w:t>9</w:t>
            </w:r>
          </w:p>
        </w:tc>
        <w:tc>
          <w:tcPr>
            <w:tcW w:w="1528" w:type="dxa"/>
            <w:vAlign w:val="center"/>
          </w:tcPr>
          <w:p w:rsidR="008A0B91" w:rsidRDefault="00844A5A">
            <w:pPr>
              <w:ind w:leftChars="0" w:left="0"/>
              <w:jc w:val="right"/>
            </w:pPr>
            <w:r>
              <w:rPr>
                <w:rFonts w:hint="eastAsia"/>
              </w:rPr>
              <w:t>0.6％</w:t>
            </w:r>
          </w:p>
        </w:tc>
      </w:tr>
      <w:tr w:rsidR="008A0B91" w:rsidTr="00E937BB">
        <w:tc>
          <w:tcPr>
            <w:tcW w:w="2410" w:type="dxa"/>
            <w:vAlign w:val="center"/>
          </w:tcPr>
          <w:p w:rsidR="008A0B91" w:rsidRDefault="00844A5A">
            <w:pPr>
              <w:ind w:leftChars="0" w:left="0"/>
              <w:jc w:val="center"/>
            </w:pPr>
            <w:r>
              <w:rPr>
                <w:rFonts w:hint="eastAsia"/>
              </w:rPr>
              <w:t>商工サービス業自営</w:t>
            </w:r>
          </w:p>
        </w:tc>
        <w:tc>
          <w:tcPr>
            <w:tcW w:w="1527" w:type="dxa"/>
            <w:vAlign w:val="center"/>
          </w:tcPr>
          <w:p w:rsidR="008A0B91" w:rsidRDefault="00844A5A">
            <w:pPr>
              <w:ind w:leftChars="0" w:left="0"/>
              <w:jc w:val="right"/>
            </w:pPr>
            <w:r>
              <w:rPr>
                <w:rFonts w:hint="eastAsia"/>
              </w:rPr>
              <w:t>69</w:t>
            </w:r>
          </w:p>
        </w:tc>
        <w:tc>
          <w:tcPr>
            <w:tcW w:w="1528" w:type="dxa"/>
            <w:vAlign w:val="center"/>
          </w:tcPr>
          <w:p w:rsidR="008A0B91" w:rsidRDefault="00844A5A">
            <w:pPr>
              <w:ind w:leftChars="0" w:left="0"/>
              <w:jc w:val="right"/>
            </w:pPr>
            <w:r>
              <w:rPr>
                <w:rFonts w:hint="eastAsia"/>
              </w:rPr>
              <w:t>4.3％</w:t>
            </w:r>
          </w:p>
        </w:tc>
      </w:tr>
      <w:tr w:rsidR="008A0B91" w:rsidTr="00E937BB">
        <w:tc>
          <w:tcPr>
            <w:tcW w:w="2410" w:type="dxa"/>
            <w:vAlign w:val="center"/>
          </w:tcPr>
          <w:p w:rsidR="008A0B91" w:rsidRDefault="00844A5A">
            <w:pPr>
              <w:ind w:leftChars="0" w:left="0"/>
              <w:jc w:val="center"/>
            </w:pPr>
            <w:r>
              <w:rPr>
                <w:rFonts w:hint="eastAsia"/>
              </w:rPr>
              <w:t>事務職</w:t>
            </w:r>
          </w:p>
        </w:tc>
        <w:tc>
          <w:tcPr>
            <w:tcW w:w="1527" w:type="dxa"/>
            <w:vAlign w:val="center"/>
          </w:tcPr>
          <w:p w:rsidR="008A0B91" w:rsidRDefault="00844A5A">
            <w:pPr>
              <w:ind w:leftChars="0" w:left="0"/>
              <w:jc w:val="right"/>
            </w:pPr>
            <w:r>
              <w:rPr>
                <w:rFonts w:hint="eastAsia"/>
              </w:rPr>
              <w:t>218</w:t>
            </w:r>
          </w:p>
        </w:tc>
        <w:tc>
          <w:tcPr>
            <w:tcW w:w="1528" w:type="dxa"/>
            <w:vAlign w:val="center"/>
          </w:tcPr>
          <w:p w:rsidR="008A0B91" w:rsidRDefault="00844A5A">
            <w:pPr>
              <w:ind w:leftChars="0" w:left="0"/>
              <w:jc w:val="right"/>
            </w:pPr>
            <w:r>
              <w:rPr>
                <w:rFonts w:hint="eastAsia"/>
              </w:rPr>
              <w:t>13.6％</w:t>
            </w:r>
          </w:p>
        </w:tc>
      </w:tr>
      <w:tr w:rsidR="008A0B91" w:rsidTr="00E937BB">
        <w:tc>
          <w:tcPr>
            <w:tcW w:w="2410" w:type="dxa"/>
            <w:vAlign w:val="center"/>
          </w:tcPr>
          <w:p w:rsidR="008A0B91" w:rsidRDefault="00844A5A">
            <w:pPr>
              <w:ind w:leftChars="0" w:left="0"/>
              <w:jc w:val="center"/>
            </w:pPr>
            <w:r>
              <w:rPr>
                <w:rFonts w:hint="eastAsia"/>
              </w:rPr>
              <w:t>技術職</w:t>
            </w:r>
          </w:p>
        </w:tc>
        <w:tc>
          <w:tcPr>
            <w:tcW w:w="1527" w:type="dxa"/>
            <w:vAlign w:val="center"/>
          </w:tcPr>
          <w:p w:rsidR="008A0B91" w:rsidRDefault="00844A5A">
            <w:pPr>
              <w:ind w:leftChars="0" w:left="0"/>
              <w:jc w:val="right"/>
            </w:pPr>
            <w:r>
              <w:rPr>
                <w:rFonts w:hint="eastAsia"/>
              </w:rPr>
              <w:t>282</w:t>
            </w:r>
          </w:p>
        </w:tc>
        <w:tc>
          <w:tcPr>
            <w:tcW w:w="1528" w:type="dxa"/>
            <w:vAlign w:val="center"/>
          </w:tcPr>
          <w:p w:rsidR="008A0B91" w:rsidRDefault="00844A5A">
            <w:pPr>
              <w:ind w:leftChars="0" w:left="0"/>
              <w:jc w:val="right"/>
            </w:pPr>
            <w:r>
              <w:rPr>
                <w:rFonts w:hint="eastAsia"/>
              </w:rPr>
              <w:t>17.5％</w:t>
            </w:r>
          </w:p>
        </w:tc>
      </w:tr>
      <w:tr w:rsidR="008A0B91" w:rsidTr="00E937BB">
        <w:tc>
          <w:tcPr>
            <w:tcW w:w="2410" w:type="dxa"/>
            <w:vAlign w:val="center"/>
          </w:tcPr>
          <w:p w:rsidR="008A0B91" w:rsidRDefault="00844A5A">
            <w:pPr>
              <w:ind w:leftChars="0" w:left="0"/>
              <w:jc w:val="center"/>
            </w:pPr>
            <w:r>
              <w:rPr>
                <w:rFonts w:hint="eastAsia"/>
              </w:rPr>
              <w:t>労務職</w:t>
            </w:r>
          </w:p>
        </w:tc>
        <w:tc>
          <w:tcPr>
            <w:tcW w:w="1527" w:type="dxa"/>
            <w:vAlign w:val="center"/>
          </w:tcPr>
          <w:p w:rsidR="008A0B91" w:rsidRDefault="00844A5A">
            <w:pPr>
              <w:ind w:leftChars="0" w:left="0"/>
              <w:jc w:val="right"/>
            </w:pPr>
            <w:r>
              <w:rPr>
                <w:rFonts w:hint="eastAsia"/>
              </w:rPr>
              <w:t>203</w:t>
            </w:r>
          </w:p>
        </w:tc>
        <w:tc>
          <w:tcPr>
            <w:tcW w:w="1528" w:type="dxa"/>
            <w:vAlign w:val="center"/>
          </w:tcPr>
          <w:p w:rsidR="008A0B91" w:rsidRDefault="00844A5A">
            <w:pPr>
              <w:ind w:leftChars="0" w:left="0"/>
              <w:jc w:val="right"/>
            </w:pPr>
            <w:r>
              <w:rPr>
                <w:rFonts w:hint="eastAsia"/>
              </w:rPr>
              <w:t>12.6％</w:t>
            </w:r>
          </w:p>
        </w:tc>
      </w:tr>
      <w:tr w:rsidR="008A0B91" w:rsidTr="00E937BB">
        <w:tc>
          <w:tcPr>
            <w:tcW w:w="2410" w:type="dxa"/>
            <w:vAlign w:val="center"/>
          </w:tcPr>
          <w:p w:rsidR="008A0B91" w:rsidRDefault="00844A5A">
            <w:pPr>
              <w:ind w:leftChars="0" w:left="0"/>
              <w:jc w:val="center"/>
            </w:pPr>
            <w:r>
              <w:rPr>
                <w:rFonts w:hint="eastAsia"/>
              </w:rPr>
              <w:t>管理職</w:t>
            </w:r>
          </w:p>
        </w:tc>
        <w:tc>
          <w:tcPr>
            <w:tcW w:w="1527" w:type="dxa"/>
            <w:vAlign w:val="center"/>
          </w:tcPr>
          <w:p w:rsidR="008A0B91" w:rsidRDefault="00844A5A">
            <w:pPr>
              <w:ind w:leftChars="0" w:left="0"/>
              <w:jc w:val="right"/>
            </w:pPr>
            <w:r>
              <w:rPr>
                <w:rFonts w:hint="eastAsia"/>
              </w:rPr>
              <w:t>64</w:t>
            </w:r>
          </w:p>
        </w:tc>
        <w:tc>
          <w:tcPr>
            <w:tcW w:w="1528" w:type="dxa"/>
            <w:vAlign w:val="center"/>
          </w:tcPr>
          <w:p w:rsidR="008A0B91" w:rsidRDefault="00844A5A">
            <w:pPr>
              <w:ind w:leftChars="0" w:left="0"/>
              <w:jc w:val="right"/>
            </w:pPr>
            <w:r>
              <w:rPr>
                <w:rFonts w:hint="eastAsia"/>
              </w:rPr>
              <w:t>4.0％</w:t>
            </w:r>
          </w:p>
        </w:tc>
      </w:tr>
      <w:tr w:rsidR="008A0B91" w:rsidTr="00E937BB">
        <w:tc>
          <w:tcPr>
            <w:tcW w:w="2410" w:type="dxa"/>
            <w:vAlign w:val="center"/>
          </w:tcPr>
          <w:p w:rsidR="008A0B91" w:rsidRDefault="00844A5A">
            <w:pPr>
              <w:ind w:leftChars="0" w:left="0"/>
              <w:jc w:val="center"/>
            </w:pPr>
            <w:r>
              <w:rPr>
                <w:rFonts w:hint="eastAsia"/>
              </w:rPr>
              <w:t>自由業</w:t>
            </w:r>
          </w:p>
        </w:tc>
        <w:tc>
          <w:tcPr>
            <w:tcW w:w="1527" w:type="dxa"/>
            <w:vAlign w:val="center"/>
          </w:tcPr>
          <w:p w:rsidR="008A0B91" w:rsidRDefault="00844A5A">
            <w:pPr>
              <w:ind w:leftChars="0" w:left="0"/>
              <w:jc w:val="right"/>
            </w:pPr>
            <w:r>
              <w:rPr>
                <w:rFonts w:hint="eastAsia"/>
              </w:rPr>
              <w:t>22</w:t>
            </w:r>
          </w:p>
        </w:tc>
        <w:tc>
          <w:tcPr>
            <w:tcW w:w="1528" w:type="dxa"/>
            <w:vAlign w:val="center"/>
          </w:tcPr>
          <w:p w:rsidR="008A0B91" w:rsidRDefault="00844A5A">
            <w:pPr>
              <w:ind w:leftChars="0" w:left="0"/>
              <w:jc w:val="right"/>
            </w:pPr>
            <w:r>
              <w:rPr>
                <w:rFonts w:hint="eastAsia"/>
              </w:rPr>
              <w:t>1.4％</w:t>
            </w:r>
          </w:p>
        </w:tc>
      </w:tr>
      <w:tr w:rsidR="008A0B91" w:rsidTr="00E937BB">
        <w:tc>
          <w:tcPr>
            <w:tcW w:w="2410" w:type="dxa"/>
            <w:vAlign w:val="center"/>
          </w:tcPr>
          <w:p w:rsidR="008A0B91" w:rsidRDefault="00844A5A">
            <w:pPr>
              <w:ind w:leftChars="0" w:left="0"/>
              <w:jc w:val="center"/>
            </w:pPr>
            <w:r>
              <w:rPr>
                <w:rFonts w:hint="eastAsia"/>
              </w:rPr>
              <w:t>主婦・主夫</w:t>
            </w:r>
          </w:p>
        </w:tc>
        <w:tc>
          <w:tcPr>
            <w:tcW w:w="1527" w:type="dxa"/>
            <w:vAlign w:val="center"/>
          </w:tcPr>
          <w:p w:rsidR="008A0B91" w:rsidRDefault="00844A5A">
            <w:pPr>
              <w:ind w:leftChars="0" w:left="0"/>
              <w:jc w:val="right"/>
            </w:pPr>
            <w:r>
              <w:rPr>
                <w:rFonts w:hint="eastAsia"/>
              </w:rPr>
              <w:t>149</w:t>
            </w:r>
          </w:p>
        </w:tc>
        <w:tc>
          <w:tcPr>
            <w:tcW w:w="1528" w:type="dxa"/>
            <w:vAlign w:val="center"/>
          </w:tcPr>
          <w:p w:rsidR="008A0B91" w:rsidRDefault="00844A5A">
            <w:pPr>
              <w:ind w:leftChars="0" w:left="0"/>
              <w:jc w:val="right"/>
            </w:pPr>
            <w:r>
              <w:rPr>
                <w:rFonts w:hint="eastAsia"/>
              </w:rPr>
              <w:t>9.3％</w:t>
            </w:r>
          </w:p>
        </w:tc>
      </w:tr>
      <w:tr w:rsidR="008A0B91" w:rsidTr="00E937BB">
        <w:tc>
          <w:tcPr>
            <w:tcW w:w="2410" w:type="dxa"/>
            <w:vAlign w:val="center"/>
          </w:tcPr>
          <w:p w:rsidR="008A0B91" w:rsidRDefault="00844A5A">
            <w:pPr>
              <w:ind w:leftChars="0" w:left="0"/>
              <w:jc w:val="center"/>
            </w:pPr>
            <w:r>
              <w:rPr>
                <w:rFonts w:hint="eastAsia"/>
              </w:rPr>
              <w:t>学　生</w:t>
            </w:r>
          </w:p>
        </w:tc>
        <w:tc>
          <w:tcPr>
            <w:tcW w:w="1527" w:type="dxa"/>
            <w:vAlign w:val="center"/>
          </w:tcPr>
          <w:p w:rsidR="008A0B91" w:rsidRDefault="00844A5A">
            <w:pPr>
              <w:ind w:leftChars="0" w:left="0"/>
              <w:jc w:val="right"/>
            </w:pPr>
            <w:r>
              <w:rPr>
                <w:rFonts w:hint="eastAsia"/>
              </w:rPr>
              <w:t>116</w:t>
            </w:r>
          </w:p>
        </w:tc>
        <w:tc>
          <w:tcPr>
            <w:tcW w:w="1528" w:type="dxa"/>
            <w:vAlign w:val="center"/>
          </w:tcPr>
          <w:p w:rsidR="008A0B91" w:rsidRDefault="00844A5A">
            <w:pPr>
              <w:ind w:leftChars="0" w:left="0"/>
              <w:jc w:val="right"/>
            </w:pPr>
            <w:r>
              <w:rPr>
                <w:rFonts w:hint="eastAsia"/>
              </w:rPr>
              <w:t>7.2％</w:t>
            </w:r>
          </w:p>
        </w:tc>
      </w:tr>
      <w:tr w:rsidR="008A0B91" w:rsidTr="00E937BB">
        <w:tc>
          <w:tcPr>
            <w:tcW w:w="2410" w:type="dxa"/>
            <w:vAlign w:val="center"/>
          </w:tcPr>
          <w:p w:rsidR="008A0B91" w:rsidRDefault="00844A5A">
            <w:pPr>
              <w:ind w:leftChars="0" w:left="0"/>
              <w:jc w:val="center"/>
            </w:pPr>
            <w:r>
              <w:rPr>
                <w:rFonts w:hint="eastAsia"/>
              </w:rPr>
              <w:t>無　職</w:t>
            </w:r>
          </w:p>
        </w:tc>
        <w:tc>
          <w:tcPr>
            <w:tcW w:w="1527" w:type="dxa"/>
            <w:vAlign w:val="center"/>
          </w:tcPr>
          <w:p w:rsidR="008A0B91" w:rsidRDefault="00844A5A">
            <w:pPr>
              <w:ind w:leftChars="0" w:left="0"/>
              <w:jc w:val="right"/>
            </w:pPr>
            <w:r>
              <w:rPr>
                <w:rFonts w:hint="eastAsia"/>
              </w:rPr>
              <w:t>189</w:t>
            </w:r>
          </w:p>
        </w:tc>
        <w:tc>
          <w:tcPr>
            <w:tcW w:w="1528" w:type="dxa"/>
            <w:vAlign w:val="center"/>
          </w:tcPr>
          <w:p w:rsidR="008A0B91" w:rsidRDefault="00844A5A">
            <w:pPr>
              <w:ind w:leftChars="0" w:left="0"/>
              <w:jc w:val="right"/>
            </w:pPr>
            <w:r>
              <w:rPr>
                <w:rFonts w:hint="eastAsia"/>
              </w:rPr>
              <w:t>11.8％</w:t>
            </w:r>
          </w:p>
        </w:tc>
      </w:tr>
      <w:tr w:rsidR="008A0B91" w:rsidTr="00E937BB">
        <w:tc>
          <w:tcPr>
            <w:tcW w:w="2410" w:type="dxa"/>
            <w:vAlign w:val="center"/>
          </w:tcPr>
          <w:p w:rsidR="008A0B91" w:rsidRDefault="00844A5A">
            <w:pPr>
              <w:ind w:leftChars="0" w:left="0"/>
              <w:jc w:val="center"/>
            </w:pPr>
            <w:r>
              <w:rPr>
                <w:rFonts w:hint="eastAsia"/>
              </w:rPr>
              <w:t>その他</w:t>
            </w:r>
          </w:p>
        </w:tc>
        <w:tc>
          <w:tcPr>
            <w:tcW w:w="1527" w:type="dxa"/>
            <w:vAlign w:val="center"/>
          </w:tcPr>
          <w:p w:rsidR="008A0B91" w:rsidRDefault="00844A5A">
            <w:pPr>
              <w:ind w:leftChars="0" w:left="0"/>
              <w:jc w:val="right"/>
            </w:pPr>
            <w:r>
              <w:rPr>
                <w:rFonts w:hint="eastAsia"/>
              </w:rPr>
              <w:t>170</w:t>
            </w:r>
          </w:p>
        </w:tc>
        <w:tc>
          <w:tcPr>
            <w:tcW w:w="1528" w:type="dxa"/>
            <w:vAlign w:val="center"/>
          </w:tcPr>
          <w:p w:rsidR="008A0B91" w:rsidRDefault="00844A5A">
            <w:pPr>
              <w:ind w:leftChars="0" w:left="0"/>
              <w:jc w:val="right"/>
            </w:pPr>
            <w:r>
              <w:rPr>
                <w:rFonts w:hint="eastAsia"/>
              </w:rPr>
              <w:t>10.6％</w:t>
            </w:r>
          </w:p>
        </w:tc>
      </w:tr>
      <w:tr w:rsidR="008A0B91" w:rsidTr="00E937BB">
        <w:tc>
          <w:tcPr>
            <w:tcW w:w="2410" w:type="dxa"/>
            <w:tcBorders>
              <w:bottom w:val="double" w:sz="4" w:space="0" w:color="auto"/>
            </w:tcBorders>
            <w:vAlign w:val="center"/>
          </w:tcPr>
          <w:p w:rsidR="008A0B91" w:rsidRDefault="00844A5A">
            <w:pPr>
              <w:ind w:leftChars="0" w:left="0"/>
              <w:jc w:val="center"/>
            </w:pPr>
            <w:r>
              <w:rPr>
                <w:rFonts w:hint="eastAsia"/>
              </w:rPr>
              <w:t>無回答</w:t>
            </w:r>
          </w:p>
        </w:tc>
        <w:tc>
          <w:tcPr>
            <w:tcW w:w="1527" w:type="dxa"/>
            <w:tcBorders>
              <w:bottom w:val="double" w:sz="4" w:space="0" w:color="auto"/>
            </w:tcBorders>
            <w:vAlign w:val="center"/>
          </w:tcPr>
          <w:p w:rsidR="008A0B91" w:rsidRDefault="00844A5A">
            <w:pPr>
              <w:ind w:leftChars="0" w:left="0"/>
              <w:jc w:val="right"/>
            </w:pPr>
            <w:r>
              <w:rPr>
                <w:rFonts w:hint="eastAsia"/>
              </w:rPr>
              <w:t>20</w:t>
            </w:r>
          </w:p>
        </w:tc>
        <w:tc>
          <w:tcPr>
            <w:tcW w:w="1528" w:type="dxa"/>
            <w:tcBorders>
              <w:bottom w:val="double" w:sz="4" w:space="0" w:color="auto"/>
            </w:tcBorders>
            <w:vAlign w:val="center"/>
          </w:tcPr>
          <w:p w:rsidR="008A0B91" w:rsidRDefault="00844A5A">
            <w:pPr>
              <w:ind w:leftChars="0" w:left="0"/>
              <w:jc w:val="right"/>
            </w:pPr>
            <w:r>
              <w:rPr>
                <w:rFonts w:hint="eastAsia"/>
              </w:rPr>
              <w:t>1.2％</w:t>
            </w:r>
          </w:p>
        </w:tc>
      </w:tr>
      <w:tr w:rsidR="008A0B91" w:rsidTr="00E937BB">
        <w:tc>
          <w:tcPr>
            <w:tcW w:w="2410" w:type="dxa"/>
            <w:tcBorders>
              <w:top w:val="double" w:sz="4" w:space="0" w:color="auto"/>
            </w:tcBorders>
            <w:vAlign w:val="center"/>
          </w:tcPr>
          <w:p w:rsidR="008A0B91" w:rsidRDefault="00844A5A">
            <w:pPr>
              <w:ind w:leftChars="0" w:left="0"/>
              <w:jc w:val="center"/>
            </w:pPr>
            <w:r>
              <w:rPr>
                <w:rFonts w:hint="eastAsia"/>
              </w:rPr>
              <w:t>合　計</w:t>
            </w:r>
          </w:p>
        </w:tc>
        <w:tc>
          <w:tcPr>
            <w:tcW w:w="1527" w:type="dxa"/>
            <w:tcBorders>
              <w:top w:val="double" w:sz="4" w:space="0" w:color="auto"/>
            </w:tcBorders>
            <w:vAlign w:val="center"/>
          </w:tcPr>
          <w:p w:rsidR="008A0B91" w:rsidRDefault="00844A5A">
            <w:pPr>
              <w:ind w:leftChars="0" w:left="0"/>
              <w:jc w:val="right"/>
            </w:pPr>
            <w:r>
              <w:rPr>
                <w:rFonts w:hint="eastAsia"/>
              </w:rPr>
              <w:t>1,608</w:t>
            </w:r>
          </w:p>
        </w:tc>
        <w:tc>
          <w:tcPr>
            <w:tcW w:w="1528" w:type="dxa"/>
            <w:tcBorders>
              <w:top w:val="double" w:sz="4" w:space="0" w:color="auto"/>
            </w:tcBorders>
            <w:vAlign w:val="center"/>
          </w:tcPr>
          <w:p w:rsidR="008A0B91" w:rsidRDefault="00844A5A">
            <w:pPr>
              <w:ind w:leftChars="0" w:left="0"/>
              <w:jc w:val="right"/>
            </w:pPr>
            <w:r>
              <w:rPr>
                <w:rFonts w:hint="eastAsia"/>
              </w:rPr>
              <w:t>100.0％</w:t>
            </w:r>
          </w:p>
        </w:tc>
      </w:tr>
    </w:tbl>
    <w:p w:rsidR="008A0B91" w:rsidRDefault="00844A5A">
      <w:pPr>
        <w:ind w:leftChars="0" w:left="0"/>
        <w:rPr>
          <w:rFonts w:ascii="ＭＳ ゴシック" w:eastAsia="ＭＳ ゴシック" w:hAnsi="ＭＳ ゴシック"/>
        </w:rPr>
      </w:pPr>
      <w:r>
        <w:rPr>
          <w:rFonts w:ascii="ＭＳ ゴシック" w:eastAsia="ＭＳ ゴシック" w:hAnsi="ＭＳ ゴシック"/>
          <w:noProof/>
        </w:rPr>
        <w:drawing>
          <wp:inline distT="0" distB="0" distL="0" distR="0">
            <wp:extent cx="2647950" cy="2727960"/>
            <wp:effectExtent l="0" t="0" r="0" b="0"/>
            <wp:docPr id="1029" name="オブジェクト 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ＭＳ ゴシック" w:eastAsia="ＭＳ ゴシック" w:hAnsi="ＭＳ ゴシック"/>
        </w:rPr>
        <w:br w:type="textWrapping" w:clear="all"/>
      </w:r>
    </w:p>
    <w:p w:rsidR="008A0B91" w:rsidRDefault="008A0B91">
      <w:pPr>
        <w:ind w:leftChars="0" w:left="0"/>
        <w:rPr>
          <w:rFonts w:ascii="ＭＳ ゴシック" w:eastAsia="ＭＳ ゴシック" w:hAnsi="ＭＳ ゴシック"/>
        </w:rPr>
      </w:pPr>
    </w:p>
    <w:p w:rsidR="008A0B91" w:rsidRDefault="00844A5A">
      <w:pPr>
        <w:ind w:leftChars="0" w:left="0"/>
        <w:rPr>
          <w:rFonts w:ascii="ＭＳ ゴシック" w:eastAsia="ＭＳ ゴシック" w:hAnsi="ＭＳ ゴシック"/>
        </w:rPr>
      </w:pPr>
      <w:r>
        <w:rPr>
          <w:rFonts w:ascii="ＭＳ ゴシック" w:eastAsia="ＭＳ ゴシック" w:hAnsi="ＭＳ ゴシック" w:hint="eastAsia"/>
        </w:rPr>
        <w:t xml:space="preserve">　　Ｆ４　属性別</w:t>
      </w:r>
    </w:p>
    <w:tbl>
      <w:tblPr>
        <w:tblpPr w:leftFromText="142" w:rightFromText="142" w:vertAnchor="text" w:horzAnchor="margin" w:tblpXSpec="right" w:tblpY="853"/>
        <w:tblOverlap w:val="never"/>
        <w:tblW w:w="5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552"/>
        <w:gridCol w:w="1553"/>
      </w:tblGrid>
      <w:tr w:rsidR="008A0B91">
        <w:tc>
          <w:tcPr>
            <w:tcW w:w="2376" w:type="dxa"/>
            <w:tcBorders>
              <w:bottom w:val="nil"/>
            </w:tcBorders>
            <w:shd w:val="clear" w:color="auto" w:fill="D9D9D9" w:themeFill="background1" w:themeFillShade="D9"/>
            <w:vAlign w:val="center"/>
          </w:tcPr>
          <w:p w:rsidR="008A0B91" w:rsidRDefault="00844A5A">
            <w:pPr>
              <w:ind w:leftChars="0" w:left="0"/>
              <w:jc w:val="center"/>
            </w:pPr>
            <w:r>
              <w:rPr>
                <w:rFonts w:hint="eastAsia"/>
              </w:rPr>
              <w:t>区　分</w:t>
            </w:r>
          </w:p>
        </w:tc>
        <w:tc>
          <w:tcPr>
            <w:tcW w:w="1552" w:type="dxa"/>
            <w:tcBorders>
              <w:bottom w:val="nil"/>
            </w:tcBorders>
            <w:shd w:val="clear" w:color="auto" w:fill="D9D9D9" w:themeFill="background1" w:themeFillShade="D9"/>
            <w:vAlign w:val="center"/>
          </w:tcPr>
          <w:p w:rsidR="008A0B91" w:rsidRDefault="00844A5A">
            <w:pPr>
              <w:ind w:leftChars="0" w:left="0"/>
              <w:jc w:val="center"/>
            </w:pPr>
            <w:r>
              <w:rPr>
                <w:rFonts w:hint="eastAsia"/>
              </w:rPr>
              <w:t>回答数（人）</w:t>
            </w:r>
          </w:p>
        </w:tc>
        <w:tc>
          <w:tcPr>
            <w:tcW w:w="1553" w:type="dxa"/>
            <w:tcBorders>
              <w:bottom w:val="nil"/>
            </w:tcBorders>
            <w:shd w:val="clear" w:color="auto" w:fill="D9D9D9" w:themeFill="background1" w:themeFillShade="D9"/>
            <w:vAlign w:val="center"/>
          </w:tcPr>
          <w:p w:rsidR="008A0B91" w:rsidRDefault="00844A5A">
            <w:pPr>
              <w:ind w:leftChars="0" w:left="0"/>
              <w:jc w:val="center"/>
            </w:pPr>
            <w:r>
              <w:rPr>
                <w:rFonts w:hint="eastAsia"/>
              </w:rPr>
              <w:t>構成比（％）</w:t>
            </w:r>
          </w:p>
        </w:tc>
      </w:tr>
      <w:tr w:rsidR="008A0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center"/>
            </w:pPr>
            <w:r>
              <w:rPr>
                <w:rFonts w:hint="eastAsia"/>
              </w:rPr>
              <w:t>世帯主</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right"/>
            </w:pPr>
            <w:r>
              <w:rPr>
                <w:rFonts w:hint="eastAsia"/>
              </w:rPr>
              <w:t>631</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right"/>
            </w:pPr>
            <w:r>
              <w:rPr>
                <w:rFonts w:hint="eastAsia"/>
              </w:rPr>
              <w:t>39.2％</w:t>
            </w:r>
          </w:p>
        </w:tc>
      </w:tr>
      <w:tr w:rsidR="008A0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center"/>
            </w:pPr>
            <w:r>
              <w:rPr>
                <w:rFonts w:hint="eastAsia"/>
              </w:rPr>
              <w:t>世帯主ではない</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right"/>
            </w:pPr>
            <w:r>
              <w:rPr>
                <w:rFonts w:hint="eastAsia"/>
              </w:rPr>
              <w:t>963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right"/>
            </w:pPr>
            <w:r>
              <w:rPr>
                <w:rFonts w:hint="eastAsia"/>
              </w:rPr>
              <w:t>59.9％</w:t>
            </w:r>
          </w:p>
        </w:tc>
      </w:tr>
      <w:tr w:rsidR="008A0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Borders>
              <w:top w:val="single" w:sz="4" w:space="0" w:color="auto"/>
              <w:left w:val="single" w:sz="4" w:space="0" w:color="auto"/>
              <w:bottom w:val="double" w:sz="4" w:space="0" w:color="auto"/>
              <w:right w:val="single" w:sz="4" w:space="0" w:color="auto"/>
            </w:tcBorders>
            <w:shd w:val="clear" w:color="auto" w:fill="auto"/>
            <w:vAlign w:val="center"/>
          </w:tcPr>
          <w:p w:rsidR="008A0B91" w:rsidRDefault="00844A5A">
            <w:pPr>
              <w:ind w:leftChars="0" w:left="0"/>
              <w:jc w:val="center"/>
            </w:pPr>
            <w:r>
              <w:rPr>
                <w:rFonts w:hint="eastAsia"/>
              </w:rPr>
              <w:t>無回答</w:t>
            </w:r>
          </w:p>
        </w:tc>
        <w:tc>
          <w:tcPr>
            <w:tcW w:w="1552" w:type="dxa"/>
            <w:tcBorders>
              <w:top w:val="single" w:sz="4" w:space="0" w:color="auto"/>
              <w:left w:val="single" w:sz="4" w:space="0" w:color="auto"/>
              <w:bottom w:val="double" w:sz="4" w:space="0" w:color="auto"/>
              <w:right w:val="single" w:sz="4" w:space="0" w:color="auto"/>
            </w:tcBorders>
            <w:shd w:val="clear" w:color="auto" w:fill="auto"/>
            <w:vAlign w:val="center"/>
          </w:tcPr>
          <w:p w:rsidR="008A0B91" w:rsidRDefault="00844A5A">
            <w:pPr>
              <w:ind w:leftChars="0" w:left="0"/>
              <w:jc w:val="right"/>
            </w:pPr>
            <w:r>
              <w:rPr>
                <w:rFonts w:hint="eastAsia"/>
              </w:rPr>
              <w:t>14</w:t>
            </w:r>
          </w:p>
        </w:tc>
        <w:tc>
          <w:tcPr>
            <w:tcW w:w="1553" w:type="dxa"/>
            <w:tcBorders>
              <w:top w:val="single" w:sz="4" w:space="0" w:color="auto"/>
              <w:left w:val="single" w:sz="4" w:space="0" w:color="auto"/>
              <w:bottom w:val="double" w:sz="4" w:space="0" w:color="auto"/>
              <w:right w:val="single" w:sz="4" w:space="0" w:color="auto"/>
            </w:tcBorders>
            <w:shd w:val="clear" w:color="auto" w:fill="auto"/>
            <w:vAlign w:val="center"/>
          </w:tcPr>
          <w:p w:rsidR="008A0B91" w:rsidRDefault="00844A5A">
            <w:pPr>
              <w:ind w:leftChars="0" w:left="0"/>
              <w:jc w:val="right"/>
            </w:pPr>
            <w:r>
              <w:rPr>
                <w:rFonts w:hint="eastAsia"/>
              </w:rPr>
              <w:t>0.9％</w:t>
            </w:r>
          </w:p>
        </w:tc>
      </w:tr>
      <w:tr w:rsidR="008A0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Borders>
              <w:top w:val="doub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center"/>
            </w:pPr>
            <w:r>
              <w:rPr>
                <w:rFonts w:hint="eastAsia"/>
              </w:rPr>
              <w:t>合　計</w:t>
            </w:r>
          </w:p>
        </w:tc>
        <w:tc>
          <w:tcPr>
            <w:tcW w:w="1552" w:type="dxa"/>
            <w:tcBorders>
              <w:top w:val="doub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right"/>
            </w:pPr>
            <w:r>
              <w:rPr>
                <w:rFonts w:hint="eastAsia"/>
              </w:rPr>
              <w:t>1,608</w:t>
            </w:r>
          </w:p>
        </w:tc>
        <w:tc>
          <w:tcPr>
            <w:tcW w:w="1553" w:type="dxa"/>
            <w:tcBorders>
              <w:top w:val="double" w:sz="4" w:space="0" w:color="auto"/>
              <w:left w:val="single" w:sz="4" w:space="0" w:color="auto"/>
              <w:bottom w:val="single" w:sz="4" w:space="0" w:color="auto"/>
              <w:right w:val="single" w:sz="4" w:space="0" w:color="auto"/>
            </w:tcBorders>
            <w:shd w:val="clear" w:color="auto" w:fill="auto"/>
            <w:vAlign w:val="center"/>
          </w:tcPr>
          <w:p w:rsidR="008A0B91" w:rsidRDefault="00844A5A">
            <w:pPr>
              <w:ind w:leftChars="0" w:left="0"/>
              <w:jc w:val="right"/>
            </w:pPr>
            <w:r>
              <w:rPr>
                <w:rFonts w:hint="eastAsia"/>
              </w:rPr>
              <w:t>100.0％</w:t>
            </w:r>
          </w:p>
        </w:tc>
      </w:tr>
    </w:tbl>
    <w:p w:rsidR="008A0B91" w:rsidRDefault="00844A5A">
      <w:pPr>
        <w:ind w:leftChars="0" w:left="0"/>
        <w:rPr>
          <w:rFonts w:ascii="ＭＳ ゴシック" w:eastAsia="ＭＳ ゴシック" w:hAnsi="ＭＳ ゴシック"/>
        </w:rPr>
      </w:pPr>
      <w:r>
        <w:rPr>
          <w:rFonts w:ascii="ＭＳ ゴシック" w:eastAsia="ＭＳ ゴシック" w:hAnsi="ＭＳ ゴシック"/>
          <w:noProof/>
        </w:rPr>
        <w:drawing>
          <wp:inline distT="0" distB="0" distL="0" distR="0">
            <wp:extent cx="2647950" cy="2727960"/>
            <wp:effectExtent l="0" t="0" r="0" b="0"/>
            <wp:docPr id="1030" name="オブジェクト 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A0B91" w:rsidRDefault="008A0B91">
      <w:pPr>
        <w:ind w:leftChars="0" w:left="0"/>
        <w:rPr>
          <w:rFonts w:ascii="ＭＳ ゴシック" w:eastAsia="ＭＳ ゴシック" w:hAnsi="ＭＳ ゴシック"/>
        </w:rPr>
      </w:pPr>
    </w:p>
    <w:p w:rsidR="008A0B91" w:rsidRDefault="00844A5A">
      <w:pPr>
        <w:ind w:leftChars="0" w:left="0"/>
        <w:rPr>
          <w:rFonts w:ascii="ＭＳ ゴシック" w:eastAsia="ＭＳ ゴシック" w:hAnsi="ＭＳ ゴシック"/>
        </w:rPr>
      </w:pPr>
      <w:r>
        <w:rPr>
          <w:rFonts w:ascii="ＭＳ ゴシック" w:eastAsia="ＭＳ ゴシック" w:hAnsi="ＭＳ ゴシック" w:hint="eastAsia"/>
        </w:rPr>
        <w:t>Ｆ５　婚姻別状況</w:t>
      </w:r>
    </w:p>
    <w:tbl>
      <w:tblPr>
        <w:tblpPr w:leftFromText="142" w:rightFromText="142" w:vertAnchor="text" w:tblpX="4219" w:tblpY="335"/>
        <w:tblOverlap w:val="never"/>
        <w:tblW w:w="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518"/>
        <w:gridCol w:w="1519"/>
      </w:tblGrid>
      <w:tr w:rsidR="008A0B91">
        <w:tc>
          <w:tcPr>
            <w:tcW w:w="2410" w:type="dxa"/>
            <w:tcBorders>
              <w:bottom w:val="nil"/>
            </w:tcBorders>
            <w:shd w:val="clear" w:color="auto" w:fill="D9D9D9" w:themeFill="background1" w:themeFillShade="D9"/>
            <w:vAlign w:val="center"/>
          </w:tcPr>
          <w:p w:rsidR="008A0B91" w:rsidRDefault="00844A5A">
            <w:pPr>
              <w:ind w:leftChars="0" w:left="0"/>
              <w:jc w:val="center"/>
            </w:pPr>
            <w:r>
              <w:rPr>
                <w:rFonts w:hint="eastAsia"/>
              </w:rPr>
              <w:t>区　分</w:t>
            </w:r>
          </w:p>
        </w:tc>
        <w:tc>
          <w:tcPr>
            <w:tcW w:w="1518" w:type="dxa"/>
            <w:tcBorders>
              <w:bottom w:val="nil"/>
            </w:tcBorders>
            <w:shd w:val="clear" w:color="auto" w:fill="D9D9D9" w:themeFill="background1" w:themeFillShade="D9"/>
            <w:vAlign w:val="center"/>
          </w:tcPr>
          <w:p w:rsidR="008A0B91" w:rsidRDefault="00844A5A">
            <w:pPr>
              <w:ind w:leftChars="0" w:left="0"/>
              <w:jc w:val="center"/>
            </w:pPr>
            <w:r>
              <w:rPr>
                <w:rFonts w:hint="eastAsia"/>
              </w:rPr>
              <w:t>回答数（人）</w:t>
            </w:r>
          </w:p>
        </w:tc>
        <w:tc>
          <w:tcPr>
            <w:tcW w:w="1519" w:type="dxa"/>
            <w:tcBorders>
              <w:bottom w:val="nil"/>
            </w:tcBorders>
            <w:shd w:val="clear" w:color="auto" w:fill="D9D9D9" w:themeFill="background1" w:themeFillShade="D9"/>
            <w:vAlign w:val="center"/>
          </w:tcPr>
          <w:p w:rsidR="008A0B91" w:rsidRDefault="00844A5A">
            <w:pPr>
              <w:ind w:leftChars="0" w:left="0"/>
              <w:jc w:val="center"/>
            </w:pPr>
            <w:r>
              <w:rPr>
                <w:rFonts w:hint="eastAsia"/>
              </w:rPr>
              <w:t>構成比（％）</w:t>
            </w:r>
          </w:p>
        </w:tc>
      </w:tr>
      <w:tr w:rsidR="008A0B91">
        <w:tc>
          <w:tcPr>
            <w:tcW w:w="2410" w:type="dxa"/>
            <w:shd w:val="clear" w:color="auto" w:fill="auto"/>
            <w:vAlign w:val="center"/>
          </w:tcPr>
          <w:p w:rsidR="008A0B91" w:rsidRDefault="00844A5A">
            <w:pPr>
              <w:ind w:leftChars="0" w:left="0"/>
              <w:jc w:val="center"/>
            </w:pPr>
            <w:r>
              <w:rPr>
                <w:rFonts w:hint="eastAsia"/>
              </w:rPr>
              <w:t>未　婚</w:t>
            </w:r>
          </w:p>
        </w:tc>
        <w:tc>
          <w:tcPr>
            <w:tcW w:w="1518" w:type="dxa"/>
            <w:shd w:val="clear" w:color="auto" w:fill="auto"/>
            <w:vAlign w:val="center"/>
          </w:tcPr>
          <w:p w:rsidR="008A0B91" w:rsidRDefault="00844A5A">
            <w:pPr>
              <w:ind w:leftChars="0" w:left="0"/>
              <w:jc w:val="right"/>
            </w:pPr>
            <w:r>
              <w:rPr>
                <w:rFonts w:hint="eastAsia"/>
              </w:rPr>
              <w:t>529</w:t>
            </w:r>
          </w:p>
        </w:tc>
        <w:tc>
          <w:tcPr>
            <w:tcW w:w="1519" w:type="dxa"/>
            <w:shd w:val="clear" w:color="auto" w:fill="auto"/>
            <w:vAlign w:val="center"/>
          </w:tcPr>
          <w:p w:rsidR="008A0B91" w:rsidRDefault="00844A5A">
            <w:pPr>
              <w:ind w:leftChars="0" w:left="0"/>
              <w:jc w:val="right"/>
            </w:pPr>
            <w:r>
              <w:rPr>
                <w:rFonts w:hint="eastAsia"/>
              </w:rPr>
              <w:t>32.9％</w:t>
            </w:r>
          </w:p>
        </w:tc>
      </w:tr>
      <w:tr w:rsidR="008A0B91">
        <w:tc>
          <w:tcPr>
            <w:tcW w:w="2410" w:type="dxa"/>
            <w:shd w:val="clear" w:color="auto" w:fill="auto"/>
            <w:vAlign w:val="center"/>
          </w:tcPr>
          <w:p w:rsidR="008A0B91" w:rsidRDefault="00844A5A">
            <w:pPr>
              <w:ind w:leftChars="0" w:left="0"/>
              <w:jc w:val="center"/>
            </w:pPr>
            <w:r>
              <w:rPr>
                <w:rFonts w:hint="eastAsia"/>
              </w:rPr>
              <w:t>既　婚</w:t>
            </w:r>
          </w:p>
        </w:tc>
        <w:tc>
          <w:tcPr>
            <w:tcW w:w="1518" w:type="dxa"/>
            <w:shd w:val="clear" w:color="auto" w:fill="auto"/>
            <w:vAlign w:val="center"/>
          </w:tcPr>
          <w:p w:rsidR="008A0B91" w:rsidRDefault="00844A5A">
            <w:pPr>
              <w:ind w:leftChars="0" w:left="0"/>
              <w:jc w:val="right"/>
            </w:pPr>
            <w:r>
              <w:rPr>
                <w:rFonts w:hint="eastAsia"/>
              </w:rPr>
              <w:t>932</w:t>
            </w:r>
          </w:p>
        </w:tc>
        <w:tc>
          <w:tcPr>
            <w:tcW w:w="1519" w:type="dxa"/>
            <w:shd w:val="clear" w:color="auto" w:fill="auto"/>
            <w:vAlign w:val="center"/>
          </w:tcPr>
          <w:p w:rsidR="008A0B91" w:rsidRDefault="00844A5A">
            <w:pPr>
              <w:ind w:leftChars="0" w:left="0"/>
              <w:jc w:val="right"/>
            </w:pPr>
            <w:r>
              <w:rPr>
                <w:rFonts w:hint="eastAsia"/>
              </w:rPr>
              <w:t>58.0％</w:t>
            </w:r>
          </w:p>
        </w:tc>
      </w:tr>
      <w:tr w:rsidR="008A0B91">
        <w:tc>
          <w:tcPr>
            <w:tcW w:w="2410" w:type="dxa"/>
            <w:shd w:val="clear" w:color="auto" w:fill="auto"/>
            <w:vAlign w:val="center"/>
          </w:tcPr>
          <w:p w:rsidR="008A0B91" w:rsidRDefault="00844A5A">
            <w:pPr>
              <w:ind w:leftChars="0" w:left="0"/>
              <w:jc w:val="center"/>
            </w:pPr>
            <w:r>
              <w:rPr>
                <w:rFonts w:hint="eastAsia"/>
              </w:rPr>
              <w:t>その他</w:t>
            </w:r>
          </w:p>
        </w:tc>
        <w:tc>
          <w:tcPr>
            <w:tcW w:w="1518" w:type="dxa"/>
            <w:shd w:val="clear" w:color="auto" w:fill="auto"/>
            <w:vAlign w:val="center"/>
          </w:tcPr>
          <w:p w:rsidR="008A0B91" w:rsidRDefault="00844A5A">
            <w:pPr>
              <w:ind w:leftChars="0" w:left="0"/>
              <w:jc w:val="right"/>
            </w:pPr>
            <w:r>
              <w:rPr>
                <w:rFonts w:hint="eastAsia"/>
              </w:rPr>
              <w:t>132</w:t>
            </w:r>
          </w:p>
        </w:tc>
        <w:tc>
          <w:tcPr>
            <w:tcW w:w="1519" w:type="dxa"/>
            <w:shd w:val="clear" w:color="auto" w:fill="auto"/>
            <w:vAlign w:val="center"/>
          </w:tcPr>
          <w:p w:rsidR="008A0B91" w:rsidRDefault="00844A5A">
            <w:pPr>
              <w:ind w:leftChars="0" w:left="0"/>
              <w:jc w:val="right"/>
            </w:pPr>
            <w:r>
              <w:rPr>
                <w:rFonts w:hint="eastAsia"/>
              </w:rPr>
              <w:t>8.2％</w:t>
            </w:r>
          </w:p>
        </w:tc>
      </w:tr>
      <w:tr w:rsidR="008A0B91">
        <w:tc>
          <w:tcPr>
            <w:tcW w:w="2410" w:type="dxa"/>
            <w:tcBorders>
              <w:bottom w:val="double" w:sz="4" w:space="0" w:color="auto"/>
            </w:tcBorders>
            <w:shd w:val="clear" w:color="auto" w:fill="auto"/>
            <w:vAlign w:val="center"/>
          </w:tcPr>
          <w:p w:rsidR="008A0B91" w:rsidRDefault="00844A5A">
            <w:pPr>
              <w:ind w:leftChars="0" w:left="0"/>
              <w:jc w:val="center"/>
            </w:pPr>
            <w:r>
              <w:rPr>
                <w:rFonts w:hint="eastAsia"/>
              </w:rPr>
              <w:t>無回答</w:t>
            </w:r>
          </w:p>
        </w:tc>
        <w:tc>
          <w:tcPr>
            <w:tcW w:w="1518" w:type="dxa"/>
            <w:tcBorders>
              <w:bottom w:val="double" w:sz="4" w:space="0" w:color="auto"/>
            </w:tcBorders>
            <w:shd w:val="clear" w:color="auto" w:fill="auto"/>
            <w:vAlign w:val="center"/>
          </w:tcPr>
          <w:p w:rsidR="008A0B91" w:rsidRDefault="00844A5A">
            <w:pPr>
              <w:ind w:leftChars="0" w:left="0"/>
              <w:jc w:val="right"/>
            </w:pPr>
            <w:r>
              <w:rPr>
                <w:rFonts w:hint="eastAsia"/>
              </w:rPr>
              <w:t>15</w:t>
            </w:r>
          </w:p>
        </w:tc>
        <w:tc>
          <w:tcPr>
            <w:tcW w:w="1519" w:type="dxa"/>
            <w:tcBorders>
              <w:bottom w:val="double" w:sz="4" w:space="0" w:color="auto"/>
            </w:tcBorders>
            <w:shd w:val="clear" w:color="auto" w:fill="auto"/>
            <w:vAlign w:val="center"/>
          </w:tcPr>
          <w:p w:rsidR="008A0B91" w:rsidRDefault="00844A5A">
            <w:pPr>
              <w:ind w:leftChars="0" w:left="0"/>
              <w:jc w:val="right"/>
            </w:pPr>
            <w:r>
              <w:rPr>
                <w:rFonts w:hint="eastAsia"/>
              </w:rPr>
              <w:t>0.9％</w:t>
            </w:r>
          </w:p>
        </w:tc>
      </w:tr>
      <w:tr w:rsidR="008A0B91">
        <w:tc>
          <w:tcPr>
            <w:tcW w:w="2410" w:type="dxa"/>
            <w:tcBorders>
              <w:top w:val="double" w:sz="4" w:space="0" w:color="auto"/>
            </w:tcBorders>
            <w:shd w:val="clear" w:color="auto" w:fill="auto"/>
            <w:vAlign w:val="center"/>
          </w:tcPr>
          <w:p w:rsidR="008A0B91" w:rsidRDefault="00844A5A">
            <w:pPr>
              <w:ind w:leftChars="0" w:left="0"/>
              <w:jc w:val="center"/>
            </w:pPr>
            <w:r>
              <w:rPr>
                <w:rFonts w:hint="eastAsia"/>
              </w:rPr>
              <w:t>合　計</w:t>
            </w:r>
          </w:p>
        </w:tc>
        <w:tc>
          <w:tcPr>
            <w:tcW w:w="1518" w:type="dxa"/>
            <w:tcBorders>
              <w:top w:val="double" w:sz="4" w:space="0" w:color="auto"/>
            </w:tcBorders>
            <w:shd w:val="clear" w:color="auto" w:fill="auto"/>
            <w:vAlign w:val="center"/>
          </w:tcPr>
          <w:p w:rsidR="008A0B91" w:rsidRDefault="00844A5A">
            <w:pPr>
              <w:ind w:leftChars="0" w:left="0"/>
              <w:jc w:val="right"/>
            </w:pPr>
            <w:r>
              <w:rPr>
                <w:rFonts w:hint="eastAsia"/>
              </w:rPr>
              <w:t>1,608</w:t>
            </w:r>
          </w:p>
        </w:tc>
        <w:tc>
          <w:tcPr>
            <w:tcW w:w="1519" w:type="dxa"/>
            <w:tcBorders>
              <w:top w:val="double" w:sz="4" w:space="0" w:color="auto"/>
            </w:tcBorders>
            <w:shd w:val="clear" w:color="auto" w:fill="auto"/>
            <w:vAlign w:val="center"/>
          </w:tcPr>
          <w:p w:rsidR="008A0B91" w:rsidRDefault="00844A5A">
            <w:pPr>
              <w:ind w:leftChars="0" w:left="0"/>
              <w:jc w:val="right"/>
            </w:pPr>
            <w:r>
              <w:rPr>
                <w:rFonts w:hint="eastAsia"/>
              </w:rPr>
              <w:t>100.0％</w:t>
            </w:r>
          </w:p>
        </w:tc>
      </w:tr>
    </w:tbl>
    <w:p w:rsidR="008A0B91" w:rsidRDefault="00844A5A">
      <w:pPr>
        <w:ind w:leftChars="0" w:left="0"/>
        <w:rPr>
          <w:rFonts w:ascii="ＭＳ ゴシック" w:eastAsia="ＭＳ ゴシック" w:hAnsi="ＭＳ ゴシック"/>
        </w:rPr>
      </w:pPr>
      <w:r>
        <w:rPr>
          <w:rFonts w:ascii="ＭＳ ゴシック" w:eastAsia="ＭＳ ゴシック" w:hAnsi="ＭＳ ゴシック"/>
          <w:noProof/>
        </w:rPr>
        <w:drawing>
          <wp:inline distT="0" distB="0" distL="0" distR="0">
            <wp:extent cx="2647950" cy="2113915"/>
            <wp:effectExtent l="0" t="0" r="0" b="0"/>
            <wp:docPr id="1031" name="オブジェクト 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ＭＳ ゴシック" w:eastAsia="ＭＳ ゴシック" w:hAnsi="ＭＳ ゴシック"/>
        </w:rPr>
        <w:br w:type="textWrapping" w:clear="all"/>
      </w:r>
      <w:r>
        <w:rPr>
          <w:rFonts w:ascii="ＭＳ ゴシック" w:eastAsia="ＭＳ ゴシック" w:hAnsi="ＭＳ ゴシック" w:hint="eastAsia"/>
        </w:rPr>
        <w:lastRenderedPageBreak/>
        <w:t>Ｆ６　子どもの状況別（複数回答）</w:t>
      </w:r>
    </w:p>
    <w:tbl>
      <w:tblPr>
        <w:tblpPr w:leftFromText="142" w:rightFromText="142" w:vertAnchor="text" w:horzAnchor="margin" w:tblpXSpec="right" w:tblpY="78"/>
        <w:tblW w:w="5447" w:type="dxa"/>
        <w:tblLayout w:type="fixed"/>
        <w:tblLook w:val="04A0"/>
      </w:tblPr>
      <w:tblGrid>
        <w:gridCol w:w="2410"/>
        <w:gridCol w:w="1518"/>
        <w:gridCol w:w="1519"/>
      </w:tblGrid>
      <w:tr w:rsidR="008A0B91" w:rsidTr="00E937BB">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0B91" w:rsidRDefault="00844A5A">
            <w:pPr>
              <w:ind w:leftChars="0" w:left="0"/>
              <w:jc w:val="center"/>
            </w:pPr>
            <w:r>
              <w:rPr>
                <w:rFonts w:hint="eastAsia"/>
              </w:rPr>
              <w:t>区　分</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0B91" w:rsidRDefault="00844A5A">
            <w:pPr>
              <w:ind w:leftChars="0" w:left="0"/>
              <w:jc w:val="center"/>
            </w:pPr>
            <w:r>
              <w:rPr>
                <w:rFonts w:hint="eastAsia"/>
              </w:rPr>
              <w:t>回答数（人）</w:t>
            </w:r>
          </w:p>
        </w:tc>
        <w:tc>
          <w:tcPr>
            <w:tcW w:w="1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0B91" w:rsidRDefault="00844A5A">
            <w:pPr>
              <w:ind w:leftChars="0" w:left="0"/>
              <w:jc w:val="center"/>
            </w:pPr>
            <w:r>
              <w:rPr>
                <w:rFonts w:hint="eastAsia"/>
              </w:rPr>
              <w:t>構成比（％）</w:t>
            </w:r>
          </w:p>
        </w:tc>
      </w:tr>
      <w:tr w:rsidR="008A0B91" w:rsidTr="00E937BB">
        <w:tc>
          <w:tcPr>
            <w:tcW w:w="241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就学前の子どもがいる</w:t>
            </w:r>
          </w:p>
        </w:tc>
        <w:tc>
          <w:tcPr>
            <w:tcW w:w="1518"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163</w:t>
            </w:r>
          </w:p>
        </w:tc>
        <w:tc>
          <w:tcPr>
            <w:tcW w:w="1519"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10.1％</w:t>
            </w:r>
          </w:p>
        </w:tc>
      </w:tr>
      <w:tr w:rsidR="008A0B91" w:rsidTr="00E937BB">
        <w:tc>
          <w:tcPr>
            <w:tcW w:w="241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小学生の子どもがいる</w:t>
            </w:r>
          </w:p>
        </w:tc>
        <w:tc>
          <w:tcPr>
            <w:tcW w:w="1518"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184</w:t>
            </w:r>
          </w:p>
        </w:tc>
        <w:tc>
          <w:tcPr>
            <w:tcW w:w="1519"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11.4％</w:t>
            </w:r>
          </w:p>
        </w:tc>
      </w:tr>
      <w:tr w:rsidR="008A0B91" w:rsidTr="00E937BB">
        <w:tc>
          <w:tcPr>
            <w:tcW w:w="241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中学生の子どもがいる</w:t>
            </w:r>
          </w:p>
        </w:tc>
        <w:tc>
          <w:tcPr>
            <w:tcW w:w="1518"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115</w:t>
            </w:r>
          </w:p>
        </w:tc>
        <w:tc>
          <w:tcPr>
            <w:tcW w:w="1519"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7.2％</w:t>
            </w:r>
          </w:p>
        </w:tc>
      </w:tr>
      <w:tr w:rsidR="008A0B91" w:rsidTr="00E937BB">
        <w:tc>
          <w:tcPr>
            <w:tcW w:w="241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高校生の子どもがいる</w:t>
            </w:r>
          </w:p>
        </w:tc>
        <w:tc>
          <w:tcPr>
            <w:tcW w:w="1518"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115</w:t>
            </w:r>
          </w:p>
        </w:tc>
        <w:tc>
          <w:tcPr>
            <w:tcW w:w="1519"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7.2％</w:t>
            </w:r>
          </w:p>
        </w:tc>
      </w:tr>
      <w:tr w:rsidR="008A0B91" w:rsidTr="00E937BB">
        <w:tc>
          <w:tcPr>
            <w:tcW w:w="241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大学生、専門学校生等の子どもがいる</w:t>
            </w:r>
          </w:p>
        </w:tc>
        <w:tc>
          <w:tcPr>
            <w:tcW w:w="1518"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113</w:t>
            </w:r>
          </w:p>
        </w:tc>
        <w:tc>
          <w:tcPr>
            <w:tcW w:w="1519"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7.0％</w:t>
            </w:r>
          </w:p>
        </w:tc>
      </w:tr>
      <w:tr w:rsidR="008A0B91" w:rsidTr="00E937BB">
        <w:tc>
          <w:tcPr>
            <w:tcW w:w="241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子どもは成人している又は独立している</w:t>
            </w:r>
          </w:p>
        </w:tc>
        <w:tc>
          <w:tcPr>
            <w:tcW w:w="1518"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582</w:t>
            </w:r>
          </w:p>
        </w:tc>
        <w:tc>
          <w:tcPr>
            <w:tcW w:w="1519"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36.2％</w:t>
            </w:r>
          </w:p>
        </w:tc>
      </w:tr>
      <w:tr w:rsidR="008A0B91" w:rsidTr="00E937BB">
        <w:trPr>
          <w:trHeight w:val="300"/>
        </w:trPr>
        <w:tc>
          <w:tcPr>
            <w:tcW w:w="241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子どもはいない</w:t>
            </w:r>
          </w:p>
        </w:tc>
        <w:tc>
          <w:tcPr>
            <w:tcW w:w="1518"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594</w:t>
            </w:r>
          </w:p>
        </w:tc>
        <w:tc>
          <w:tcPr>
            <w:tcW w:w="1519"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36.9％</w:t>
            </w:r>
          </w:p>
        </w:tc>
      </w:tr>
      <w:tr w:rsidR="008A0B91" w:rsidTr="00E937BB">
        <w:trPr>
          <w:trHeight w:val="300"/>
        </w:trPr>
        <w:tc>
          <w:tcPr>
            <w:tcW w:w="2410" w:type="dxa"/>
            <w:tcBorders>
              <w:top w:val="single" w:sz="4" w:space="0" w:color="auto"/>
              <w:left w:val="single" w:sz="4" w:space="0" w:color="auto"/>
              <w:bottom w:val="double" w:sz="4" w:space="0" w:color="auto"/>
              <w:right w:val="single" w:sz="4" w:space="0" w:color="auto"/>
            </w:tcBorders>
            <w:vAlign w:val="center"/>
          </w:tcPr>
          <w:p w:rsidR="008A0B91" w:rsidRDefault="00844A5A">
            <w:pPr>
              <w:ind w:leftChars="0" w:left="0"/>
              <w:jc w:val="center"/>
            </w:pPr>
            <w:r>
              <w:rPr>
                <w:rFonts w:hint="eastAsia"/>
              </w:rPr>
              <w:t>無回答</w:t>
            </w:r>
          </w:p>
        </w:tc>
        <w:tc>
          <w:tcPr>
            <w:tcW w:w="1518" w:type="dxa"/>
            <w:tcBorders>
              <w:top w:val="single" w:sz="4" w:space="0" w:color="auto"/>
              <w:left w:val="single" w:sz="4" w:space="0" w:color="auto"/>
              <w:bottom w:val="double" w:sz="4" w:space="0" w:color="auto"/>
              <w:right w:val="single" w:sz="4" w:space="0" w:color="auto"/>
            </w:tcBorders>
            <w:vAlign w:val="center"/>
          </w:tcPr>
          <w:p w:rsidR="008A0B91" w:rsidRDefault="00844A5A">
            <w:pPr>
              <w:ind w:leftChars="0" w:left="0"/>
              <w:jc w:val="right"/>
            </w:pPr>
            <w:r>
              <w:rPr>
                <w:rFonts w:hint="eastAsia"/>
              </w:rPr>
              <w:t>29</w:t>
            </w:r>
          </w:p>
        </w:tc>
        <w:tc>
          <w:tcPr>
            <w:tcW w:w="1519" w:type="dxa"/>
            <w:tcBorders>
              <w:top w:val="single" w:sz="4" w:space="0" w:color="auto"/>
              <w:left w:val="single" w:sz="4" w:space="0" w:color="auto"/>
              <w:bottom w:val="double" w:sz="4" w:space="0" w:color="auto"/>
              <w:right w:val="single" w:sz="4" w:space="0" w:color="auto"/>
            </w:tcBorders>
            <w:vAlign w:val="center"/>
          </w:tcPr>
          <w:p w:rsidR="008A0B91" w:rsidRDefault="00844A5A">
            <w:pPr>
              <w:ind w:leftChars="0" w:left="0"/>
              <w:jc w:val="right"/>
            </w:pPr>
            <w:r>
              <w:rPr>
                <w:rFonts w:hint="eastAsia"/>
              </w:rPr>
              <w:t>1.8％</w:t>
            </w:r>
          </w:p>
        </w:tc>
      </w:tr>
      <w:tr w:rsidR="008A0B91" w:rsidTr="00E937BB">
        <w:trPr>
          <w:trHeight w:val="300"/>
        </w:trPr>
        <w:tc>
          <w:tcPr>
            <w:tcW w:w="2410" w:type="dxa"/>
            <w:tcBorders>
              <w:top w:val="doub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合　計</w:t>
            </w:r>
          </w:p>
        </w:tc>
        <w:tc>
          <w:tcPr>
            <w:tcW w:w="1518" w:type="dxa"/>
            <w:tcBorders>
              <w:top w:val="doub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1,608</w:t>
            </w:r>
          </w:p>
        </w:tc>
        <w:tc>
          <w:tcPr>
            <w:tcW w:w="1519" w:type="dxa"/>
            <w:tcBorders>
              <w:top w:val="double" w:sz="4" w:space="0" w:color="auto"/>
              <w:left w:val="single" w:sz="4" w:space="0" w:color="auto"/>
              <w:bottom w:val="single" w:sz="4" w:space="0" w:color="auto"/>
              <w:right w:val="single" w:sz="4" w:space="0" w:color="auto"/>
              <w:tr2bl w:val="single" w:sz="4" w:space="0" w:color="auto"/>
            </w:tcBorders>
            <w:vAlign w:val="center"/>
          </w:tcPr>
          <w:p w:rsidR="008A0B91" w:rsidRDefault="008A0B91">
            <w:pPr>
              <w:ind w:leftChars="0" w:left="0"/>
              <w:jc w:val="right"/>
            </w:pPr>
          </w:p>
        </w:tc>
      </w:tr>
    </w:tbl>
    <w:p w:rsidR="008A0B91" w:rsidRDefault="00844A5A">
      <w:pPr>
        <w:ind w:leftChars="0" w:left="0"/>
        <w:rPr>
          <w:rFonts w:ascii="ＭＳ ゴシック" w:eastAsia="ＭＳ ゴシック" w:hAnsi="ＭＳ ゴシック"/>
        </w:rPr>
      </w:pPr>
      <w:r>
        <w:rPr>
          <w:rFonts w:ascii="ＭＳ ゴシック" w:eastAsia="ＭＳ ゴシック" w:hAnsi="ＭＳ ゴシック" w:hint="eastAsia"/>
          <w:noProof/>
        </w:rPr>
        <w:drawing>
          <wp:inline distT="0" distB="0" distL="0" distR="0">
            <wp:extent cx="2552700" cy="3203575"/>
            <wp:effectExtent l="0" t="0" r="0" b="0"/>
            <wp:docPr id="1032" name="オブジェクト 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A0B91" w:rsidRDefault="008A0B91">
      <w:pPr>
        <w:ind w:leftChars="0" w:left="0"/>
        <w:rPr>
          <w:rFonts w:ascii="ＭＳ ゴシック" w:eastAsia="ＭＳ ゴシック" w:hAnsi="ＭＳ ゴシック"/>
        </w:rPr>
      </w:pPr>
    </w:p>
    <w:p w:rsidR="008A0B91" w:rsidRDefault="008A0B91">
      <w:pPr>
        <w:ind w:leftChars="0" w:left="0"/>
        <w:rPr>
          <w:rFonts w:ascii="ＭＳ ゴシック" w:eastAsia="ＭＳ ゴシック" w:hAnsi="ＭＳ ゴシック"/>
        </w:rPr>
      </w:pPr>
    </w:p>
    <w:p w:rsidR="008A0B91" w:rsidRDefault="00844A5A">
      <w:pPr>
        <w:ind w:leftChars="0" w:left="0"/>
        <w:rPr>
          <w:rFonts w:ascii="ＭＳ ゴシック" w:eastAsia="ＭＳ ゴシック" w:hAnsi="ＭＳ ゴシック"/>
        </w:rPr>
      </w:pPr>
      <w:r>
        <w:rPr>
          <w:rFonts w:ascii="ＭＳ ゴシック" w:eastAsia="ＭＳ ゴシック" w:hAnsi="ＭＳ ゴシック" w:hint="eastAsia"/>
        </w:rPr>
        <w:t>Ｆ７　世帯の年間収入別</w:t>
      </w:r>
    </w:p>
    <w:tbl>
      <w:tblPr>
        <w:tblpPr w:leftFromText="142" w:rightFromText="142" w:vertAnchor="text" w:tblpX="4219" w:tblpY="1"/>
        <w:tblOverlap w:val="never"/>
        <w:tblW w:w="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518"/>
        <w:gridCol w:w="1519"/>
      </w:tblGrid>
      <w:tr w:rsidR="008A0B91" w:rsidTr="00E937BB">
        <w:tc>
          <w:tcPr>
            <w:tcW w:w="2410" w:type="dxa"/>
            <w:shd w:val="clear" w:color="auto" w:fill="D9D9D9" w:themeFill="background1" w:themeFillShade="D9"/>
            <w:vAlign w:val="center"/>
          </w:tcPr>
          <w:p w:rsidR="008A0B91" w:rsidRDefault="00844A5A">
            <w:pPr>
              <w:ind w:leftChars="0" w:left="0"/>
              <w:jc w:val="center"/>
            </w:pPr>
            <w:r>
              <w:rPr>
                <w:rFonts w:hint="eastAsia"/>
              </w:rPr>
              <w:t>区　分</w:t>
            </w:r>
          </w:p>
        </w:tc>
        <w:tc>
          <w:tcPr>
            <w:tcW w:w="1518" w:type="dxa"/>
            <w:shd w:val="clear" w:color="auto" w:fill="D9D9D9" w:themeFill="background1" w:themeFillShade="D9"/>
            <w:vAlign w:val="center"/>
          </w:tcPr>
          <w:p w:rsidR="008A0B91" w:rsidRDefault="00844A5A">
            <w:pPr>
              <w:ind w:leftChars="0" w:left="0"/>
              <w:jc w:val="center"/>
            </w:pPr>
            <w:r>
              <w:rPr>
                <w:rFonts w:hint="eastAsia"/>
              </w:rPr>
              <w:t>回答数（人）</w:t>
            </w:r>
          </w:p>
        </w:tc>
        <w:tc>
          <w:tcPr>
            <w:tcW w:w="1519" w:type="dxa"/>
            <w:shd w:val="clear" w:color="auto" w:fill="D9D9D9" w:themeFill="background1" w:themeFillShade="D9"/>
            <w:vAlign w:val="center"/>
          </w:tcPr>
          <w:p w:rsidR="008A0B91" w:rsidRDefault="00844A5A">
            <w:pPr>
              <w:ind w:leftChars="0" w:left="0"/>
              <w:jc w:val="center"/>
            </w:pPr>
            <w:r>
              <w:rPr>
                <w:rFonts w:hint="eastAsia"/>
              </w:rPr>
              <w:t>構成比（％）</w:t>
            </w:r>
          </w:p>
        </w:tc>
      </w:tr>
      <w:tr w:rsidR="008A0B91" w:rsidTr="00E937BB">
        <w:tc>
          <w:tcPr>
            <w:tcW w:w="2410" w:type="dxa"/>
            <w:vAlign w:val="center"/>
          </w:tcPr>
          <w:p w:rsidR="008A0B91" w:rsidRDefault="00844A5A">
            <w:pPr>
              <w:ind w:leftChars="0" w:left="0"/>
              <w:jc w:val="center"/>
            </w:pPr>
            <w:r>
              <w:rPr>
                <w:rFonts w:hint="eastAsia"/>
              </w:rPr>
              <w:t>0～100万円未満</w:t>
            </w:r>
          </w:p>
        </w:tc>
        <w:tc>
          <w:tcPr>
            <w:tcW w:w="1518" w:type="dxa"/>
            <w:vAlign w:val="center"/>
          </w:tcPr>
          <w:p w:rsidR="008A0B91" w:rsidRDefault="00844A5A">
            <w:pPr>
              <w:ind w:leftChars="0" w:left="0"/>
              <w:jc w:val="right"/>
            </w:pPr>
            <w:r>
              <w:rPr>
                <w:rFonts w:hint="eastAsia"/>
              </w:rPr>
              <w:t>115</w:t>
            </w:r>
          </w:p>
        </w:tc>
        <w:tc>
          <w:tcPr>
            <w:tcW w:w="1519" w:type="dxa"/>
            <w:vAlign w:val="center"/>
          </w:tcPr>
          <w:p w:rsidR="008A0B91" w:rsidRDefault="00844A5A">
            <w:pPr>
              <w:ind w:leftChars="0" w:left="0"/>
              <w:jc w:val="right"/>
            </w:pPr>
            <w:r>
              <w:rPr>
                <w:rFonts w:hint="eastAsia"/>
              </w:rPr>
              <w:t>7.2％</w:t>
            </w:r>
          </w:p>
        </w:tc>
      </w:tr>
      <w:tr w:rsidR="008A0B91" w:rsidTr="00E937BB">
        <w:tc>
          <w:tcPr>
            <w:tcW w:w="2410" w:type="dxa"/>
            <w:vAlign w:val="center"/>
          </w:tcPr>
          <w:p w:rsidR="008A0B91" w:rsidRDefault="00844A5A">
            <w:pPr>
              <w:ind w:leftChars="0" w:left="0"/>
              <w:jc w:val="center"/>
            </w:pPr>
            <w:r>
              <w:rPr>
                <w:rFonts w:hint="eastAsia"/>
              </w:rPr>
              <w:t>100～200万円未満</w:t>
            </w:r>
          </w:p>
        </w:tc>
        <w:tc>
          <w:tcPr>
            <w:tcW w:w="1518" w:type="dxa"/>
            <w:vAlign w:val="center"/>
          </w:tcPr>
          <w:p w:rsidR="008A0B91" w:rsidRDefault="00844A5A">
            <w:pPr>
              <w:ind w:leftChars="0" w:left="0"/>
              <w:jc w:val="right"/>
            </w:pPr>
            <w:r>
              <w:rPr>
                <w:rFonts w:hint="eastAsia"/>
              </w:rPr>
              <w:t>217</w:t>
            </w:r>
          </w:p>
        </w:tc>
        <w:tc>
          <w:tcPr>
            <w:tcW w:w="1519" w:type="dxa"/>
            <w:vAlign w:val="center"/>
          </w:tcPr>
          <w:p w:rsidR="008A0B91" w:rsidRDefault="00844A5A">
            <w:pPr>
              <w:ind w:leftChars="0" w:left="0"/>
              <w:jc w:val="right"/>
            </w:pPr>
            <w:r>
              <w:rPr>
                <w:rFonts w:hint="eastAsia"/>
              </w:rPr>
              <w:t>13.5％</w:t>
            </w:r>
          </w:p>
        </w:tc>
      </w:tr>
      <w:tr w:rsidR="008A0B91" w:rsidTr="00E937BB">
        <w:tc>
          <w:tcPr>
            <w:tcW w:w="2410" w:type="dxa"/>
            <w:vAlign w:val="center"/>
          </w:tcPr>
          <w:p w:rsidR="008A0B91" w:rsidRDefault="00844A5A">
            <w:pPr>
              <w:ind w:leftChars="0" w:left="0"/>
              <w:jc w:val="center"/>
            </w:pPr>
            <w:r>
              <w:rPr>
                <w:rFonts w:hint="eastAsia"/>
              </w:rPr>
              <w:t>200～300万円未満</w:t>
            </w:r>
          </w:p>
        </w:tc>
        <w:tc>
          <w:tcPr>
            <w:tcW w:w="1518" w:type="dxa"/>
            <w:vAlign w:val="center"/>
          </w:tcPr>
          <w:p w:rsidR="008A0B91" w:rsidRDefault="00844A5A">
            <w:pPr>
              <w:ind w:leftChars="0" w:left="0"/>
              <w:jc w:val="right"/>
            </w:pPr>
            <w:r>
              <w:rPr>
                <w:rFonts w:hint="eastAsia"/>
              </w:rPr>
              <w:t>281</w:t>
            </w:r>
          </w:p>
        </w:tc>
        <w:tc>
          <w:tcPr>
            <w:tcW w:w="1519" w:type="dxa"/>
            <w:vAlign w:val="center"/>
          </w:tcPr>
          <w:p w:rsidR="008A0B91" w:rsidRDefault="00844A5A">
            <w:pPr>
              <w:ind w:leftChars="0" w:left="0"/>
              <w:jc w:val="right"/>
            </w:pPr>
            <w:r>
              <w:rPr>
                <w:rFonts w:hint="eastAsia"/>
              </w:rPr>
              <w:t>17.5％</w:t>
            </w:r>
          </w:p>
        </w:tc>
      </w:tr>
      <w:tr w:rsidR="008A0B91" w:rsidTr="00E937BB">
        <w:tc>
          <w:tcPr>
            <w:tcW w:w="2410" w:type="dxa"/>
            <w:vAlign w:val="center"/>
          </w:tcPr>
          <w:p w:rsidR="008A0B91" w:rsidRDefault="00844A5A">
            <w:pPr>
              <w:ind w:leftChars="0" w:left="0"/>
              <w:jc w:val="center"/>
            </w:pPr>
            <w:r>
              <w:rPr>
                <w:rFonts w:hint="eastAsia"/>
              </w:rPr>
              <w:t>300～400万円未満</w:t>
            </w:r>
          </w:p>
        </w:tc>
        <w:tc>
          <w:tcPr>
            <w:tcW w:w="1518" w:type="dxa"/>
            <w:vAlign w:val="center"/>
          </w:tcPr>
          <w:p w:rsidR="008A0B91" w:rsidRDefault="00844A5A">
            <w:pPr>
              <w:ind w:leftChars="0" w:left="0"/>
              <w:jc w:val="right"/>
            </w:pPr>
            <w:r>
              <w:rPr>
                <w:rFonts w:hint="eastAsia"/>
              </w:rPr>
              <w:t>233</w:t>
            </w:r>
          </w:p>
        </w:tc>
        <w:tc>
          <w:tcPr>
            <w:tcW w:w="1519" w:type="dxa"/>
            <w:vAlign w:val="center"/>
          </w:tcPr>
          <w:p w:rsidR="008A0B91" w:rsidRDefault="00844A5A">
            <w:pPr>
              <w:ind w:leftChars="0" w:left="0"/>
              <w:jc w:val="right"/>
            </w:pPr>
            <w:r>
              <w:rPr>
                <w:rFonts w:hint="eastAsia"/>
              </w:rPr>
              <w:t>14.5％</w:t>
            </w:r>
          </w:p>
        </w:tc>
      </w:tr>
      <w:tr w:rsidR="008A0B91" w:rsidTr="00E937BB">
        <w:tc>
          <w:tcPr>
            <w:tcW w:w="2410" w:type="dxa"/>
            <w:vAlign w:val="center"/>
          </w:tcPr>
          <w:p w:rsidR="008A0B91" w:rsidRDefault="00844A5A">
            <w:pPr>
              <w:ind w:leftChars="0" w:left="0"/>
              <w:jc w:val="center"/>
            </w:pPr>
            <w:r>
              <w:rPr>
                <w:rFonts w:hint="eastAsia"/>
              </w:rPr>
              <w:t>400～600万円未満</w:t>
            </w:r>
          </w:p>
        </w:tc>
        <w:tc>
          <w:tcPr>
            <w:tcW w:w="1518" w:type="dxa"/>
            <w:vAlign w:val="center"/>
          </w:tcPr>
          <w:p w:rsidR="008A0B91" w:rsidRDefault="00844A5A">
            <w:pPr>
              <w:ind w:leftChars="0" w:left="0"/>
              <w:jc w:val="right"/>
            </w:pPr>
            <w:r>
              <w:rPr>
                <w:rFonts w:hint="eastAsia"/>
              </w:rPr>
              <w:t>314</w:t>
            </w:r>
          </w:p>
        </w:tc>
        <w:tc>
          <w:tcPr>
            <w:tcW w:w="1519" w:type="dxa"/>
            <w:vAlign w:val="center"/>
          </w:tcPr>
          <w:p w:rsidR="008A0B91" w:rsidRDefault="00844A5A">
            <w:pPr>
              <w:ind w:leftChars="0" w:left="0"/>
              <w:jc w:val="right"/>
            </w:pPr>
            <w:r>
              <w:rPr>
                <w:rFonts w:hint="eastAsia"/>
              </w:rPr>
              <w:t>19.5％</w:t>
            </w:r>
          </w:p>
        </w:tc>
      </w:tr>
      <w:tr w:rsidR="008A0B91" w:rsidTr="00E937BB">
        <w:tc>
          <w:tcPr>
            <w:tcW w:w="2410" w:type="dxa"/>
            <w:vAlign w:val="center"/>
          </w:tcPr>
          <w:p w:rsidR="008A0B91" w:rsidRDefault="00844A5A">
            <w:pPr>
              <w:ind w:leftChars="0" w:left="0"/>
              <w:jc w:val="center"/>
            </w:pPr>
            <w:r>
              <w:rPr>
                <w:rFonts w:hint="eastAsia"/>
              </w:rPr>
              <w:t>600～800万円未満</w:t>
            </w:r>
          </w:p>
        </w:tc>
        <w:tc>
          <w:tcPr>
            <w:tcW w:w="1518" w:type="dxa"/>
            <w:vAlign w:val="center"/>
          </w:tcPr>
          <w:p w:rsidR="008A0B91" w:rsidRDefault="00844A5A">
            <w:pPr>
              <w:ind w:leftChars="0" w:left="0"/>
              <w:jc w:val="right"/>
            </w:pPr>
            <w:r>
              <w:rPr>
                <w:rFonts w:hint="eastAsia"/>
              </w:rPr>
              <w:t>193</w:t>
            </w:r>
          </w:p>
        </w:tc>
        <w:tc>
          <w:tcPr>
            <w:tcW w:w="1519" w:type="dxa"/>
            <w:vAlign w:val="center"/>
          </w:tcPr>
          <w:p w:rsidR="008A0B91" w:rsidRDefault="00844A5A">
            <w:pPr>
              <w:ind w:leftChars="0" w:left="0"/>
              <w:jc w:val="right"/>
            </w:pPr>
            <w:r>
              <w:rPr>
                <w:rFonts w:hint="eastAsia"/>
              </w:rPr>
              <w:t>12.0％</w:t>
            </w:r>
          </w:p>
        </w:tc>
      </w:tr>
      <w:tr w:rsidR="008A0B91" w:rsidTr="00E937BB">
        <w:tc>
          <w:tcPr>
            <w:tcW w:w="2410" w:type="dxa"/>
            <w:vAlign w:val="center"/>
          </w:tcPr>
          <w:p w:rsidR="008A0B91" w:rsidRDefault="00844A5A">
            <w:pPr>
              <w:ind w:leftChars="0" w:left="0"/>
              <w:jc w:val="center"/>
            </w:pPr>
            <w:r>
              <w:rPr>
                <w:rFonts w:hint="eastAsia"/>
              </w:rPr>
              <w:t>800～1,000万円未満</w:t>
            </w:r>
          </w:p>
        </w:tc>
        <w:tc>
          <w:tcPr>
            <w:tcW w:w="1518" w:type="dxa"/>
            <w:vAlign w:val="center"/>
          </w:tcPr>
          <w:p w:rsidR="008A0B91" w:rsidRDefault="00844A5A">
            <w:pPr>
              <w:ind w:leftChars="0" w:left="0"/>
              <w:jc w:val="right"/>
            </w:pPr>
            <w:r>
              <w:rPr>
                <w:rFonts w:hint="eastAsia"/>
              </w:rPr>
              <w:t>96</w:t>
            </w:r>
          </w:p>
        </w:tc>
        <w:tc>
          <w:tcPr>
            <w:tcW w:w="1519" w:type="dxa"/>
            <w:vAlign w:val="center"/>
          </w:tcPr>
          <w:p w:rsidR="008A0B91" w:rsidRDefault="00844A5A">
            <w:pPr>
              <w:ind w:leftChars="0" w:left="0"/>
              <w:jc w:val="right"/>
            </w:pPr>
            <w:r>
              <w:rPr>
                <w:rFonts w:hint="eastAsia"/>
              </w:rPr>
              <w:t>6.0％</w:t>
            </w:r>
          </w:p>
        </w:tc>
      </w:tr>
      <w:tr w:rsidR="008A0B91" w:rsidTr="00E937BB">
        <w:tc>
          <w:tcPr>
            <w:tcW w:w="2410" w:type="dxa"/>
            <w:vAlign w:val="center"/>
          </w:tcPr>
          <w:p w:rsidR="008A0B91" w:rsidRDefault="00844A5A">
            <w:pPr>
              <w:ind w:leftChars="0" w:left="0"/>
              <w:jc w:val="center"/>
            </w:pPr>
            <w:r>
              <w:rPr>
                <w:rFonts w:hint="eastAsia"/>
              </w:rPr>
              <w:t>1,000万円以上</w:t>
            </w:r>
          </w:p>
        </w:tc>
        <w:tc>
          <w:tcPr>
            <w:tcW w:w="1518" w:type="dxa"/>
            <w:vAlign w:val="center"/>
          </w:tcPr>
          <w:p w:rsidR="008A0B91" w:rsidRDefault="00844A5A">
            <w:pPr>
              <w:ind w:leftChars="0" w:left="0"/>
              <w:jc w:val="right"/>
            </w:pPr>
            <w:r>
              <w:rPr>
                <w:rFonts w:hint="eastAsia"/>
              </w:rPr>
              <w:t>83</w:t>
            </w:r>
          </w:p>
        </w:tc>
        <w:tc>
          <w:tcPr>
            <w:tcW w:w="1519" w:type="dxa"/>
            <w:vAlign w:val="center"/>
          </w:tcPr>
          <w:p w:rsidR="008A0B91" w:rsidRDefault="00844A5A">
            <w:pPr>
              <w:ind w:leftChars="0" w:left="0"/>
              <w:jc w:val="right"/>
            </w:pPr>
            <w:r>
              <w:rPr>
                <w:rFonts w:hint="eastAsia"/>
              </w:rPr>
              <w:t>5.2％</w:t>
            </w:r>
          </w:p>
        </w:tc>
      </w:tr>
      <w:tr w:rsidR="008A0B91" w:rsidTr="00E937BB">
        <w:tc>
          <w:tcPr>
            <w:tcW w:w="2410" w:type="dxa"/>
            <w:tcBorders>
              <w:bottom w:val="double" w:sz="4" w:space="0" w:color="auto"/>
            </w:tcBorders>
            <w:vAlign w:val="center"/>
          </w:tcPr>
          <w:p w:rsidR="008A0B91" w:rsidRDefault="00844A5A">
            <w:pPr>
              <w:ind w:leftChars="0" w:left="0"/>
              <w:jc w:val="center"/>
            </w:pPr>
            <w:r>
              <w:rPr>
                <w:rFonts w:hint="eastAsia"/>
              </w:rPr>
              <w:t>無回答</w:t>
            </w:r>
          </w:p>
        </w:tc>
        <w:tc>
          <w:tcPr>
            <w:tcW w:w="1518" w:type="dxa"/>
            <w:tcBorders>
              <w:bottom w:val="double" w:sz="4" w:space="0" w:color="auto"/>
            </w:tcBorders>
            <w:vAlign w:val="center"/>
          </w:tcPr>
          <w:p w:rsidR="008A0B91" w:rsidRDefault="00844A5A">
            <w:pPr>
              <w:ind w:leftChars="0" w:left="0"/>
              <w:jc w:val="right"/>
            </w:pPr>
            <w:r>
              <w:rPr>
                <w:rFonts w:hint="eastAsia"/>
              </w:rPr>
              <w:t>76</w:t>
            </w:r>
          </w:p>
        </w:tc>
        <w:tc>
          <w:tcPr>
            <w:tcW w:w="1519" w:type="dxa"/>
            <w:tcBorders>
              <w:bottom w:val="double" w:sz="4" w:space="0" w:color="auto"/>
            </w:tcBorders>
            <w:vAlign w:val="center"/>
          </w:tcPr>
          <w:p w:rsidR="008A0B91" w:rsidRDefault="00844A5A">
            <w:pPr>
              <w:ind w:leftChars="0" w:left="0"/>
              <w:jc w:val="right"/>
            </w:pPr>
            <w:r>
              <w:rPr>
                <w:rFonts w:hint="eastAsia"/>
              </w:rPr>
              <w:t>4.7％</w:t>
            </w:r>
          </w:p>
        </w:tc>
      </w:tr>
      <w:tr w:rsidR="008A0B91" w:rsidTr="00E937BB">
        <w:tc>
          <w:tcPr>
            <w:tcW w:w="2410" w:type="dxa"/>
            <w:tcBorders>
              <w:top w:val="double" w:sz="4" w:space="0" w:color="auto"/>
            </w:tcBorders>
            <w:vAlign w:val="center"/>
          </w:tcPr>
          <w:p w:rsidR="008A0B91" w:rsidRDefault="00844A5A">
            <w:pPr>
              <w:ind w:leftChars="0" w:left="0"/>
              <w:jc w:val="center"/>
            </w:pPr>
            <w:r>
              <w:rPr>
                <w:rFonts w:hint="eastAsia"/>
              </w:rPr>
              <w:t>合　計</w:t>
            </w:r>
          </w:p>
        </w:tc>
        <w:tc>
          <w:tcPr>
            <w:tcW w:w="1518" w:type="dxa"/>
            <w:tcBorders>
              <w:top w:val="double" w:sz="4" w:space="0" w:color="auto"/>
            </w:tcBorders>
            <w:vAlign w:val="center"/>
          </w:tcPr>
          <w:p w:rsidR="008A0B91" w:rsidRDefault="00844A5A">
            <w:pPr>
              <w:ind w:leftChars="0" w:left="0"/>
              <w:jc w:val="right"/>
            </w:pPr>
            <w:r>
              <w:rPr>
                <w:rFonts w:hint="eastAsia"/>
              </w:rPr>
              <w:t>1,608</w:t>
            </w:r>
          </w:p>
        </w:tc>
        <w:tc>
          <w:tcPr>
            <w:tcW w:w="1519" w:type="dxa"/>
            <w:tcBorders>
              <w:top w:val="double" w:sz="4" w:space="0" w:color="auto"/>
            </w:tcBorders>
            <w:vAlign w:val="center"/>
          </w:tcPr>
          <w:p w:rsidR="008A0B91" w:rsidRDefault="00844A5A">
            <w:pPr>
              <w:ind w:leftChars="0" w:left="0"/>
              <w:jc w:val="right"/>
            </w:pPr>
            <w:r>
              <w:rPr>
                <w:rFonts w:hint="eastAsia"/>
              </w:rPr>
              <w:t>100.0％</w:t>
            </w:r>
          </w:p>
        </w:tc>
      </w:tr>
    </w:tbl>
    <w:p w:rsidR="008A0B91" w:rsidRDefault="00844A5A">
      <w:pPr>
        <w:ind w:leftChars="0" w:left="0"/>
        <w:rPr>
          <w:rFonts w:ascii="ＭＳ ゴシック" w:eastAsia="ＭＳ ゴシック" w:hAnsi="ＭＳ ゴシック"/>
        </w:rPr>
      </w:pPr>
      <w:r>
        <w:rPr>
          <w:rFonts w:ascii="ＭＳ ゴシック" w:eastAsia="ＭＳ ゴシック" w:hAnsi="ＭＳ ゴシック"/>
          <w:noProof/>
        </w:rPr>
        <w:drawing>
          <wp:inline distT="0" distB="0" distL="0" distR="0">
            <wp:extent cx="2669540" cy="2428240"/>
            <wp:effectExtent l="0" t="0" r="0" b="0"/>
            <wp:docPr id="1033" name="オブジェクト 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A0B91" w:rsidRDefault="008A0B91">
      <w:pPr>
        <w:ind w:leftChars="0" w:left="0"/>
        <w:rPr>
          <w:rFonts w:ascii="ＭＳ ゴシック" w:eastAsia="ＭＳ ゴシック" w:hAnsi="ＭＳ ゴシック"/>
        </w:rPr>
      </w:pPr>
    </w:p>
    <w:p w:rsidR="008A0B91" w:rsidRDefault="008A0B91">
      <w:pPr>
        <w:ind w:leftChars="0" w:left="0"/>
        <w:rPr>
          <w:rFonts w:ascii="ＭＳ ゴシック" w:eastAsia="ＭＳ ゴシック" w:hAnsi="ＭＳ ゴシック"/>
        </w:rPr>
      </w:pPr>
    </w:p>
    <w:p w:rsidR="008A0B91" w:rsidRDefault="00844A5A">
      <w:pPr>
        <w:ind w:leftChars="0" w:left="0"/>
        <w:rPr>
          <w:rFonts w:ascii="ＭＳ ゴシック" w:eastAsia="ＭＳ ゴシック" w:hAnsi="ＭＳ ゴシック"/>
        </w:rPr>
      </w:pPr>
      <w:r>
        <w:rPr>
          <w:rFonts w:ascii="ＭＳ ゴシック" w:eastAsia="ＭＳ ゴシック" w:hAnsi="ＭＳ ゴシック" w:hint="eastAsia"/>
        </w:rPr>
        <w:t>Ｆ８　住まいの状況</w:t>
      </w:r>
    </w:p>
    <w:tbl>
      <w:tblPr>
        <w:tblpPr w:leftFromText="142" w:rightFromText="142" w:vertAnchor="text" w:horzAnchor="margin" w:tblpXSpec="right" w:tblpY="64"/>
        <w:tblOverlap w:val="neve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560"/>
        <w:gridCol w:w="1559"/>
      </w:tblGrid>
      <w:tr w:rsidR="008A0B91">
        <w:tc>
          <w:tcPr>
            <w:tcW w:w="2376" w:type="dxa"/>
            <w:tcBorders>
              <w:bottom w:val="nil"/>
            </w:tcBorders>
            <w:shd w:val="clear" w:color="auto" w:fill="BFBFBF" w:themeFill="background1" w:themeFillShade="BF"/>
            <w:vAlign w:val="center"/>
          </w:tcPr>
          <w:p w:rsidR="008A0B91" w:rsidRDefault="00844A5A">
            <w:pPr>
              <w:ind w:leftChars="0" w:left="0"/>
              <w:jc w:val="center"/>
            </w:pPr>
            <w:r>
              <w:rPr>
                <w:rFonts w:hint="eastAsia"/>
              </w:rPr>
              <w:t>区　分</w:t>
            </w:r>
          </w:p>
        </w:tc>
        <w:tc>
          <w:tcPr>
            <w:tcW w:w="1560" w:type="dxa"/>
            <w:tcBorders>
              <w:bottom w:val="nil"/>
            </w:tcBorders>
            <w:shd w:val="clear" w:color="auto" w:fill="BFBFBF" w:themeFill="background1" w:themeFillShade="BF"/>
            <w:vAlign w:val="center"/>
          </w:tcPr>
          <w:p w:rsidR="008A0B91" w:rsidRDefault="00844A5A">
            <w:pPr>
              <w:ind w:leftChars="0" w:left="0"/>
              <w:jc w:val="center"/>
            </w:pPr>
            <w:r>
              <w:rPr>
                <w:rFonts w:hint="eastAsia"/>
              </w:rPr>
              <w:t>回答数（人）</w:t>
            </w:r>
          </w:p>
        </w:tc>
        <w:tc>
          <w:tcPr>
            <w:tcW w:w="1559" w:type="dxa"/>
            <w:tcBorders>
              <w:bottom w:val="nil"/>
            </w:tcBorders>
            <w:shd w:val="clear" w:color="auto" w:fill="BFBFBF" w:themeFill="background1" w:themeFillShade="BF"/>
            <w:vAlign w:val="center"/>
          </w:tcPr>
          <w:p w:rsidR="008A0B91" w:rsidRDefault="00844A5A">
            <w:pPr>
              <w:ind w:leftChars="0" w:left="0"/>
              <w:jc w:val="center"/>
            </w:pPr>
            <w:r>
              <w:rPr>
                <w:rFonts w:hint="eastAsia"/>
              </w:rPr>
              <w:t>構成比（％）</w:t>
            </w:r>
          </w:p>
        </w:tc>
      </w:tr>
      <w:tr w:rsidR="008A0B91">
        <w:tc>
          <w:tcPr>
            <w:tcW w:w="2376" w:type="dxa"/>
            <w:shd w:val="clear" w:color="auto" w:fill="auto"/>
            <w:vAlign w:val="center"/>
          </w:tcPr>
          <w:p w:rsidR="008A0B91" w:rsidRDefault="00844A5A">
            <w:pPr>
              <w:ind w:leftChars="0" w:left="0"/>
              <w:jc w:val="center"/>
            </w:pPr>
            <w:r>
              <w:rPr>
                <w:rFonts w:hint="eastAsia"/>
              </w:rPr>
              <w:t>持　家</w:t>
            </w:r>
          </w:p>
        </w:tc>
        <w:tc>
          <w:tcPr>
            <w:tcW w:w="1560" w:type="dxa"/>
            <w:shd w:val="clear" w:color="auto" w:fill="auto"/>
            <w:vAlign w:val="center"/>
          </w:tcPr>
          <w:p w:rsidR="008A0B91" w:rsidRDefault="00844A5A">
            <w:pPr>
              <w:ind w:leftChars="0" w:left="0"/>
              <w:jc w:val="right"/>
            </w:pPr>
            <w:r>
              <w:rPr>
                <w:rFonts w:hint="eastAsia"/>
              </w:rPr>
              <w:t>1,269</w:t>
            </w:r>
          </w:p>
        </w:tc>
        <w:tc>
          <w:tcPr>
            <w:tcW w:w="1559" w:type="dxa"/>
            <w:shd w:val="clear" w:color="auto" w:fill="auto"/>
            <w:vAlign w:val="center"/>
          </w:tcPr>
          <w:p w:rsidR="008A0B91" w:rsidRDefault="00844A5A">
            <w:pPr>
              <w:ind w:leftChars="0" w:left="0"/>
              <w:jc w:val="right"/>
            </w:pPr>
            <w:r>
              <w:rPr>
                <w:rFonts w:hint="eastAsia"/>
              </w:rPr>
              <w:t>78.9％</w:t>
            </w:r>
          </w:p>
        </w:tc>
      </w:tr>
      <w:tr w:rsidR="008A0B91">
        <w:tc>
          <w:tcPr>
            <w:tcW w:w="2376" w:type="dxa"/>
            <w:shd w:val="clear" w:color="auto" w:fill="auto"/>
            <w:vAlign w:val="center"/>
          </w:tcPr>
          <w:p w:rsidR="008A0B91" w:rsidRDefault="00844A5A">
            <w:pPr>
              <w:ind w:leftChars="0" w:left="0"/>
              <w:jc w:val="center"/>
            </w:pPr>
            <w:r>
              <w:rPr>
                <w:rFonts w:hint="eastAsia"/>
              </w:rPr>
              <w:t>借　家</w:t>
            </w:r>
          </w:p>
        </w:tc>
        <w:tc>
          <w:tcPr>
            <w:tcW w:w="1560" w:type="dxa"/>
            <w:shd w:val="clear" w:color="auto" w:fill="auto"/>
            <w:vAlign w:val="center"/>
          </w:tcPr>
          <w:p w:rsidR="008A0B91" w:rsidRDefault="00844A5A">
            <w:pPr>
              <w:ind w:leftChars="0" w:left="0"/>
              <w:jc w:val="right"/>
            </w:pPr>
            <w:r>
              <w:rPr>
                <w:rFonts w:hint="eastAsia"/>
              </w:rPr>
              <w:t>295</w:t>
            </w:r>
          </w:p>
        </w:tc>
        <w:tc>
          <w:tcPr>
            <w:tcW w:w="1559" w:type="dxa"/>
            <w:shd w:val="clear" w:color="auto" w:fill="auto"/>
            <w:vAlign w:val="center"/>
          </w:tcPr>
          <w:p w:rsidR="008A0B91" w:rsidRDefault="00844A5A">
            <w:pPr>
              <w:ind w:leftChars="0" w:left="0"/>
              <w:jc w:val="right"/>
            </w:pPr>
            <w:r>
              <w:rPr>
                <w:rFonts w:hint="eastAsia"/>
              </w:rPr>
              <w:t>18.3％</w:t>
            </w:r>
          </w:p>
        </w:tc>
      </w:tr>
      <w:tr w:rsidR="008A0B91">
        <w:tc>
          <w:tcPr>
            <w:tcW w:w="2376" w:type="dxa"/>
            <w:tcBorders>
              <w:bottom w:val="double" w:sz="4" w:space="0" w:color="auto"/>
            </w:tcBorders>
            <w:shd w:val="clear" w:color="auto" w:fill="auto"/>
            <w:vAlign w:val="center"/>
          </w:tcPr>
          <w:p w:rsidR="008A0B91" w:rsidRDefault="00844A5A">
            <w:pPr>
              <w:ind w:leftChars="0" w:left="0"/>
              <w:jc w:val="center"/>
            </w:pPr>
            <w:r>
              <w:rPr>
                <w:rFonts w:hint="eastAsia"/>
              </w:rPr>
              <w:t>無回答</w:t>
            </w:r>
          </w:p>
        </w:tc>
        <w:tc>
          <w:tcPr>
            <w:tcW w:w="1560" w:type="dxa"/>
            <w:tcBorders>
              <w:bottom w:val="double" w:sz="4" w:space="0" w:color="auto"/>
            </w:tcBorders>
            <w:shd w:val="clear" w:color="auto" w:fill="auto"/>
            <w:vAlign w:val="center"/>
          </w:tcPr>
          <w:p w:rsidR="008A0B91" w:rsidRDefault="00844A5A">
            <w:pPr>
              <w:ind w:leftChars="0" w:left="0"/>
              <w:jc w:val="right"/>
            </w:pPr>
            <w:r>
              <w:rPr>
                <w:rFonts w:hint="eastAsia"/>
              </w:rPr>
              <w:t>44</w:t>
            </w:r>
          </w:p>
        </w:tc>
        <w:tc>
          <w:tcPr>
            <w:tcW w:w="1559" w:type="dxa"/>
            <w:tcBorders>
              <w:bottom w:val="double" w:sz="4" w:space="0" w:color="auto"/>
            </w:tcBorders>
            <w:shd w:val="clear" w:color="auto" w:fill="auto"/>
            <w:vAlign w:val="center"/>
          </w:tcPr>
          <w:p w:rsidR="008A0B91" w:rsidRDefault="00844A5A">
            <w:pPr>
              <w:ind w:leftChars="0" w:left="0"/>
              <w:jc w:val="right"/>
            </w:pPr>
            <w:r>
              <w:rPr>
                <w:rFonts w:hint="eastAsia"/>
              </w:rPr>
              <w:t>2.7％</w:t>
            </w:r>
          </w:p>
        </w:tc>
      </w:tr>
      <w:tr w:rsidR="008A0B91">
        <w:tc>
          <w:tcPr>
            <w:tcW w:w="2376" w:type="dxa"/>
            <w:tcBorders>
              <w:top w:val="double" w:sz="4" w:space="0" w:color="auto"/>
            </w:tcBorders>
            <w:shd w:val="clear" w:color="auto" w:fill="auto"/>
            <w:vAlign w:val="center"/>
          </w:tcPr>
          <w:p w:rsidR="008A0B91" w:rsidRDefault="00844A5A">
            <w:pPr>
              <w:ind w:leftChars="0" w:left="0"/>
              <w:jc w:val="center"/>
            </w:pPr>
            <w:r>
              <w:rPr>
                <w:rFonts w:hint="eastAsia"/>
              </w:rPr>
              <w:t>合　計</w:t>
            </w:r>
          </w:p>
        </w:tc>
        <w:tc>
          <w:tcPr>
            <w:tcW w:w="1560" w:type="dxa"/>
            <w:tcBorders>
              <w:top w:val="double" w:sz="4" w:space="0" w:color="auto"/>
            </w:tcBorders>
            <w:shd w:val="clear" w:color="auto" w:fill="auto"/>
            <w:vAlign w:val="center"/>
          </w:tcPr>
          <w:p w:rsidR="008A0B91" w:rsidRDefault="00844A5A">
            <w:pPr>
              <w:ind w:leftChars="0" w:left="0"/>
              <w:jc w:val="right"/>
            </w:pPr>
            <w:r>
              <w:rPr>
                <w:rFonts w:hint="eastAsia"/>
              </w:rPr>
              <w:t>1,608</w:t>
            </w:r>
          </w:p>
        </w:tc>
        <w:tc>
          <w:tcPr>
            <w:tcW w:w="1559" w:type="dxa"/>
            <w:tcBorders>
              <w:top w:val="double" w:sz="4" w:space="0" w:color="auto"/>
            </w:tcBorders>
            <w:shd w:val="clear" w:color="auto" w:fill="auto"/>
            <w:vAlign w:val="center"/>
          </w:tcPr>
          <w:p w:rsidR="008A0B91" w:rsidRDefault="00844A5A">
            <w:pPr>
              <w:ind w:leftChars="0" w:left="0"/>
              <w:jc w:val="right"/>
            </w:pPr>
            <w:r>
              <w:rPr>
                <w:rFonts w:hint="eastAsia"/>
              </w:rPr>
              <w:t>100.0％</w:t>
            </w:r>
          </w:p>
        </w:tc>
      </w:tr>
    </w:tbl>
    <w:p w:rsidR="008A0B91" w:rsidRDefault="00844A5A">
      <w:pPr>
        <w:ind w:leftChars="0" w:left="0"/>
        <w:rPr>
          <w:rFonts w:ascii="ＭＳ ゴシック" w:eastAsia="ＭＳ ゴシック" w:hAnsi="ＭＳ ゴシック"/>
        </w:rPr>
      </w:pPr>
      <w:r>
        <w:rPr>
          <w:rFonts w:ascii="ＭＳ ゴシック" w:eastAsia="ＭＳ ゴシック" w:hAnsi="ＭＳ ゴシック"/>
          <w:noProof/>
        </w:rPr>
        <w:drawing>
          <wp:inline distT="0" distB="0" distL="0" distR="0">
            <wp:extent cx="2469515" cy="2095500"/>
            <wp:effectExtent l="0" t="0" r="0" b="0"/>
            <wp:docPr id="1034" name="オブジェクト 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A0B91" w:rsidRDefault="008A0B91">
      <w:pPr>
        <w:ind w:leftChars="0" w:left="0"/>
        <w:rPr>
          <w:rFonts w:ascii="ＭＳ ゴシック" w:eastAsia="ＭＳ ゴシック" w:hAnsi="ＭＳ ゴシック"/>
        </w:rPr>
      </w:pPr>
    </w:p>
    <w:p w:rsidR="008A0B91" w:rsidRDefault="00844A5A">
      <w:pPr>
        <w:ind w:leftChars="0" w:left="0"/>
        <w:rPr>
          <w:rFonts w:ascii="ＭＳ ゴシック" w:eastAsia="ＭＳ ゴシック" w:hAnsi="ＭＳ ゴシック"/>
        </w:rPr>
      </w:pPr>
      <w:r>
        <w:rPr>
          <w:rFonts w:ascii="ＭＳ ゴシック" w:eastAsia="ＭＳ ゴシック" w:hAnsi="ＭＳ ゴシック" w:hint="eastAsia"/>
        </w:rPr>
        <w:lastRenderedPageBreak/>
        <w:t>Ｆ９　広域市町村圏別</w:t>
      </w:r>
    </w:p>
    <w:tbl>
      <w:tblPr>
        <w:tblpPr w:leftFromText="142" w:rightFromText="142" w:vertAnchor="text" w:tblpX="4219" w:tblpY="1"/>
        <w:tblOverlap w:val="never"/>
        <w:tblW w:w="5449" w:type="dxa"/>
        <w:tblLayout w:type="fixed"/>
        <w:tblLook w:val="04A0"/>
      </w:tblPr>
      <w:tblGrid>
        <w:gridCol w:w="2410"/>
        <w:gridCol w:w="1520"/>
        <w:gridCol w:w="1519"/>
      </w:tblGrid>
      <w:tr w:rsidR="008A0B91" w:rsidTr="00E937BB">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0B91" w:rsidRDefault="00844A5A">
            <w:pPr>
              <w:ind w:leftChars="0" w:left="0"/>
              <w:jc w:val="center"/>
            </w:pPr>
            <w:r>
              <w:rPr>
                <w:rFonts w:hint="eastAsia"/>
              </w:rPr>
              <w:t>区　分</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0B91" w:rsidRDefault="00844A5A">
            <w:pPr>
              <w:ind w:leftChars="0" w:left="0"/>
              <w:jc w:val="center"/>
            </w:pPr>
            <w:r>
              <w:rPr>
                <w:rFonts w:hint="eastAsia"/>
              </w:rPr>
              <w:t>回答数（人）</w:t>
            </w:r>
          </w:p>
        </w:tc>
        <w:tc>
          <w:tcPr>
            <w:tcW w:w="1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0B91" w:rsidRDefault="00844A5A">
            <w:pPr>
              <w:ind w:leftChars="0" w:left="0"/>
              <w:jc w:val="center"/>
            </w:pPr>
            <w:r>
              <w:rPr>
                <w:rFonts w:hint="eastAsia"/>
              </w:rPr>
              <w:t>構成比（％）</w:t>
            </w:r>
          </w:p>
        </w:tc>
      </w:tr>
      <w:tr w:rsidR="008A0B91" w:rsidTr="00E937BB">
        <w:tc>
          <w:tcPr>
            <w:tcW w:w="241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高知市</w:t>
            </w:r>
          </w:p>
        </w:tc>
        <w:tc>
          <w:tcPr>
            <w:tcW w:w="1518"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710</w:t>
            </w:r>
          </w:p>
        </w:tc>
        <w:tc>
          <w:tcPr>
            <w:tcW w:w="1519"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44.2％</w:t>
            </w:r>
          </w:p>
        </w:tc>
      </w:tr>
      <w:tr w:rsidR="008A0B91" w:rsidTr="00E937BB">
        <w:tc>
          <w:tcPr>
            <w:tcW w:w="241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安芸広域圏</w:t>
            </w:r>
          </w:p>
        </w:tc>
        <w:tc>
          <w:tcPr>
            <w:tcW w:w="1518"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114</w:t>
            </w:r>
          </w:p>
        </w:tc>
        <w:tc>
          <w:tcPr>
            <w:tcW w:w="1519"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7.1％</w:t>
            </w:r>
          </w:p>
        </w:tc>
      </w:tr>
      <w:tr w:rsidR="008A0B91" w:rsidTr="00E937BB">
        <w:tc>
          <w:tcPr>
            <w:tcW w:w="241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南国・香美広域圏</w:t>
            </w:r>
          </w:p>
        </w:tc>
        <w:tc>
          <w:tcPr>
            <w:tcW w:w="1518"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229</w:t>
            </w:r>
          </w:p>
        </w:tc>
        <w:tc>
          <w:tcPr>
            <w:tcW w:w="1519"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14.2％</w:t>
            </w:r>
          </w:p>
        </w:tc>
      </w:tr>
      <w:tr w:rsidR="008A0B91" w:rsidTr="00E937BB">
        <w:tc>
          <w:tcPr>
            <w:tcW w:w="241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嶺北広域圏</w:t>
            </w:r>
          </w:p>
        </w:tc>
        <w:tc>
          <w:tcPr>
            <w:tcW w:w="1518"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34</w:t>
            </w:r>
          </w:p>
        </w:tc>
        <w:tc>
          <w:tcPr>
            <w:tcW w:w="1519"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2.1％</w:t>
            </w:r>
          </w:p>
        </w:tc>
      </w:tr>
      <w:tr w:rsidR="008A0B91" w:rsidTr="00E937BB">
        <w:tc>
          <w:tcPr>
            <w:tcW w:w="241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仁淀川広域圏</w:t>
            </w:r>
          </w:p>
        </w:tc>
        <w:tc>
          <w:tcPr>
            <w:tcW w:w="1518"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126</w:t>
            </w:r>
          </w:p>
        </w:tc>
        <w:tc>
          <w:tcPr>
            <w:tcW w:w="1519"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7.8％</w:t>
            </w:r>
          </w:p>
        </w:tc>
      </w:tr>
      <w:tr w:rsidR="008A0B91">
        <w:tc>
          <w:tcPr>
            <w:tcW w:w="241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高吾北広域圏</w:t>
            </w:r>
          </w:p>
        </w:tc>
        <w:tc>
          <w:tcPr>
            <w:tcW w:w="1518"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51</w:t>
            </w:r>
          </w:p>
        </w:tc>
        <w:tc>
          <w:tcPr>
            <w:tcW w:w="1519"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3.2％</w:t>
            </w:r>
          </w:p>
        </w:tc>
      </w:tr>
      <w:tr w:rsidR="008A0B91">
        <w:tc>
          <w:tcPr>
            <w:tcW w:w="241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高幡広域圏</w:t>
            </w:r>
          </w:p>
        </w:tc>
        <w:tc>
          <w:tcPr>
            <w:tcW w:w="152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123</w:t>
            </w:r>
          </w:p>
        </w:tc>
        <w:tc>
          <w:tcPr>
            <w:tcW w:w="1519"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7.6％</w:t>
            </w:r>
          </w:p>
        </w:tc>
      </w:tr>
      <w:tr w:rsidR="008A0B91">
        <w:tc>
          <w:tcPr>
            <w:tcW w:w="241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幡多広域圏</w:t>
            </w:r>
          </w:p>
        </w:tc>
        <w:tc>
          <w:tcPr>
            <w:tcW w:w="1520"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201</w:t>
            </w:r>
          </w:p>
        </w:tc>
        <w:tc>
          <w:tcPr>
            <w:tcW w:w="1519" w:type="dxa"/>
            <w:tcBorders>
              <w:top w:val="sing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12.5％</w:t>
            </w:r>
          </w:p>
        </w:tc>
      </w:tr>
      <w:tr w:rsidR="008A0B91" w:rsidTr="00E937BB">
        <w:tc>
          <w:tcPr>
            <w:tcW w:w="2410" w:type="dxa"/>
            <w:tcBorders>
              <w:top w:val="single" w:sz="4" w:space="0" w:color="auto"/>
              <w:left w:val="single" w:sz="4" w:space="0" w:color="auto"/>
              <w:bottom w:val="double" w:sz="4" w:space="0" w:color="auto"/>
              <w:right w:val="single" w:sz="4" w:space="0" w:color="auto"/>
            </w:tcBorders>
            <w:vAlign w:val="center"/>
          </w:tcPr>
          <w:p w:rsidR="008A0B91" w:rsidRDefault="00844A5A">
            <w:pPr>
              <w:ind w:leftChars="0" w:left="0"/>
              <w:jc w:val="center"/>
            </w:pPr>
            <w:r>
              <w:rPr>
                <w:rFonts w:hint="eastAsia"/>
              </w:rPr>
              <w:t>無回答</w:t>
            </w:r>
          </w:p>
        </w:tc>
        <w:tc>
          <w:tcPr>
            <w:tcW w:w="1520" w:type="dxa"/>
            <w:tcBorders>
              <w:top w:val="single" w:sz="4" w:space="0" w:color="auto"/>
              <w:left w:val="single" w:sz="4" w:space="0" w:color="auto"/>
              <w:bottom w:val="double" w:sz="4" w:space="0" w:color="auto"/>
              <w:right w:val="single" w:sz="4" w:space="0" w:color="auto"/>
            </w:tcBorders>
            <w:vAlign w:val="center"/>
          </w:tcPr>
          <w:p w:rsidR="008A0B91" w:rsidRDefault="00844A5A">
            <w:pPr>
              <w:ind w:leftChars="0" w:left="0"/>
              <w:jc w:val="right"/>
            </w:pPr>
            <w:r>
              <w:rPr>
                <w:rFonts w:hint="eastAsia"/>
              </w:rPr>
              <w:t>20</w:t>
            </w:r>
          </w:p>
        </w:tc>
        <w:tc>
          <w:tcPr>
            <w:tcW w:w="1519" w:type="dxa"/>
            <w:tcBorders>
              <w:top w:val="single" w:sz="4" w:space="0" w:color="auto"/>
              <w:left w:val="single" w:sz="4" w:space="0" w:color="auto"/>
              <w:bottom w:val="double" w:sz="4" w:space="0" w:color="auto"/>
              <w:right w:val="single" w:sz="4" w:space="0" w:color="auto"/>
            </w:tcBorders>
            <w:vAlign w:val="center"/>
          </w:tcPr>
          <w:p w:rsidR="008A0B91" w:rsidRDefault="00844A5A">
            <w:pPr>
              <w:ind w:leftChars="0" w:left="0"/>
              <w:jc w:val="right"/>
            </w:pPr>
            <w:r>
              <w:rPr>
                <w:rFonts w:hint="eastAsia"/>
              </w:rPr>
              <w:t>1.2％</w:t>
            </w:r>
          </w:p>
        </w:tc>
      </w:tr>
      <w:tr w:rsidR="008A0B91" w:rsidTr="00E937BB">
        <w:trPr>
          <w:trHeight w:val="299"/>
        </w:trPr>
        <w:tc>
          <w:tcPr>
            <w:tcW w:w="2408" w:type="dxa"/>
            <w:tcBorders>
              <w:top w:val="double" w:sz="4" w:space="0" w:color="auto"/>
              <w:left w:val="single" w:sz="4" w:space="0" w:color="auto"/>
              <w:bottom w:val="single" w:sz="4" w:space="0" w:color="auto"/>
              <w:right w:val="single" w:sz="4" w:space="0" w:color="auto"/>
            </w:tcBorders>
            <w:vAlign w:val="center"/>
          </w:tcPr>
          <w:p w:rsidR="008A0B91" w:rsidRDefault="00844A5A">
            <w:pPr>
              <w:ind w:leftChars="0" w:left="0"/>
              <w:jc w:val="center"/>
            </w:pPr>
            <w:r>
              <w:rPr>
                <w:rFonts w:hint="eastAsia"/>
              </w:rPr>
              <w:t>合　計</w:t>
            </w:r>
          </w:p>
        </w:tc>
        <w:tc>
          <w:tcPr>
            <w:tcW w:w="1520" w:type="dxa"/>
            <w:tcBorders>
              <w:top w:val="doub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1,608</w:t>
            </w:r>
          </w:p>
        </w:tc>
        <w:tc>
          <w:tcPr>
            <w:tcW w:w="1519" w:type="dxa"/>
            <w:tcBorders>
              <w:top w:val="double" w:sz="4" w:space="0" w:color="auto"/>
              <w:left w:val="single" w:sz="4" w:space="0" w:color="auto"/>
              <w:bottom w:val="single" w:sz="4" w:space="0" w:color="auto"/>
              <w:right w:val="single" w:sz="4" w:space="0" w:color="auto"/>
            </w:tcBorders>
            <w:vAlign w:val="center"/>
          </w:tcPr>
          <w:p w:rsidR="008A0B91" w:rsidRDefault="00844A5A">
            <w:pPr>
              <w:ind w:leftChars="0" w:left="0"/>
              <w:jc w:val="right"/>
            </w:pPr>
            <w:r>
              <w:rPr>
                <w:rFonts w:hint="eastAsia"/>
              </w:rPr>
              <w:t>100.0％</w:t>
            </w:r>
          </w:p>
        </w:tc>
      </w:tr>
      <w:tr w:rsidR="008A0B91">
        <w:trPr>
          <w:trHeight w:val="300"/>
        </w:trPr>
        <w:tc>
          <w:tcPr>
            <w:tcW w:w="5447" w:type="dxa"/>
            <w:gridSpan w:val="3"/>
            <w:tcBorders>
              <w:top w:val="single" w:sz="4" w:space="0" w:color="auto"/>
            </w:tcBorders>
            <w:vAlign w:val="center"/>
          </w:tcPr>
          <w:p w:rsidR="008A0B91" w:rsidRDefault="008A0B91">
            <w:pPr>
              <w:ind w:leftChars="0" w:left="0"/>
              <w:jc w:val="right"/>
            </w:pPr>
          </w:p>
        </w:tc>
      </w:tr>
    </w:tbl>
    <w:p w:rsidR="008A0B91" w:rsidRDefault="00844A5A">
      <w:pPr>
        <w:ind w:leftChars="0" w:left="0"/>
        <w:rPr>
          <w:rFonts w:ascii="ＭＳ ゴシック" w:eastAsia="ＭＳ ゴシック" w:hAnsi="ＭＳ ゴシック"/>
        </w:rPr>
      </w:pPr>
      <w:r>
        <w:rPr>
          <w:rFonts w:ascii="ＭＳ ゴシック" w:eastAsia="ＭＳ ゴシック" w:hAnsi="ＭＳ ゴシック"/>
          <w:noProof/>
        </w:rPr>
        <w:drawing>
          <wp:inline distT="0" distB="0" distL="0" distR="0">
            <wp:extent cx="2552700" cy="2618740"/>
            <wp:effectExtent l="0" t="0" r="0" b="0"/>
            <wp:docPr id="1035" name="オブジェクト 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ＭＳ ゴシック" w:eastAsia="ＭＳ ゴシック" w:hAnsi="ＭＳ ゴシック"/>
        </w:rPr>
        <w:br w:type="textWrapping" w:clear="all"/>
      </w:r>
      <w:r>
        <w:rPr>
          <w:rFonts w:ascii="ＭＳ ゴシック" w:eastAsia="ＭＳ ゴシック" w:hAnsi="ＭＳ ゴシック" w:hint="eastAsia"/>
        </w:rPr>
        <w:t>Ｆ10　沿岸部別</w:t>
      </w:r>
    </w:p>
    <w:tbl>
      <w:tblPr>
        <w:tblpPr w:leftFromText="142" w:rightFromText="142" w:vertAnchor="text" w:tblpX="4219" w:tblpY="335"/>
        <w:tblOverlap w:val="never"/>
        <w:tblW w:w="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559"/>
        <w:gridCol w:w="1478"/>
      </w:tblGrid>
      <w:tr w:rsidR="008A0B91" w:rsidTr="00E937BB">
        <w:tc>
          <w:tcPr>
            <w:tcW w:w="2410" w:type="dxa"/>
            <w:shd w:val="clear" w:color="auto" w:fill="D9D9D9" w:themeFill="background1" w:themeFillShade="D9"/>
            <w:vAlign w:val="center"/>
          </w:tcPr>
          <w:p w:rsidR="008A0B91" w:rsidRDefault="00844A5A">
            <w:pPr>
              <w:ind w:leftChars="0" w:left="0"/>
              <w:jc w:val="center"/>
            </w:pPr>
            <w:r>
              <w:rPr>
                <w:rFonts w:hint="eastAsia"/>
              </w:rPr>
              <w:t>区　分</w:t>
            </w:r>
          </w:p>
        </w:tc>
        <w:tc>
          <w:tcPr>
            <w:tcW w:w="1559" w:type="dxa"/>
            <w:shd w:val="clear" w:color="auto" w:fill="D9D9D9" w:themeFill="background1" w:themeFillShade="D9"/>
            <w:vAlign w:val="center"/>
          </w:tcPr>
          <w:p w:rsidR="008A0B91" w:rsidRDefault="00844A5A">
            <w:pPr>
              <w:ind w:leftChars="0" w:left="0"/>
              <w:jc w:val="center"/>
            </w:pPr>
            <w:r>
              <w:rPr>
                <w:rFonts w:hint="eastAsia"/>
              </w:rPr>
              <w:t>回答数（人）</w:t>
            </w:r>
          </w:p>
        </w:tc>
        <w:tc>
          <w:tcPr>
            <w:tcW w:w="1478" w:type="dxa"/>
            <w:shd w:val="clear" w:color="auto" w:fill="D9D9D9" w:themeFill="background1" w:themeFillShade="D9"/>
            <w:vAlign w:val="center"/>
          </w:tcPr>
          <w:p w:rsidR="008A0B91" w:rsidRDefault="00844A5A">
            <w:pPr>
              <w:ind w:leftChars="0" w:left="0"/>
              <w:jc w:val="center"/>
            </w:pPr>
            <w:r>
              <w:rPr>
                <w:rFonts w:hint="eastAsia"/>
              </w:rPr>
              <w:t>構成比（％）</w:t>
            </w:r>
          </w:p>
        </w:tc>
      </w:tr>
      <w:tr w:rsidR="008A0B91" w:rsidTr="00E937BB">
        <w:tc>
          <w:tcPr>
            <w:tcW w:w="2410" w:type="dxa"/>
            <w:vAlign w:val="center"/>
          </w:tcPr>
          <w:p w:rsidR="008A0B91" w:rsidRDefault="00844A5A">
            <w:pPr>
              <w:ind w:leftChars="0" w:left="0"/>
              <w:jc w:val="center"/>
            </w:pPr>
            <w:r>
              <w:rPr>
                <w:rFonts w:hint="eastAsia"/>
              </w:rPr>
              <w:t>沿岸部</w:t>
            </w:r>
          </w:p>
        </w:tc>
        <w:tc>
          <w:tcPr>
            <w:tcW w:w="1559" w:type="dxa"/>
            <w:vAlign w:val="center"/>
          </w:tcPr>
          <w:p w:rsidR="008A0B91" w:rsidRDefault="00844A5A">
            <w:pPr>
              <w:ind w:leftChars="0" w:left="0"/>
              <w:jc w:val="right"/>
            </w:pPr>
            <w:r>
              <w:rPr>
                <w:rFonts w:hint="eastAsia"/>
              </w:rPr>
              <w:t>553</w:t>
            </w:r>
          </w:p>
        </w:tc>
        <w:tc>
          <w:tcPr>
            <w:tcW w:w="1478" w:type="dxa"/>
            <w:vAlign w:val="center"/>
          </w:tcPr>
          <w:p w:rsidR="008A0B91" w:rsidRDefault="00844A5A">
            <w:pPr>
              <w:ind w:leftChars="0" w:left="0"/>
              <w:jc w:val="right"/>
            </w:pPr>
            <w:r>
              <w:rPr>
                <w:rFonts w:hint="eastAsia"/>
              </w:rPr>
              <w:t>34.4％</w:t>
            </w:r>
          </w:p>
        </w:tc>
      </w:tr>
      <w:tr w:rsidR="008A0B91" w:rsidTr="00E937BB">
        <w:tc>
          <w:tcPr>
            <w:tcW w:w="2410" w:type="dxa"/>
            <w:vAlign w:val="center"/>
          </w:tcPr>
          <w:p w:rsidR="008A0B91" w:rsidRDefault="00844A5A">
            <w:pPr>
              <w:ind w:leftChars="0" w:left="0"/>
              <w:jc w:val="center"/>
            </w:pPr>
            <w:r>
              <w:rPr>
                <w:rFonts w:hint="eastAsia"/>
              </w:rPr>
              <w:t>非沿岸部</w:t>
            </w:r>
          </w:p>
        </w:tc>
        <w:tc>
          <w:tcPr>
            <w:tcW w:w="1559" w:type="dxa"/>
            <w:vAlign w:val="center"/>
          </w:tcPr>
          <w:p w:rsidR="008A0B91" w:rsidRDefault="00844A5A">
            <w:pPr>
              <w:ind w:leftChars="0" w:left="0"/>
              <w:jc w:val="right"/>
            </w:pPr>
            <w:r>
              <w:rPr>
                <w:rFonts w:hint="eastAsia"/>
              </w:rPr>
              <w:t>1,035</w:t>
            </w:r>
          </w:p>
        </w:tc>
        <w:tc>
          <w:tcPr>
            <w:tcW w:w="1478" w:type="dxa"/>
            <w:vAlign w:val="center"/>
          </w:tcPr>
          <w:p w:rsidR="008A0B91" w:rsidRDefault="00844A5A">
            <w:pPr>
              <w:ind w:leftChars="0" w:left="0"/>
              <w:jc w:val="right"/>
            </w:pPr>
            <w:r>
              <w:rPr>
                <w:rFonts w:hint="eastAsia"/>
              </w:rPr>
              <w:t>64.4％</w:t>
            </w:r>
          </w:p>
        </w:tc>
      </w:tr>
      <w:tr w:rsidR="008A0B91" w:rsidTr="00E937BB">
        <w:tc>
          <w:tcPr>
            <w:tcW w:w="2410" w:type="dxa"/>
            <w:tcBorders>
              <w:bottom w:val="double" w:sz="4" w:space="0" w:color="auto"/>
            </w:tcBorders>
            <w:vAlign w:val="center"/>
          </w:tcPr>
          <w:p w:rsidR="008A0B91" w:rsidRDefault="00844A5A">
            <w:pPr>
              <w:ind w:leftChars="0" w:left="0"/>
              <w:jc w:val="center"/>
            </w:pPr>
            <w:r>
              <w:rPr>
                <w:rFonts w:hint="eastAsia"/>
              </w:rPr>
              <w:t>無回答</w:t>
            </w:r>
          </w:p>
        </w:tc>
        <w:tc>
          <w:tcPr>
            <w:tcW w:w="1559" w:type="dxa"/>
            <w:tcBorders>
              <w:bottom w:val="double" w:sz="4" w:space="0" w:color="auto"/>
            </w:tcBorders>
            <w:vAlign w:val="center"/>
          </w:tcPr>
          <w:p w:rsidR="008A0B91" w:rsidRDefault="00844A5A">
            <w:pPr>
              <w:ind w:leftChars="0" w:left="0"/>
              <w:jc w:val="right"/>
            </w:pPr>
            <w:r>
              <w:rPr>
                <w:rFonts w:hint="eastAsia"/>
              </w:rPr>
              <w:t>20</w:t>
            </w:r>
          </w:p>
        </w:tc>
        <w:tc>
          <w:tcPr>
            <w:tcW w:w="1478" w:type="dxa"/>
            <w:tcBorders>
              <w:bottom w:val="double" w:sz="4" w:space="0" w:color="auto"/>
            </w:tcBorders>
            <w:vAlign w:val="center"/>
          </w:tcPr>
          <w:p w:rsidR="008A0B91" w:rsidRDefault="00844A5A">
            <w:pPr>
              <w:ind w:leftChars="0" w:left="0"/>
              <w:jc w:val="right"/>
            </w:pPr>
            <w:r>
              <w:rPr>
                <w:rFonts w:hint="eastAsia"/>
              </w:rPr>
              <w:t>1.2％</w:t>
            </w:r>
          </w:p>
        </w:tc>
      </w:tr>
      <w:tr w:rsidR="008A0B91" w:rsidTr="00E937BB">
        <w:tc>
          <w:tcPr>
            <w:tcW w:w="2410" w:type="dxa"/>
            <w:tcBorders>
              <w:top w:val="double" w:sz="4" w:space="0" w:color="auto"/>
            </w:tcBorders>
            <w:vAlign w:val="center"/>
          </w:tcPr>
          <w:p w:rsidR="008A0B91" w:rsidRDefault="00844A5A">
            <w:pPr>
              <w:ind w:leftChars="0" w:left="0"/>
              <w:jc w:val="center"/>
            </w:pPr>
            <w:r>
              <w:rPr>
                <w:rFonts w:hint="eastAsia"/>
              </w:rPr>
              <w:t>合　計</w:t>
            </w:r>
          </w:p>
        </w:tc>
        <w:tc>
          <w:tcPr>
            <w:tcW w:w="1559" w:type="dxa"/>
            <w:tcBorders>
              <w:top w:val="double" w:sz="4" w:space="0" w:color="auto"/>
            </w:tcBorders>
            <w:vAlign w:val="center"/>
          </w:tcPr>
          <w:p w:rsidR="008A0B91" w:rsidRDefault="00844A5A">
            <w:pPr>
              <w:ind w:leftChars="0" w:left="0"/>
              <w:jc w:val="right"/>
            </w:pPr>
            <w:r>
              <w:rPr>
                <w:rFonts w:hint="eastAsia"/>
              </w:rPr>
              <w:t>1,608</w:t>
            </w:r>
          </w:p>
        </w:tc>
        <w:tc>
          <w:tcPr>
            <w:tcW w:w="1478" w:type="dxa"/>
            <w:tcBorders>
              <w:top w:val="double" w:sz="4" w:space="0" w:color="auto"/>
            </w:tcBorders>
            <w:vAlign w:val="center"/>
          </w:tcPr>
          <w:p w:rsidR="008A0B91" w:rsidRDefault="00844A5A">
            <w:pPr>
              <w:ind w:leftChars="0" w:left="0"/>
              <w:jc w:val="right"/>
            </w:pPr>
            <w:r>
              <w:rPr>
                <w:rFonts w:hint="eastAsia"/>
              </w:rPr>
              <w:t>100.0％</w:t>
            </w:r>
          </w:p>
        </w:tc>
      </w:tr>
    </w:tbl>
    <w:p w:rsidR="008A0B91" w:rsidRDefault="005570A6">
      <w:pPr>
        <w:ind w:leftChars="0" w:left="0"/>
        <w:rPr>
          <w:rFonts w:ascii="ＭＳ ゴシック" w:eastAsia="ＭＳ ゴシック" w:hAnsi="ＭＳ ゴシック"/>
        </w:rPr>
      </w:pPr>
      <w:r>
        <w:rPr>
          <w:rFonts w:ascii="ＭＳ ゴシック" w:eastAsia="ＭＳ ゴシック" w:hAnsi="ＭＳ ゴシック"/>
        </w:rPr>
        <w:pict>
          <v:shape id="_x0000_s2050" type="#_x0000_t202" style="position:absolute;margin-left:63.5pt;margin-top:106.55pt;width:41.25pt;height:27.75pt;z-index:12;mso-position-horizontal-relative:text;mso-position-vertical-relative:text" fillcolor="white [3212]" stroked="f">
            <v:textbox style="mso-next-textbox:#_x0000_s2050" inset="0,0,0,0">
              <w:txbxContent>
                <w:p w:rsidR="00E937BB" w:rsidRDefault="00E937BB">
                  <w:pPr>
                    <w:ind w:leftChars="0" w:left="0" w:firstLineChars="50" w:firstLine="80"/>
                    <w:rPr>
                      <w:sz w:val="16"/>
                    </w:rPr>
                  </w:pPr>
                  <w:r>
                    <w:rPr>
                      <w:rFonts w:hint="eastAsia"/>
                      <w:sz w:val="16"/>
                    </w:rPr>
                    <w:t>非沿岸部</w:t>
                  </w:r>
                </w:p>
                <w:p w:rsidR="00E937BB" w:rsidRDefault="00E937BB">
                  <w:pPr>
                    <w:ind w:leftChars="0" w:left="0" w:firstLineChars="100" w:firstLine="160"/>
                    <w:rPr>
                      <w:sz w:val="16"/>
                    </w:rPr>
                  </w:pPr>
                  <w:r>
                    <w:rPr>
                      <w:rFonts w:hint="eastAsia"/>
                      <w:sz w:val="16"/>
                    </w:rPr>
                    <w:t>64.4%</w:t>
                  </w:r>
                </w:p>
              </w:txbxContent>
            </v:textbox>
          </v:shape>
        </w:pict>
      </w:r>
      <w:r w:rsidR="00844A5A">
        <w:rPr>
          <w:rFonts w:ascii="ＭＳ ゴシック" w:eastAsia="ＭＳ ゴシック" w:hAnsi="ＭＳ ゴシック"/>
          <w:noProof/>
        </w:rPr>
        <w:drawing>
          <wp:inline distT="0" distB="0" distL="0" distR="0">
            <wp:extent cx="2552700" cy="2267585"/>
            <wp:effectExtent l="0" t="0" r="0" b="0"/>
            <wp:docPr id="1037" name="オブジェクト 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844A5A">
        <w:rPr>
          <w:rFonts w:ascii="ＭＳ ゴシック" w:eastAsia="ＭＳ ゴシック" w:hAnsi="ＭＳ ゴシック"/>
        </w:rPr>
        <w:br w:type="textWrapping" w:clear="all"/>
      </w: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pPr>
        <w:ind w:leftChars="0" w:left="0"/>
        <w:rPr>
          <w:rFonts w:ascii="ＭＳ ゴシック" w:eastAsia="ＭＳ ゴシック" w:hAnsi="ＭＳ ゴシック"/>
        </w:rPr>
      </w:pPr>
    </w:p>
    <w:p w:rsidR="00E937BB" w:rsidRDefault="00E937BB" w:rsidP="00E937BB">
      <w:pPr>
        <w:ind w:left="420"/>
        <w:jc w:val="right"/>
        <w:rPr>
          <w:rFonts w:ascii="ＭＳ ゴシック" w:eastAsia="ＭＳ ゴシック" w:hAnsi="ＭＳ ゴシック"/>
        </w:rPr>
      </w:pPr>
    </w:p>
    <w:p w:rsidR="00E937BB" w:rsidRPr="00C51E92" w:rsidRDefault="00E937BB" w:rsidP="00E937BB">
      <w:pPr>
        <w:pStyle w:val="1"/>
        <w:ind w:left="420"/>
      </w:pPr>
      <w:bookmarkStart w:id="6" w:name="_Toc331449309"/>
      <w:r>
        <w:rPr>
          <w:rFonts w:hint="eastAsia"/>
        </w:rPr>
        <w:t>Ⅳ　調査結果のあらまし</w:t>
      </w:r>
      <w:bookmarkEnd w:id="6"/>
    </w:p>
    <w:p w:rsidR="00E937BB" w:rsidRPr="00C51E92" w:rsidRDefault="00E937BB" w:rsidP="00E937BB">
      <w:pPr>
        <w:pStyle w:val="2"/>
        <w:pBdr>
          <w:top w:val="single" w:sz="4" w:space="1" w:color="auto"/>
          <w:left w:val="single" w:sz="4" w:space="4" w:color="auto"/>
          <w:bottom w:val="single" w:sz="4" w:space="0" w:color="auto"/>
          <w:right w:val="single" w:sz="4" w:space="4" w:color="auto"/>
        </w:pBdr>
        <w:spacing w:beforeLines="0" w:afterLines="0"/>
        <w:ind w:left="210"/>
      </w:pPr>
      <w:bookmarkStart w:id="7" w:name="_Toc331449310"/>
      <w:r>
        <w:rPr>
          <w:rFonts w:hint="eastAsia"/>
        </w:rPr>
        <w:t>〔１〕県の基本政策について</w:t>
      </w:r>
      <w:bookmarkStart w:id="8" w:name="_Toc331449312"/>
      <w:bookmarkEnd w:id="7"/>
    </w:p>
    <w:p w:rsidR="00E937BB" w:rsidRDefault="00E937BB" w:rsidP="00E937BB">
      <w:pPr>
        <w:pStyle w:val="3"/>
        <w:ind w:leftChars="100" w:left="210"/>
        <w:rPr>
          <w:rFonts w:asciiTheme="majorEastAsia" w:hAnsiTheme="majorEastAsia"/>
        </w:rPr>
      </w:pPr>
    </w:p>
    <w:p w:rsidR="00E937BB" w:rsidRDefault="00E937BB" w:rsidP="00E937BB">
      <w:pPr>
        <w:pStyle w:val="3"/>
        <w:ind w:leftChars="100" w:left="210"/>
        <w:rPr>
          <w:rFonts w:asciiTheme="majorEastAsia" w:hAnsiTheme="majorEastAsia"/>
        </w:rPr>
      </w:pPr>
      <w:r>
        <w:rPr>
          <w:rFonts w:asciiTheme="majorEastAsia" w:hAnsiTheme="majorEastAsia" w:hint="eastAsia"/>
        </w:rPr>
        <w:t>〔</w:t>
      </w:r>
      <w:r>
        <w:rPr>
          <w:rFonts w:ascii="ＭＳ ゴシック" w:eastAsia="ＭＳ ゴシック" w:hAnsi="ＭＳ ゴシック" w:hint="eastAsia"/>
        </w:rPr>
        <w:t>「経済の活性化」について特に力を入れるべき施策</w:t>
      </w:r>
      <w:r>
        <w:rPr>
          <w:rFonts w:asciiTheme="majorEastAsia" w:hAnsiTheme="majorEastAsia" w:hint="eastAsia"/>
        </w:rPr>
        <w:t>〕</w:t>
      </w:r>
      <w:bookmarkEnd w:id="8"/>
      <w:r>
        <w:rPr>
          <w:rFonts w:asciiTheme="majorEastAsia" w:hAnsiTheme="majorEastAsia" w:hint="eastAsia"/>
        </w:rPr>
        <w:t>（複数回答）</w:t>
      </w:r>
    </w:p>
    <w:p w:rsidR="00E937BB" w:rsidRPr="008F649F" w:rsidRDefault="00E937BB" w:rsidP="00E937BB">
      <w:pPr>
        <w:ind w:left="420"/>
        <w:rPr>
          <w:rFonts w:asciiTheme="minorEastAsia" w:eastAsiaTheme="minorEastAsia" w:hAnsiTheme="minorEastAsia"/>
        </w:rPr>
      </w:pPr>
      <w:r w:rsidRPr="008F649F">
        <w:rPr>
          <w:rFonts w:asciiTheme="minorEastAsia" w:eastAsiaTheme="minorEastAsia" w:hAnsiTheme="minorEastAsia" w:hint="eastAsia"/>
        </w:rPr>
        <w:t>「産業の担い手の育成・確保」が43.2％と１位になっている。</w:t>
      </w:r>
    </w:p>
    <w:p w:rsidR="00E937BB" w:rsidRDefault="00E937BB" w:rsidP="00E937BB">
      <w:pPr>
        <w:ind w:left="420"/>
      </w:pPr>
      <w:r w:rsidRPr="00C51E92">
        <w:rPr>
          <w:rFonts w:hint="eastAsia"/>
        </w:rPr>
        <w:t xml:space="preserve">　次いで「農林漁業の生産地の強化」が38.5％、「観光の振興」が3</w:t>
      </w:r>
      <w:r>
        <w:rPr>
          <w:rFonts w:hint="eastAsia"/>
        </w:rPr>
        <w:t>4.9％と続いている。</w:t>
      </w:r>
    </w:p>
    <w:p w:rsidR="00E937BB" w:rsidRDefault="00E937BB" w:rsidP="00E937BB">
      <w:pPr>
        <w:ind w:leftChars="0" w:left="0"/>
        <w:rPr>
          <w:rFonts w:asciiTheme="minorEastAsia" w:eastAsiaTheme="minorEastAsia" w:hAnsiTheme="minorEastAsia"/>
        </w:rPr>
      </w:pPr>
    </w:p>
    <w:p w:rsidR="00E937BB" w:rsidRDefault="00E937BB" w:rsidP="00E937BB">
      <w:pPr>
        <w:keepNext/>
        <w:ind w:leftChars="100" w:left="210"/>
        <w:outlineLvl w:val="2"/>
        <w:rPr>
          <w:rFonts w:asciiTheme="majorEastAsia" w:eastAsiaTheme="majorEastAsia" w:hAnsiTheme="majorEastAsia"/>
        </w:rPr>
      </w:pPr>
      <w:r>
        <w:rPr>
          <w:rFonts w:asciiTheme="majorEastAsia" w:eastAsiaTheme="majorEastAsia" w:hAnsiTheme="majorEastAsia" w:hint="eastAsia"/>
        </w:rPr>
        <w:t>〔</w:t>
      </w:r>
      <w:r>
        <w:rPr>
          <w:rFonts w:ascii="ＭＳ ゴシック" w:eastAsia="ＭＳ ゴシック" w:hAnsi="ＭＳ ゴシック" w:hint="eastAsia"/>
        </w:rPr>
        <w:t>「日本一の健康長寿県づくり」について特に力を入れるべき施策</w:t>
      </w:r>
      <w:r>
        <w:rPr>
          <w:rFonts w:asciiTheme="majorEastAsia" w:eastAsiaTheme="majorEastAsia" w:hAnsiTheme="majorEastAsia" w:hint="eastAsia"/>
        </w:rPr>
        <w:t>〕（複数回答）</w:t>
      </w:r>
    </w:p>
    <w:p w:rsidR="00E937BB" w:rsidRPr="008F649F" w:rsidRDefault="00E937BB" w:rsidP="00E937BB">
      <w:pPr>
        <w:ind w:left="420"/>
        <w:rPr>
          <w:rFonts w:asciiTheme="minorEastAsia" w:eastAsiaTheme="minorEastAsia" w:hAnsiTheme="minorEastAsia"/>
        </w:rPr>
      </w:pPr>
      <w:r w:rsidRPr="008F649F">
        <w:rPr>
          <w:rFonts w:asciiTheme="minorEastAsia" w:eastAsiaTheme="minorEastAsia" w:hAnsiTheme="minorEastAsia" w:hint="eastAsia"/>
        </w:rPr>
        <w:t>「少子化対策の推進」が37.9％で１位になっている。</w:t>
      </w:r>
    </w:p>
    <w:p w:rsidR="00E937BB" w:rsidRDefault="00E937BB" w:rsidP="00E937BB">
      <w:pPr>
        <w:ind w:left="420"/>
      </w:pPr>
      <w:r>
        <w:rPr>
          <w:rFonts w:hint="eastAsia"/>
        </w:rPr>
        <w:t xml:space="preserve">　次いで「高齢者がいつまでも元気に暮らせる地域づくり」が36.1％、「生涯にわたる健康的な生活習慣の定着」が34.1％と続いている。</w:t>
      </w:r>
    </w:p>
    <w:p w:rsidR="00E937BB" w:rsidRDefault="00E937BB" w:rsidP="00E937BB">
      <w:pPr>
        <w:ind w:left="420" w:firstLineChars="100" w:firstLine="210"/>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〔「教育の充実と子育て支援」について特に力を入れるべき施策〕（複数回答）</w:t>
      </w:r>
    </w:p>
    <w:p w:rsidR="00E937BB" w:rsidRPr="008F649F" w:rsidRDefault="00E937BB" w:rsidP="00E937BB">
      <w:pPr>
        <w:ind w:left="420"/>
        <w:rPr>
          <w:rFonts w:asciiTheme="minorEastAsia" w:eastAsiaTheme="minorEastAsia" w:hAnsiTheme="minorEastAsia"/>
        </w:rPr>
      </w:pPr>
      <w:r w:rsidRPr="008F649F">
        <w:rPr>
          <w:rFonts w:asciiTheme="minorEastAsia" w:eastAsiaTheme="minorEastAsia" w:hAnsiTheme="minorEastAsia" w:hint="eastAsia"/>
        </w:rPr>
        <w:t>「学力向上に向けた学校の組織力の強化」が43.6</w:t>
      </w:r>
      <w:r>
        <w:rPr>
          <w:rFonts w:asciiTheme="minorEastAsia" w:eastAsiaTheme="minorEastAsia" w:hAnsiTheme="minorEastAsia" w:hint="eastAsia"/>
        </w:rPr>
        <w:t>％で１位に</w:t>
      </w:r>
      <w:r w:rsidRPr="008F649F">
        <w:rPr>
          <w:rFonts w:asciiTheme="minorEastAsia" w:eastAsiaTheme="minorEastAsia" w:hAnsiTheme="minorEastAsia" w:hint="eastAsia"/>
        </w:rPr>
        <w:t>なっている。</w:t>
      </w:r>
    </w:p>
    <w:p w:rsidR="00E937BB" w:rsidRDefault="00E937BB" w:rsidP="00E937BB">
      <w:pPr>
        <w:ind w:left="420"/>
        <w:rPr>
          <w:rFonts w:ascii="ＭＳ ゴシック" w:eastAsia="ＭＳ ゴシック" w:hAnsi="ＭＳ ゴシック"/>
        </w:rPr>
      </w:pPr>
      <w:r w:rsidRPr="00C51E92">
        <w:rPr>
          <w:rFonts w:hint="eastAsia"/>
        </w:rPr>
        <w:t xml:space="preserve">　次いで「いじめや暴力行為、不登校などへの対策の充実」が41.5％、「</w:t>
      </w:r>
      <w:r>
        <w:rPr>
          <w:rFonts w:hint="eastAsia"/>
        </w:rPr>
        <w:t>貧困の世代間連鎖を教育によって断ち切るための支援の充実」が32.2％と続いている。</w:t>
      </w:r>
    </w:p>
    <w:p w:rsidR="00E937BB" w:rsidRDefault="00E937BB" w:rsidP="00E937BB">
      <w:pPr>
        <w:ind w:left="420" w:firstLineChars="100" w:firstLine="210"/>
      </w:pPr>
      <w:r>
        <w:rPr>
          <w:rFonts w:hint="eastAsia"/>
        </w:rPr>
        <w:t xml:space="preserve">　　</w:t>
      </w: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〔「南海トラフ地震対策の抜本強化・加速化」について特に力を入れるべき施策〕（複数回答）</w:t>
      </w:r>
    </w:p>
    <w:p w:rsidR="00E937BB" w:rsidRPr="008F649F" w:rsidRDefault="00E937BB" w:rsidP="00E937BB">
      <w:pPr>
        <w:ind w:left="420"/>
        <w:rPr>
          <w:rFonts w:asciiTheme="minorEastAsia" w:eastAsiaTheme="minorEastAsia" w:hAnsiTheme="minorEastAsia"/>
        </w:rPr>
      </w:pPr>
      <w:r w:rsidRPr="008F649F">
        <w:rPr>
          <w:rFonts w:asciiTheme="minorEastAsia" w:eastAsiaTheme="minorEastAsia" w:hAnsiTheme="minorEastAsia" w:hint="eastAsia"/>
        </w:rPr>
        <w:t>「支援物資が避難所に確実に届く体制づくり」が48.5％で１位になっている。</w:t>
      </w:r>
    </w:p>
    <w:p w:rsidR="00E937BB" w:rsidRDefault="00E937BB" w:rsidP="00E937BB">
      <w:pPr>
        <w:ind w:left="420"/>
        <w:rPr>
          <w:rFonts w:ascii="ＭＳ ゴシック" w:eastAsia="ＭＳ ゴシック" w:hAnsi="ＭＳ ゴシック"/>
        </w:rPr>
      </w:pPr>
      <w:r w:rsidRPr="00C51E92">
        <w:rPr>
          <w:rFonts w:hint="eastAsia"/>
        </w:rPr>
        <w:t xml:space="preserve">　次いで「津波からの避難場所や避難路の整備」が39.4％、「住宅の耐震化の強化</w:t>
      </w:r>
      <w:r>
        <w:rPr>
          <w:rFonts w:hint="eastAsia"/>
        </w:rPr>
        <w:t>」が30.3％と続いている。</w:t>
      </w:r>
    </w:p>
    <w:p w:rsidR="00E937BB" w:rsidRDefault="00E937BB" w:rsidP="00E937BB">
      <w:pPr>
        <w:ind w:leftChars="100" w:left="210"/>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〔「インフラの充実と有効活用」について特に力を入れるべき施策〕（複数回答）</w:t>
      </w:r>
    </w:p>
    <w:p w:rsidR="00E937BB" w:rsidRPr="008F649F" w:rsidRDefault="00E937BB" w:rsidP="00E937BB">
      <w:pPr>
        <w:ind w:left="420"/>
        <w:rPr>
          <w:rFonts w:asciiTheme="minorEastAsia" w:eastAsiaTheme="minorEastAsia" w:hAnsiTheme="minorEastAsia"/>
        </w:rPr>
      </w:pPr>
      <w:r w:rsidRPr="008F649F">
        <w:rPr>
          <w:rFonts w:asciiTheme="minorEastAsia" w:eastAsiaTheme="minorEastAsia" w:hAnsiTheme="minorEastAsia" w:hint="eastAsia"/>
        </w:rPr>
        <w:t>「日常生活を支える国道や県道等の整備」が44.3</w:t>
      </w:r>
      <w:r>
        <w:rPr>
          <w:rFonts w:asciiTheme="minorEastAsia" w:eastAsiaTheme="minorEastAsia" w:hAnsiTheme="minorEastAsia" w:hint="eastAsia"/>
        </w:rPr>
        <w:t>％に１位に</w:t>
      </w:r>
      <w:r w:rsidRPr="008F649F">
        <w:rPr>
          <w:rFonts w:asciiTheme="minorEastAsia" w:eastAsiaTheme="minorEastAsia" w:hAnsiTheme="minorEastAsia" w:hint="eastAsia"/>
        </w:rPr>
        <w:t>なっている。</w:t>
      </w:r>
    </w:p>
    <w:p w:rsidR="00E937BB" w:rsidRDefault="00E937BB" w:rsidP="00E937BB">
      <w:pPr>
        <w:ind w:left="420"/>
        <w:rPr>
          <w:rFonts w:ascii="ＭＳ ゴシック" w:eastAsia="ＭＳ ゴシック" w:hAnsi="ＭＳ ゴシック"/>
        </w:rPr>
      </w:pPr>
      <w:r w:rsidRPr="00C51E92">
        <w:rPr>
          <w:rFonts w:hint="eastAsia"/>
        </w:rPr>
        <w:t xml:space="preserve">　次いで「他の地域とのつながりを強化する高速道路等の整備」が32.6％、「既存インフラの維持管理や老朽化対策」が28.8％と続いて</w:t>
      </w:r>
      <w:r>
        <w:rPr>
          <w:rFonts w:hint="eastAsia"/>
        </w:rPr>
        <w:t>いる。</w:t>
      </w:r>
    </w:p>
    <w:p w:rsidR="00E937BB" w:rsidRDefault="00E937BB" w:rsidP="00E937BB">
      <w:pPr>
        <w:widowControl/>
        <w:ind w:leftChars="0" w:left="0"/>
        <w:rPr>
          <w:rFonts w:ascii="ＭＳ ゴシック" w:eastAsia="ＭＳ ゴシック" w:hAnsi="ＭＳ ゴシック"/>
        </w:rPr>
      </w:pPr>
    </w:p>
    <w:p w:rsidR="00E937BB" w:rsidRDefault="00E937BB" w:rsidP="00E937BB">
      <w:pPr>
        <w:widowControl/>
        <w:ind w:leftChars="100" w:left="210"/>
        <w:rPr>
          <w:rFonts w:ascii="ＭＳ ゴシック" w:eastAsia="ＭＳ ゴシック" w:hAnsi="ＭＳ ゴシック"/>
        </w:rPr>
      </w:pPr>
      <w:r>
        <w:rPr>
          <w:rFonts w:ascii="ＭＳ ゴシック" w:eastAsia="ＭＳ ゴシック" w:hAnsi="ＭＳ ゴシック" w:hint="eastAsia"/>
        </w:rPr>
        <w:t>〔「中山間対策の充実・強化」について特に力を入れるべき施策〕（複数回答）</w:t>
      </w:r>
    </w:p>
    <w:p w:rsidR="00E937BB" w:rsidRPr="008F649F" w:rsidRDefault="00E937BB" w:rsidP="00E937BB">
      <w:pPr>
        <w:ind w:left="1470" w:hangingChars="500" w:hanging="1050"/>
        <w:rPr>
          <w:rFonts w:asciiTheme="minorEastAsia" w:eastAsiaTheme="minorEastAsia" w:hAnsiTheme="minorEastAsia"/>
          <w:b/>
          <w:u w:val="single"/>
        </w:rPr>
      </w:pPr>
      <w:r w:rsidRPr="008F649F">
        <w:rPr>
          <w:rFonts w:asciiTheme="minorEastAsia" w:eastAsiaTheme="minorEastAsia" w:hAnsiTheme="minorEastAsia" w:hint="eastAsia"/>
        </w:rPr>
        <w:t>「買い物や通院のための移動手段の確保」が45.3％で１位になっている。</w:t>
      </w:r>
    </w:p>
    <w:p w:rsidR="00E937BB" w:rsidRDefault="00E937BB" w:rsidP="00E937BB">
      <w:pPr>
        <w:ind w:left="420"/>
      </w:pPr>
      <w:r>
        <w:rPr>
          <w:rFonts w:hint="eastAsia"/>
        </w:rPr>
        <w:t xml:space="preserve">　次いで「地域での医療・介護の確保」が45.1％、「地域で収入を得ることができる産業づくり」が37.4％と続いている。</w:t>
      </w:r>
    </w:p>
    <w:p w:rsidR="00E937BB" w:rsidRDefault="00E937BB" w:rsidP="00E937BB">
      <w:pPr>
        <w:ind w:left="420"/>
        <w:rPr>
          <w:rFonts w:ascii="ＭＳ ゴシック" w:eastAsia="ＭＳ ゴシック" w:hAnsi="ＭＳ ゴシック"/>
        </w:rPr>
      </w:pPr>
    </w:p>
    <w:p w:rsidR="00E937BB" w:rsidRDefault="00E937BB" w:rsidP="00E937BB">
      <w:pPr>
        <w:ind w:left="420" w:firstLineChars="100" w:firstLine="210"/>
        <w:rPr>
          <w:rFonts w:ascii="ＭＳ ゴシック" w:eastAsia="ＭＳ ゴシック" w:hAnsi="ＭＳ ゴシック"/>
        </w:rPr>
      </w:pPr>
      <w:r>
        <w:rPr>
          <w:rFonts w:ascii="ＭＳ ゴシック" w:eastAsia="ＭＳ ゴシック" w:hAnsi="ＭＳ ゴシック" w:hint="eastAsia"/>
        </w:rPr>
        <w:t>〔「少子化対策の充実・強化と女性の活躍の場の拡大」について特に力を入れるべき施策〕</w:t>
      </w:r>
    </w:p>
    <w:p w:rsidR="00E937BB" w:rsidRDefault="00E937BB" w:rsidP="00E937BB">
      <w:pPr>
        <w:autoSpaceDE w:val="0"/>
        <w:autoSpaceDN w:val="0"/>
        <w:spacing w:line="300" w:lineRule="exact"/>
        <w:ind w:leftChars="95" w:left="199"/>
        <w:jc w:val="right"/>
        <w:rPr>
          <w:rFonts w:ascii="ＭＳ ゴシック" w:eastAsia="ＭＳ ゴシック" w:hAnsi="ＭＳ ゴシック"/>
        </w:rPr>
      </w:pPr>
      <w:r>
        <w:rPr>
          <w:rFonts w:ascii="ＭＳ ゴシック" w:eastAsia="ＭＳ ゴシック" w:hAnsi="ＭＳ ゴシック" w:hint="eastAsia"/>
        </w:rPr>
        <w:t>（複数回答）</w:t>
      </w:r>
    </w:p>
    <w:p w:rsidR="00E937BB" w:rsidRPr="008F649F" w:rsidRDefault="00E937BB" w:rsidP="00E937BB">
      <w:pPr>
        <w:ind w:left="1470" w:hangingChars="500" w:hanging="1050"/>
        <w:rPr>
          <w:rFonts w:asciiTheme="minorEastAsia" w:eastAsiaTheme="minorEastAsia" w:hAnsiTheme="minorEastAsia"/>
        </w:rPr>
      </w:pPr>
      <w:r w:rsidRPr="008F649F">
        <w:rPr>
          <w:rFonts w:asciiTheme="minorEastAsia" w:eastAsiaTheme="minorEastAsia" w:hAnsiTheme="minorEastAsia" w:hint="eastAsia"/>
        </w:rPr>
        <w:t>「子育てや教育にかかる経済的な負担の軽減」が45.6％で１位になっている。</w:t>
      </w:r>
    </w:p>
    <w:p w:rsidR="00E937BB" w:rsidRDefault="00E937BB" w:rsidP="00E937BB">
      <w:pPr>
        <w:ind w:left="420"/>
        <w:rPr>
          <w:rFonts w:ascii="ＭＳ ゴシック" w:eastAsia="ＭＳ ゴシック" w:hAnsi="ＭＳ ゴシック"/>
        </w:rPr>
      </w:pPr>
      <w:r>
        <w:rPr>
          <w:rFonts w:hint="eastAsia"/>
        </w:rPr>
        <w:t xml:space="preserve">　次いで「安心して妊娠・出産できる環境の整備」が29.7％、「仕事と育児・介護などの家庭生活の両立に理解がある職場づくり」が29.2％と続いている。</w:t>
      </w:r>
    </w:p>
    <w:p w:rsidR="00E937BB" w:rsidRDefault="00E937BB" w:rsidP="00E937BB">
      <w:pPr>
        <w:autoSpaceDE w:val="0"/>
        <w:autoSpaceDN w:val="0"/>
        <w:spacing w:line="300" w:lineRule="exact"/>
        <w:ind w:leftChars="95" w:left="199"/>
      </w:pPr>
    </w:p>
    <w:p w:rsidR="00E937BB" w:rsidRDefault="00E937BB" w:rsidP="00E937BB">
      <w:pPr>
        <w:autoSpaceDE w:val="0"/>
        <w:autoSpaceDN w:val="0"/>
        <w:spacing w:line="300" w:lineRule="exact"/>
        <w:ind w:leftChars="95" w:left="199"/>
        <w:rPr>
          <w:rFonts w:ascii="ＭＳ ゴシック" w:eastAsia="ＭＳ ゴシック" w:hAnsi="ＭＳ ゴシック"/>
        </w:rPr>
      </w:pPr>
      <w:r>
        <w:rPr>
          <w:rFonts w:ascii="ＭＳ ゴシック" w:eastAsia="ＭＳ ゴシック" w:hAnsi="ＭＳ ゴシック" w:hint="eastAsia"/>
        </w:rPr>
        <w:t>〔文化芸術の振興について特に力を入れるべき施策〕（複数回答）</w:t>
      </w:r>
    </w:p>
    <w:p w:rsidR="00E937BB" w:rsidRPr="008F649F" w:rsidRDefault="00E937BB" w:rsidP="00E937BB">
      <w:pPr>
        <w:ind w:left="420"/>
        <w:rPr>
          <w:rFonts w:asciiTheme="minorEastAsia" w:eastAsiaTheme="minorEastAsia" w:hAnsiTheme="minorEastAsia"/>
        </w:rPr>
      </w:pPr>
      <w:r w:rsidRPr="008F649F">
        <w:rPr>
          <w:rFonts w:asciiTheme="minorEastAsia" w:eastAsiaTheme="minorEastAsia" w:hAnsiTheme="minorEastAsia" w:hint="eastAsia"/>
        </w:rPr>
        <w:t>「文化芸術を鑑賞・体験できる機会の充実」が46.8％で１位になっている。</w:t>
      </w:r>
    </w:p>
    <w:p w:rsidR="00E937BB" w:rsidRDefault="00E937BB" w:rsidP="00E937BB">
      <w:pPr>
        <w:ind w:left="420"/>
      </w:pPr>
      <w:r>
        <w:rPr>
          <w:rFonts w:hint="eastAsia"/>
        </w:rPr>
        <w:t xml:space="preserve">　次いで「ホール・劇場、美術館、博物館等の文化施設の充実」が36.8％、「高知固有の文化の継承や活用」が36.7％と続いている。</w:t>
      </w:r>
    </w:p>
    <w:p w:rsidR="00E937BB" w:rsidRDefault="00E937BB" w:rsidP="00E937BB">
      <w:pPr>
        <w:widowControl/>
        <w:ind w:leftChars="195" w:left="409" w:firstLineChars="100" w:firstLine="210"/>
      </w:pPr>
    </w:p>
    <w:p w:rsidR="00E937BB" w:rsidRDefault="00E937BB" w:rsidP="00E937BB">
      <w:pPr>
        <w:widowControl/>
        <w:ind w:leftChars="195" w:left="409" w:firstLineChars="100" w:firstLine="210"/>
      </w:pPr>
    </w:p>
    <w:p w:rsidR="00E937BB" w:rsidRDefault="00E937BB" w:rsidP="00E937BB">
      <w:pPr>
        <w:widowControl/>
        <w:ind w:leftChars="195" w:left="409" w:firstLineChars="100" w:firstLine="210"/>
      </w:pPr>
    </w:p>
    <w:p w:rsidR="00E937BB" w:rsidRDefault="00E937BB" w:rsidP="00E937BB">
      <w:pPr>
        <w:widowControl/>
        <w:ind w:leftChars="195" w:left="409" w:firstLineChars="100" w:firstLine="210"/>
      </w:pPr>
    </w:p>
    <w:p w:rsidR="00E937BB" w:rsidRDefault="00E937BB" w:rsidP="00E937BB">
      <w:pPr>
        <w:widowControl/>
        <w:ind w:leftChars="0" w:left="0"/>
        <w:rPr>
          <w:rFonts w:ascii="ＭＳ ゴシック" w:eastAsia="ＭＳ ゴシック" w:hAnsi="ＭＳ ゴシック"/>
        </w:rPr>
      </w:pPr>
      <w:r>
        <w:rPr>
          <w:rFonts w:hint="eastAsia"/>
        </w:rPr>
        <w:lastRenderedPageBreak/>
        <w:t xml:space="preserve">　</w:t>
      </w:r>
      <w:r>
        <w:rPr>
          <w:rFonts w:ascii="ＭＳ ゴシック" w:eastAsia="ＭＳ ゴシック" w:hAnsi="ＭＳ ゴシック" w:hint="eastAsia"/>
        </w:rPr>
        <w:t>〔スポーツの振興について特に力を入れるべき施策〕（複数回答）</w:t>
      </w:r>
    </w:p>
    <w:p w:rsidR="00E937BB" w:rsidRPr="008F649F" w:rsidRDefault="00E937BB" w:rsidP="00E937BB">
      <w:pPr>
        <w:ind w:left="420"/>
        <w:rPr>
          <w:rFonts w:asciiTheme="minorEastAsia" w:eastAsiaTheme="minorEastAsia" w:hAnsiTheme="minorEastAsia"/>
        </w:rPr>
      </w:pPr>
      <w:r w:rsidRPr="008F649F">
        <w:rPr>
          <w:rFonts w:asciiTheme="minorEastAsia" w:eastAsiaTheme="minorEastAsia" w:hAnsiTheme="minorEastAsia" w:hint="eastAsia"/>
        </w:rPr>
        <w:t>「誰もが地域でスポーツに参加できるための環境づくり」が51.8％で1位になっている。</w:t>
      </w:r>
    </w:p>
    <w:p w:rsidR="00E937BB" w:rsidRDefault="00E937BB" w:rsidP="00E937BB">
      <w:pPr>
        <w:ind w:left="420"/>
      </w:pPr>
      <w:r w:rsidRPr="00C51E92">
        <w:rPr>
          <w:rFonts w:hint="eastAsia"/>
        </w:rPr>
        <w:t xml:space="preserve">　次いで「選手や指導者の育成による競技力の向上」が51.3％、「スポーツ施設などの充実」が</w:t>
      </w:r>
      <w:r>
        <w:rPr>
          <w:rFonts w:hint="eastAsia"/>
        </w:rPr>
        <w:t>46.1％と続いている。</w:t>
      </w:r>
    </w:p>
    <w:p w:rsidR="00E937BB" w:rsidRDefault="00E937BB" w:rsidP="00E937BB">
      <w:pPr>
        <w:ind w:left="420"/>
      </w:pPr>
    </w:p>
    <w:p w:rsidR="00E937BB" w:rsidRDefault="00E937BB" w:rsidP="00E937BB">
      <w:pPr>
        <w:widowControl/>
        <w:ind w:leftChars="0" w:left="0"/>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〔８つの政策のうち、より一層力を入れて取り組むべきもの〕（複数回答）</w:t>
      </w:r>
    </w:p>
    <w:p w:rsidR="00E937BB" w:rsidRPr="008F649F" w:rsidRDefault="00E937BB" w:rsidP="00E937BB">
      <w:pPr>
        <w:ind w:left="1470" w:hangingChars="500" w:hanging="1050"/>
        <w:rPr>
          <w:rFonts w:asciiTheme="minorEastAsia" w:eastAsiaTheme="minorEastAsia" w:hAnsiTheme="minorEastAsia"/>
        </w:rPr>
      </w:pPr>
      <w:r w:rsidRPr="008F649F">
        <w:rPr>
          <w:rFonts w:asciiTheme="minorEastAsia" w:eastAsiaTheme="minorEastAsia" w:hAnsiTheme="minorEastAsia" w:hint="eastAsia"/>
        </w:rPr>
        <w:t>「経済の活性化」が56.3％で１位になっている。</w:t>
      </w:r>
    </w:p>
    <w:p w:rsidR="00E937BB" w:rsidRDefault="00E937BB" w:rsidP="00E937BB">
      <w:pPr>
        <w:ind w:left="420"/>
        <w:rPr>
          <w:rFonts w:ascii="ＭＳ ゴシック" w:eastAsia="ＭＳ ゴシック" w:hAnsi="ＭＳ ゴシック"/>
        </w:rPr>
      </w:pPr>
      <w:r>
        <w:rPr>
          <w:rFonts w:hint="eastAsia"/>
        </w:rPr>
        <w:t xml:space="preserve">　次いで「南海トラフ地震対策の抜本強化・加速化」が34.0％、「教育の充実と子育て支援」が33.4％と続いている。</w:t>
      </w:r>
    </w:p>
    <w:p w:rsidR="00E937BB" w:rsidRDefault="00E937BB" w:rsidP="00E937BB">
      <w:pPr>
        <w:widowControl/>
        <w:ind w:leftChars="195" w:left="409" w:firstLineChars="100" w:firstLine="210"/>
      </w:pPr>
    </w:p>
    <w:p w:rsidR="00E937BB" w:rsidRDefault="00E937BB" w:rsidP="00E937BB">
      <w:pPr>
        <w:widowControl/>
        <w:ind w:leftChars="195" w:left="409" w:firstLineChars="100" w:firstLine="210"/>
      </w:pPr>
    </w:p>
    <w:tbl>
      <w:tblPr>
        <w:tblW w:w="9416" w:type="dxa"/>
        <w:tblInd w:w="250" w:type="dxa"/>
        <w:tblLayout w:type="fixed"/>
        <w:tblLook w:val="04A0"/>
      </w:tblPr>
      <w:tblGrid>
        <w:gridCol w:w="9416"/>
      </w:tblGrid>
      <w:tr w:rsidR="00E937BB" w:rsidTr="00E937BB">
        <w:trPr>
          <w:trHeight w:val="603"/>
        </w:trPr>
        <w:tc>
          <w:tcPr>
            <w:tcW w:w="9416" w:type="dxa"/>
            <w:tcBorders>
              <w:top w:val="single" w:sz="4" w:space="0" w:color="auto"/>
              <w:left w:val="single" w:sz="4" w:space="0" w:color="auto"/>
              <w:bottom w:val="single" w:sz="4" w:space="0" w:color="auto"/>
              <w:right w:val="single" w:sz="4" w:space="0" w:color="auto"/>
            </w:tcBorders>
            <w:vAlign w:val="center"/>
          </w:tcPr>
          <w:p w:rsidR="00E937BB" w:rsidRDefault="00E937BB" w:rsidP="00E937BB">
            <w:pPr>
              <w:spacing w:line="400" w:lineRule="exact"/>
              <w:ind w:leftChars="0" w:left="0"/>
              <w:jc w:val="both"/>
            </w:pPr>
            <w:r>
              <w:rPr>
                <w:rFonts w:ascii="ＭＳ ゴシック" w:eastAsia="ＭＳ ゴシック" w:hAnsi="ＭＳ ゴシック" w:hint="eastAsia"/>
                <w:sz w:val="24"/>
              </w:rPr>
              <w:t>〔２〕南海トラフ地震対策について</w:t>
            </w:r>
          </w:p>
        </w:tc>
      </w:tr>
    </w:tbl>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【南海トラフ地震対策】</w:t>
      </w: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〔津波での浸水が予測される地域かどうか〕</w:t>
      </w:r>
    </w:p>
    <w:p w:rsidR="00E937BB" w:rsidRPr="008F649F" w:rsidRDefault="00E937BB" w:rsidP="00E937BB">
      <w:pPr>
        <w:ind w:left="420" w:firstLineChars="100" w:firstLine="210"/>
        <w:rPr>
          <w:rFonts w:asciiTheme="minorEastAsia" w:eastAsiaTheme="minorEastAsia" w:hAnsiTheme="minorEastAsia"/>
        </w:rPr>
      </w:pPr>
      <w:r w:rsidRPr="008F649F">
        <w:rPr>
          <w:rFonts w:asciiTheme="minorEastAsia" w:eastAsiaTheme="minorEastAsia" w:hAnsiTheme="minorEastAsia" w:hint="eastAsia"/>
        </w:rPr>
        <w:t>「わからない」が8.2％となっており、より一層の周知の工夫が必要である。</w:t>
      </w:r>
    </w:p>
    <w:p w:rsidR="00E937BB" w:rsidRDefault="00E937BB" w:rsidP="00E937BB">
      <w:pPr>
        <w:ind w:left="420" w:firstLineChars="100" w:firstLine="210"/>
      </w:pPr>
    </w:p>
    <w:p w:rsidR="00E937BB" w:rsidRDefault="00E937BB" w:rsidP="00E937BB">
      <w:pPr>
        <w:ind w:leftChars="95" w:left="409" w:hangingChars="100" w:hanging="210"/>
        <w:rPr>
          <w:rFonts w:ascii="ＭＳ ゴシック" w:eastAsia="ＭＳ ゴシック" w:hAnsi="ＭＳ ゴシック"/>
        </w:rPr>
      </w:pPr>
      <w:r>
        <w:rPr>
          <w:rFonts w:ascii="ＭＳ ゴシック" w:eastAsia="ＭＳ ゴシック" w:hAnsi="ＭＳ ゴシック" w:hint="eastAsia"/>
        </w:rPr>
        <w:t>〔いつ避難をするか〕</w:t>
      </w:r>
    </w:p>
    <w:p w:rsidR="00E937BB" w:rsidRPr="008F649F" w:rsidRDefault="00E937BB" w:rsidP="00E937BB">
      <w:pPr>
        <w:ind w:left="1470" w:hangingChars="500" w:hanging="1050"/>
        <w:rPr>
          <w:rFonts w:asciiTheme="minorEastAsia" w:eastAsiaTheme="minorEastAsia" w:hAnsiTheme="minorEastAsia"/>
        </w:rPr>
      </w:pPr>
      <w:r w:rsidRPr="008F649F">
        <w:rPr>
          <w:rFonts w:asciiTheme="minorEastAsia" w:eastAsiaTheme="minorEastAsia" w:hAnsiTheme="minorEastAsia" w:hint="eastAsia"/>
        </w:rPr>
        <w:t>「揺れがおさまった後、すぐに」が71.7％で１位になっている。</w:t>
      </w:r>
    </w:p>
    <w:p w:rsidR="00E937BB" w:rsidRDefault="00E937BB" w:rsidP="00E937BB">
      <w:pPr>
        <w:ind w:left="420"/>
      </w:pPr>
      <w:r>
        <w:rPr>
          <w:rFonts w:hint="eastAsia"/>
        </w:rPr>
        <w:t xml:space="preserve">　次いで「津波警報が出たら」が13.6％、「市町村から避難の呼びかけがあったら」が8.7％と続いている。</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〔自宅における家具や家電などの固定状況〕</w:t>
      </w:r>
    </w:p>
    <w:p w:rsidR="00E937BB" w:rsidRPr="008F649F" w:rsidRDefault="00E937BB" w:rsidP="00E937BB">
      <w:pPr>
        <w:ind w:left="1470" w:hangingChars="500" w:hanging="1050"/>
        <w:rPr>
          <w:rFonts w:asciiTheme="minorEastAsia" w:eastAsiaTheme="minorEastAsia" w:hAnsiTheme="minorEastAsia"/>
        </w:rPr>
      </w:pPr>
      <w:r w:rsidRPr="008F649F">
        <w:rPr>
          <w:rFonts w:asciiTheme="minorEastAsia" w:eastAsiaTheme="minorEastAsia" w:hAnsiTheme="minorEastAsia" w:hint="eastAsia"/>
        </w:rPr>
        <w:t>「固定が必要な家具や家電などがあるが固定していない」が66.7％で１位になっている。</w:t>
      </w:r>
    </w:p>
    <w:p w:rsidR="00E937BB" w:rsidRDefault="00E937BB" w:rsidP="00E937BB">
      <w:pPr>
        <w:ind w:left="420"/>
      </w:pPr>
      <w:r>
        <w:rPr>
          <w:rFonts w:hint="eastAsia"/>
        </w:rPr>
        <w:t xml:space="preserve">　次いで「固定している」が14.7％、「固定が必要な家具や家電などを居室内に置いていない」が9.6％と続いている。</w:t>
      </w:r>
    </w:p>
    <w:p w:rsidR="00E937BB" w:rsidRDefault="00E937BB" w:rsidP="00E937BB">
      <w:pPr>
        <w:ind w:leftChars="100" w:left="210"/>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〔避難所の開設や運営に関わろうと思うか〕</w:t>
      </w:r>
    </w:p>
    <w:p w:rsidR="00E937BB" w:rsidRPr="008F649F" w:rsidRDefault="00E937BB" w:rsidP="00E937BB">
      <w:pPr>
        <w:ind w:left="1470" w:hangingChars="500" w:hanging="1050"/>
        <w:rPr>
          <w:rFonts w:asciiTheme="minorEastAsia" w:eastAsiaTheme="minorEastAsia" w:hAnsiTheme="minorEastAsia" w:cs="Arial Unicode MS"/>
        </w:rPr>
      </w:pPr>
      <w:r w:rsidRPr="008F649F">
        <w:rPr>
          <w:rFonts w:asciiTheme="minorEastAsia" w:eastAsiaTheme="minorEastAsia" w:hAnsiTheme="minorEastAsia" w:cs="Arial Unicode MS" w:hint="eastAsia"/>
        </w:rPr>
        <w:t>「関わりたい」と「関わりたいが、やり方がわからない」を合わせると69.9％が避難所の開設や</w:t>
      </w:r>
    </w:p>
    <w:p w:rsidR="00E937BB" w:rsidRPr="008F649F" w:rsidRDefault="00E937BB" w:rsidP="00E937BB">
      <w:pPr>
        <w:ind w:left="1470" w:hangingChars="500" w:hanging="1050"/>
        <w:rPr>
          <w:rFonts w:asciiTheme="minorEastAsia" w:eastAsiaTheme="minorEastAsia" w:hAnsiTheme="minorEastAsia" w:cs="Arial Unicode MS"/>
        </w:rPr>
      </w:pPr>
      <w:r w:rsidRPr="008F649F">
        <w:rPr>
          <w:rFonts w:asciiTheme="minorEastAsia" w:eastAsiaTheme="minorEastAsia" w:hAnsiTheme="minorEastAsia" w:cs="Arial Unicode MS" w:hint="eastAsia"/>
        </w:rPr>
        <w:t>運営に関わりたいと思っている。</w:t>
      </w:r>
    </w:p>
    <w:p w:rsidR="00E937BB" w:rsidRDefault="00E937BB" w:rsidP="00E937BB">
      <w:pPr>
        <w:ind w:left="420"/>
      </w:pPr>
      <w:r>
        <w:rPr>
          <w:rFonts w:hint="eastAsia"/>
        </w:rPr>
        <w:t xml:space="preserve">　そのうち「関わりたい」が32.0％、「関わりたいが、やり方がわからない」が37.9％となっている。</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〔食料の備蓄について〕</w:t>
      </w:r>
    </w:p>
    <w:p w:rsidR="00E937BB" w:rsidRPr="008F649F" w:rsidRDefault="00E937BB" w:rsidP="00E937BB">
      <w:pPr>
        <w:ind w:left="1470" w:hangingChars="500" w:hanging="1050"/>
        <w:rPr>
          <w:rFonts w:asciiTheme="minorEastAsia" w:eastAsiaTheme="minorEastAsia" w:hAnsiTheme="minorEastAsia"/>
        </w:rPr>
      </w:pPr>
      <w:r w:rsidRPr="008F649F">
        <w:rPr>
          <w:rFonts w:asciiTheme="minorEastAsia" w:eastAsiaTheme="minorEastAsia" w:hAnsiTheme="minorEastAsia" w:hint="eastAsia"/>
        </w:rPr>
        <w:t xml:space="preserve">　63.4％が食料を「備蓄している」と回答しており、「備蓄していない」の36.0％を27.4ポイ</w:t>
      </w:r>
    </w:p>
    <w:p w:rsidR="00E937BB" w:rsidRPr="008F649F" w:rsidRDefault="00E937BB" w:rsidP="00E937BB">
      <w:pPr>
        <w:ind w:left="1470" w:hangingChars="500" w:hanging="1050"/>
        <w:rPr>
          <w:rFonts w:asciiTheme="minorEastAsia" w:eastAsiaTheme="minorEastAsia" w:hAnsiTheme="minorEastAsia"/>
        </w:rPr>
      </w:pPr>
      <w:r w:rsidRPr="008F649F">
        <w:rPr>
          <w:rFonts w:asciiTheme="minorEastAsia" w:eastAsiaTheme="minorEastAsia" w:hAnsiTheme="minorEastAsia" w:hint="eastAsia"/>
        </w:rPr>
        <w:t>ント上回っている。</w:t>
      </w:r>
    </w:p>
    <w:p w:rsidR="00E937BB" w:rsidRDefault="00E937BB" w:rsidP="00E937BB">
      <w:pPr>
        <w:ind w:left="420"/>
      </w:pPr>
      <w:r>
        <w:rPr>
          <w:rFonts w:hint="eastAsia"/>
        </w:rPr>
        <w:t xml:space="preserve">　そのうち「１日～２日分を備蓄している」が40.5％、「3日～6日分を備蓄している」が19.4％、「7日分以上を備蓄している」が3.5％となっている。</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〔飲料水の備蓄について〕</w:t>
      </w:r>
    </w:p>
    <w:p w:rsidR="00E937BB" w:rsidRPr="008F649F" w:rsidRDefault="00E937BB" w:rsidP="00E937BB">
      <w:pPr>
        <w:ind w:left="420"/>
        <w:rPr>
          <w:rFonts w:asciiTheme="minorEastAsia" w:eastAsiaTheme="minorEastAsia" w:hAnsiTheme="minorEastAsia"/>
        </w:rPr>
      </w:pPr>
      <w:r w:rsidRPr="00C51E92">
        <w:rPr>
          <w:rFonts w:ascii="ＭＳ ゴシック" w:eastAsia="ＭＳ ゴシック" w:hAnsi="ＭＳ ゴシック" w:hint="eastAsia"/>
        </w:rPr>
        <w:t xml:space="preserve">　</w:t>
      </w:r>
      <w:r w:rsidRPr="008F649F">
        <w:rPr>
          <w:rFonts w:asciiTheme="minorEastAsia" w:eastAsiaTheme="minorEastAsia" w:hAnsiTheme="minorEastAsia" w:hint="eastAsia"/>
        </w:rPr>
        <w:t>59.9％が飲料水を「備蓄している」と回答しており、「備蓄していない」の39.4％を20.5ポイント上回っている。</w:t>
      </w:r>
    </w:p>
    <w:p w:rsidR="00E937BB" w:rsidRDefault="00E937BB" w:rsidP="00E937BB">
      <w:pPr>
        <w:ind w:left="420"/>
        <w:rPr>
          <w:rFonts w:ascii="ＭＳ ゴシック" w:eastAsia="ＭＳ ゴシック" w:hAnsi="ＭＳ ゴシック"/>
        </w:rPr>
      </w:pPr>
      <w:r>
        <w:rPr>
          <w:rFonts w:hint="eastAsia"/>
        </w:rPr>
        <w:t xml:space="preserve">　そのうち「１日～２日分を備蓄している」が38.9％、「３日～６日分を備蓄している」が16.5％、「７日分以上を備蓄している」が4.5％となっている。</w:t>
      </w:r>
    </w:p>
    <w:p w:rsidR="00E937BB" w:rsidRDefault="00E937BB" w:rsidP="00E937BB">
      <w:pPr>
        <w:ind w:left="420"/>
        <w:rPr>
          <w:rFonts w:ascii="ＭＳ ゴシック" w:eastAsia="ＭＳ ゴシック" w:hAnsi="ＭＳ ゴシック"/>
        </w:rPr>
      </w:pPr>
    </w:p>
    <w:p w:rsidR="00E937BB" w:rsidRDefault="00E937BB" w:rsidP="00E937BB">
      <w:pPr>
        <w:ind w:left="420"/>
        <w:rPr>
          <w:rFonts w:ascii="ＭＳ ゴシック" w:eastAsia="ＭＳ ゴシック" w:hAnsi="ＭＳ ゴシック"/>
        </w:rPr>
      </w:pPr>
    </w:p>
    <w:p w:rsidR="00E937BB" w:rsidRDefault="00E937BB" w:rsidP="00E937BB">
      <w:pPr>
        <w:ind w:left="420"/>
        <w:rPr>
          <w:rFonts w:ascii="ＭＳ ゴシック" w:eastAsia="ＭＳ ゴシック" w:hAnsi="ＭＳ ゴシック"/>
        </w:rPr>
      </w:pPr>
    </w:p>
    <w:p w:rsidR="00E937BB" w:rsidRDefault="00E937BB" w:rsidP="00E937BB">
      <w:pPr>
        <w:ind w:left="42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lastRenderedPageBreak/>
        <w:t>〔防災訓練の活動への参加状況〕</w:t>
      </w:r>
    </w:p>
    <w:p w:rsidR="00E937BB" w:rsidRPr="008F649F" w:rsidRDefault="00E937BB" w:rsidP="00E937BB">
      <w:pPr>
        <w:ind w:left="1470" w:hangingChars="500" w:hanging="1050"/>
        <w:rPr>
          <w:rFonts w:asciiTheme="minorEastAsia" w:eastAsiaTheme="minorEastAsia" w:hAnsiTheme="minorEastAsia"/>
        </w:rPr>
      </w:pPr>
      <w:r w:rsidRPr="008F649F">
        <w:rPr>
          <w:rFonts w:asciiTheme="minorEastAsia" w:eastAsiaTheme="minorEastAsia" w:hAnsiTheme="minorEastAsia" w:hint="eastAsia"/>
        </w:rPr>
        <w:t>「参加した」が42.2％で１位になっている。</w:t>
      </w:r>
    </w:p>
    <w:p w:rsidR="00E937BB" w:rsidRDefault="00E937BB" w:rsidP="00E937BB">
      <w:pPr>
        <w:ind w:leftChars="227" w:left="477" w:firstLineChars="100" w:firstLine="210"/>
        <w:rPr>
          <w:rFonts w:ascii="ＭＳ ゴシック" w:eastAsia="ＭＳ ゴシック" w:hAnsi="ＭＳ ゴシック"/>
        </w:rPr>
      </w:pPr>
      <w:r>
        <w:rPr>
          <w:rFonts w:hint="eastAsia"/>
        </w:rPr>
        <w:t>次いで「訓練がなかった、またはあったかわからない」が27.7％、「都合が合わず参加できなかった」が21.0％となっている。</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〔どうすれば防災訓練に参加する人が増えるか〕（複数回答）</w:t>
      </w:r>
    </w:p>
    <w:p w:rsidR="00E937BB" w:rsidRPr="008F649F" w:rsidRDefault="00E937BB" w:rsidP="00E937BB">
      <w:pPr>
        <w:ind w:left="1470" w:hangingChars="500" w:hanging="1050"/>
        <w:rPr>
          <w:rFonts w:asciiTheme="minorEastAsia" w:eastAsiaTheme="minorEastAsia" w:hAnsiTheme="minorEastAsia"/>
        </w:rPr>
      </w:pPr>
      <w:r w:rsidRPr="008F649F">
        <w:rPr>
          <w:rFonts w:asciiTheme="minorEastAsia" w:eastAsiaTheme="minorEastAsia" w:hAnsiTheme="minorEastAsia" w:hint="eastAsia"/>
        </w:rPr>
        <w:t>「近所同士で声を掛け合って一緒に参加する」が36.2％で１位になっている。</w:t>
      </w:r>
    </w:p>
    <w:p w:rsidR="00E937BB" w:rsidRDefault="00E937BB" w:rsidP="00E937BB">
      <w:pPr>
        <w:ind w:left="420"/>
      </w:pPr>
      <w:r>
        <w:rPr>
          <w:rFonts w:hint="eastAsia"/>
        </w:rPr>
        <w:t xml:space="preserve">　次いで「他のイベントと一緒に行う」が33.3％、「訓練の回数を増やす、参加しやすい日に開催する」が29.4％となっている。</w:t>
      </w:r>
    </w:p>
    <w:p w:rsidR="00E937BB" w:rsidRDefault="00E937BB" w:rsidP="00E937BB">
      <w:pPr>
        <w:ind w:leftChars="0" w:left="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【住宅の耐震化】</w:t>
      </w: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〔自宅の建築年と構造について〕</w:t>
      </w:r>
    </w:p>
    <w:p w:rsidR="00E937BB" w:rsidRPr="008F649F" w:rsidRDefault="00E937BB" w:rsidP="00E937BB">
      <w:pPr>
        <w:ind w:left="420" w:firstLineChars="100" w:firstLine="210"/>
        <w:rPr>
          <w:rFonts w:asciiTheme="minorEastAsia" w:eastAsiaTheme="minorEastAsia" w:hAnsiTheme="minorEastAsia"/>
        </w:rPr>
      </w:pPr>
      <w:r w:rsidRPr="008F649F">
        <w:rPr>
          <w:rFonts w:asciiTheme="minorEastAsia" w:eastAsiaTheme="minorEastAsia" w:hAnsiTheme="minorEastAsia" w:hint="eastAsia"/>
        </w:rPr>
        <w:t>昭和56年５月以前の木造住宅」が25.7％で１位になっている。</w:t>
      </w:r>
    </w:p>
    <w:p w:rsidR="00E937BB" w:rsidRDefault="00E937BB" w:rsidP="00E937BB">
      <w:pPr>
        <w:ind w:left="420"/>
      </w:pPr>
      <w:r>
        <w:rPr>
          <w:rFonts w:hint="eastAsia"/>
        </w:rPr>
        <w:t xml:space="preserve">　次いで「昭和56年６月以降で平成12年５月以前の木造住宅」が21.8％、「平成12年６月以降の木造住宅」が16.8％となっている。</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〔耐震診断の受診の有無及び結果について〕</w:t>
      </w:r>
    </w:p>
    <w:p w:rsidR="00E937BB" w:rsidRPr="008F649F" w:rsidRDefault="00E937BB" w:rsidP="00E937BB">
      <w:pPr>
        <w:ind w:left="1470" w:hangingChars="500" w:hanging="1050"/>
        <w:rPr>
          <w:rFonts w:asciiTheme="minorEastAsia" w:eastAsiaTheme="minorEastAsia" w:hAnsiTheme="minorEastAsia"/>
        </w:rPr>
      </w:pPr>
      <w:r w:rsidRPr="008F649F">
        <w:rPr>
          <w:rFonts w:asciiTheme="minorEastAsia" w:eastAsiaTheme="minorEastAsia" w:hAnsiTheme="minorEastAsia" w:hint="eastAsia"/>
        </w:rPr>
        <w:t>「診断を受けたことはない」が79.2％で１位になっている。</w:t>
      </w:r>
    </w:p>
    <w:p w:rsidR="00E937BB" w:rsidRDefault="00E937BB" w:rsidP="00E937BB">
      <w:pPr>
        <w:ind w:left="420"/>
      </w:pPr>
      <w:r>
        <w:rPr>
          <w:rFonts w:hint="eastAsia"/>
        </w:rPr>
        <w:t xml:space="preserve">　次いで「診断を受けた結果、耐震性がなく耐震改修が必要と診断された」が17.9％となっている。</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〔耐震改修工事又は建て替えの実施状況〕</w:t>
      </w:r>
    </w:p>
    <w:p w:rsidR="00E937BB" w:rsidRPr="008F649F" w:rsidRDefault="00E937BB" w:rsidP="00E937BB">
      <w:pPr>
        <w:ind w:left="1470" w:hangingChars="500" w:hanging="1050"/>
        <w:rPr>
          <w:rFonts w:asciiTheme="minorEastAsia" w:eastAsiaTheme="minorEastAsia" w:hAnsiTheme="minorEastAsia"/>
        </w:rPr>
      </w:pPr>
      <w:r w:rsidRPr="008F649F">
        <w:rPr>
          <w:rFonts w:asciiTheme="minorEastAsia" w:eastAsiaTheme="minorEastAsia" w:hAnsiTheme="minorEastAsia" w:hint="eastAsia"/>
        </w:rPr>
        <w:t>「耐震改修工事を行った」が47.3％で１位になっている。</w:t>
      </w:r>
    </w:p>
    <w:p w:rsidR="00E937BB" w:rsidRDefault="00E937BB" w:rsidP="00E937BB">
      <w:pPr>
        <w:ind w:left="420"/>
      </w:pPr>
      <w:r>
        <w:rPr>
          <w:rFonts w:hint="eastAsia"/>
        </w:rPr>
        <w:t xml:space="preserve">　次いで「耐震改修工事も建て替えも行う予定はない」が21.6％と続いている。</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〔耐震診断を受けていない理由〕（複数回答）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「耐震診断の結果、耐震改修工事などが必要になっても費用が高額で出せない」が44.6％で１位</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になっている。</w:t>
      </w:r>
    </w:p>
    <w:p w:rsidR="00E937BB" w:rsidRDefault="00E937BB" w:rsidP="00E937BB">
      <w:pPr>
        <w:ind w:left="420"/>
      </w:pPr>
      <w:r>
        <w:rPr>
          <w:rFonts w:hint="eastAsia"/>
        </w:rPr>
        <w:t xml:space="preserve">　次いで「どんなに耐震化しても大地震（または大津波）にあえば被害は避けられないと思う」が35.5％、「耐震診断の費用がかかる」が33.3％となっている。</w:t>
      </w:r>
    </w:p>
    <w:p w:rsidR="00E937BB" w:rsidRDefault="00E937BB" w:rsidP="00E937BB">
      <w:pPr>
        <w:ind w:leftChars="100" w:left="210"/>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〔耐震改修工事を行っていない理由〕</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「費用が高い」が75.0％で１位になっている。</w:t>
      </w:r>
    </w:p>
    <w:p w:rsidR="00E937BB" w:rsidRDefault="00E937BB" w:rsidP="00E937BB">
      <w:pPr>
        <w:ind w:left="420"/>
      </w:pPr>
      <w:r>
        <w:rPr>
          <w:rFonts w:hint="eastAsia"/>
        </w:rPr>
        <w:t xml:space="preserve">　次いで「工事中の生活に支障が出る」が37.5％、「どんなに耐震化しても大地震（または大津波）にあえば被害は避けられないと思う」が29.2％と続いている。</w:t>
      </w:r>
    </w:p>
    <w:p w:rsidR="00E937BB" w:rsidRDefault="00E937BB" w:rsidP="00E937BB">
      <w:pPr>
        <w:ind w:leftChars="100" w:left="210"/>
      </w:pPr>
      <w:r>
        <w:rPr>
          <w:rFonts w:hint="eastAsia"/>
        </w:rPr>
        <w:t xml:space="preserve">　</w:t>
      </w: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〔補助金が出ることを知っているか〕</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「知っている」と「既に利用した（利用中を含む）」を合わせると58.5％が制度を知っている。</w:t>
      </w:r>
    </w:p>
    <w:p w:rsidR="00E937BB" w:rsidRDefault="00E937BB" w:rsidP="00E937BB">
      <w:pPr>
        <w:ind w:left="420"/>
      </w:pPr>
      <w:r w:rsidRPr="00C51E92">
        <w:rPr>
          <w:rFonts w:hint="eastAsia"/>
        </w:rPr>
        <w:t xml:space="preserve">　そのうち「知っている」が54.6％、「既に利用した（利用中を含む）」が3.9％となっている</w:t>
      </w:r>
      <w:r>
        <w:rPr>
          <w:rFonts w:hint="eastAsia"/>
        </w:rPr>
        <w:t>。</w:t>
      </w:r>
    </w:p>
    <w:p w:rsidR="00E937BB" w:rsidRDefault="00E937BB" w:rsidP="00E937BB">
      <w:pPr>
        <w:ind w:leftChars="0" w:left="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〔耐震改修工事における自己負担額について〕</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「10万円まで」が33.3％で１位になっている。</w:t>
      </w:r>
    </w:p>
    <w:p w:rsidR="00E937BB" w:rsidRDefault="00E937BB" w:rsidP="00E937BB">
      <w:pPr>
        <w:ind w:left="420"/>
        <w:rPr>
          <w:rFonts w:ascii="ＭＳ ゴシック" w:eastAsia="ＭＳ ゴシック" w:hAnsi="ＭＳ ゴシック"/>
        </w:rPr>
      </w:pPr>
      <w:r>
        <w:rPr>
          <w:rFonts w:hint="eastAsia"/>
        </w:rPr>
        <w:t xml:space="preserve">　次いで「20万円まで」が21.3％、「40万円まで」が14.2％と続いている。</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〔県が市町村等と協力して特に力を入れるべき施策〕（複数回答）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「耐震診断士の無料派遣」が43.2％で１位になっている。</w:t>
      </w:r>
    </w:p>
    <w:p w:rsidR="00E937BB" w:rsidRDefault="00E937BB" w:rsidP="00E937BB">
      <w:pPr>
        <w:ind w:left="420"/>
      </w:pPr>
      <w:r>
        <w:rPr>
          <w:rFonts w:hint="eastAsia"/>
        </w:rPr>
        <w:t xml:space="preserve">　次いで「耐震設計や耐震改修工事に対する補助金額の引き上げ」が39.7％、「相談窓口の設置など、気軽に相談できる環境の整備」が28.6％と続いている。</w:t>
      </w:r>
    </w:p>
    <w:p w:rsidR="00E937BB" w:rsidRDefault="00E937BB" w:rsidP="00E937BB">
      <w:pPr>
        <w:ind w:leftChars="95" w:left="199"/>
        <w:rPr>
          <w:rFonts w:ascii="ＭＳ ゴシック" w:eastAsia="ＭＳ ゴシック" w:hAnsi="ＭＳ ゴシック"/>
        </w:rPr>
      </w:pPr>
    </w:p>
    <w:p w:rsidR="00E937BB" w:rsidRDefault="00E937BB" w:rsidP="00E937BB">
      <w:pPr>
        <w:pStyle w:val="2"/>
        <w:pBdr>
          <w:top w:val="single" w:sz="4" w:space="1" w:color="auto"/>
          <w:left w:val="single" w:sz="4" w:space="4" w:color="auto"/>
          <w:bottom w:val="single" w:sz="4" w:space="1" w:color="auto"/>
          <w:right w:val="single" w:sz="4" w:space="4" w:color="auto"/>
        </w:pBdr>
        <w:spacing w:beforeLines="0" w:afterLines="0"/>
        <w:ind w:left="210"/>
      </w:pPr>
      <w:r>
        <w:rPr>
          <w:rFonts w:hint="eastAsia"/>
        </w:rPr>
        <w:lastRenderedPageBreak/>
        <w:t>〔３〕在宅医療について</w:t>
      </w: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〔かかりつけ医の有無〕</w:t>
      </w:r>
    </w:p>
    <w:p w:rsidR="00E937BB" w:rsidRPr="008F649F" w:rsidRDefault="00E937BB" w:rsidP="00E937BB">
      <w:pPr>
        <w:ind w:leftChars="0" w:left="0" w:firstLineChars="300" w:firstLine="630"/>
        <w:rPr>
          <w:rFonts w:asciiTheme="minorEastAsia" w:eastAsiaTheme="minorEastAsia" w:hAnsiTheme="minorEastAsia"/>
        </w:rPr>
      </w:pPr>
      <w:r w:rsidRPr="008F649F">
        <w:rPr>
          <w:rFonts w:asciiTheme="minorEastAsia" w:eastAsiaTheme="minorEastAsia" w:hAnsiTheme="minorEastAsia" w:hint="eastAsia"/>
        </w:rPr>
        <w:t>「いない」が59.4％で、「いる」の39.2％を20.2ポイント上回っている。</w:t>
      </w:r>
    </w:p>
    <w:p w:rsidR="00E937BB" w:rsidRDefault="00E937BB" w:rsidP="00E937BB">
      <w:pPr>
        <w:autoSpaceDE w:val="0"/>
        <w:autoSpaceDN w:val="0"/>
        <w:spacing w:line="300" w:lineRule="exact"/>
        <w:ind w:leftChars="0" w:left="0"/>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〔長期の治療が必要になった場合の医療の選択〕</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「病院に入院して診療を受ける」が31.1％で１位になっている。</w:t>
      </w:r>
    </w:p>
    <w:p w:rsidR="00E937BB" w:rsidRDefault="00E937BB" w:rsidP="00E937BB">
      <w:pPr>
        <w:ind w:left="420"/>
        <w:rPr>
          <w:rFonts w:ascii="ＭＳ ゴシック" w:eastAsia="ＭＳ ゴシック" w:hAnsi="ＭＳ ゴシック"/>
        </w:rPr>
      </w:pPr>
      <w:r>
        <w:rPr>
          <w:rFonts w:hint="eastAsia"/>
        </w:rPr>
        <w:t xml:space="preserve">　次いで「自宅で暮らしながら、訪問診療や訪問看護などにより在宅医療を受ける」が27.9％、「わからない」が16.5％と続いている。</w:t>
      </w:r>
    </w:p>
    <w:p w:rsidR="00E937BB" w:rsidRDefault="00E937BB" w:rsidP="00E937BB">
      <w:pPr>
        <w:ind w:leftChars="100" w:left="210"/>
        <w:rPr>
          <w:rFonts w:ascii="ＭＳ ゴシック" w:eastAsia="ＭＳ ゴシック" w:hAnsi="ＭＳ ゴシック"/>
        </w:rPr>
      </w:pPr>
    </w:p>
    <w:p w:rsidR="00E937BB" w:rsidRDefault="00E937BB" w:rsidP="00E937BB">
      <w:pPr>
        <w:ind w:leftChars="0" w:left="0" w:firstLineChars="100" w:firstLine="210"/>
        <w:rPr>
          <w:rFonts w:ascii="ＭＳ ゴシック" w:eastAsia="ＭＳ ゴシック" w:hAnsi="ＭＳ ゴシック"/>
        </w:rPr>
      </w:pPr>
      <w:r>
        <w:rPr>
          <w:rFonts w:ascii="ＭＳ ゴシック" w:eastAsia="ＭＳ ゴシック" w:hAnsi="ＭＳ ゴシック" w:hint="eastAsia"/>
        </w:rPr>
        <w:t>〔在宅医療を選択するための条件や環境〕（複数回答）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「家族の身体的・時間的な負担が大きくならない」が46.5％で１位になっている。</w:t>
      </w:r>
    </w:p>
    <w:p w:rsidR="00E937BB" w:rsidRDefault="00E937BB" w:rsidP="00E937BB">
      <w:pPr>
        <w:ind w:left="420"/>
      </w:pPr>
      <w:r>
        <w:rPr>
          <w:rFonts w:hint="eastAsia"/>
        </w:rPr>
        <w:t xml:space="preserve">　次いで「経済的な負担が少ない」が44.4％、「急に病状が悪化した場合に、すぐに入院できる医療機関がある」が28.9％と続いている。</w:t>
      </w:r>
    </w:p>
    <w:p w:rsidR="00E937BB" w:rsidRDefault="00E937BB" w:rsidP="00E937BB">
      <w:pPr>
        <w:ind w:left="420" w:firstLineChars="100" w:firstLine="210"/>
      </w:pPr>
    </w:p>
    <w:p w:rsidR="00E937BB" w:rsidRDefault="00E937BB" w:rsidP="00E937BB">
      <w:pPr>
        <w:pStyle w:val="Default"/>
        <w:tabs>
          <w:tab w:val="left" w:leader="middleDot" w:pos="7938"/>
          <w:tab w:val="left" w:leader="middleDot" w:pos="7980"/>
          <w:tab w:val="right" w:pos="8400"/>
          <w:tab w:val="left" w:leader="middleDot" w:pos="8925"/>
          <w:tab w:val="left" w:leader="middleDot" w:pos="9030"/>
          <w:tab w:val="right" w:pos="9450"/>
        </w:tabs>
        <w:autoSpaceDE/>
        <w:autoSpaceDN/>
        <w:adjustRightInd/>
        <w:ind w:leftChars="100" w:left="210"/>
        <w:rPr>
          <w:rFonts w:ascii="ＭＳ ゴシック" w:eastAsia="ＭＳ ゴシック" w:hAnsi="ＭＳ ゴシック"/>
          <w:color w:val="auto"/>
          <w:sz w:val="21"/>
        </w:rPr>
      </w:pPr>
      <w:r>
        <w:rPr>
          <w:rFonts w:ascii="ＭＳ ゴシック" w:eastAsia="ＭＳ ゴシック" w:hAnsi="ＭＳ ゴシック" w:hint="eastAsia"/>
          <w:color w:val="auto"/>
          <w:sz w:val="21"/>
        </w:rPr>
        <w:t>〔在宅医療を選択する場合の相談先〕（複数回答）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「かかりつけ医、入院している病院の医療ソーシャルワーカーや主治医」が57.3％で１位になっ</w:t>
      </w:r>
    </w:p>
    <w:p w:rsidR="00E937BB" w:rsidRPr="008F649F" w:rsidRDefault="00E937BB" w:rsidP="00E937BB">
      <w:pPr>
        <w:ind w:left="1128" w:hangingChars="337" w:hanging="708"/>
        <w:rPr>
          <w:rFonts w:asciiTheme="minorEastAsia" w:eastAsiaTheme="minorEastAsia" w:hAnsiTheme="minorEastAsia"/>
          <w:b/>
          <w:u w:val="single"/>
        </w:rPr>
      </w:pPr>
      <w:r w:rsidRPr="008F649F">
        <w:rPr>
          <w:rFonts w:asciiTheme="minorEastAsia" w:eastAsiaTheme="minorEastAsia" w:hAnsiTheme="minorEastAsia" w:hint="eastAsia"/>
        </w:rPr>
        <w:t>ている。</w:t>
      </w:r>
    </w:p>
    <w:p w:rsidR="00E937BB" w:rsidRDefault="00E937BB" w:rsidP="00E937BB">
      <w:pPr>
        <w:ind w:left="420"/>
      </w:pPr>
      <w:r>
        <w:rPr>
          <w:rFonts w:hint="eastAsia"/>
        </w:rPr>
        <w:t xml:space="preserve">　次いで「市町村（地域包括支援センター）、福祉事務所、保健所、あったかふれあいセンターなどの公共窓口」が52.5％、「居宅介護支援事業所（ケアマネジャー）」が22.1％と続いている。</w:t>
      </w:r>
    </w:p>
    <w:p w:rsidR="00E937BB" w:rsidRDefault="00E937BB" w:rsidP="00E937BB">
      <w:pPr>
        <w:ind w:left="420"/>
      </w:pPr>
    </w:p>
    <w:p w:rsidR="00E937BB" w:rsidRDefault="00E937BB" w:rsidP="00E937BB">
      <w:pPr>
        <w:ind w:left="420"/>
      </w:pPr>
    </w:p>
    <w:p w:rsidR="00E937BB" w:rsidRDefault="00E937BB" w:rsidP="00E937BB">
      <w:pPr>
        <w:pStyle w:val="2"/>
        <w:pBdr>
          <w:top w:val="single" w:sz="4" w:space="1" w:color="auto"/>
          <w:left w:val="single" w:sz="4" w:space="4" w:color="auto"/>
          <w:bottom w:val="single" w:sz="4" w:space="1" w:color="auto"/>
          <w:right w:val="single" w:sz="4" w:space="4" w:color="auto"/>
        </w:pBdr>
        <w:spacing w:beforeLines="0" w:afterLines="0"/>
        <w:ind w:left="210"/>
      </w:pPr>
      <w:r>
        <w:rPr>
          <w:rFonts w:hint="eastAsia"/>
        </w:rPr>
        <w:t>〔４〕飲酒と健康について</w:t>
      </w:r>
    </w:p>
    <w:p w:rsidR="00E937BB" w:rsidRDefault="00E937BB" w:rsidP="00E937BB">
      <w:pPr>
        <w:pStyle w:val="Default"/>
        <w:tabs>
          <w:tab w:val="left" w:leader="middleDot" w:pos="7938"/>
          <w:tab w:val="left" w:leader="middleDot" w:pos="7980"/>
          <w:tab w:val="right" w:pos="8400"/>
          <w:tab w:val="left" w:leader="middleDot" w:pos="8925"/>
          <w:tab w:val="left" w:leader="middleDot" w:pos="9030"/>
          <w:tab w:val="right" w:pos="9450"/>
        </w:tabs>
        <w:autoSpaceDE/>
        <w:autoSpaceDN/>
        <w:adjustRightInd/>
        <w:ind w:leftChars="100" w:left="210"/>
        <w:rPr>
          <w:rFonts w:ascii="ＭＳ ゴシック" w:eastAsia="ＭＳ ゴシック" w:hAnsi="ＭＳ ゴシック"/>
          <w:color w:val="auto"/>
          <w:sz w:val="21"/>
        </w:rPr>
      </w:pPr>
      <w:r>
        <w:rPr>
          <w:rFonts w:ascii="ＭＳ ゴシック" w:eastAsia="ＭＳ ゴシック" w:hAnsi="ＭＳ ゴシック" w:hint="eastAsia"/>
          <w:color w:val="auto"/>
          <w:sz w:val="21"/>
        </w:rPr>
        <w:t>〔飲酒の頻度〕</w:t>
      </w:r>
    </w:p>
    <w:p w:rsidR="00E937BB" w:rsidRPr="008F649F" w:rsidRDefault="00E937BB" w:rsidP="00E937BB">
      <w:pPr>
        <w:ind w:left="1128" w:hangingChars="337" w:hanging="708"/>
        <w:rPr>
          <w:rFonts w:asciiTheme="minorEastAsia" w:eastAsiaTheme="minorEastAsia" w:hAnsiTheme="minorEastAsia"/>
        </w:rPr>
      </w:pPr>
      <w:r>
        <w:rPr>
          <w:rFonts w:ascii="ＭＳ ゴシック" w:eastAsia="ＭＳ ゴシック" w:hAnsi="ＭＳ ゴシック" w:hint="eastAsia"/>
        </w:rPr>
        <w:t xml:space="preserve">　</w:t>
      </w:r>
      <w:r w:rsidRPr="008F649F">
        <w:rPr>
          <w:rFonts w:asciiTheme="minorEastAsia" w:eastAsiaTheme="minorEastAsia" w:hAnsiTheme="minorEastAsia" w:hint="eastAsia"/>
        </w:rPr>
        <w:t>週に１回以上飲む人の割合が42.5％となっている。</w:t>
      </w:r>
    </w:p>
    <w:p w:rsidR="00E937BB" w:rsidRDefault="00E937BB" w:rsidP="00E937BB">
      <w:pPr>
        <w:ind w:left="1128" w:hangingChars="337" w:hanging="708"/>
      </w:pPr>
      <w:r w:rsidRPr="00C51E92">
        <w:rPr>
          <w:rFonts w:hint="eastAsia"/>
        </w:rPr>
        <w:t xml:space="preserve">　そのうち「毎日飲む」が20.0％、「週に４～５回」が8.3％、「週に２～３回」が7.5％、「週</w:t>
      </w:r>
    </w:p>
    <w:p w:rsidR="00E937BB" w:rsidRPr="00C51E92" w:rsidRDefault="00E937BB" w:rsidP="00E937BB">
      <w:pPr>
        <w:ind w:left="1128" w:hangingChars="337" w:hanging="708"/>
      </w:pPr>
      <w:r w:rsidRPr="00C51E92">
        <w:rPr>
          <w:rFonts w:hint="eastAsia"/>
        </w:rPr>
        <w:t>に１回程度」が6.7％となっている。</w:t>
      </w:r>
    </w:p>
    <w:p w:rsidR="00E937BB" w:rsidRPr="00C51E92" w:rsidRDefault="00E937BB" w:rsidP="00E937BB">
      <w:pPr>
        <w:ind w:left="1128" w:hangingChars="337" w:hanging="708"/>
      </w:pPr>
    </w:p>
    <w:p w:rsidR="00E937BB" w:rsidRDefault="00E937BB" w:rsidP="00E937BB">
      <w:pPr>
        <w:tabs>
          <w:tab w:val="left" w:leader="middleDot" w:pos="7938"/>
          <w:tab w:val="left" w:leader="middleDot" w:pos="7980"/>
          <w:tab w:val="right" w:pos="8400"/>
          <w:tab w:val="left" w:leader="middleDot" w:pos="8925"/>
          <w:tab w:val="left" w:leader="middleDot" w:pos="9030"/>
          <w:tab w:val="right" w:pos="9450"/>
        </w:tabs>
        <w:ind w:leftChars="100" w:left="210"/>
        <w:rPr>
          <w:rFonts w:ascii="ＭＳ ゴシック" w:eastAsia="ＭＳ ゴシック" w:hAnsi="ＭＳ ゴシック"/>
        </w:rPr>
      </w:pPr>
      <w:r>
        <w:rPr>
          <w:rFonts w:ascii="ＭＳ ゴシック" w:eastAsia="ＭＳ ゴシック" w:hAnsi="ＭＳ ゴシック" w:hint="eastAsia"/>
        </w:rPr>
        <w:t>〔飲酒の理由〕（複数回答）</w:t>
      </w:r>
    </w:p>
    <w:p w:rsidR="00E937BB" w:rsidRPr="00C51E92" w:rsidRDefault="00E937BB" w:rsidP="00E937BB">
      <w:pPr>
        <w:ind w:left="1128" w:hangingChars="337" w:hanging="708"/>
        <w:rPr>
          <w:rFonts w:ascii="ＭＳ ゴシック" w:eastAsia="ＭＳ ゴシック" w:hAnsi="ＭＳ ゴシック"/>
        </w:rPr>
      </w:pPr>
      <w:r w:rsidRPr="00C51E92">
        <w:rPr>
          <w:rFonts w:ascii="ＭＳ ゴシック" w:eastAsia="ＭＳ ゴシック" w:hAnsi="ＭＳ ゴシック" w:hint="eastAsia"/>
        </w:rPr>
        <w:t>「</w:t>
      </w:r>
      <w:r w:rsidRPr="008F649F">
        <w:rPr>
          <w:rFonts w:asciiTheme="minorEastAsia" w:eastAsiaTheme="minorEastAsia" w:hAnsiTheme="minorEastAsia" w:hint="eastAsia"/>
        </w:rPr>
        <w:t>飲み会や宴会のため」が42.0％で１位になっている。</w:t>
      </w:r>
    </w:p>
    <w:p w:rsidR="00E937BB" w:rsidRDefault="00E937BB" w:rsidP="00E937BB">
      <w:pPr>
        <w:ind w:left="420"/>
      </w:pPr>
      <w:r>
        <w:rPr>
          <w:rFonts w:hint="eastAsia"/>
        </w:rPr>
        <w:t xml:space="preserve">　次いで「友人、仲間との関係を深めるため」が37.8％、「酒が好きだから」が37.4％と続いている。</w:t>
      </w:r>
    </w:p>
    <w:p w:rsidR="00E937BB" w:rsidRDefault="00E937BB" w:rsidP="00E937BB">
      <w:pPr>
        <w:tabs>
          <w:tab w:val="left" w:leader="middleDot" w:pos="7938"/>
          <w:tab w:val="left" w:leader="middleDot" w:pos="7980"/>
          <w:tab w:val="right" w:pos="8400"/>
          <w:tab w:val="left" w:leader="middleDot" w:pos="8925"/>
          <w:tab w:val="left" w:leader="middleDot" w:pos="9030"/>
          <w:tab w:val="right" w:pos="9450"/>
        </w:tabs>
        <w:ind w:leftChars="100" w:left="210"/>
      </w:pPr>
    </w:p>
    <w:p w:rsidR="00E937BB" w:rsidRDefault="00E937BB" w:rsidP="00E937BB">
      <w:pPr>
        <w:tabs>
          <w:tab w:val="left" w:leader="middleDot" w:pos="7938"/>
          <w:tab w:val="left" w:leader="middleDot" w:pos="7980"/>
          <w:tab w:val="right" w:pos="8400"/>
          <w:tab w:val="left" w:leader="middleDot" w:pos="8925"/>
          <w:tab w:val="left" w:leader="middleDot" w:pos="9030"/>
          <w:tab w:val="right" w:pos="9450"/>
        </w:tabs>
        <w:ind w:leftChars="100" w:left="210"/>
        <w:rPr>
          <w:rFonts w:ascii="ＭＳ ゴシック" w:eastAsia="ＭＳ ゴシック" w:hAnsi="ＭＳ ゴシック"/>
        </w:rPr>
      </w:pPr>
      <w:r>
        <w:rPr>
          <w:rFonts w:ascii="ＭＳ ゴシック" w:eastAsia="ＭＳ ゴシック" w:hAnsi="ＭＳ ゴシック" w:hint="eastAsia"/>
        </w:rPr>
        <w:t>〔飲酒時の心がけについて〕（複数回答）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「飲酒運転をしない、させない」が60.5％で１位になっている。</w:t>
      </w:r>
    </w:p>
    <w:p w:rsidR="00E937BB" w:rsidRDefault="00E937BB" w:rsidP="00E937BB">
      <w:pPr>
        <w:ind w:left="420"/>
      </w:pPr>
      <w:r>
        <w:rPr>
          <w:rFonts w:hint="eastAsia"/>
        </w:rPr>
        <w:t xml:space="preserve">　次いで「食べ物も一緒に摂取している」が53.6％、「他人に飲酒を強要しない」が39.3％と続いている。</w:t>
      </w:r>
    </w:p>
    <w:p w:rsidR="00E937BB" w:rsidRDefault="00E937BB" w:rsidP="00E937BB">
      <w:pPr>
        <w:tabs>
          <w:tab w:val="left" w:leader="middleDot" w:pos="7938"/>
          <w:tab w:val="left" w:leader="middleDot" w:pos="7980"/>
          <w:tab w:val="right" w:pos="8400"/>
          <w:tab w:val="left" w:leader="middleDot" w:pos="8925"/>
          <w:tab w:val="left" w:leader="middleDot" w:pos="9030"/>
          <w:tab w:val="right" w:pos="9450"/>
        </w:tabs>
        <w:ind w:leftChars="100" w:left="210"/>
        <w:rPr>
          <w:rFonts w:ascii="ＭＳ ゴシック" w:eastAsia="ＭＳ ゴシック" w:hAnsi="ＭＳ ゴシック"/>
        </w:rPr>
      </w:pPr>
    </w:p>
    <w:p w:rsidR="00E937BB" w:rsidRDefault="00E937BB" w:rsidP="00E937BB">
      <w:pPr>
        <w:tabs>
          <w:tab w:val="left" w:leader="middleDot" w:pos="7938"/>
          <w:tab w:val="left" w:leader="middleDot" w:pos="7980"/>
          <w:tab w:val="right" w:pos="8400"/>
          <w:tab w:val="left" w:leader="middleDot" w:pos="8925"/>
          <w:tab w:val="left" w:leader="middleDot" w:pos="9030"/>
          <w:tab w:val="right" w:pos="9450"/>
        </w:tabs>
        <w:ind w:leftChars="100" w:left="210"/>
        <w:rPr>
          <w:rFonts w:ascii="ＭＳ ゴシック" w:eastAsia="ＭＳ ゴシック" w:hAnsi="ＭＳ ゴシック"/>
        </w:rPr>
      </w:pPr>
      <w:r>
        <w:rPr>
          <w:rFonts w:ascii="ＭＳ ゴシック" w:eastAsia="ＭＳ ゴシック" w:hAnsi="ＭＳ ゴシック" w:hint="eastAsia"/>
        </w:rPr>
        <w:t>〔アルコールが体に及ぼす影響についての知識の有無〕（複数回答）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「アルコールが原因で不眠症やうつ病、認知症になることがある」が30.3％で認知度が最も低く</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なっている。</w:t>
      </w:r>
    </w:p>
    <w:p w:rsidR="00E937BB" w:rsidRPr="00C51E92" w:rsidRDefault="00E937BB" w:rsidP="00E937BB">
      <w:pPr>
        <w:ind w:left="420"/>
      </w:pPr>
      <w:r w:rsidRPr="00C51E92">
        <w:rPr>
          <w:rFonts w:hint="eastAsia"/>
        </w:rPr>
        <w:t xml:space="preserve">　次いで「未成年の飲酒は性ホルモンの成長に悪影響がある」が34.0％、「アルコールの飲み過ぎは脳に影響を及ぼす」が49.6％と認知度が低くなっている。</w:t>
      </w:r>
    </w:p>
    <w:p w:rsidR="00E937BB" w:rsidRDefault="00E937BB" w:rsidP="00E937BB">
      <w:pPr>
        <w:tabs>
          <w:tab w:val="left" w:leader="middleDot" w:pos="7938"/>
          <w:tab w:val="left" w:leader="middleDot" w:pos="7980"/>
          <w:tab w:val="right" w:pos="8400"/>
          <w:tab w:val="left" w:leader="middleDot" w:pos="8925"/>
          <w:tab w:val="left" w:leader="middleDot" w:pos="9030"/>
          <w:tab w:val="right" w:pos="9450"/>
        </w:tabs>
        <w:ind w:leftChars="100" w:left="210"/>
        <w:rPr>
          <w:rFonts w:ascii="ＭＳ ゴシック" w:eastAsia="ＭＳ ゴシック" w:hAnsi="ＭＳ ゴシック"/>
        </w:rPr>
      </w:pPr>
    </w:p>
    <w:p w:rsidR="00E937BB" w:rsidRDefault="00E937BB" w:rsidP="00E937BB">
      <w:pPr>
        <w:tabs>
          <w:tab w:val="left" w:leader="middleDot" w:pos="7938"/>
          <w:tab w:val="left" w:leader="middleDot" w:pos="7980"/>
          <w:tab w:val="right" w:pos="8400"/>
          <w:tab w:val="left" w:leader="middleDot" w:pos="8925"/>
          <w:tab w:val="left" w:leader="middleDot" w:pos="9030"/>
          <w:tab w:val="right" w:pos="9450"/>
        </w:tabs>
        <w:ind w:leftChars="100" w:left="210"/>
        <w:rPr>
          <w:rFonts w:ascii="ＭＳ ゴシック" w:eastAsia="ＭＳ ゴシック" w:hAnsi="ＭＳ ゴシック"/>
        </w:rPr>
      </w:pPr>
      <w:r>
        <w:rPr>
          <w:rFonts w:ascii="ＭＳ ゴシック" w:eastAsia="ＭＳ ゴシック" w:hAnsi="ＭＳ ゴシック" w:hint="eastAsia"/>
        </w:rPr>
        <w:t>〔不適切な飲酒により経験した事象〕（複数回答）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「特になし」が52.1％で１位になっている。</w:t>
      </w:r>
    </w:p>
    <w:p w:rsidR="00E937BB" w:rsidRDefault="00E937BB" w:rsidP="00E937BB">
      <w:pPr>
        <w:ind w:left="420"/>
      </w:pPr>
      <w:r w:rsidRPr="00C51E92">
        <w:rPr>
          <w:rFonts w:hint="eastAsia"/>
        </w:rPr>
        <w:t xml:space="preserve">　次いで「家族関係の悪化」が21.6％、「</w:t>
      </w:r>
      <w:r>
        <w:rPr>
          <w:rFonts w:hint="eastAsia"/>
        </w:rPr>
        <w:t>飲酒運転や飲酒による交通事故」が21.5％と続いている。</w:t>
      </w:r>
    </w:p>
    <w:p w:rsidR="00E937BB" w:rsidRDefault="00E937BB" w:rsidP="00E937BB">
      <w:pPr>
        <w:tabs>
          <w:tab w:val="left" w:leader="middleDot" w:pos="7938"/>
          <w:tab w:val="left" w:leader="middleDot" w:pos="7980"/>
          <w:tab w:val="right" w:pos="8400"/>
          <w:tab w:val="left" w:leader="middleDot" w:pos="8925"/>
          <w:tab w:val="left" w:leader="middleDot" w:pos="9030"/>
          <w:tab w:val="right" w:pos="9450"/>
        </w:tabs>
        <w:ind w:leftChars="100" w:left="210"/>
        <w:rPr>
          <w:rFonts w:ascii="ＭＳ ゴシック" w:eastAsia="ＭＳ ゴシック" w:hAnsi="ＭＳ ゴシック"/>
        </w:rPr>
      </w:pPr>
      <w:r>
        <w:rPr>
          <w:rFonts w:ascii="ＭＳ ゴシック" w:eastAsia="ＭＳ ゴシック" w:hAnsi="ＭＳ ゴシック" w:hint="eastAsia"/>
        </w:rPr>
        <w:lastRenderedPageBreak/>
        <w:t>〔アルコール依存症についての知識の有無〕（複数回答）</w:t>
      </w:r>
    </w:p>
    <w:p w:rsidR="00E937BB" w:rsidRPr="00C51E92" w:rsidRDefault="00E937BB" w:rsidP="00E937BB">
      <w:pPr>
        <w:ind w:left="1128" w:hangingChars="337" w:hanging="708"/>
        <w:rPr>
          <w:rFonts w:ascii="ＭＳ ゴシック" w:eastAsia="ＭＳ ゴシック" w:hAnsi="ＭＳ ゴシック"/>
        </w:rPr>
      </w:pPr>
      <w:r w:rsidRPr="00C51E92">
        <w:rPr>
          <w:rFonts w:ascii="ＭＳ ゴシック" w:eastAsia="ＭＳ ゴシック" w:hAnsi="ＭＳ ゴシック" w:hint="eastAsia"/>
        </w:rPr>
        <w:t>「お酒に強い人ほどなりやすい」が13.4％で認知度が最も低くなっている。</w:t>
      </w:r>
    </w:p>
    <w:p w:rsidR="00E937BB" w:rsidRDefault="00E937BB" w:rsidP="00E937BB">
      <w:pPr>
        <w:ind w:left="420"/>
      </w:pPr>
      <w:r w:rsidRPr="00C51E92">
        <w:rPr>
          <w:rFonts w:hint="eastAsia"/>
        </w:rPr>
        <w:t xml:space="preserve">　次いで「一度依存症になると治らない」が16.5％</w:t>
      </w:r>
      <w:r>
        <w:rPr>
          <w:rFonts w:hint="eastAsia"/>
        </w:rPr>
        <w:t>、「女性の方が短期間で発症する傾向がある」が20.3％と認知度が低くなっている。</w:t>
      </w:r>
    </w:p>
    <w:p w:rsidR="00E937BB" w:rsidRDefault="00E937BB" w:rsidP="00E937BB">
      <w:pPr>
        <w:tabs>
          <w:tab w:val="left" w:leader="middleDot" w:pos="7938"/>
          <w:tab w:val="left" w:leader="middleDot" w:pos="7980"/>
          <w:tab w:val="right" w:pos="8400"/>
          <w:tab w:val="left" w:leader="middleDot" w:pos="8925"/>
          <w:tab w:val="left" w:leader="middleDot" w:pos="9030"/>
          <w:tab w:val="right" w:pos="9450"/>
        </w:tabs>
        <w:ind w:leftChars="100" w:left="210"/>
      </w:pPr>
    </w:p>
    <w:p w:rsidR="00E937BB" w:rsidRDefault="00E937BB" w:rsidP="00E937BB">
      <w:pPr>
        <w:tabs>
          <w:tab w:val="left" w:leader="middleDot" w:pos="7938"/>
          <w:tab w:val="left" w:leader="middleDot" w:pos="7980"/>
          <w:tab w:val="right" w:pos="8400"/>
          <w:tab w:val="left" w:leader="middleDot" w:pos="8925"/>
          <w:tab w:val="left" w:leader="middleDot" w:pos="9030"/>
          <w:tab w:val="right" w:pos="9450"/>
        </w:tabs>
        <w:ind w:leftChars="100" w:left="210"/>
        <w:rPr>
          <w:rFonts w:ascii="ＭＳ ゴシック" w:eastAsia="ＭＳ ゴシック" w:hAnsi="ＭＳ ゴシック"/>
        </w:rPr>
      </w:pPr>
      <w:r>
        <w:rPr>
          <w:rFonts w:ascii="ＭＳ ゴシック" w:eastAsia="ＭＳ ゴシック" w:hAnsi="ＭＳ ゴシック" w:hint="eastAsia"/>
        </w:rPr>
        <w:t>〔相談窓口を知っていれば相談するか〕</w:t>
      </w:r>
    </w:p>
    <w:p w:rsidR="00E937BB" w:rsidRPr="008F649F" w:rsidRDefault="00E937BB" w:rsidP="00E937BB">
      <w:pPr>
        <w:tabs>
          <w:tab w:val="left" w:leader="middleDot" w:pos="7938"/>
          <w:tab w:val="left" w:leader="middleDot" w:pos="7980"/>
          <w:tab w:val="right" w:pos="8400"/>
          <w:tab w:val="left" w:leader="middleDot" w:pos="8925"/>
          <w:tab w:val="left" w:leader="middleDot" w:pos="9030"/>
          <w:tab w:val="right" w:pos="9450"/>
        </w:tabs>
        <w:ind w:leftChars="100" w:left="210"/>
        <w:rPr>
          <w:rFonts w:asciiTheme="minorEastAsia" w:eastAsiaTheme="minorEastAsia" w:hAnsiTheme="minorEastAsia"/>
        </w:rPr>
      </w:pPr>
      <w:r w:rsidRPr="008F649F">
        <w:rPr>
          <w:rFonts w:asciiTheme="minorEastAsia" w:eastAsiaTheme="minorEastAsia" w:hAnsiTheme="minorEastAsia" w:hint="eastAsia"/>
        </w:rPr>
        <w:t>「する」が84.6％、「しない」の13.6％を71.0ポイント上回っている。</w:t>
      </w:r>
    </w:p>
    <w:p w:rsidR="00E937BB" w:rsidRPr="00C51E92" w:rsidRDefault="00E937BB" w:rsidP="00E937BB">
      <w:pPr>
        <w:tabs>
          <w:tab w:val="left" w:pos="3885"/>
        </w:tabs>
        <w:ind w:leftChars="100" w:left="210"/>
      </w:pPr>
      <w:r w:rsidRPr="00C51E92">
        <w:tab/>
      </w:r>
    </w:p>
    <w:p w:rsidR="00E937BB" w:rsidRDefault="00E937BB" w:rsidP="00E937BB">
      <w:pPr>
        <w:tabs>
          <w:tab w:val="left" w:leader="middleDot" w:pos="7938"/>
          <w:tab w:val="left" w:leader="middleDot" w:pos="7980"/>
          <w:tab w:val="right" w:pos="8400"/>
          <w:tab w:val="left" w:leader="middleDot" w:pos="8925"/>
          <w:tab w:val="left" w:leader="middleDot" w:pos="9030"/>
          <w:tab w:val="right" w:pos="9450"/>
        </w:tabs>
        <w:ind w:leftChars="100" w:left="210"/>
        <w:rPr>
          <w:rFonts w:ascii="ＭＳ ゴシック" w:eastAsia="ＭＳ ゴシック" w:hAnsi="ＭＳ ゴシック"/>
        </w:rPr>
      </w:pPr>
      <w:r>
        <w:rPr>
          <w:rFonts w:ascii="ＭＳ ゴシック" w:eastAsia="ＭＳ ゴシック" w:hAnsi="ＭＳ ゴシック" w:hint="eastAsia"/>
        </w:rPr>
        <w:t>〔相談しない理由〕（複数回答）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「相談しても解決すると思えないから」が44.0％で１位になっている。</w:t>
      </w:r>
    </w:p>
    <w:p w:rsidR="00E937BB" w:rsidRDefault="00E937BB" w:rsidP="00E937BB">
      <w:pPr>
        <w:ind w:left="420"/>
      </w:pPr>
      <w:r>
        <w:rPr>
          <w:rFonts w:hint="eastAsia"/>
        </w:rPr>
        <w:t xml:space="preserve">　次いで「どのような対応をしてもらえるか不安だから」、「相談する必要を感じないから」が同率で19.7％と続いている。</w:t>
      </w:r>
    </w:p>
    <w:p w:rsidR="00E937BB" w:rsidRDefault="00E937BB" w:rsidP="00E937BB">
      <w:pPr>
        <w:tabs>
          <w:tab w:val="left" w:leader="middleDot" w:pos="7938"/>
          <w:tab w:val="left" w:leader="middleDot" w:pos="7980"/>
          <w:tab w:val="right" w:pos="8400"/>
          <w:tab w:val="left" w:leader="middleDot" w:pos="8925"/>
          <w:tab w:val="left" w:leader="middleDot" w:pos="9030"/>
          <w:tab w:val="right" w:pos="9450"/>
        </w:tabs>
        <w:ind w:leftChars="100" w:left="210"/>
      </w:pPr>
    </w:p>
    <w:p w:rsidR="00E937BB" w:rsidRDefault="00E937BB" w:rsidP="00E937BB">
      <w:pPr>
        <w:tabs>
          <w:tab w:val="left" w:leader="middleDot" w:pos="7938"/>
          <w:tab w:val="left" w:leader="middleDot" w:pos="7980"/>
          <w:tab w:val="right" w:pos="8400"/>
          <w:tab w:val="left" w:leader="middleDot" w:pos="8925"/>
          <w:tab w:val="left" w:leader="middleDot" w:pos="9030"/>
          <w:tab w:val="right" w:pos="9450"/>
        </w:tabs>
        <w:ind w:leftChars="100" w:left="210"/>
        <w:rPr>
          <w:rFonts w:ascii="ＭＳ ゴシック" w:eastAsia="ＭＳ ゴシック" w:hAnsi="ＭＳ ゴシック"/>
        </w:rPr>
      </w:pPr>
    </w:p>
    <w:p w:rsidR="00E937BB" w:rsidRDefault="00E937BB" w:rsidP="00E937BB">
      <w:pPr>
        <w:pStyle w:val="2"/>
        <w:pBdr>
          <w:top w:val="single" w:sz="4" w:space="1" w:color="auto"/>
          <w:left w:val="single" w:sz="4" w:space="4" w:color="auto"/>
          <w:bottom w:val="single" w:sz="4" w:space="1" w:color="auto"/>
          <w:right w:val="single" w:sz="4" w:space="4" w:color="auto"/>
        </w:pBdr>
        <w:spacing w:beforeLines="0" w:afterLines="0"/>
        <w:ind w:left="210"/>
      </w:pPr>
      <w:r>
        <w:rPr>
          <w:rFonts w:hint="eastAsia"/>
        </w:rPr>
        <w:t>〔５〕子どものスポーツ振興施策について</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〔スポーツに取り組むきっかけ〕</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「スポーツはやっていない」が57.1％で１位になっている。</w:t>
      </w:r>
    </w:p>
    <w:p w:rsidR="00E937BB" w:rsidRDefault="00E937BB" w:rsidP="00E937BB">
      <w:pPr>
        <w:ind w:left="420"/>
        <w:rPr>
          <w:rFonts w:ascii="ＭＳ ゴシック" w:eastAsia="ＭＳ ゴシック" w:hAnsi="ＭＳ ゴシック"/>
        </w:rPr>
      </w:pPr>
      <w:r>
        <w:rPr>
          <w:rFonts w:hint="eastAsia"/>
        </w:rPr>
        <w:t xml:space="preserve">　次いで「家族や友達など周りの人が取り組んでいるのを見て」が14.4％、「美容や健康増進のため」が11.4％と続いている。</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z w:val="22"/>
        </w:rPr>
        <w:t>スポーツに親しむための有効な取組</w:t>
      </w:r>
      <w:r>
        <w:rPr>
          <w:rFonts w:ascii="ＭＳ ゴシック" w:eastAsia="ＭＳ ゴシック" w:hAnsi="ＭＳ ゴシック" w:hint="eastAsia"/>
        </w:rPr>
        <w:t>〕</w:t>
      </w:r>
    </w:p>
    <w:p w:rsidR="00E937BB" w:rsidRPr="008F649F" w:rsidRDefault="00E937BB" w:rsidP="00E937BB">
      <w:pPr>
        <w:ind w:left="1128" w:hangingChars="337" w:hanging="708"/>
        <w:rPr>
          <w:rFonts w:asciiTheme="minorEastAsia" w:eastAsiaTheme="minorEastAsia" w:hAnsiTheme="minorEastAsia"/>
        </w:rPr>
      </w:pPr>
      <w:r>
        <w:rPr>
          <w:rFonts w:ascii="ＭＳ ゴシック" w:eastAsia="ＭＳ ゴシック" w:hAnsi="ＭＳ ゴシック" w:hint="eastAsia"/>
        </w:rPr>
        <w:t xml:space="preserve">　</w:t>
      </w:r>
      <w:r w:rsidRPr="008F649F">
        <w:rPr>
          <w:rFonts w:asciiTheme="minorEastAsia" w:eastAsiaTheme="minorEastAsia" w:hAnsiTheme="minorEastAsia" w:hint="eastAsia"/>
        </w:rPr>
        <w:t>「学校の体育施設や運動公園など子どもが自由に利用できる場の提供」が30.0％で１位になっ</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ている。</w:t>
      </w:r>
    </w:p>
    <w:p w:rsidR="00E937BB" w:rsidRDefault="00E937BB" w:rsidP="00E937BB">
      <w:pPr>
        <w:ind w:left="420"/>
        <w:rPr>
          <w:rFonts w:ascii="ＭＳ ゴシック" w:eastAsia="ＭＳ ゴシック" w:hAnsi="ＭＳ ゴシック"/>
        </w:rPr>
      </w:pPr>
      <w:r>
        <w:rPr>
          <w:rFonts w:hint="eastAsia"/>
        </w:rPr>
        <w:t xml:space="preserve">　次いで「スポーツクラブやスポーツイベントなど日常的にスポーツができる機会の充実」が24.6％、「スポーツに興味・関心を抱かせる体育の授業や幼児教育の充実」が21.4％と続いている。</w:t>
      </w:r>
    </w:p>
    <w:p w:rsidR="00E937BB" w:rsidRDefault="00E937BB" w:rsidP="00E937BB">
      <w:pPr>
        <w:ind w:leftChars="100" w:left="210"/>
      </w:pPr>
    </w:p>
    <w:p w:rsidR="00E937BB" w:rsidRDefault="00E937BB" w:rsidP="00E937BB">
      <w:pPr>
        <w:ind w:leftChars="100" w:left="210"/>
        <w:rPr>
          <w:rFonts w:ascii="ＭＳ ゴシック" w:eastAsia="ＭＳ ゴシック" w:hAnsi="ＭＳ ゴシック"/>
        </w:rPr>
      </w:pPr>
    </w:p>
    <w:p w:rsidR="00E937BB" w:rsidRDefault="00E937BB" w:rsidP="00E937BB">
      <w:pPr>
        <w:pStyle w:val="2"/>
        <w:pBdr>
          <w:top w:val="single" w:sz="4" w:space="2" w:color="auto"/>
          <w:left w:val="single" w:sz="4" w:space="4" w:color="auto"/>
          <w:bottom w:val="single" w:sz="4" w:space="1" w:color="auto"/>
          <w:right w:val="single" w:sz="4" w:space="4" w:color="auto"/>
        </w:pBdr>
        <w:spacing w:beforeLines="0" w:afterLines="0"/>
        <w:ind w:left="210"/>
      </w:pPr>
      <w:r>
        <w:rPr>
          <w:rFonts w:hint="eastAsia"/>
        </w:rPr>
        <w:t>〔６〕第３期産業振興計画</w:t>
      </w:r>
      <w:r>
        <w:rPr>
          <w:rFonts w:hint="eastAsia"/>
        </w:rPr>
        <w:t>ver.</w:t>
      </w:r>
      <w:r>
        <w:rPr>
          <w:rFonts w:hint="eastAsia"/>
        </w:rPr>
        <w:t>２について</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〔高知県内での若者の就職数を増やすために力を入れるべきこと〕（複数回答）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「企業に給料、福利厚生等を改善するよう働きかける」が51.2％で１位になっている。</w:t>
      </w:r>
    </w:p>
    <w:p w:rsidR="00E937BB" w:rsidRDefault="00E937BB" w:rsidP="00E937BB">
      <w:pPr>
        <w:ind w:left="420"/>
      </w:pPr>
      <w:r>
        <w:rPr>
          <w:rFonts w:hint="eastAsia"/>
        </w:rPr>
        <w:t xml:space="preserve">　次いで「多種多様な職場を数多くつくる」が37.3％、「小さい頃から県内企業の職場体験や企業訪問などを通して、仕事への理解を深める取り組みを行う」が29.9％と続いている。</w:t>
      </w:r>
    </w:p>
    <w:p w:rsidR="00E937BB" w:rsidRDefault="00E937BB" w:rsidP="00E937BB">
      <w:pPr>
        <w:ind w:leftChars="100" w:left="210"/>
      </w:pPr>
    </w:p>
    <w:p w:rsidR="00E937BB" w:rsidRDefault="00E937BB" w:rsidP="00E937BB">
      <w:pPr>
        <w:ind w:leftChars="95" w:left="199"/>
        <w:rPr>
          <w:rFonts w:ascii="ＭＳ ゴシック" w:eastAsia="ＭＳ ゴシック" w:hAnsi="ＭＳ ゴシック"/>
        </w:rPr>
      </w:pPr>
      <w:r>
        <w:rPr>
          <w:rFonts w:ascii="ＭＳ ゴシック" w:eastAsia="ＭＳ ゴシック" w:hAnsi="ＭＳ ゴシック" w:hint="eastAsia"/>
        </w:rPr>
        <w:t>〔高知県への移住者を増やすために力を入れていくべき取組〕（複数回答）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 xml:space="preserve">　「移住者の住宅の確保に向けて、空き家の活用等の取り組みを強化する」が52.3％で１位にな</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っている。</w:t>
      </w:r>
    </w:p>
    <w:p w:rsidR="00E937BB" w:rsidRDefault="00E937BB" w:rsidP="00E937BB">
      <w:pPr>
        <w:ind w:left="420"/>
      </w:pPr>
      <w:r>
        <w:rPr>
          <w:rFonts w:hint="eastAsia"/>
        </w:rPr>
        <w:t xml:space="preserve">　次いで「農業と他の仕事を組み合わせた、いわゆる「半農半Ｘ」といった都会にはない多様な働き方を発信する」が43.6％、「移住者が地域にスムーズに溶け込めるように、地域で気軽に相談ができる体制を整える（ＮＰＯや地域住民による声掛け等のサポートなど）」が38.7％と続いている。</w:t>
      </w:r>
    </w:p>
    <w:p w:rsidR="00E937BB" w:rsidRDefault="00E937BB" w:rsidP="00E937BB">
      <w:pPr>
        <w:ind w:leftChars="95" w:left="199"/>
        <w:rPr>
          <w:sz w:val="22"/>
        </w:rPr>
      </w:pPr>
    </w:p>
    <w:p w:rsidR="00E937BB" w:rsidRDefault="00E937BB" w:rsidP="00E937BB">
      <w:pPr>
        <w:ind w:leftChars="95" w:left="199"/>
        <w:rPr>
          <w:sz w:val="22"/>
        </w:rPr>
      </w:pPr>
    </w:p>
    <w:p w:rsidR="00E937BB" w:rsidRDefault="00E937BB" w:rsidP="00E937BB">
      <w:pPr>
        <w:ind w:leftChars="95" w:left="199"/>
        <w:rPr>
          <w:sz w:val="22"/>
        </w:rPr>
      </w:pPr>
    </w:p>
    <w:p w:rsidR="00E937BB" w:rsidRDefault="00E937BB" w:rsidP="00E937BB">
      <w:pPr>
        <w:pStyle w:val="2"/>
        <w:pBdr>
          <w:top w:val="single" w:sz="4" w:space="1" w:color="auto"/>
          <w:left w:val="single" w:sz="4" w:space="4" w:color="auto"/>
          <w:bottom w:val="single" w:sz="4" w:space="1" w:color="auto"/>
          <w:right w:val="single" w:sz="4" w:space="4" w:color="auto"/>
        </w:pBdr>
        <w:spacing w:beforeLines="0" w:afterLines="0"/>
        <w:ind w:left="210"/>
      </w:pPr>
      <w:r>
        <w:rPr>
          <w:rFonts w:hint="eastAsia"/>
        </w:rPr>
        <w:lastRenderedPageBreak/>
        <w:t>〔７〕県の広報について</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〔県の行っている広報活動について知っているか〕（複数回答）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「県広報紙「さんＳＵＮ高知」（毎月１日発行）」が60.0％で１位になっている。</w:t>
      </w:r>
    </w:p>
    <w:p w:rsidR="00E937BB" w:rsidRDefault="00E937BB" w:rsidP="00E937BB">
      <w:pPr>
        <w:ind w:left="420"/>
      </w:pPr>
      <w:r>
        <w:rPr>
          <w:rFonts w:hint="eastAsia"/>
        </w:rPr>
        <w:t xml:space="preserve">　次いで「テレビ番組「おはようこうち」」が46.9％、「テレビ番組「県民ニュース」」が38.7％と続いている。</w:t>
      </w:r>
    </w:p>
    <w:p w:rsidR="00E937BB" w:rsidRDefault="00E937BB" w:rsidP="00E937BB">
      <w:pPr>
        <w:ind w:leftChars="100" w:left="210"/>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〔県広報紙「さんSUN高知」をどの程度読んでいるか〕</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「一部の記事だけ読んでいる」が40.9％で１位になっている。</w:t>
      </w:r>
    </w:p>
    <w:p w:rsidR="00E937BB" w:rsidRDefault="00E937BB" w:rsidP="00E937BB">
      <w:pPr>
        <w:ind w:left="420"/>
      </w:pPr>
      <w:r>
        <w:rPr>
          <w:rFonts w:hint="eastAsia"/>
        </w:rPr>
        <w:t xml:space="preserve">　次いで「ほとんどの記事を読んでいる」が23.7％、「見出しだけで見ている」が12.0％と続いている。</w:t>
      </w:r>
    </w:p>
    <w:p w:rsidR="00E937BB" w:rsidRDefault="00E937BB" w:rsidP="00E937BB">
      <w:pPr>
        <w:ind w:leftChars="100" w:left="210"/>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〔県広報紙「さんSUN高知」で必ず読む記事〕（複数回答）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「情報ひろば」が55.6％で１位になっている。</w:t>
      </w:r>
    </w:p>
    <w:p w:rsidR="00E937BB" w:rsidRDefault="00E937BB" w:rsidP="00E937BB">
      <w:pPr>
        <w:ind w:left="420"/>
      </w:pPr>
      <w:r>
        <w:rPr>
          <w:rFonts w:hint="eastAsia"/>
        </w:rPr>
        <w:t xml:space="preserve">　次いで「表紙」が44.3％、「特集」が41.8％と続いている。</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〔県広報紙「さんSUN高知」の紙面を魅力的で分かりやすくするためにするべきこと〕（複数回答）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「県民に伝えたいことや協力してほしいことなどメッセージ性がある分かりやすい文章とする」</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が33.4％で１位になっている。</w:t>
      </w:r>
    </w:p>
    <w:p w:rsidR="00E937BB" w:rsidRDefault="00E937BB" w:rsidP="00E937BB">
      <w:pPr>
        <w:ind w:left="420"/>
      </w:pPr>
      <w:r>
        <w:rPr>
          <w:rFonts w:hint="eastAsia"/>
        </w:rPr>
        <w:t xml:space="preserve">　次いで「文章の内容が分かるような見出しを多く用いる」が27.3％、「専門用語など分かりづらい表現は、言い方を変えたり解説をつける」が26.2％と続いている。</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〔県広報紙「さんSUN高知」で取り上げるべき内容〕（複数回答）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「日常生活で役立つ情報を優先的に紹介する」が47.5％で１位になっている。</w:t>
      </w:r>
    </w:p>
    <w:p w:rsidR="00E937BB" w:rsidRPr="00C51E92" w:rsidRDefault="00E937BB" w:rsidP="00E937BB">
      <w:pPr>
        <w:ind w:left="420"/>
      </w:pPr>
      <w:r>
        <w:rPr>
          <w:rFonts w:hint="eastAsia"/>
        </w:rPr>
        <w:t xml:space="preserve">　次いで「県民が参加できるイベントや講座等の情報を多く掲載する」が39.4％、「県全体の政策・取り組みをバランスよく紹介する」が26.7％と続いている。</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p>
    <w:p w:rsidR="00E937BB" w:rsidRDefault="00E937BB" w:rsidP="00E937BB">
      <w:pPr>
        <w:pStyle w:val="2"/>
        <w:pBdr>
          <w:top w:val="single" w:sz="4" w:space="1" w:color="auto"/>
          <w:left w:val="single" w:sz="4" w:space="4" w:color="auto"/>
          <w:bottom w:val="single" w:sz="4" w:space="1" w:color="auto"/>
          <w:right w:val="single" w:sz="4" w:space="4" w:color="auto"/>
        </w:pBdr>
        <w:spacing w:beforeLines="0" w:afterLines="0"/>
        <w:ind w:left="210"/>
      </w:pPr>
      <w:r>
        <w:rPr>
          <w:rFonts w:hint="eastAsia"/>
        </w:rPr>
        <w:t>〔８〕幼児教育について</w:t>
      </w:r>
    </w:p>
    <w:p w:rsidR="00E937BB" w:rsidRDefault="00E937BB" w:rsidP="00E937BB">
      <w:pPr>
        <w:ind w:leftChars="100" w:left="210"/>
        <w:rPr>
          <w:rFonts w:ascii="ＭＳ ゴシック" w:eastAsia="ＭＳ ゴシック" w:hAnsi="ＭＳ ゴシック"/>
        </w:rPr>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〔幼児教育について力を入れるべき取組〕（複数回答）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「基本的な生活習慣（生活時間、食事、健康管理など）を身につけさせること」が38.1％で１位</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になっている。</w:t>
      </w:r>
    </w:p>
    <w:p w:rsidR="00E937BB" w:rsidRDefault="00E937BB" w:rsidP="00E937BB">
      <w:pPr>
        <w:ind w:left="420"/>
      </w:pPr>
      <w:r>
        <w:rPr>
          <w:rFonts w:hint="eastAsia"/>
        </w:rPr>
        <w:t xml:space="preserve">　次いで「友だちと一緒に遊ぶこと」が37.4％、「自然とふれあうこと」が34.8％と続いている。</w:t>
      </w:r>
    </w:p>
    <w:p w:rsidR="00E937BB" w:rsidRDefault="00E937BB" w:rsidP="00E937BB">
      <w:pPr>
        <w:ind w:leftChars="0" w:left="0"/>
      </w:pPr>
    </w:p>
    <w:p w:rsidR="00E937BB" w:rsidRDefault="00E937BB" w:rsidP="00E937BB">
      <w:pPr>
        <w:ind w:leftChars="95" w:left="199"/>
        <w:rPr>
          <w:rFonts w:ascii="ＭＳ ゴシック" w:eastAsia="ＭＳ ゴシック" w:hAnsi="ＭＳ ゴシック"/>
        </w:rPr>
      </w:pPr>
      <w:r>
        <w:rPr>
          <w:rFonts w:ascii="ＭＳ ゴシック" w:eastAsia="ＭＳ ゴシック" w:hAnsi="ＭＳ ゴシック" w:hint="eastAsia"/>
        </w:rPr>
        <w:t>〔家庭の果たす役割として重要なこと〕（複数回答）</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「日ごろから子どもと会話するなど、家族のふれあいを大切にする」が76.3％で１位になってい</w:t>
      </w:r>
    </w:p>
    <w:p w:rsidR="00E937BB" w:rsidRPr="008F649F" w:rsidRDefault="00E937BB" w:rsidP="00E937BB">
      <w:pPr>
        <w:ind w:left="1128" w:hangingChars="337" w:hanging="708"/>
        <w:rPr>
          <w:rFonts w:asciiTheme="minorEastAsia" w:eastAsiaTheme="minorEastAsia" w:hAnsiTheme="minorEastAsia"/>
        </w:rPr>
      </w:pPr>
      <w:r w:rsidRPr="008F649F">
        <w:rPr>
          <w:rFonts w:asciiTheme="minorEastAsia" w:eastAsiaTheme="minorEastAsia" w:hAnsiTheme="minorEastAsia" w:hint="eastAsia"/>
        </w:rPr>
        <w:t>る。</w:t>
      </w:r>
    </w:p>
    <w:p w:rsidR="00E937BB" w:rsidRDefault="00E937BB" w:rsidP="00E937BB">
      <w:pPr>
        <w:ind w:left="420"/>
      </w:pPr>
      <w:r>
        <w:rPr>
          <w:rFonts w:hint="eastAsia"/>
        </w:rPr>
        <w:t xml:space="preserve">　次いで「間違った行いは、何がいけないのか理由をきちんと伝えて、𠮟る」が65.9％、「子どもが自信を持って生きることができるよう、子どもの個性と成長を認め、良いところを褒めながら育てる」が51.4％と続いている。</w:t>
      </w:r>
    </w:p>
    <w:p w:rsidR="00E937BB" w:rsidRDefault="00E937BB" w:rsidP="00E937BB">
      <w:pPr>
        <w:ind w:leftChars="100" w:left="210"/>
      </w:pPr>
    </w:p>
    <w:p w:rsidR="00E937BB" w:rsidRDefault="00E937BB" w:rsidP="00E937BB">
      <w:pPr>
        <w:ind w:leftChars="100" w:left="210"/>
        <w:rPr>
          <w:rFonts w:ascii="ＭＳ ゴシック" w:eastAsia="ＭＳ ゴシック" w:hAnsi="ＭＳ ゴシック"/>
        </w:rPr>
      </w:pPr>
      <w:r>
        <w:rPr>
          <w:rFonts w:ascii="ＭＳ ゴシック" w:eastAsia="ＭＳ ゴシック" w:hAnsi="ＭＳ ゴシック" w:hint="eastAsia"/>
        </w:rPr>
        <w:t>〔現在の家庭の役割について重要なこと〕</w:t>
      </w:r>
    </w:p>
    <w:p w:rsidR="00E937BB" w:rsidRPr="00C62DB6" w:rsidRDefault="00E937BB" w:rsidP="00E937BB">
      <w:pPr>
        <w:ind w:leftChars="95" w:left="199" w:firstLineChars="100" w:firstLine="210"/>
        <w:rPr>
          <w:rFonts w:asciiTheme="minorEastAsia" w:eastAsiaTheme="minorEastAsia" w:hAnsiTheme="minorEastAsia"/>
        </w:rPr>
      </w:pPr>
      <w:r w:rsidRPr="00C62DB6">
        <w:rPr>
          <w:rFonts w:asciiTheme="minorEastAsia" w:eastAsiaTheme="minorEastAsia" w:hAnsiTheme="minorEastAsia" w:hint="eastAsia"/>
        </w:rPr>
        <w:t>「不十分である」と「全くできていない」を合わせた割合が57.2％となっており、「十分できている」と「概ねできている」を合わせた割合の24.7％を32.5ポイント上回っている。</w:t>
      </w:r>
    </w:p>
    <w:p w:rsidR="00E937BB" w:rsidRDefault="00E937BB" w:rsidP="00E937BB">
      <w:pPr>
        <w:ind w:leftChars="95" w:left="199"/>
      </w:pPr>
    </w:p>
    <w:p w:rsidR="00E937BB" w:rsidRDefault="00E937BB" w:rsidP="00E937BB">
      <w:pPr>
        <w:ind w:leftChars="95" w:left="199"/>
      </w:pPr>
    </w:p>
    <w:p w:rsidR="00E937BB" w:rsidRDefault="00E937BB" w:rsidP="00E937BB">
      <w:pPr>
        <w:ind w:leftChars="95" w:left="199"/>
        <w:rPr>
          <w:rFonts w:ascii="ＭＳ ゴシック" w:eastAsia="ＭＳ ゴシック" w:hAnsi="ＭＳ ゴシック"/>
        </w:rPr>
      </w:pPr>
      <w:r>
        <w:rPr>
          <w:rFonts w:ascii="ＭＳ ゴシック" w:eastAsia="ＭＳ ゴシック" w:hAnsi="ＭＳ ゴシック" w:hint="eastAsia"/>
        </w:rPr>
        <w:lastRenderedPageBreak/>
        <w:t>〔家庭の役割ができていない要因〕（複数回答）</w:t>
      </w:r>
    </w:p>
    <w:p w:rsidR="00E937BB" w:rsidRPr="00C62DB6" w:rsidRDefault="00E937BB" w:rsidP="00E937BB">
      <w:pPr>
        <w:ind w:left="1128" w:hangingChars="337" w:hanging="708"/>
        <w:rPr>
          <w:rFonts w:asciiTheme="minorEastAsia" w:eastAsiaTheme="minorEastAsia" w:hAnsiTheme="minorEastAsia"/>
          <w:b/>
          <w:u w:val="single"/>
        </w:rPr>
      </w:pPr>
      <w:r>
        <w:rPr>
          <w:rFonts w:hint="eastAsia"/>
        </w:rPr>
        <w:t xml:space="preserve">　</w:t>
      </w:r>
      <w:r w:rsidRPr="00C62DB6">
        <w:rPr>
          <w:rFonts w:asciiTheme="minorEastAsia" w:eastAsiaTheme="minorEastAsia" w:hAnsiTheme="minorEastAsia" w:hint="eastAsia"/>
        </w:rPr>
        <w:t>「共働きや長時間労働等により、多忙な保護者が増えたこと」が50.9％で１位になっている。</w:t>
      </w:r>
    </w:p>
    <w:p w:rsidR="00E937BB" w:rsidRDefault="00E937BB" w:rsidP="00E937BB">
      <w:pPr>
        <w:ind w:left="420"/>
      </w:pPr>
      <w:r>
        <w:rPr>
          <w:rFonts w:hint="eastAsia"/>
        </w:rPr>
        <w:t xml:space="preserve">　次いで「しつけや教育の仕方が分からない保護者が増えたこと」が44.7％、「子どもにスマートフォンや携帯ゲーム機などを与え、親子のふれあいの時間を取らない保護者が増えたこと」が43.3％と続いている。</w:t>
      </w:r>
    </w:p>
    <w:p w:rsidR="00E937BB" w:rsidRDefault="00E937BB" w:rsidP="00E937BB">
      <w:pPr>
        <w:ind w:leftChars="95" w:left="199"/>
        <w:rPr>
          <w:rFonts w:ascii="ＭＳ ゴシック" w:eastAsia="ＭＳ ゴシック" w:hAnsi="ＭＳ ゴシック"/>
        </w:rPr>
      </w:pPr>
    </w:p>
    <w:p w:rsidR="00E937BB" w:rsidRDefault="00E937BB" w:rsidP="00E937BB">
      <w:pPr>
        <w:ind w:leftChars="95" w:left="199"/>
        <w:rPr>
          <w:rFonts w:ascii="ＭＳ ゴシック" w:eastAsia="ＭＳ ゴシック" w:hAnsi="ＭＳ ゴシック"/>
        </w:rPr>
      </w:pPr>
    </w:p>
    <w:p w:rsidR="00E937BB" w:rsidRPr="00E937BB" w:rsidRDefault="00E937BB">
      <w:pPr>
        <w:ind w:leftChars="0" w:left="0"/>
        <w:rPr>
          <w:rFonts w:ascii="ＭＳ ゴシック" w:eastAsia="ＭＳ ゴシック" w:hAnsi="ＭＳ ゴシック"/>
        </w:rPr>
      </w:pPr>
    </w:p>
    <w:sectPr w:rsidR="00E937BB" w:rsidRPr="00E937BB" w:rsidSect="009557F5">
      <w:footerReference w:type="default" r:id="rId24"/>
      <w:type w:val="continuous"/>
      <w:pgSz w:w="11906" w:h="16838"/>
      <w:pgMar w:top="964" w:right="1219" w:bottom="1021" w:left="1219" w:header="624" w:footer="397" w:gutter="0"/>
      <w:pgNumType w:fmt="numberInDash" w:start="1"/>
      <w:cols w:space="720"/>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438" w:rsidRDefault="00E01438" w:rsidP="00844A5A">
      <w:pPr>
        <w:ind w:left="420"/>
      </w:pPr>
      <w:r>
        <w:separator/>
      </w:r>
    </w:p>
  </w:endnote>
  <w:endnote w:type="continuationSeparator" w:id="0">
    <w:p w:rsidR="00E01438" w:rsidRDefault="00E01438" w:rsidP="00844A5A">
      <w:pPr>
        <w:ind w:left="420"/>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BB" w:rsidRDefault="00E937BB">
    <w:pPr>
      <w:pStyle w:val="a5"/>
      <w:ind w:left="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BB" w:rsidRDefault="00E937BB" w:rsidP="002D29F5">
    <w:pPr>
      <w:pStyle w:val="a5"/>
      <w:ind w:left="42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BB" w:rsidRDefault="00E937BB">
    <w:pPr>
      <w:pStyle w:val="a5"/>
      <w:ind w:left="4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7164"/>
      <w:docPartObj>
        <w:docPartGallery w:val="Page Numbers (Bottom of Page)"/>
        <w:docPartUnique/>
      </w:docPartObj>
    </w:sdtPr>
    <w:sdtContent>
      <w:p w:rsidR="00E937BB" w:rsidRDefault="005570A6" w:rsidP="009557F5">
        <w:pPr>
          <w:pStyle w:val="a5"/>
          <w:ind w:left="420"/>
          <w:jc w:val="center"/>
        </w:pPr>
        <w:fldSimple w:instr=" PAGE   \* MERGEFORMAT ">
          <w:r w:rsidR="000571BB" w:rsidRPr="000571BB">
            <w:rPr>
              <w:noProof/>
              <w:lang w:val="ja-JP"/>
            </w:rPr>
            <w:t>-</w:t>
          </w:r>
          <w:r w:rsidR="000571BB">
            <w:rPr>
              <w:noProof/>
            </w:rPr>
            <w:t xml:space="preserve"> 15 -</w:t>
          </w:r>
        </w:fldSimple>
      </w:p>
    </w:sdtContent>
  </w:sdt>
  <w:p w:rsidR="00E937BB" w:rsidRDefault="00E937BB" w:rsidP="002D29F5">
    <w:pPr>
      <w:pStyle w:val="a5"/>
      <w:ind w:left="4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438" w:rsidRDefault="00E01438" w:rsidP="00844A5A">
      <w:pPr>
        <w:ind w:left="420"/>
      </w:pPr>
      <w:r>
        <w:separator/>
      </w:r>
    </w:p>
  </w:footnote>
  <w:footnote w:type="continuationSeparator" w:id="0">
    <w:p w:rsidR="00E01438" w:rsidRDefault="00E01438" w:rsidP="00844A5A">
      <w:pPr>
        <w:ind w:left="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BB" w:rsidRDefault="00E937BB">
    <w:pPr>
      <w:pStyle w:val="a3"/>
      <w:ind w:left="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BB" w:rsidRDefault="00E937BB">
    <w:pPr>
      <w:pStyle w:val="a3"/>
      <w:ind w:left="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BB" w:rsidRDefault="00E937BB">
    <w:pPr>
      <w:pStyle w:val="a3"/>
      <w:ind w:left="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0B91"/>
    <w:rsid w:val="00051BA7"/>
    <w:rsid w:val="000571BB"/>
    <w:rsid w:val="00132564"/>
    <w:rsid w:val="00187409"/>
    <w:rsid w:val="0028752E"/>
    <w:rsid w:val="00290290"/>
    <w:rsid w:val="002D29F5"/>
    <w:rsid w:val="002D5054"/>
    <w:rsid w:val="002F67F2"/>
    <w:rsid w:val="005314A8"/>
    <w:rsid w:val="005570A6"/>
    <w:rsid w:val="006A5E51"/>
    <w:rsid w:val="00713DA6"/>
    <w:rsid w:val="00844A5A"/>
    <w:rsid w:val="008672A1"/>
    <w:rsid w:val="008A0B91"/>
    <w:rsid w:val="009557F5"/>
    <w:rsid w:val="009B0DCF"/>
    <w:rsid w:val="00C22A71"/>
    <w:rsid w:val="00C250E6"/>
    <w:rsid w:val="00CD0348"/>
    <w:rsid w:val="00CD6565"/>
    <w:rsid w:val="00E01438"/>
    <w:rsid w:val="00E13E3B"/>
    <w:rsid w:val="00E3230F"/>
    <w:rsid w:val="00E937BB"/>
    <w:rsid w:val="00F615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imes New Roman"/>
        <w:sz w:val="21"/>
        <w:lang w:val="en-US" w:eastAsia="ja-JP" w:bidi="ar-SA"/>
      </w:rPr>
    </w:rPrDefault>
    <w:pPrDefault>
      <w:pPr>
        <w:ind w:leftChars="200" w:left="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B91"/>
    <w:pPr>
      <w:widowControl w:val="0"/>
    </w:pPr>
  </w:style>
  <w:style w:type="paragraph" w:styleId="1">
    <w:name w:val="heading 1"/>
    <w:basedOn w:val="a"/>
    <w:next w:val="a"/>
    <w:link w:val="10"/>
    <w:qFormat/>
    <w:rsid w:val="008A0B91"/>
    <w:pPr>
      <w:keepNext/>
      <w:jc w:val="center"/>
      <w:outlineLvl w:val="0"/>
    </w:pPr>
    <w:rPr>
      <w:rFonts w:asciiTheme="majorHAnsi" w:hAnsiTheme="majorHAnsi"/>
      <w:sz w:val="36"/>
    </w:rPr>
  </w:style>
  <w:style w:type="paragraph" w:styleId="2">
    <w:name w:val="heading 2"/>
    <w:basedOn w:val="a"/>
    <w:next w:val="a"/>
    <w:link w:val="20"/>
    <w:qFormat/>
    <w:rsid w:val="008A0B91"/>
    <w:pPr>
      <w:keepNext/>
      <w:spacing w:beforeLines="100" w:afterLines="100"/>
      <w:ind w:leftChars="100" w:left="100"/>
      <w:outlineLvl w:val="1"/>
    </w:pPr>
    <w:rPr>
      <w:rFonts w:asciiTheme="majorHAnsi" w:eastAsiaTheme="majorEastAsia" w:hAnsiTheme="majorHAnsi"/>
      <w:sz w:val="24"/>
    </w:rPr>
  </w:style>
  <w:style w:type="paragraph" w:styleId="3">
    <w:name w:val="heading 3"/>
    <w:basedOn w:val="a"/>
    <w:next w:val="a"/>
    <w:link w:val="30"/>
    <w:qFormat/>
    <w:rsid w:val="008A0B91"/>
    <w:pPr>
      <w:keepNext/>
      <w:outlineLvl w:val="2"/>
    </w:pPr>
    <w:rPr>
      <w:rFonts w:asciiTheme="majorHAnsi" w:eastAsiaTheme="majorEastAsia" w:hAnsiTheme="majorHAnsi"/>
    </w:rPr>
  </w:style>
  <w:style w:type="paragraph" w:styleId="4">
    <w:name w:val="heading 4"/>
    <w:basedOn w:val="a"/>
    <w:next w:val="a"/>
    <w:link w:val="40"/>
    <w:qFormat/>
    <w:rsid w:val="008A0B91"/>
    <w:pPr>
      <w:keepNext/>
      <w:outlineLvl w:val="3"/>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B91"/>
    <w:pPr>
      <w:tabs>
        <w:tab w:val="center" w:pos="4252"/>
        <w:tab w:val="right" w:pos="8504"/>
      </w:tabs>
      <w:snapToGrid w:val="0"/>
    </w:pPr>
  </w:style>
  <w:style w:type="character" w:customStyle="1" w:styleId="a4">
    <w:name w:val="ヘッダー (文字)"/>
    <w:basedOn w:val="a0"/>
    <w:link w:val="a3"/>
    <w:uiPriority w:val="99"/>
    <w:rsid w:val="008A0B91"/>
  </w:style>
  <w:style w:type="paragraph" w:styleId="a5">
    <w:name w:val="footer"/>
    <w:basedOn w:val="a"/>
    <w:link w:val="a6"/>
    <w:uiPriority w:val="99"/>
    <w:rsid w:val="008A0B91"/>
    <w:pPr>
      <w:tabs>
        <w:tab w:val="center" w:pos="4252"/>
        <w:tab w:val="right" w:pos="8504"/>
      </w:tabs>
      <w:snapToGrid w:val="0"/>
    </w:pPr>
  </w:style>
  <w:style w:type="character" w:customStyle="1" w:styleId="a6">
    <w:name w:val="フッター (文字)"/>
    <w:basedOn w:val="a0"/>
    <w:link w:val="a5"/>
    <w:uiPriority w:val="99"/>
    <w:rsid w:val="008A0B91"/>
  </w:style>
  <w:style w:type="paragraph" w:styleId="a7">
    <w:name w:val="No Spacing"/>
    <w:link w:val="a8"/>
    <w:qFormat/>
    <w:rsid w:val="008A0B91"/>
    <w:rPr>
      <w:sz w:val="22"/>
    </w:rPr>
  </w:style>
  <w:style w:type="character" w:customStyle="1" w:styleId="a8">
    <w:name w:val="行間詰め (文字)"/>
    <w:basedOn w:val="a0"/>
    <w:link w:val="a7"/>
    <w:rsid w:val="008A0B91"/>
    <w:rPr>
      <w:kern w:val="0"/>
      <w:sz w:val="22"/>
    </w:rPr>
  </w:style>
  <w:style w:type="paragraph" w:styleId="a9">
    <w:name w:val="List Paragraph"/>
    <w:basedOn w:val="a"/>
    <w:qFormat/>
    <w:rsid w:val="008A0B91"/>
    <w:pPr>
      <w:ind w:leftChars="400" w:left="840"/>
    </w:pPr>
  </w:style>
  <w:style w:type="character" w:customStyle="1" w:styleId="10">
    <w:name w:val="見出し 1 (文字)"/>
    <w:basedOn w:val="a0"/>
    <w:link w:val="1"/>
    <w:rsid w:val="008A0B91"/>
    <w:rPr>
      <w:rFonts w:asciiTheme="majorHAnsi" w:hAnsiTheme="majorHAnsi"/>
      <w:sz w:val="36"/>
    </w:rPr>
  </w:style>
  <w:style w:type="paragraph" w:styleId="aa">
    <w:name w:val="TOC Heading"/>
    <w:basedOn w:val="1"/>
    <w:next w:val="a"/>
    <w:qFormat/>
    <w:rsid w:val="008A0B91"/>
    <w:pPr>
      <w:keepLines/>
      <w:widowControl/>
      <w:spacing w:line="276" w:lineRule="auto"/>
      <w:jc w:val="left"/>
      <w:outlineLvl w:val="9"/>
    </w:pPr>
    <w:rPr>
      <w:sz w:val="24"/>
    </w:rPr>
  </w:style>
  <w:style w:type="paragraph" w:styleId="ab">
    <w:name w:val="Balloon Text"/>
    <w:basedOn w:val="a"/>
    <w:link w:val="ac"/>
    <w:semiHidden/>
    <w:rsid w:val="008A0B91"/>
    <w:rPr>
      <w:rFonts w:asciiTheme="majorHAnsi" w:eastAsiaTheme="majorEastAsia" w:hAnsiTheme="majorHAnsi"/>
      <w:sz w:val="18"/>
    </w:rPr>
  </w:style>
  <w:style w:type="character" w:customStyle="1" w:styleId="ac">
    <w:name w:val="吹き出し (文字)"/>
    <w:basedOn w:val="a0"/>
    <w:link w:val="ab"/>
    <w:rsid w:val="008A0B91"/>
    <w:rPr>
      <w:rFonts w:asciiTheme="majorHAnsi" w:eastAsiaTheme="majorEastAsia" w:hAnsiTheme="majorHAnsi"/>
      <w:sz w:val="18"/>
    </w:rPr>
  </w:style>
  <w:style w:type="paragraph" w:styleId="11">
    <w:name w:val="toc 1"/>
    <w:basedOn w:val="a"/>
    <w:next w:val="a"/>
    <w:qFormat/>
    <w:rsid w:val="008A0B91"/>
    <w:pPr>
      <w:tabs>
        <w:tab w:val="right" w:leader="dot" w:pos="7938"/>
      </w:tabs>
    </w:pPr>
  </w:style>
  <w:style w:type="character" w:styleId="ad">
    <w:name w:val="Hyperlink"/>
    <w:basedOn w:val="a0"/>
    <w:rsid w:val="008A0B91"/>
    <w:rPr>
      <w:color w:val="0000FF" w:themeColor="hyperlink"/>
      <w:u w:val="single"/>
    </w:rPr>
  </w:style>
  <w:style w:type="paragraph" w:styleId="21">
    <w:name w:val="toc 2"/>
    <w:basedOn w:val="a"/>
    <w:next w:val="a"/>
    <w:qFormat/>
    <w:rsid w:val="008A0B91"/>
    <w:pPr>
      <w:widowControl/>
      <w:tabs>
        <w:tab w:val="right" w:leader="dot" w:pos="7938"/>
      </w:tabs>
      <w:autoSpaceDE w:val="0"/>
      <w:autoSpaceDN w:val="0"/>
      <w:spacing w:line="276" w:lineRule="auto"/>
      <w:ind w:left="220"/>
    </w:pPr>
    <w:rPr>
      <w:rFonts w:asciiTheme="minorHAnsi" w:eastAsiaTheme="minorEastAsia" w:hAnsiTheme="minorHAnsi"/>
      <w:sz w:val="22"/>
    </w:rPr>
  </w:style>
  <w:style w:type="paragraph" w:styleId="31">
    <w:name w:val="toc 3"/>
    <w:basedOn w:val="a"/>
    <w:next w:val="a"/>
    <w:qFormat/>
    <w:rsid w:val="008A0B91"/>
    <w:pPr>
      <w:widowControl/>
      <w:tabs>
        <w:tab w:val="right" w:leader="middleDot" w:pos="7938"/>
        <w:tab w:val="left" w:leader="middleDot" w:pos="8931"/>
      </w:tabs>
      <w:autoSpaceDE w:val="0"/>
      <w:autoSpaceDN w:val="0"/>
      <w:ind w:left="440"/>
    </w:pPr>
    <w:rPr>
      <w:rFonts w:asciiTheme="minorHAnsi" w:eastAsiaTheme="minorEastAsia" w:hAnsiTheme="minorHAnsi"/>
      <w:sz w:val="22"/>
    </w:rPr>
  </w:style>
  <w:style w:type="character" w:customStyle="1" w:styleId="20">
    <w:name w:val="見出し 2 (文字)"/>
    <w:basedOn w:val="a0"/>
    <w:link w:val="2"/>
    <w:rsid w:val="008A0B91"/>
    <w:rPr>
      <w:rFonts w:asciiTheme="majorHAnsi" w:eastAsiaTheme="majorEastAsia" w:hAnsiTheme="majorHAnsi"/>
      <w:sz w:val="24"/>
    </w:rPr>
  </w:style>
  <w:style w:type="character" w:customStyle="1" w:styleId="30">
    <w:name w:val="見出し 3 (文字)"/>
    <w:basedOn w:val="a0"/>
    <w:link w:val="3"/>
    <w:rsid w:val="008A0B91"/>
    <w:rPr>
      <w:rFonts w:asciiTheme="majorHAnsi" w:eastAsiaTheme="majorEastAsia" w:hAnsiTheme="majorHAnsi"/>
    </w:rPr>
  </w:style>
  <w:style w:type="character" w:customStyle="1" w:styleId="40">
    <w:name w:val="見出し 4 (文字)"/>
    <w:basedOn w:val="a0"/>
    <w:link w:val="4"/>
    <w:rsid w:val="008A0B91"/>
    <w:rPr>
      <w:rFonts w:eastAsia="ＭＳ ゴシック"/>
    </w:rPr>
  </w:style>
  <w:style w:type="paragraph" w:styleId="22">
    <w:name w:val="Body Text Indent 2"/>
    <w:basedOn w:val="a"/>
    <w:link w:val="23"/>
    <w:rsid w:val="008A0B91"/>
    <w:pPr>
      <w:ind w:leftChars="0" w:left="480" w:hangingChars="200" w:hanging="480"/>
      <w:jc w:val="both"/>
    </w:pPr>
    <w:rPr>
      <w:rFonts w:eastAsia="ＭＳ ゴシック"/>
      <w:kern w:val="2"/>
      <w:sz w:val="24"/>
    </w:rPr>
  </w:style>
  <w:style w:type="character" w:customStyle="1" w:styleId="23">
    <w:name w:val="本文インデント 2 (文字)"/>
    <w:basedOn w:val="a0"/>
    <w:link w:val="22"/>
    <w:rsid w:val="008A0B91"/>
    <w:rPr>
      <w:rFonts w:eastAsia="ＭＳ ゴシック"/>
      <w:kern w:val="2"/>
      <w:sz w:val="24"/>
    </w:rPr>
  </w:style>
  <w:style w:type="paragraph" w:customStyle="1" w:styleId="Default">
    <w:name w:val="Default"/>
    <w:rsid w:val="008A0B91"/>
    <w:pPr>
      <w:widowControl w:val="0"/>
      <w:autoSpaceDE w:val="0"/>
      <w:autoSpaceDN w:val="0"/>
      <w:adjustRightInd w:val="0"/>
      <w:ind w:leftChars="0" w:left="0"/>
    </w:pPr>
    <w:rPr>
      <w:color w:val="000000"/>
      <w:sz w:val="24"/>
    </w:rPr>
  </w:style>
  <w:style w:type="table" w:styleId="ae">
    <w:name w:val="Table Grid"/>
    <w:basedOn w:val="a1"/>
    <w:rsid w:val="008A0B9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microsoft.com/office/2011/relationships/commentsExtended" Target="commentsExtended.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___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______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__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__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___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_____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_____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Office_Excel_______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______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Office_Excel_______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205991090123861"/>
          <c:y val="0.13333858267716606"/>
          <c:w val="0.69390872296787387"/>
          <c:h val="0.8177609162491094"/>
        </c:manualLayout>
      </c:layout>
      <c:pieChart>
        <c:varyColors val="1"/>
        <c:ser>
          <c:idx val="2"/>
          <c:order val="0"/>
          <c:tx>
            <c:strRef>
              <c:f>Sheet1!$B$1</c:f>
              <c:strCache>
                <c:ptCount val="1"/>
                <c:pt idx="0">
                  <c:v>売上高</c:v>
                </c:pt>
              </c:strCache>
            </c:strRef>
          </c:tx>
          <c:spPr>
            <a:ln w="6350">
              <a:solidFill>
                <a:sysClr val="windowText" lastClr="000000"/>
              </a:solidFill>
            </a:ln>
          </c:spPr>
          <c:dPt>
            <c:idx val="0"/>
            <c:spPr>
              <a:pattFill prst="pct75">
                <a:fgClr>
                  <a:sysClr val="windowText" lastClr="000000"/>
                </a:fgClr>
                <a:bgClr>
                  <a:sysClr val="window" lastClr="FFFFFF"/>
                </a:bgClr>
              </a:pattFill>
              <a:ln w="6350">
                <a:solidFill>
                  <a:sysClr val="windowText" lastClr="000000"/>
                </a:solidFill>
              </a:ln>
            </c:spPr>
          </c:dPt>
          <c:dPt>
            <c:idx val="1"/>
            <c:spPr>
              <a:pattFill prst="pct20">
                <a:fgClr>
                  <a:sysClr val="windowText" lastClr="000000"/>
                </a:fgClr>
                <a:bgClr>
                  <a:sysClr val="window" lastClr="FFFFFF"/>
                </a:bgClr>
              </a:pattFill>
              <a:ln w="6350">
                <a:solidFill>
                  <a:sysClr val="windowText" lastClr="000000"/>
                </a:solidFill>
              </a:ln>
            </c:spPr>
          </c:dPt>
          <c:dPt>
            <c:idx val="2"/>
            <c:spPr>
              <a:pattFill prst="pct50">
                <a:fgClr>
                  <a:sysClr val="windowText" lastClr="000000"/>
                </a:fgClr>
                <a:bgClr>
                  <a:sysClr val="window" lastClr="FFFFFF"/>
                </a:bgClr>
              </a:pattFill>
              <a:ln w="6350">
                <a:solidFill>
                  <a:sysClr val="windowText" lastClr="000000"/>
                </a:solidFill>
              </a:ln>
            </c:spPr>
          </c:dPt>
          <c:dPt>
            <c:idx val="3"/>
            <c:spPr>
              <a:pattFill prst="pct50">
                <a:fgClr>
                  <a:sysClr val="windowText" lastClr="000000"/>
                </a:fgClr>
                <a:bgClr>
                  <a:sysClr val="window" lastClr="FFFFFF"/>
                </a:bgClr>
              </a:pattFill>
              <a:ln w="6350">
                <a:solidFill>
                  <a:sysClr val="windowText" lastClr="000000"/>
                </a:solidFill>
              </a:ln>
            </c:spPr>
          </c:dPt>
          <c:dLbls>
            <c:dLbl>
              <c:idx val="0"/>
              <c:layout>
                <c:manualLayout>
                  <c:x val="-0.21492921492921493"/>
                  <c:y val="7.4540682414698342E-2"/>
                </c:manualLayout>
              </c:layout>
              <c:tx>
                <c:rich>
                  <a:bodyPr horzOverflow="overflow"/>
                  <a:lstStyle/>
                  <a:p>
                    <a:pPr>
                      <a:defRPr sz="800">
                        <a:solidFill>
                          <a:schemeClr val="tx1"/>
                        </a:solidFill>
                      </a:defRPr>
                    </a:pPr>
                    <a:r>
                      <a:rPr lang="ja-JP" altLang="en-US" sz="800">
                        <a:solidFill>
                          <a:schemeClr val="tx1"/>
                        </a:solidFill>
                        <a:latin typeface="ＭＳ 明朝"/>
                        <a:ea typeface="ＭＳ 明朝"/>
                      </a:rPr>
                      <a:t>男性</a:t>
                    </a:r>
                    <a:r>
                      <a:rPr lang="en-US" altLang="ja-JP" sz="800">
                        <a:solidFill>
                          <a:schemeClr val="tx1"/>
                        </a:solidFill>
                        <a:latin typeface="ＭＳ 明朝"/>
                        <a:ea typeface="ＭＳ 明朝"/>
                      </a:rPr>
                      <a:t> 44.9%</a:t>
                    </a:r>
                  </a:p>
                </c:rich>
              </c:tx>
              <c:numFmt formatCode="0.0%" sourceLinked="0"/>
              <c:spPr>
                <a:solidFill>
                  <a:sysClr val="window" lastClr="FFFFFF"/>
                </a:solidFill>
              </c:spPr>
              <c:showVal val="1"/>
              <c:showCatName val="1"/>
            </c:dLbl>
            <c:dLbl>
              <c:idx val="1"/>
              <c:layout>
                <c:manualLayout>
                  <c:x val="0.2641222549883967"/>
                  <c:y val="-9.6358864232880453E-2"/>
                </c:manualLayout>
              </c:layout>
              <c:tx>
                <c:rich>
                  <a:bodyPr horzOverflow="overflow"/>
                  <a:lstStyle/>
                  <a:p>
                    <a:pPr>
                      <a:defRPr sz="800">
                        <a:solidFill>
                          <a:schemeClr val="tx1"/>
                        </a:solidFill>
                      </a:defRPr>
                    </a:pPr>
                    <a:r>
                      <a:rPr lang="ja-JP" altLang="en-US" sz="800">
                        <a:solidFill>
                          <a:schemeClr val="tx1"/>
                        </a:solidFill>
                        <a:latin typeface="ＭＳ 明朝"/>
                        <a:ea typeface="ＭＳ 明朝"/>
                      </a:rPr>
                      <a:t>女性</a:t>
                    </a:r>
                    <a:r>
                      <a:rPr lang="en-US" altLang="ja-JP" sz="800">
                        <a:solidFill>
                          <a:schemeClr val="tx1"/>
                        </a:solidFill>
                        <a:latin typeface="ＭＳ 明朝"/>
                        <a:ea typeface="ＭＳ 明朝"/>
                      </a:rPr>
                      <a:t> 54.4%</a:t>
                    </a:r>
                  </a:p>
                </c:rich>
              </c:tx>
              <c:numFmt formatCode="0.0%" sourceLinked="0"/>
              <c:spPr>
                <a:solidFill>
                  <a:sysClr val="window" lastClr="FFFFFF"/>
                </a:solidFill>
              </c:spPr>
              <c:showVal val="1"/>
              <c:showCatName val="1"/>
            </c:dLbl>
            <c:dLbl>
              <c:idx val="2"/>
              <c:tx>
                <c:rich>
                  <a:bodyPr horzOverflow="overflow"/>
                  <a:lstStyle/>
                  <a:p>
                    <a:pPr>
                      <a:defRPr/>
                    </a:pPr>
                    <a:r>
                      <a:rPr lang="ja-JP" altLang="en-US" sz="800">
                        <a:solidFill>
                          <a:schemeClr val="tx1"/>
                        </a:solidFill>
                        <a:latin typeface="ＭＳ 明朝"/>
                        <a:ea typeface="ＭＳ 明朝"/>
                      </a:rPr>
                      <a:t>無回答</a:t>
                    </a:r>
                    <a:r>
                      <a:rPr lang="en-US" altLang="ja-JP" sz="800">
                        <a:solidFill>
                          <a:schemeClr val="tx1"/>
                        </a:solidFill>
                        <a:latin typeface="ＭＳ 明朝"/>
                        <a:ea typeface="ＭＳ 明朝"/>
                      </a:rPr>
                      <a:t> 0.7%</a:t>
                    </a:r>
                  </a:p>
                </c:rich>
              </c:tx>
              <c:numFmt formatCode="0.0%" sourceLinked="0"/>
              <c:spPr/>
              <c:showVal val="1"/>
              <c:showCatName val="1"/>
            </c:dLbl>
            <c:dLbl>
              <c:idx val="3"/>
              <c:numFmt formatCode="0.0%" sourceLinked="0"/>
              <c:spPr/>
              <c:txPr>
                <a:bodyPr horzOverflow="overflow"/>
                <a:lstStyle/>
                <a:p>
                  <a:pPr>
                    <a:defRPr sz="800">
                      <a:solidFill>
                        <a:schemeClr val="tx1"/>
                      </a:solidFill>
                    </a:defRPr>
                  </a:pPr>
                  <a:endParaRPr lang="ja-JP"/>
                </a:p>
              </c:txPr>
            </c:dLbl>
            <c:numFmt formatCode="0.0%" sourceLinked="0"/>
            <c:txPr>
              <a:bodyPr rot="0" horzOverflow="overflow" anchor="ctr"/>
              <a:lstStyle/>
              <a:p>
                <a:pPr algn="ctr" rtl="0">
                  <a:defRPr sz="800">
                    <a:solidFill>
                      <a:schemeClr val="tx1"/>
                    </a:solidFill>
                  </a:defRPr>
                </a:pPr>
                <a:endParaRPr lang="ja-JP"/>
              </a:p>
            </c:txPr>
            <c:showVal val="1"/>
            <c:showCatName val="1"/>
            <c:showLeaderLines val="1"/>
          </c:dLbls>
          <c:cat>
            <c:strRef>
              <c:f>Sheet1!$A$2:$A$4</c:f>
              <c:strCache>
                <c:ptCount val="3"/>
                <c:pt idx="0">
                  <c:v>男性</c:v>
                </c:pt>
                <c:pt idx="1">
                  <c:v>女性</c:v>
                </c:pt>
                <c:pt idx="2">
                  <c:v>無回答</c:v>
                </c:pt>
              </c:strCache>
            </c:strRef>
          </c:cat>
          <c:val>
            <c:numRef>
              <c:f>Sheet1!$B$2:$B$4</c:f>
              <c:numCache>
                <c:formatCode>General</c:formatCode>
                <c:ptCount val="3"/>
                <c:pt idx="0">
                  <c:v>0.44900000000000045</c:v>
                </c:pt>
                <c:pt idx="1">
                  <c:v>0.54400000000000004</c:v>
                </c:pt>
                <c:pt idx="2">
                  <c:v>7.0000000000000175E-3</c:v>
                </c:pt>
              </c:numCache>
            </c:numRef>
          </c:val>
        </c:ser>
        <c:dLbls>
          <c:showVal val="1"/>
        </c:dLbls>
        <c:firstSliceAng val="0"/>
      </c:pieChart>
    </c:plotArea>
    <c:plotVisOnly val="1"/>
    <c:dispBlanksAs val="zero"/>
  </c:chart>
  <c:spPr>
    <a:ln>
      <a:noFill/>
    </a:ln>
  </c:spPr>
  <c:txPr>
    <a:bodyPr horzOverflow="overflow" anchor="ctr"/>
    <a:lstStyle/>
    <a:p>
      <a:pPr algn="ctr" rtl="0">
        <a:defRPr lang="ja-JP" altLang="en-US" sz="900">
          <a:solidFill>
            <a:schemeClr val="tx1"/>
          </a:solidFill>
          <a:latin typeface="ＭＳ 明朝"/>
          <a:ea typeface="ＭＳ 明朝"/>
        </a:defRPr>
      </a:pPr>
      <a:endParaRPr lang="ja-JP"/>
    </a:p>
  </c:txPr>
  <c:externalData r:id="rId2"/>
  <c:extLst/>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ja-JP"/>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516176035691275"/>
          <c:y val="0.13672916340512123"/>
          <c:w val="0.68926391663728592"/>
          <c:h val="0.7759285759960487"/>
        </c:manualLayout>
      </c:layout>
      <c:pieChart>
        <c:varyColors val="1"/>
        <c:ser>
          <c:idx val="2"/>
          <c:order val="0"/>
          <c:tx>
            <c:strRef>
              <c:f>Sheet1!$B$1</c:f>
              <c:strCache>
                <c:ptCount val="1"/>
                <c:pt idx="0">
                  <c:v>売上高</c:v>
                </c:pt>
              </c:strCache>
            </c:strRef>
          </c:tx>
          <c:spPr>
            <a:ln>
              <a:solidFill>
                <a:schemeClr val="tx1"/>
              </a:solidFill>
            </a:ln>
          </c:spPr>
          <c:dPt>
            <c:idx val="0"/>
            <c:spPr>
              <a:pattFill prst="pct75">
                <a:fgClr>
                  <a:sysClr val="windowText" lastClr="000000"/>
                </a:fgClr>
                <a:bgClr>
                  <a:sysClr val="window" lastClr="FFFFFF"/>
                </a:bgClr>
              </a:pattFill>
              <a:ln>
                <a:solidFill>
                  <a:schemeClr val="tx1"/>
                </a:solidFill>
              </a:ln>
            </c:spPr>
          </c:dPt>
          <c:dPt>
            <c:idx val="1"/>
            <c:spPr>
              <a:pattFill prst="pct25">
                <a:fgClr>
                  <a:sysClr val="windowText" lastClr="000000"/>
                </a:fgClr>
                <a:bgClr>
                  <a:sysClr val="window" lastClr="FFFFFF"/>
                </a:bgClr>
              </a:pattFill>
              <a:ln>
                <a:solidFill>
                  <a:schemeClr val="tx1"/>
                </a:solidFill>
              </a:ln>
            </c:spPr>
          </c:dPt>
          <c:dPt>
            <c:idx val="2"/>
            <c:spPr>
              <a:pattFill prst="pct50">
                <a:fgClr>
                  <a:sysClr val="windowText" lastClr="000000"/>
                </a:fgClr>
                <a:bgClr>
                  <a:sysClr val="window" lastClr="FFFFFF"/>
                </a:bgClr>
              </a:pattFill>
              <a:ln>
                <a:solidFill>
                  <a:schemeClr val="tx1"/>
                </a:solidFill>
              </a:ln>
            </c:spPr>
          </c:dPt>
          <c:dPt>
            <c:idx val="3"/>
            <c:spPr>
              <a:pattFill prst="pct50">
                <a:fgClr>
                  <a:sysClr val="windowText" lastClr="000000"/>
                </a:fgClr>
                <a:bgClr>
                  <a:sysClr val="window" lastClr="FFFFFF"/>
                </a:bgClr>
              </a:pattFill>
              <a:ln>
                <a:solidFill>
                  <a:schemeClr val="tx1"/>
                </a:solidFill>
              </a:ln>
            </c:spPr>
          </c:dPt>
          <c:dLbls>
            <c:dLbl>
              <c:idx val="0"/>
              <c:numFmt formatCode="0.0%" sourceLinked="0"/>
              <c:spPr>
                <a:solidFill>
                  <a:sysClr val="window" lastClr="FFFFFF"/>
                </a:solidFill>
              </c:spPr>
              <c:txPr>
                <a:bodyPr horzOverflow="overflow"/>
                <a:lstStyle/>
                <a:p>
                  <a:pPr>
                    <a:defRPr sz="800">
                      <a:solidFill>
                        <a:schemeClr val="tx1"/>
                      </a:solidFill>
                    </a:defRPr>
                  </a:pPr>
                  <a:endParaRPr lang="ja-JP"/>
                </a:p>
              </c:txPr>
              <c:showVal val="1"/>
              <c:showCatName val="1"/>
            </c:dLbl>
            <c:dLbl>
              <c:idx val="1"/>
              <c:delete val="1"/>
            </c:dLbl>
            <c:dLbl>
              <c:idx val="2"/>
              <c:layout>
                <c:manualLayout>
                  <c:x val="-0.20951188937203813"/>
                  <c:y val="4.2016806722689074E-3"/>
                </c:manualLayout>
              </c:layout>
              <c:numFmt formatCode="0.0%" sourceLinked="0"/>
              <c:spPr>
                <a:solidFill>
                  <a:sysClr val="window" lastClr="FFFFFF"/>
                </a:solidFill>
              </c:spPr>
              <c:txPr>
                <a:bodyPr horzOverflow="overflow"/>
                <a:lstStyle/>
                <a:p>
                  <a:pPr>
                    <a:defRPr sz="800">
                      <a:solidFill>
                        <a:schemeClr val="tx1"/>
                      </a:solidFill>
                    </a:defRPr>
                  </a:pPr>
                  <a:endParaRPr lang="ja-JP"/>
                </a:p>
              </c:txPr>
              <c:showVal val="1"/>
              <c:showCatName val="1"/>
              <c:separator> </c:separator>
            </c:dLbl>
            <c:dLbl>
              <c:idx val="3"/>
              <c:numFmt formatCode="0.0%" sourceLinked="0"/>
              <c:spPr>
                <a:solidFill>
                  <a:sysClr val="window" lastClr="FFFFFF"/>
                </a:solidFill>
              </c:spPr>
              <c:txPr>
                <a:bodyPr horzOverflow="overflow"/>
                <a:lstStyle/>
                <a:p>
                  <a:pPr>
                    <a:defRPr sz="800">
                      <a:solidFill>
                        <a:schemeClr val="tx1"/>
                      </a:solidFill>
                    </a:defRPr>
                  </a:pPr>
                  <a:endParaRPr lang="ja-JP"/>
                </a:p>
              </c:txPr>
              <c:showVal val="1"/>
              <c:showCatName val="1"/>
            </c:dLbl>
            <c:numFmt formatCode="0.0%" sourceLinked="0"/>
            <c:spPr>
              <a:solidFill>
                <a:sysClr val="window" lastClr="FFFFFF"/>
              </a:solidFill>
            </c:spPr>
            <c:txPr>
              <a:bodyPr rot="0" horzOverflow="overflow" anchor="ctr"/>
              <a:lstStyle/>
              <a:p>
                <a:pPr algn="ctr" rtl="0">
                  <a:defRPr sz="800">
                    <a:solidFill>
                      <a:schemeClr val="tx1"/>
                    </a:solidFill>
                  </a:defRPr>
                </a:pPr>
                <a:endParaRPr lang="ja-JP"/>
              </a:p>
            </c:txPr>
            <c:showVal val="1"/>
            <c:showCatName val="1"/>
            <c:separator> </c:separator>
            <c:showLeaderLines val="1"/>
          </c:dLbls>
          <c:cat>
            <c:strRef>
              <c:f>Sheet1!$A$2:$A$4</c:f>
              <c:strCache>
                <c:ptCount val="3"/>
                <c:pt idx="0">
                  <c:v>沿岸部</c:v>
                </c:pt>
                <c:pt idx="1">
                  <c:v>非沿岸部</c:v>
                </c:pt>
                <c:pt idx="2">
                  <c:v>無回答</c:v>
                </c:pt>
              </c:strCache>
            </c:strRef>
          </c:cat>
          <c:val>
            <c:numRef>
              <c:f>Sheet1!$B$2:$B$4</c:f>
              <c:numCache>
                <c:formatCode>General</c:formatCode>
                <c:ptCount val="3"/>
                <c:pt idx="0">
                  <c:v>0.34400000000000008</c:v>
                </c:pt>
                <c:pt idx="1">
                  <c:v>0.64400000000000179</c:v>
                </c:pt>
                <c:pt idx="2">
                  <c:v>1.2E-2</c:v>
                </c:pt>
              </c:numCache>
            </c:numRef>
          </c:val>
        </c:ser>
        <c:dLbls>
          <c:showVal val="1"/>
        </c:dLbls>
        <c:firstSliceAng val="0"/>
      </c:pieChart>
    </c:plotArea>
    <c:plotVisOnly val="1"/>
    <c:dispBlanksAs val="zero"/>
  </c:chart>
  <c:spPr>
    <a:ln>
      <a:noFill/>
    </a:ln>
  </c:spPr>
  <c:txPr>
    <a:bodyPr horzOverflow="overflow" anchor="ctr"/>
    <a:lstStyle/>
    <a:p>
      <a:pPr algn="ctr" rtl="0">
        <a:defRPr lang="ja-JP" altLang="en-US" sz="900">
          <a:solidFill>
            <a:schemeClr val="tx1"/>
          </a:solidFill>
          <a:latin typeface="ＭＳ 明朝"/>
          <a:ea typeface="ＭＳ 明朝"/>
        </a:defRPr>
      </a:pPr>
      <a:endParaRPr lang="ja-JP"/>
    </a:p>
  </c:txPr>
  <c:externalData r:id="rId2"/>
  <c:extLst/>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48812390186764"/>
          <c:y val="0.15484771950675991"/>
          <c:w val="0.74667893635677707"/>
          <c:h val="0.83998486235732173"/>
        </c:manualLayout>
      </c:layout>
      <c:pieChart>
        <c:varyColors val="1"/>
        <c:ser>
          <c:idx val="2"/>
          <c:order val="0"/>
          <c:tx>
            <c:strRef>
              <c:f>Sheet1!$B$1</c:f>
              <c:strCache>
                <c:ptCount val="1"/>
                <c:pt idx="0">
                  <c:v>売上高</c:v>
                </c:pt>
              </c:strCache>
            </c:strRef>
          </c:tx>
          <c:spPr>
            <a:ln w="6350">
              <a:solidFill>
                <a:sysClr val="windowText" lastClr="000000"/>
              </a:solidFill>
            </a:ln>
          </c:spPr>
          <c:dPt>
            <c:idx val="0"/>
            <c:spPr>
              <a:pattFill prst="pct75">
                <a:fgClr>
                  <a:sysClr val="windowText" lastClr="000000"/>
                </a:fgClr>
                <a:bgClr>
                  <a:sysClr val="window" lastClr="FFFFFF"/>
                </a:bgClr>
              </a:pattFill>
              <a:ln w="6350">
                <a:solidFill>
                  <a:sysClr val="windowText" lastClr="000000"/>
                </a:solidFill>
              </a:ln>
            </c:spPr>
          </c:dPt>
          <c:dPt>
            <c:idx val="1"/>
            <c:spPr>
              <a:pattFill prst="pct20">
                <a:fgClr>
                  <a:sysClr val="windowText" lastClr="000000"/>
                </a:fgClr>
                <a:bgClr>
                  <a:sysClr val="window" lastClr="FFFFFF"/>
                </a:bgClr>
              </a:pattFill>
              <a:ln w="6350">
                <a:solidFill>
                  <a:sysClr val="windowText" lastClr="000000"/>
                </a:solidFill>
              </a:ln>
            </c:spPr>
          </c:dPt>
          <c:dPt>
            <c:idx val="2"/>
            <c:spPr>
              <a:pattFill prst="pct50">
                <a:fgClr>
                  <a:sysClr val="windowText" lastClr="000000"/>
                </a:fgClr>
                <a:bgClr>
                  <a:sysClr val="window" lastClr="FFFFFF"/>
                </a:bgClr>
              </a:pattFill>
              <a:ln w="6350">
                <a:solidFill>
                  <a:sysClr val="windowText" lastClr="000000"/>
                </a:solidFill>
              </a:ln>
            </c:spPr>
          </c:dPt>
          <c:dPt>
            <c:idx val="3"/>
            <c:spPr>
              <a:pattFill prst="ltDnDiag">
                <a:fgClr>
                  <a:sysClr val="windowText" lastClr="000000"/>
                </a:fgClr>
                <a:bgClr>
                  <a:sysClr val="window" lastClr="FFFFFF"/>
                </a:bgClr>
              </a:pattFill>
              <a:ln w="6350">
                <a:solidFill>
                  <a:sysClr val="windowText" lastClr="000000"/>
                </a:solidFill>
              </a:ln>
            </c:spPr>
          </c:dPt>
          <c:dPt>
            <c:idx val="4"/>
            <c:spPr>
              <a:pattFill prst="pct10">
                <a:fgClr>
                  <a:sysClr val="windowText" lastClr="000000"/>
                </a:fgClr>
                <a:bgClr>
                  <a:srgbClr val="FFFF00"/>
                </a:bgClr>
              </a:pattFill>
              <a:ln w="6350">
                <a:solidFill>
                  <a:sysClr val="windowText" lastClr="000000"/>
                </a:solidFill>
              </a:ln>
            </c:spPr>
          </c:dPt>
          <c:dPt>
            <c:idx val="5"/>
            <c:spPr>
              <a:pattFill prst="ltUpDiag">
                <a:fgClr>
                  <a:sysClr val="windowText" lastClr="000000"/>
                </a:fgClr>
                <a:bgClr>
                  <a:sysClr val="window" lastClr="FFFFFF"/>
                </a:bgClr>
              </a:pattFill>
              <a:ln w="6350">
                <a:solidFill>
                  <a:sysClr val="windowText" lastClr="000000"/>
                </a:solidFill>
              </a:ln>
            </c:spPr>
          </c:dPt>
          <c:dPt>
            <c:idx val="6"/>
            <c:spPr>
              <a:pattFill prst="pct60">
                <a:fgClr>
                  <a:sysClr val="windowText" lastClr="000000"/>
                </a:fgClr>
                <a:bgClr>
                  <a:sysClr val="window" lastClr="FFFFFF"/>
                </a:bgClr>
              </a:pattFill>
              <a:ln w="6350">
                <a:solidFill>
                  <a:sysClr val="windowText" lastClr="000000"/>
                </a:solidFill>
              </a:ln>
            </c:spPr>
          </c:dPt>
          <c:dPt>
            <c:idx val="7"/>
            <c:spPr>
              <a:pattFill prst="wdDnDiag">
                <a:fgClr>
                  <a:sysClr val="windowText" lastClr="000000"/>
                </a:fgClr>
                <a:bgClr>
                  <a:sysClr val="window" lastClr="FFFFFF"/>
                </a:bgClr>
              </a:pattFill>
              <a:ln w="6350">
                <a:solidFill>
                  <a:sysClr val="windowText" lastClr="000000"/>
                </a:solidFill>
              </a:ln>
            </c:spPr>
          </c:dPt>
          <c:dPt>
            <c:idx val="8"/>
            <c:spPr>
              <a:pattFill prst="pct70">
                <a:fgClr>
                  <a:sysClr val="windowText" lastClr="000000"/>
                </a:fgClr>
                <a:bgClr>
                  <a:sysClr val="window" lastClr="FFFFFF"/>
                </a:bgClr>
              </a:pattFill>
              <a:ln w="6350">
                <a:solidFill>
                  <a:sysClr val="windowText" lastClr="000000"/>
                </a:solidFill>
              </a:ln>
            </c:spPr>
          </c:dPt>
          <c:dLbls>
            <c:dLbl>
              <c:idx val="0"/>
              <c:layout>
                <c:manualLayout>
                  <c:x val="0.13223140495867769"/>
                  <c:y val="0"/>
                </c:manualLayout>
              </c:layout>
              <c:numFmt formatCode="0.0%" sourceLinked="0"/>
              <c:spPr/>
              <c:txPr>
                <a:bodyPr horzOverflow="overflow"/>
                <a:lstStyle/>
                <a:p>
                  <a:pPr>
                    <a:defRPr sz="800">
                      <a:solidFill>
                        <a:schemeClr val="tx1"/>
                      </a:solidFill>
                    </a:defRPr>
                  </a:pPr>
                  <a:endParaRPr lang="ja-JP"/>
                </a:p>
              </c:txPr>
              <c:showVal val="1"/>
              <c:showCatName val="1"/>
              <c:separator> </c:separator>
            </c:dLbl>
            <c:dLbl>
              <c:idx val="1"/>
              <c:layout>
                <c:manualLayout>
                  <c:x val="4.4077134986226105E-2"/>
                  <c:y val="5.3795374634774427E-2"/>
                </c:manualLayout>
              </c:layout>
              <c:numFmt formatCode="0.0%" sourceLinked="0"/>
              <c:spPr>
                <a:solidFill>
                  <a:sysClr val="window" lastClr="FFFFFF"/>
                </a:solidFill>
              </c:spPr>
              <c:txPr>
                <a:bodyPr horzOverflow="overflow"/>
                <a:lstStyle/>
                <a:p>
                  <a:pPr>
                    <a:defRPr sz="800">
                      <a:solidFill>
                        <a:schemeClr val="tx1"/>
                      </a:solidFill>
                    </a:defRPr>
                  </a:pPr>
                  <a:endParaRPr lang="ja-JP"/>
                </a:p>
              </c:txPr>
              <c:showVal val="1"/>
              <c:showCatName val="1"/>
              <c:separator> </c:separator>
            </c:dLbl>
            <c:dLbl>
              <c:idx val="2"/>
              <c:layout>
                <c:manualLayout>
                  <c:x val="-0.19283746556473841"/>
                  <c:y val="-1.2315653939483978E-2"/>
                </c:manualLayout>
              </c:layout>
              <c:numFmt formatCode="0.0%" sourceLinked="0"/>
              <c:spPr>
                <a:solidFill>
                  <a:sysClr val="window" lastClr="FFFFFF"/>
                </a:solidFill>
              </c:spPr>
              <c:txPr>
                <a:bodyPr horzOverflow="overflow"/>
                <a:lstStyle/>
                <a:p>
                  <a:pPr>
                    <a:defRPr sz="800">
                      <a:solidFill>
                        <a:schemeClr val="tx1"/>
                      </a:solidFill>
                    </a:defRPr>
                  </a:pPr>
                  <a:endParaRPr lang="ja-JP"/>
                </a:p>
              </c:txPr>
              <c:showVal val="1"/>
              <c:showCatName val="1"/>
              <c:separator> </c:separator>
            </c:dLbl>
            <c:dLbl>
              <c:idx val="3"/>
              <c:layout>
                <c:manualLayout>
                  <c:x val="-0.14876033057851296"/>
                  <c:y val="-0.10542635658914729"/>
                </c:manualLayout>
              </c:layout>
              <c:numFmt formatCode="0.0%" sourceLinked="0"/>
              <c:spPr>
                <a:solidFill>
                  <a:sysClr val="window" lastClr="FFFFFF"/>
                </a:solidFill>
              </c:spPr>
              <c:txPr>
                <a:bodyPr horzOverflow="overflow" anchorCtr="1"/>
                <a:lstStyle/>
                <a:p>
                  <a:pPr>
                    <a:defRPr sz="800">
                      <a:solidFill>
                        <a:schemeClr val="tx1"/>
                      </a:solidFill>
                    </a:defRPr>
                  </a:pPr>
                  <a:endParaRPr lang="ja-JP"/>
                </a:p>
              </c:txPr>
              <c:showVal val="1"/>
              <c:showCatName val="1"/>
              <c:separator> </c:separator>
            </c:dLbl>
            <c:dLbl>
              <c:idx val="4"/>
              <c:layout>
                <c:manualLayout>
                  <c:x val="0.19283746556473841"/>
                  <c:y val="-0.14263565891472868"/>
                </c:manualLayout>
              </c:layout>
              <c:numFmt formatCode="0.0%" sourceLinked="0"/>
              <c:spPr>
                <a:solidFill>
                  <a:sysClr val="window" lastClr="FFFFFF"/>
                </a:solidFill>
              </c:spPr>
              <c:txPr>
                <a:bodyPr horzOverflow="overflow"/>
                <a:lstStyle/>
                <a:p>
                  <a:pPr>
                    <a:defRPr sz="800">
                      <a:solidFill>
                        <a:schemeClr val="tx1"/>
                      </a:solidFill>
                    </a:defRPr>
                  </a:pPr>
                  <a:endParaRPr lang="ja-JP"/>
                </a:p>
              </c:txPr>
              <c:showVal val="1"/>
              <c:showCatName val="1"/>
              <c:separator> </c:separator>
            </c:dLbl>
            <c:dLbl>
              <c:idx val="5"/>
              <c:layout>
                <c:manualLayout>
                  <c:x val="0.18181818181818252"/>
                  <c:y val="0.17984496124031021"/>
                </c:manualLayout>
              </c:layout>
              <c:numFmt formatCode="0.0%" sourceLinked="0"/>
              <c:spPr>
                <a:solidFill>
                  <a:sysClr val="window" lastClr="FFFFFF"/>
                </a:solidFill>
              </c:spPr>
              <c:txPr>
                <a:bodyPr horzOverflow="overflow"/>
                <a:lstStyle/>
                <a:p>
                  <a:pPr>
                    <a:defRPr sz="800">
                      <a:solidFill>
                        <a:schemeClr val="tx1"/>
                      </a:solidFill>
                    </a:defRPr>
                  </a:pPr>
                  <a:endParaRPr lang="ja-JP"/>
                </a:p>
              </c:txPr>
              <c:showVal val="1"/>
              <c:showCatName val="1"/>
              <c:separator> </c:separator>
            </c:dLbl>
            <c:dLbl>
              <c:idx val="6"/>
              <c:layout>
                <c:manualLayout>
                  <c:x val="-0.22038567493112937"/>
                  <c:y val="7.5471698113207544E-2"/>
                </c:manualLayout>
              </c:layout>
              <c:numFmt formatCode="0.0%" sourceLinked="0"/>
              <c:spPr/>
              <c:txPr>
                <a:bodyPr horzOverflow="overflow"/>
                <a:lstStyle/>
                <a:p>
                  <a:pPr>
                    <a:defRPr sz="800">
                      <a:solidFill>
                        <a:schemeClr val="tx1"/>
                      </a:solidFill>
                    </a:defRPr>
                  </a:pPr>
                  <a:endParaRPr lang="ja-JP"/>
                </a:p>
              </c:txPr>
              <c:showVal val="1"/>
              <c:separator> </c:separator>
            </c:dLbl>
            <c:dLbl>
              <c:idx val="7"/>
              <c:layout>
                <c:manualLayout>
                  <c:x val="-0.14876033057851296"/>
                  <c:y val="0"/>
                </c:manualLayout>
              </c:layout>
              <c:numFmt formatCode="0.0%" sourceLinked="0"/>
              <c:spPr/>
              <c:txPr>
                <a:bodyPr horzOverflow="overflow"/>
                <a:lstStyle/>
                <a:p>
                  <a:pPr>
                    <a:defRPr sz="800">
                      <a:solidFill>
                        <a:schemeClr val="tx1"/>
                      </a:solidFill>
                    </a:defRPr>
                  </a:pPr>
                  <a:endParaRPr lang="ja-JP"/>
                </a:p>
              </c:txPr>
              <c:showVal val="1"/>
              <c:showCatName val="1"/>
              <c:separator> </c:separator>
            </c:dLbl>
            <c:dLbl>
              <c:idx val="8"/>
              <c:numFmt formatCode="0.0%" sourceLinked="0"/>
              <c:spPr/>
              <c:txPr>
                <a:bodyPr horzOverflow="overflow"/>
                <a:lstStyle/>
                <a:p>
                  <a:pPr>
                    <a:defRPr sz="800">
                      <a:solidFill>
                        <a:schemeClr val="tx1"/>
                      </a:solidFill>
                    </a:defRPr>
                  </a:pPr>
                  <a:endParaRPr lang="ja-JP"/>
                </a:p>
              </c:txPr>
              <c:dLblPos val="outEnd"/>
              <c:showVal val="1"/>
              <c:showCatName val="1"/>
            </c:dLbl>
            <c:numFmt formatCode="0.0%" sourceLinked="0"/>
            <c:txPr>
              <a:bodyPr rot="0" horzOverflow="overflow" anchor="ctr"/>
              <a:lstStyle/>
              <a:p>
                <a:pPr algn="ctr" rtl="0">
                  <a:defRPr sz="800">
                    <a:solidFill>
                      <a:schemeClr val="tx1"/>
                    </a:solidFill>
                  </a:defRPr>
                </a:pPr>
                <a:endParaRPr lang="ja-JP"/>
              </a:p>
            </c:txPr>
            <c:dLblPos val="outEnd"/>
            <c:showVal val="1"/>
            <c:showCatName val="1"/>
            <c:separator> </c:separator>
            <c:showLeaderLines val="1"/>
          </c:dLbls>
          <c:cat>
            <c:strRef>
              <c:f>Sheet1!$A$2:$A$9</c:f>
              <c:strCache>
                <c:ptCount val="8"/>
                <c:pt idx="0">
                  <c:v>10歳代</c:v>
                </c:pt>
                <c:pt idx="1">
                  <c:v>20歳代</c:v>
                </c:pt>
                <c:pt idx="2">
                  <c:v>30歳代</c:v>
                </c:pt>
                <c:pt idx="3">
                  <c:v>40歳代</c:v>
                </c:pt>
                <c:pt idx="4">
                  <c:v>50歳代</c:v>
                </c:pt>
                <c:pt idx="5">
                  <c:v>60歳代</c:v>
                </c:pt>
                <c:pt idx="6">
                  <c:v>70歳以上</c:v>
                </c:pt>
                <c:pt idx="7">
                  <c:v>無回答</c:v>
                </c:pt>
              </c:strCache>
            </c:strRef>
          </c:cat>
          <c:val>
            <c:numRef>
              <c:f>Sheet1!$B$2:$B$9</c:f>
              <c:numCache>
                <c:formatCode>General</c:formatCode>
                <c:ptCount val="8"/>
                <c:pt idx="0">
                  <c:v>5.4000000000000034E-2</c:v>
                </c:pt>
                <c:pt idx="1">
                  <c:v>0.126</c:v>
                </c:pt>
                <c:pt idx="2">
                  <c:v>0.15700000000000044</c:v>
                </c:pt>
                <c:pt idx="3">
                  <c:v>0.21800000000000042</c:v>
                </c:pt>
                <c:pt idx="4">
                  <c:v>0.21300000000000024</c:v>
                </c:pt>
                <c:pt idx="5">
                  <c:v>0.16200000000000001</c:v>
                </c:pt>
                <c:pt idx="6">
                  <c:v>6.1000000000000013E-2</c:v>
                </c:pt>
                <c:pt idx="7">
                  <c:v>9.0000000000000028E-3</c:v>
                </c:pt>
              </c:numCache>
            </c:numRef>
          </c:val>
        </c:ser>
        <c:dLbls>
          <c:showVal val="1"/>
        </c:dLbls>
        <c:firstSliceAng val="0"/>
      </c:pieChart>
    </c:plotArea>
    <c:plotVisOnly val="1"/>
    <c:dispBlanksAs val="zero"/>
  </c:chart>
  <c:spPr>
    <a:ln>
      <a:noFill/>
    </a:ln>
  </c:spPr>
  <c:txPr>
    <a:bodyPr horzOverflow="overflow" anchor="ctr"/>
    <a:lstStyle/>
    <a:p>
      <a:pPr algn="ctr" rtl="0">
        <a:defRPr lang="ja-JP" altLang="en-US" sz="900">
          <a:solidFill>
            <a:schemeClr val="tx1"/>
          </a:solidFill>
          <a:latin typeface="ＭＳ 明朝"/>
          <a:ea typeface="ＭＳ 明朝"/>
        </a:defRPr>
      </a:pPr>
      <a:endParaRPr lang="ja-JP"/>
    </a:p>
  </c:txPr>
  <c:externalData r:id="rId2"/>
  <c:userShapes r:id="rId3"/>
  <c:extLst/>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077720500764745"/>
          <c:y val="0.18543815991526799"/>
          <c:w val="0.6481176004078627"/>
          <c:h val="0.62910856464171061"/>
        </c:manualLayout>
      </c:layout>
      <c:pieChart>
        <c:varyColors val="1"/>
        <c:ser>
          <c:idx val="2"/>
          <c:order val="0"/>
          <c:tx>
            <c:strRef>
              <c:f>Sheet1!$B$1</c:f>
              <c:strCache>
                <c:ptCount val="1"/>
                <c:pt idx="0">
                  <c:v>売上高</c:v>
                </c:pt>
              </c:strCache>
            </c:strRef>
          </c:tx>
          <c:spPr>
            <a:ln>
              <a:solidFill>
                <a:schemeClr val="tx1"/>
              </a:solidFill>
            </a:ln>
          </c:spPr>
          <c:dPt>
            <c:idx val="0"/>
            <c:spPr>
              <a:pattFill prst="pct75">
                <a:fgClr>
                  <a:sysClr val="windowText" lastClr="000000"/>
                </a:fgClr>
                <a:bgClr>
                  <a:sysClr val="window" lastClr="FFFFFF"/>
                </a:bgClr>
              </a:pattFill>
              <a:ln>
                <a:solidFill>
                  <a:schemeClr val="tx1"/>
                </a:solidFill>
              </a:ln>
            </c:spPr>
          </c:dPt>
          <c:dPt>
            <c:idx val="1"/>
            <c:spPr>
              <a:pattFill prst="pct20">
                <a:fgClr>
                  <a:sysClr val="windowText" lastClr="000000"/>
                </a:fgClr>
                <a:bgClr>
                  <a:sysClr val="window" lastClr="FFFFFF"/>
                </a:bgClr>
              </a:pattFill>
              <a:ln>
                <a:solidFill>
                  <a:schemeClr val="tx1"/>
                </a:solidFill>
              </a:ln>
            </c:spPr>
          </c:dPt>
          <c:dPt>
            <c:idx val="2"/>
            <c:spPr>
              <a:pattFill prst="pct50">
                <a:fgClr>
                  <a:sysClr val="windowText" lastClr="000000"/>
                </a:fgClr>
                <a:bgClr>
                  <a:sysClr val="window" lastClr="FFFFFF"/>
                </a:bgClr>
              </a:pattFill>
              <a:ln>
                <a:solidFill>
                  <a:schemeClr val="tx1"/>
                </a:solidFill>
              </a:ln>
            </c:spPr>
          </c:dPt>
          <c:dPt>
            <c:idx val="3"/>
            <c:spPr>
              <a:pattFill prst="ltDnDiag">
                <a:fgClr>
                  <a:sysClr val="windowText" lastClr="000000"/>
                </a:fgClr>
                <a:bgClr>
                  <a:sysClr val="window" lastClr="FFFFFF"/>
                </a:bgClr>
              </a:pattFill>
              <a:ln>
                <a:solidFill>
                  <a:schemeClr val="tx1"/>
                </a:solidFill>
              </a:ln>
            </c:spPr>
          </c:dPt>
          <c:dPt>
            <c:idx val="4"/>
            <c:spPr>
              <a:pattFill prst="pct10">
                <a:fgClr>
                  <a:sysClr val="windowText" lastClr="000000"/>
                </a:fgClr>
                <a:bgClr>
                  <a:srgbClr val="FFFF00"/>
                </a:bgClr>
              </a:pattFill>
              <a:ln>
                <a:solidFill>
                  <a:schemeClr val="tx1"/>
                </a:solidFill>
              </a:ln>
            </c:spPr>
          </c:dPt>
          <c:dPt>
            <c:idx val="5"/>
            <c:spPr>
              <a:pattFill prst="ltUpDiag">
                <a:fgClr>
                  <a:sysClr val="windowText" lastClr="000000"/>
                </a:fgClr>
                <a:bgClr>
                  <a:sysClr val="window" lastClr="FFFFFF"/>
                </a:bgClr>
              </a:pattFill>
              <a:ln>
                <a:solidFill>
                  <a:schemeClr val="tx1"/>
                </a:solidFill>
              </a:ln>
            </c:spPr>
          </c:dPt>
          <c:dPt>
            <c:idx val="6"/>
            <c:spPr>
              <a:pattFill prst="pct60">
                <a:fgClr>
                  <a:sysClr val="windowText" lastClr="000000"/>
                </a:fgClr>
                <a:bgClr>
                  <a:sysClr val="window" lastClr="FFFFFF"/>
                </a:bgClr>
              </a:pattFill>
              <a:ln>
                <a:solidFill>
                  <a:schemeClr val="tx1"/>
                </a:solidFill>
              </a:ln>
            </c:spPr>
          </c:dPt>
          <c:dPt>
            <c:idx val="7"/>
            <c:spPr>
              <a:pattFill prst="wdDnDiag">
                <a:fgClr>
                  <a:sysClr val="windowText" lastClr="000000"/>
                </a:fgClr>
                <a:bgClr>
                  <a:sysClr val="window" lastClr="FFFFFF"/>
                </a:bgClr>
              </a:pattFill>
              <a:ln>
                <a:solidFill>
                  <a:schemeClr val="tx1"/>
                </a:solidFill>
              </a:ln>
            </c:spPr>
          </c:dPt>
          <c:dPt>
            <c:idx val="8"/>
            <c:spPr>
              <a:pattFill prst="pct25">
                <a:fgClr>
                  <a:sysClr val="windowText" lastClr="000000"/>
                </a:fgClr>
                <a:bgClr>
                  <a:srgbClr val="92D050"/>
                </a:bgClr>
              </a:pattFill>
              <a:ln>
                <a:solidFill>
                  <a:schemeClr val="tx1"/>
                </a:solidFill>
              </a:ln>
            </c:spPr>
          </c:dPt>
          <c:dPt>
            <c:idx val="9"/>
            <c:spPr>
              <a:pattFill prst="wdUpDiag">
                <a:fgClr>
                  <a:sysClr val="windowText" lastClr="000000"/>
                </a:fgClr>
                <a:bgClr>
                  <a:srgbClr val="00B0F0"/>
                </a:bgClr>
              </a:pattFill>
              <a:ln>
                <a:solidFill>
                  <a:schemeClr val="tx1"/>
                </a:solidFill>
              </a:ln>
            </c:spPr>
          </c:dPt>
          <c:dPt>
            <c:idx val="10"/>
            <c:spPr>
              <a:solidFill>
                <a:sysClr val="window" lastClr="FFFFFF"/>
              </a:solidFill>
              <a:ln>
                <a:solidFill>
                  <a:schemeClr val="tx1"/>
                </a:solidFill>
              </a:ln>
            </c:spPr>
          </c:dPt>
          <c:dPt>
            <c:idx val="11"/>
            <c:spPr>
              <a:pattFill prst="dkHorz">
                <a:fgClr>
                  <a:sysClr val="windowText" lastClr="000000"/>
                </a:fgClr>
                <a:bgClr>
                  <a:sysClr val="window" lastClr="FFFFFF"/>
                </a:bgClr>
              </a:pattFill>
              <a:ln>
                <a:solidFill>
                  <a:schemeClr val="tx1"/>
                </a:solidFill>
              </a:ln>
            </c:spPr>
          </c:dPt>
          <c:dPt>
            <c:idx val="12"/>
            <c:spPr>
              <a:pattFill prst="openDmnd">
                <a:fgClr>
                  <a:sysClr val="windowText" lastClr="000000"/>
                </a:fgClr>
                <a:bgClr>
                  <a:sysClr val="window" lastClr="FFFFFF"/>
                </a:bgClr>
              </a:pattFill>
              <a:ln>
                <a:solidFill>
                  <a:schemeClr val="tx1"/>
                </a:solidFill>
              </a:ln>
            </c:spPr>
          </c:dPt>
          <c:dLbls>
            <c:dLbl>
              <c:idx val="0"/>
              <c:layout>
                <c:manualLayout>
                  <c:x val="-1.9531713212107553E-2"/>
                  <c:y val="-2.1762384597030237E-2"/>
                </c:manualLayout>
              </c:layout>
              <c:numFmt formatCode="0.0%" sourceLinked="0"/>
              <c:spPr/>
              <c:txPr>
                <a:bodyPr horzOverflow="overflow"/>
                <a:lstStyle/>
                <a:p>
                  <a:pPr>
                    <a:defRPr sz="700">
                      <a:solidFill>
                        <a:schemeClr val="tx1"/>
                      </a:solidFill>
                    </a:defRPr>
                  </a:pPr>
                  <a:endParaRPr lang="ja-JP"/>
                </a:p>
              </c:txPr>
              <c:showVal val="1"/>
              <c:showCatName val="1"/>
              <c:separator> </c:separator>
            </c:dLbl>
            <c:dLbl>
              <c:idx val="1"/>
              <c:layout>
                <c:manualLayout>
                  <c:x val="9.8415377933873754E-2"/>
                  <c:y val="-7.5958005249343832E-2"/>
                </c:manualLayout>
              </c:layout>
              <c:tx>
                <c:rich>
                  <a:bodyPr horzOverflow="overflow"/>
                  <a:lstStyle/>
                  <a:p>
                    <a:pPr>
                      <a:defRPr/>
                    </a:pPr>
                    <a:r>
                      <a:rPr lang="ja-JP" altLang="en-US" sz="700">
                        <a:solidFill>
                          <a:schemeClr val="tx1"/>
                        </a:solidFill>
                        <a:latin typeface="ＭＳ 明朝"/>
                        <a:ea typeface="ＭＳ 明朝"/>
                      </a:rPr>
                      <a:t>漁業 </a:t>
                    </a:r>
                    <a:endParaRPr lang="en-US" altLang="ja-JP" sz="700">
                      <a:solidFill>
                        <a:schemeClr val="tx1"/>
                      </a:solidFill>
                      <a:latin typeface="ＭＳ 明朝"/>
                      <a:ea typeface="ＭＳ 明朝"/>
                    </a:endParaRPr>
                  </a:p>
                  <a:p>
                    <a:pPr>
                      <a:defRPr/>
                    </a:pPr>
                    <a:r>
                      <a:rPr lang="en-US" altLang="ja-JP" sz="700">
                        <a:solidFill>
                          <a:schemeClr val="tx1"/>
                        </a:solidFill>
                        <a:latin typeface="ＭＳ 明朝"/>
                        <a:ea typeface="ＭＳ 明朝"/>
                      </a:rPr>
                      <a:t>0.6%</a:t>
                    </a:r>
                    <a:endParaRPr lang="ja-JP" altLang="en-US" sz="700">
                      <a:solidFill>
                        <a:schemeClr val="tx1"/>
                      </a:solidFill>
                      <a:latin typeface="ＭＳ 明朝"/>
                      <a:ea typeface="ＭＳ 明朝"/>
                    </a:endParaRPr>
                  </a:p>
                </c:rich>
              </c:tx>
              <c:numFmt formatCode="0.0%" sourceLinked="0"/>
              <c:spPr/>
              <c:showVal val="1"/>
              <c:showCatName val="1"/>
              <c:separator> </c:separator>
            </c:dLbl>
            <c:dLbl>
              <c:idx val="2"/>
              <c:layout>
                <c:manualLayout>
                  <c:x val="6.4435129062104662E-2"/>
                  <c:y val="6.2937062937062943E-2"/>
                </c:manualLayout>
              </c:layout>
              <c:tx>
                <c:rich>
                  <a:bodyPr horzOverflow="overflow"/>
                  <a:lstStyle/>
                  <a:p>
                    <a:pPr>
                      <a:defRPr/>
                    </a:pPr>
                    <a:r>
                      <a:rPr lang="ja-JP" altLang="en-US" sz="700">
                        <a:solidFill>
                          <a:schemeClr val="tx1"/>
                        </a:solidFill>
                        <a:latin typeface="ＭＳ 明朝"/>
                        <a:ea typeface="ＭＳ 明朝"/>
                      </a:rPr>
                      <a:t>商工サービス業自営 </a:t>
                    </a:r>
                    <a:endParaRPr lang="en-US" altLang="ja-JP" sz="700">
                      <a:solidFill>
                        <a:schemeClr val="tx1"/>
                      </a:solidFill>
                      <a:latin typeface="ＭＳ 明朝"/>
                      <a:ea typeface="ＭＳ 明朝"/>
                    </a:endParaRPr>
                  </a:p>
                  <a:p>
                    <a:pPr>
                      <a:defRPr/>
                    </a:pPr>
                    <a:r>
                      <a:rPr lang="en-US" altLang="ja-JP" sz="700">
                        <a:solidFill>
                          <a:schemeClr val="tx1"/>
                        </a:solidFill>
                        <a:latin typeface="ＭＳ 明朝"/>
                        <a:ea typeface="ＭＳ 明朝"/>
                      </a:rPr>
                      <a:t>4.3%</a:t>
                    </a:r>
                    <a:endParaRPr lang="ja-JP" altLang="en-US" sz="700">
                      <a:solidFill>
                        <a:schemeClr val="tx1"/>
                      </a:solidFill>
                      <a:latin typeface="ＭＳ 明朝"/>
                      <a:ea typeface="ＭＳ 明朝"/>
                    </a:endParaRPr>
                  </a:p>
                </c:rich>
              </c:tx>
              <c:numFmt formatCode="0.0%" sourceLinked="0"/>
              <c:spPr/>
              <c:showVal val="1"/>
              <c:showCatName val="1"/>
              <c:separator> </c:separator>
            </c:dLbl>
            <c:dLbl>
              <c:idx val="3"/>
              <c:layout>
                <c:manualLayout>
                  <c:x val="-0.17647500896920271"/>
                  <c:y val="9.2664500853477591E-2"/>
                </c:manualLayout>
              </c:layout>
              <c:numFmt formatCode="0.0%" sourceLinked="0"/>
              <c:spPr>
                <a:solidFill>
                  <a:sysClr val="window" lastClr="FFFFFF"/>
                </a:solidFill>
              </c:spPr>
              <c:txPr>
                <a:bodyPr horzOverflow="overflow"/>
                <a:lstStyle/>
                <a:p>
                  <a:pPr>
                    <a:defRPr sz="700">
                      <a:solidFill>
                        <a:schemeClr val="tx1"/>
                      </a:solidFill>
                    </a:defRPr>
                  </a:pPr>
                  <a:endParaRPr lang="ja-JP"/>
                </a:p>
              </c:txPr>
              <c:showVal val="1"/>
              <c:showCatName val="1"/>
              <c:separator> </c:separator>
            </c:dLbl>
            <c:dLbl>
              <c:idx val="4"/>
              <c:layout>
                <c:manualLayout>
                  <c:x val="-0.18185728582488384"/>
                  <c:y val="-0.11389424224069947"/>
                </c:manualLayout>
              </c:layout>
              <c:numFmt formatCode="0.0%" sourceLinked="0"/>
              <c:spPr>
                <a:solidFill>
                  <a:sysClr val="window" lastClr="FFFFFF"/>
                </a:solidFill>
              </c:spPr>
              <c:txPr>
                <a:bodyPr horzOverflow="overflow"/>
                <a:lstStyle/>
                <a:p>
                  <a:pPr>
                    <a:defRPr sz="700">
                      <a:solidFill>
                        <a:schemeClr val="tx1"/>
                      </a:solidFill>
                    </a:defRPr>
                  </a:pPr>
                  <a:endParaRPr lang="ja-JP"/>
                </a:p>
              </c:txPr>
              <c:showVal val="1"/>
              <c:showCatName val="1"/>
              <c:separator> </c:separator>
            </c:dLbl>
            <c:dLbl>
              <c:idx val="5"/>
              <c:layout>
                <c:manualLayout>
                  <c:x val="5.0266810173908119E-2"/>
                  <c:y val="5.1300038544133134E-2"/>
                </c:manualLayout>
              </c:layout>
              <c:numFmt formatCode="0.0%" sourceLinked="0"/>
              <c:spPr>
                <a:solidFill>
                  <a:sysClr val="window" lastClr="FFFFFF"/>
                </a:solidFill>
              </c:spPr>
              <c:txPr>
                <a:bodyPr horzOverflow="overflow"/>
                <a:lstStyle/>
                <a:p>
                  <a:pPr>
                    <a:defRPr sz="700">
                      <a:solidFill>
                        <a:schemeClr val="tx1"/>
                      </a:solidFill>
                    </a:defRPr>
                  </a:pPr>
                  <a:endParaRPr lang="ja-JP"/>
                </a:p>
              </c:txPr>
              <c:showVal val="1"/>
              <c:showCatName val="1"/>
              <c:separator> </c:separator>
            </c:dLbl>
            <c:dLbl>
              <c:idx val="6"/>
              <c:layout>
                <c:manualLayout>
                  <c:x val="0.11384391699239003"/>
                  <c:y val="7.6589761944092713E-2"/>
                </c:manualLayout>
              </c:layout>
              <c:numFmt formatCode="0.0%" sourceLinked="0"/>
              <c:spPr/>
              <c:txPr>
                <a:bodyPr horzOverflow="overflow"/>
                <a:lstStyle/>
                <a:p>
                  <a:pPr>
                    <a:defRPr sz="700">
                      <a:solidFill>
                        <a:schemeClr val="tx1"/>
                      </a:solidFill>
                    </a:defRPr>
                  </a:pPr>
                  <a:endParaRPr lang="ja-JP"/>
                </a:p>
              </c:txPr>
              <c:showVal val="1"/>
              <c:showCatName val="1"/>
              <c:separator> </c:separator>
            </c:dLbl>
            <c:dLbl>
              <c:idx val="7"/>
              <c:layout>
                <c:manualLayout>
                  <c:x val="-3.6967465397760531E-2"/>
                  <c:y val="8.3123910210524385E-2"/>
                </c:manualLayout>
              </c:layout>
              <c:numFmt formatCode="0.0%" sourceLinked="0"/>
              <c:spPr/>
              <c:txPr>
                <a:bodyPr horzOverflow="overflow"/>
                <a:lstStyle/>
                <a:p>
                  <a:pPr>
                    <a:defRPr sz="700">
                      <a:solidFill>
                        <a:schemeClr val="tx1"/>
                      </a:solidFill>
                    </a:defRPr>
                  </a:pPr>
                  <a:endParaRPr lang="ja-JP"/>
                </a:p>
              </c:txPr>
              <c:showVal val="1"/>
              <c:showCatName val="1"/>
              <c:separator> </c:separator>
            </c:dLbl>
            <c:dLbl>
              <c:idx val="8"/>
              <c:layout>
                <c:manualLayout>
                  <c:x val="-6.8799259804754639E-2"/>
                  <c:y val="-2.8074078152818312E-2"/>
                </c:manualLayout>
              </c:layout>
              <c:numFmt formatCode="0.0%" sourceLinked="0"/>
              <c:spPr/>
              <c:txPr>
                <a:bodyPr horzOverflow="overflow"/>
                <a:lstStyle/>
                <a:p>
                  <a:pPr>
                    <a:defRPr sz="700">
                      <a:solidFill>
                        <a:schemeClr val="tx1"/>
                      </a:solidFill>
                    </a:defRPr>
                  </a:pPr>
                  <a:endParaRPr lang="ja-JP"/>
                </a:p>
              </c:txPr>
              <c:showVal val="1"/>
              <c:showCatName val="1"/>
              <c:separator> </c:separator>
            </c:dLbl>
            <c:dLbl>
              <c:idx val="9"/>
              <c:layout>
                <c:manualLayout>
                  <c:x val="-7.1697350780792687E-2"/>
                  <c:y val="-1.5905878898004936E-2"/>
                </c:manualLayout>
              </c:layout>
              <c:tx>
                <c:rich>
                  <a:bodyPr horzOverflow="overflow"/>
                  <a:lstStyle/>
                  <a:p>
                    <a:pPr>
                      <a:defRPr/>
                    </a:pPr>
                    <a:r>
                      <a:rPr lang="ja-JP" altLang="en-US" sz="700">
                        <a:solidFill>
                          <a:schemeClr val="tx1"/>
                        </a:solidFill>
                        <a:latin typeface="ＭＳ 明朝"/>
                        <a:ea typeface="ＭＳ 明朝"/>
                      </a:rPr>
                      <a:t>学生</a:t>
                    </a:r>
                    <a:endParaRPr lang="en-US" altLang="ja-JP" sz="700">
                      <a:solidFill>
                        <a:schemeClr val="tx1"/>
                      </a:solidFill>
                      <a:latin typeface="ＭＳ 明朝"/>
                      <a:ea typeface="ＭＳ 明朝"/>
                    </a:endParaRPr>
                  </a:p>
                  <a:p>
                    <a:pPr>
                      <a:defRPr/>
                    </a:pPr>
                    <a:r>
                      <a:rPr lang="en-US" altLang="ja-JP" sz="700">
                        <a:solidFill>
                          <a:schemeClr val="tx1"/>
                        </a:solidFill>
                        <a:latin typeface="ＭＳ 明朝"/>
                        <a:ea typeface="ＭＳ 明朝"/>
                      </a:rPr>
                      <a:t>7.2%</a:t>
                    </a:r>
                    <a:endParaRPr lang="ja-JP" altLang="en-US" sz="700">
                      <a:solidFill>
                        <a:schemeClr val="tx1"/>
                      </a:solidFill>
                      <a:latin typeface="ＭＳ 明朝"/>
                      <a:ea typeface="ＭＳ 明朝"/>
                    </a:endParaRPr>
                  </a:p>
                </c:rich>
              </c:tx>
              <c:numFmt formatCode="0.0%" sourceLinked="0"/>
              <c:spPr/>
              <c:showVal val="1"/>
              <c:showCatName val="1"/>
              <c:separator> </c:separator>
            </c:dLbl>
            <c:dLbl>
              <c:idx val="10"/>
              <c:layout>
                <c:manualLayout>
                  <c:x val="0.16015748031496074"/>
                  <c:y val="8.6836995025971545E-2"/>
                </c:manualLayout>
              </c:layout>
              <c:tx>
                <c:rich>
                  <a:bodyPr horzOverflow="overflow"/>
                  <a:lstStyle/>
                  <a:p>
                    <a:pPr>
                      <a:defRPr sz="700">
                        <a:solidFill>
                          <a:schemeClr val="tx1"/>
                        </a:solidFill>
                      </a:defRPr>
                    </a:pPr>
                    <a:r>
                      <a:rPr lang="ja-JP" altLang="en-US" sz="700">
                        <a:solidFill>
                          <a:schemeClr val="tx1"/>
                        </a:solidFill>
                        <a:latin typeface="ＭＳ 明朝"/>
                        <a:ea typeface="ＭＳ 明朝"/>
                      </a:rPr>
                      <a:t>無職</a:t>
                    </a:r>
                    <a:endParaRPr lang="en-US" altLang="ja-JP" sz="700">
                      <a:solidFill>
                        <a:schemeClr val="tx1"/>
                      </a:solidFill>
                      <a:latin typeface="ＭＳ 明朝"/>
                      <a:ea typeface="ＭＳ 明朝"/>
                    </a:endParaRPr>
                  </a:p>
                  <a:p>
                    <a:pPr>
                      <a:defRPr sz="700">
                        <a:solidFill>
                          <a:schemeClr val="tx1"/>
                        </a:solidFill>
                      </a:defRPr>
                    </a:pPr>
                    <a:r>
                      <a:rPr lang="en-US" altLang="ja-JP" sz="700">
                        <a:solidFill>
                          <a:schemeClr val="tx1"/>
                        </a:solidFill>
                        <a:latin typeface="ＭＳ 明朝"/>
                        <a:ea typeface="ＭＳ 明朝"/>
                      </a:rPr>
                      <a:t>11.8%</a:t>
                    </a:r>
                    <a:endParaRPr lang="ja-JP" altLang="en-US" sz="700">
                      <a:solidFill>
                        <a:schemeClr val="tx1"/>
                      </a:solidFill>
                      <a:latin typeface="ＭＳ 明朝"/>
                      <a:ea typeface="ＭＳ 明朝"/>
                    </a:endParaRPr>
                  </a:p>
                </c:rich>
              </c:tx>
              <c:numFmt formatCode="0.0%" sourceLinked="0"/>
              <c:spPr>
                <a:solidFill>
                  <a:sysClr val="window" lastClr="FFFFFF"/>
                </a:solidFill>
              </c:spPr>
              <c:showVal val="1"/>
              <c:showCatName val="1"/>
              <c:separator> </c:separator>
            </c:dLbl>
            <c:dLbl>
              <c:idx val="11"/>
              <c:layout>
                <c:manualLayout>
                  <c:x val="-0.13653543307086682"/>
                  <c:y val="-3.8169704311436584E-2"/>
                </c:manualLayout>
              </c:layout>
              <c:numFmt formatCode="0.0%" sourceLinked="0"/>
              <c:spPr>
                <a:solidFill>
                  <a:sysClr val="window" lastClr="FFFFFF"/>
                </a:solidFill>
              </c:spPr>
              <c:txPr>
                <a:bodyPr horzOverflow="overflow"/>
                <a:lstStyle/>
                <a:p>
                  <a:pPr>
                    <a:defRPr sz="700">
                      <a:solidFill>
                        <a:schemeClr val="tx1"/>
                      </a:solidFill>
                    </a:defRPr>
                  </a:pPr>
                  <a:endParaRPr lang="ja-JP"/>
                </a:p>
              </c:txPr>
              <c:showVal val="1"/>
              <c:showCatName val="1"/>
              <c:separator> </c:separator>
            </c:dLbl>
            <c:dLbl>
              <c:idx val="12"/>
              <c:layout>
                <c:manualLayout>
                  <c:x val="-6.8857040351970392E-2"/>
                  <c:y val="-5.0010829065947192E-2"/>
                </c:manualLayout>
              </c:layout>
              <c:numFmt formatCode="0.0%" sourceLinked="0"/>
              <c:spPr/>
              <c:txPr>
                <a:bodyPr horzOverflow="overflow"/>
                <a:lstStyle/>
                <a:p>
                  <a:pPr>
                    <a:defRPr sz="700">
                      <a:solidFill>
                        <a:schemeClr val="tx1"/>
                      </a:solidFill>
                    </a:defRPr>
                  </a:pPr>
                  <a:endParaRPr lang="ja-JP"/>
                </a:p>
              </c:txPr>
              <c:showVal val="1"/>
              <c:showCatName val="1"/>
              <c:separator> </c:separator>
            </c:dLbl>
            <c:numFmt formatCode="0.0%" sourceLinked="0"/>
            <c:txPr>
              <a:bodyPr rot="0" horzOverflow="overflow" anchor="ctr"/>
              <a:lstStyle/>
              <a:p>
                <a:pPr algn="ctr" rtl="0">
                  <a:defRPr sz="700">
                    <a:solidFill>
                      <a:schemeClr val="tx1"/>
                    </a:solidFill>
                  </a:defRPr>
                </a:pPr>
                <a:endParaRPr lang="ja-JP"/>
              </a:p>
            </c:txPr>
            <c:showVal val="1"/>
            <c:showCatName val="1"/>
            <c:separator> </c:separator>
            <c:showLeaderLines val="1"/>
          </c:dLbls>
          <c:cat>
            <c:strRef>
              <c:f>Sheet1!$A$2:$A$14</c:f>
              <c:strCache>
                <c:ptCount val="13"/>
                <c:pt idx="0">
                  <c:v>農林業</c:v>
                </c:pt>
                <c:pt idx="1">
                  <c:v>漁業</c:v>
                </c:pt>
                <c:pt idx="2">
                  <c:v>商工サービス業自営</c:v>
                </c:pt>
                <c:pt idx="3">
                  <c:v>事務職</c:v>
                </c:pt>
                <c:pt idx="4">
                  <c:v>技術職</c:v>
                </c:pt>
                <c:pt idx="5">
                  <c:v>労務職</c:v>
                </c:pt>
                <c:pt idx="6">
                  <c:v>管理職</c:v>
                </c:pt>
                <c:pt idx="7">
                  <c:v>自由業</c:v>
                </c:pt>
                <c:pt idx="8">
                  <c:v>主婦・主夫</c:v>
                </c:pt>
                <c:pt idx="9">
                  <c:v>学生</c:v>
                </c:pt>
                <c:pt idx="10">
                  <c:v>無職</c:v>
                </c:pt>
                <c:pt idx="11">
                  <c:v>その他</c:v>
                </c:pt>
                <c:pt idx="12">
                  <c:v>無回答</c:v>
                </c:pt>
              </c:strCache>
            </c:strRef>
          </c:cat>
          <c:val>
            <c:numRef>
              <c:f>Sheet1!$B$2:$B$14</c:f>
              <c:numCache>
                <c:formatCode>General</c:formatCode>
                <c:ptCount val="13"/>
                <c:pt idx="0">
                  <c:v>6.0000000000000032E-2</c:v>
                </c:pt>
                <c:pt idx="1">
                  <c:v>6.0000000000000114E-3</c:v>
                </c:pt>
                <c:pt idx="2">
                  <c:v>4.3000000000000003E-2</c:v>
                </c:pt>
                <c:pt idx="3">
                  <c:v>0.13600000000000001</c:v>
                </c:pt>
                <c:pt idx="4">
                  <c:v>0.17500000000000004</c:v>
                </c:pt>
                <c:pt idx="5">
                  <c:v>0.126</c:v>
                </c:pt>
                <c:pt idx="6">
                  <c:v>4.0000000000000022E-2</c:v>
                </c:pt>
                <c:pt idx="7">
                  <c:v>1.3999999999999999E-2</c:v>
                </c:pt>
                <c:pt idx="8">
                  <c:v>9.3000000000000208E-2</c:v>
                </c:pt>
                <c:pt idx="9">
                  <c:v>7.2000000000000022E-2</c:v>
                </c:pt>
                <c:pt idx="10">
                  <c:v>0.11800000000000002</c:v>
                </c:pt>
                <c:pt idx="11">
                  <c:v>0.10600000000000002</c:v>
                </c:pt>
                <c:pt idx="12">
                  <c:v>1.2E-2</c:v>
                </c:pt>
              </c:numCache>
            </c:numRef>
          </c:val>
        </c:ser>
        <c:dLbls>
          <c:showVal val="1"/>
        </c:dLbls>
        <c:firstSliceAng val="0"/>
      </c:pieChart>
    </c:plotArea>
    <c:plotVisOnly val="1"/>
    <c:dispBlanksAs val="zero"/>
  </c:chart>
  <c:spPr>
    <a:ln>
      <a:noFill/>
    </a:ln>
  </c:spPr>
  <c:txPr>
    <a:bodyPr horzOverflow="overflow" anchor="ctr"/>
    <a:lstStyle/>
    <a:p>
      <a:pPr algn="ctr" rtl="0">
        <a:defRPr lang="ja-JP" altLang="en-US" sz="900">
          <a:solidFill>
            <a:schemeClr val="tx1"/>
          </a:solidFill>
          <a:latin typeface="ＭＳ 明朝"/>
          <a:ea typeface="ＭＳ 明朝"/>
        </a:defRPr>
      </a:pPr>
      <a:endParaRPr lang="ja-JP"/>
    </a:p>
  </c:txPr>
  <c:externalData r:id="rId2"/>
  <c:extLst/>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724881512113219"/>
          <c:y val="0.18517903488320944"/>
          <c:w val="0.6481176004078627"/>
          <c:h val="0.62910856464171061"/>
        </c:manualLayout>
      </c:layout>
      <c:pieChart>
        <c:varyColors val="1"/>
        <c:ser>
          <c:idx val="2"/>
          <c:order val="0"/>
          <c:tx>
            <c:strRef>
              <c:f>Sheet1!$B$1</c:f>
              <c:strCache>
                <c:ptCount val="1"/>
                <c:pt idx="0">
                  <c:v>売上高</c:v>
                </c:pt>
              </c:strCache>
            </c:strRef>
          </c:tx>
          <c:spPr>
            <a:ln>
              <a:solidFill>
                <a:schemeClr val="tx1"/>
              </a:solidFill>
            </a:ln>
          </c:spPr>
          <c:dPt>
            <c:idx val="0"/>
            <c:spPr>
              <a:pattFill prst="pct75">
                <a:fgClr>
                  <a:sysClr val="windowText" lastClr="000000"/>
                </a:fgClr>
                <a:bgClr>
                  <a:sysClr val="window" lastClr="FFFFFF"/>
                </a:bgClr>
              </a:pattFill>
              <a:ln>
                <a:solidFill>
                  <a:schemeClr val="tx1"/>
                </a:solidFill>
              </a:ln>
            </c:spPr>
          </c:dPt>
          <c:dPt>
            <c:idx val="1"/>
            <c:spPr>
              <a:pattFill prst="pct20">
                <a:fgClr>
                  <a:sysClr val="windowText" lastClr="000000"/>
                </a:fgClr>
                <a:bgClr>
                  <a:sysClr val="window" lastClr="FFFFFF"/>
                </a:bgClr>
              </a:pattFill>
              <a:ln>
                <a:solidFill>
                  <a:schemeClr val="tx1"/>
                </a:solidFill>
              </a:ln>
            </c:spPr>
          </c:dPt>
          <c:dPt>
            <c:idx val="2"/>
            <c:spPr>
              <a:pattFill prst="pct50">
                <a:fgClr>
                  <a:sysClr val="windowText" lastClr="000000"/>
                </a:fgClr>
                <a:bgClr>
                  <a:sysClr val="window" lastClr="FFFFFF"/>
                </a:bgClr>
              </a:pattFill>
              <a:ln>
                <a:solidFill>
                  <a:schemeClr val="tx1"/>
                </a:solidFill>
              </a:ln>
            </c:spPr>
          </c:dPt>
          <c:dPt>
            <c:idx val="3"/>
            <c:spPr>
              <a:pattFill prst="pct50">
                <a:fgClr>
                  <a:sysClr val="windowText" lastClr="000000"/>
                </a:fgClr>
                <a:bgClr>
                  <a:sysClr val="window" lastClr="FFFFFF"/>
                </a:bgClr>
              </a:pattFill>
              <a:ln>
                <a:solidFill>
                  <a:schemeClr val="tx1"/>
                </a:solidFill>
              </a:ln>
            </c:spPr>
          </c:dPt>
          <c:dLbls>
            <c:dLbl>
              <c:idx val="0"/>
              <c:layout>
                <c:manualLayout>
                  <c:x val="-0.22541966426858512"/>
                  <c:y val="6.5268065268065209E-2"/>
                </c:manualLayout>
              </c:layout>
              <c:numFmt formatCode="0.0%" sourceLinked="0"/>
              <c:spPr>
                <a:solidFill>
                  <a:sysClr val="window" lastClr="FFFFFF"/>
                </a:solidFill>
              </c:spPr>
              <c:txPr>
                <a:bodyPr horzOverflow="overflow"/>
                <a:lstStyle/>
                <a:p>
                  <a:pPr>
                    <a:defRPr sz="800">
                      <a:solidFill>
                        <a:schemeClr val="tx1"/>
                      </a:solidFill>
                    </a:defRPr>
                  </a:pPr>
                  <a:endParaRPr lang="ja-JP"/>
                </a:p>
              </c:txPr>
              <c:showVal val="1"/>
              <c:showCatName val="1"/>
              <c:separator>
</c:separator>
            </c:dLbl>
            <c:dLbl>
              <c:idx val="1"/>
              <c:tx>
                <c:rich>
                  <a:bodyPr horzOverflow="overflow"/>
                  <a:lstStyle/>
                  <a:p>
                    <a:pPr>
                      <a:defRPr/>
                    </a:pPr>
                    <a:r>
                      <a:rPr lang="ja-JP" altLang="en-US" sz="800">
                        <a:solidFill>
                          <a:schemeClr val="tx1"/>
                        </a:solidFill>
                        <a:latin typeface="ＭＳ 明朝"/>
                        <a:ea typeface="ＭＳ 明朝"/>
                      </a:rPr>
                      <a:t>世帯主ではない
</a:t>
                    </a:r>
                    <a:r>
                      <a:rPr lang="en-US" altLang="ja-JP" sz="800">
                        <a:solidFill>
                          <a:schemeClr val="tx1"/>
                        </a:solidFill>
                        <a:latin typeface="ＭＳ 明朝"/>
                        <a:ea typeface="ＭＳ 明朝"/>
                      </a:rPr>
                      <a:t>59.9%</a:t>
                    </a:r>
                    <a:endParaRPr lang="ja-JP" altLang="en-US" sz="800">
                      <a:solidFill>
                        <a:schemeClr val="tx1"/>
                      </a:solidFill>
                      <a:latin typeface="ＭＳ 明朝"/>
                      <a:ea typeface="ＭＳ 明朝"/>
                    </a:endParaRPr>
                  </a:p>
                </c:rich>
              </c:tx>
              <c:numFmt formatCode="0.0%" sourceLinked="0"/>
              <c:spPr>
                <a:solidFill>
                  <a:sysClr val="window" lastClr="FFFFFF"/>
                </a:solidFill>
              </c:spPr>
              <c:dLblPos val="ctr"/>
              <c:showVal val="1"/>
              <c:showCatName val="1"/>
              <c:separator>
</c:separator>
            </c:dLbl>
            <c:dLbl>
              <c:idx val="2"/>
              <c:layout>
                <c:manualLayout>
                  <c:x val="-4.3165467625899318E-2"/>
                  <c:y val="-4.6554934823091511E-2"/>
                </c:manualLayout>
              </c:layout>
              <c:numFmt formatCode="0.0%" sourceLinked="0"/>
              <c:spPr>
                <a:solidFill>
                  <a:sysClr val="window" lastClr="FFFFFF"/>
                </a:solidFill>
              </c:spPr>
              <c:txPr>
                <a:bodyPr horzOverflow="overflow"/>
                <a:lstStyle/>
                <a:p>
                  <a:pPr>
                    <a:defRPr sz="800">
                      <a:solidFill>
                        <a:schemeClr val="tx1"/>
                      </a:solidFill>
                    </a:defRPr>
                  </a:pPr>
                  <a:endParaRPr lang="ja-JP"/>
                </a:p>
              </c:txPr>
              <c:showVal val="1"/>
              <c:showCatName val="1"/>
              <c:separator>
</c:separator>
            </c:dLbl>
            <c:dLbl>
              <c:idx val="3"/>
              <c:numFmt formatCode="0.0%" sourceLinked="0"/>
              <c:spPr>
                <a:solidFill>
                  <a:sysClr val="window" lastClr="FFFFFF"/>
                </a:solidFill>
              </c:spPr>
              <c:txPr>
                <a:bodyPr horzOverflow="overflow"/>
                <a:lstStyle/>
                <a:p>
                  <a:pPr>
                    <a:defRPr sz="800">
                      <a:solidFill>
                        <a:schemeClr val="tx1"/>
                      </a:solidFill>
                    </a:defRPr>
                  </a:pPr>
                  <a:endParaRPr lang="ja-JP"/>
                </a:p>
              </c:txPr>
              <c:dLblPos val="outEnd"/>
              <c:showVal val="1"/>
              <c:showCatName val="1"/>
            </c:dLbl>
            <c:numFmt formatCode="0.0%" sourceLinked="0"/>
            <c:spPr>
              <a:solidFill>
                <a:sysClr val="window" lastClr="FFFFFF"/>
              </a:solidFill>
            </c:spPr>
            <c:txPr>
              <a:bodyPr rot="0" horzOverflow="overflow" anchor="ctr"/>
              <a:lstStyle/>
              <a:p>
                <a:pPr algn="ctr" rtl="0">
                  <a:defRPr sz="800">
                    <a:solidFill>
                      <a:schemeClr val="tx1"/>
                    </a:solidFill>
                  </a:defRPr>
                </a:pPr>
                <a:endParaRPr lang="ja-JP"/>
              </a:p>
            </c:txPr>
            <c:dLblPos val="outEnd"/>
            <c:showVal val="1"/>
            <c:showCatName val="1"/>
            <c:separator>
</c:separator>
            <c:showLeaderLines val="1"/>
          </c:dLbls>
          <c:cat>
            <c:strRef>
              <c:f>Sheet1!$A$2:$A$4</c:f>
              <c:strCache>
                <c:ptCount val="3"/>
                <c:pt idx="0">
                  <c:v>世帯主</c:v>
                </c:pt>
                <c:pt idx="1">
                  <c:v>世帯主でない（世帯員）</c:v>
                </c:pt>
                <c:pt idx="2">
                  <c:v>無回答</c:v>
                </c:pt>
              </c:strCache>
            </c:strRef>
          </c:cat>
          <c:val>
            <c:numRef>
              <c:f>Sheet1!$B$2:$B$4</c:f>
              <c:numCache>
                <c:formatCode>General</c:formatCode>
                <c:ptCount val="3"/>
                <c:pt idx="0">
                  <c:v>0.39200000000000101</c:v>
                </c:pt>
                <c:pt idx="1">
                  <c:v>0.59899999999999998</c:v>
                </c:pt>
                <c:pt idx="2">
                  <c:v>9.0000000000000028E-3</c:v>
                </c:pt>
              </c:numCache>
            </c:numRef>
          </c:val>
        </c:ser>
        <c:dLbls>
          <c:showVal val="1"/>
        </c:dLbls>
        <c:firstSliceAng val="0"/>
      </c:pieChart>
    </c:plotArea>
    <c:plotVisOnly val="1"/>
    <c:dispBlanksAs val="zero"/>
  </c:chart>
  <c:spPr>
    <a:ln>
      <a:noFill/>
    </a:ln>
  </c:spPr>
  <c:txPr>
    <a:bodyPr horzOverflow="overflow" anchor="ctr"/>
    <a:lstStyle/>
    <a:p>
      <a:pPr algn="ctr" rtl="0">
        <a:defRPr lang="ja-JP" altLang="en-US" sz="900">
          <a:solidFill>
            <a:schemeClr val="tx1"/>
          </a:solidFill>
          <a:latin typeface="ＭＳ 明朝"/>
          <a:ea typeface="ＭＳ 明朝"/>
        </a:defRPr>
      </a:pPr>
      <a:endParaRPr lang="ja-JP"/>
    </a:p>
  </c:txPr>
  <c:externalData r:id="rId2"/>
  <c:extLst/>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ja-JP"/>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99758303593451"/>
          <c:y val="0.10773328161255354"/>
          <c:w val="0.67965256141543462"/>
          <c:h val="0.885119044691556"/>
        </c:manualLayout>
      </c:layout>
      <c:pieChart>
        <c:varyColors val="1"/>
        <c:ser>
          <c:idx val="2"/>
          <c:order val="0"/>
          <c:tx>
            <c:strRef>
              <c:f>Sheet1!$B$1</c:f>
              <c:strCache>
                <c:ptCount val="1"/>
                <c:pt idx="0">
                  <c:v>売上高</c:v>
                </c:pt>
              </c:strCache>
            </c:strRef>
          </c:tx>
          <c:spPr>
            <a:ln>
              <a:solidFill>
                <a:schemeClr val="tx1"/>
              </a:solidFill>
            </a:ln>
          </c:spPr>
          <c:dPt>
            <c:idx val="0"/>
            <c:spPr>
              <a:pattFill prst="pct75">
                <a:fgClr>
                  <a:sysClr val="windowText" lastClr="000000"/>
                </a:fgClr>
                <a:bgClr>
                  <a:sysClr val="window" lastClr="FFFFFF"/>
                </a:bgClr>
              </a:pattFill>
              <a:ln>
                <a:solidFill>
                  <a:schemeClr val="tx1"/>
                </a:solidFill>
              </a:ln>
            </c:spPr>
          </c:dPt>
          <c:dPt>
            <c:idx val="1"/>
            <c:spPr>
              <a:pattFill prst="pct20">
                <a:fgClr>
                  <a:sysClr val="windowText" lastClr="000000"/>
                </a:fgClr>
                <a:bgClr>
                  <a:sysClr val="window" lastClr="FFFFFF"/>
                </a:bgClr>
              </a:pattFill>
              <a:ln>
                <a:solidFill>
                  <a:schemeClr val="tx1"/>
                </a:solidFill>
              </a:ln>
            </c:spPr>
          </c:dPt>
          <c:dPt>
            <c:idx val="2"/>
            <c:spPr>
              <a:pattFill prst="pct50">
                <a:fgClr>
                  <a:sysClr val="windowText" lastClr="000000"/>
                </a:fgClr>
                <a:bgClr>
                  <a:sysClr val="window" lastClr="FFFFFF"/>
                </a:bgClr>
              </a:pattFill>
              <a:ln>
                <a:solidFill>
                  <a:schemeClr val="tx1"/>
                </a:solidFill>
              </a:ln>
            </c:spPr>
          </c:dPt>
          <c:dPt>
            <c:idx val="3"/>
            <c:spPr>
              <a:pattFill prst="ltDnDiag">
                <a:fgClr>
                  <a:sysClr val="windowText" lastClr="000000"/>
                </a:fgClr>
                <a:bgClr>
                  <a:sysClr val="window" lastClr="FFFFFF"/>
                </a:bgClr>
              </a:pattFill>
              <a:ln>
                <a:solidFill>
                  <a:schemeClr val="tx1"/>
                </a:solidFill>
              </a:ln>
            </c:spPr>
          </c:dPt>
          <c:dPt>
            <c:idx val="4"/>
            <c:spPr>
              <a:solidFill>
                <a:sysClr val="window" lastClr="FFFFFF"/>
              </a:solidFill>
              <a:ln>
                <a:solidFill>
                  <a:schemeClr val="tx1"/>
                </a:solidFill>
              </a:ln>
            </c:spPr>
          </c:dPt>
          <c:dLbls>
            <c:dLbl>
              <c:idx val="0"/>
              <c:layout>
                <c:manualLayout>
                  <c:x val="-0.21103117505995203"/>
                  <c:y val="0.12012012012012038"/>
                </c:manualLayout>
              </c:layout>
              <c:numFmt formatCode="0.0%" sourceLinked="0"/>
              <c:spPr>
                <a:solidFill>
                  <a:sysClr val="window" lastClr="FFFFFF"/>
                </a:solidFill>
              </c:spPr>
              <c:txPr>
                <a:bodyPr horzOverflow="overflow"/>
                <a:lstStyle/>
                <a:p>
                  <a:pPr>
                    <a:defRPr sz="800">
                      <a:solidFill>
                        <a:schemeClr val="tx1"/>
                      </a:solidFill>
                    </a:defRPr>
                  </a:pPr>
                  <a:endParaRPr lang="ja-JP"/>
                </a:p>
              </c:txPr>
              <c:showVal val="1"/>
              <c:showCatName val="1"/>
              <c:separator>
</c:separator>
            </c:dLbl>
            <c:dLbl>
              <c:idx val="1"/>
              <c:layout>
                <c:manualLayout>
                  <c:x val="0.23021582733812956"/>
                  <c:y val="-0.19819819819819867"/>
                </c:manualLayout>
              </c:layout>
              <c:numFmt formatCode="0.0%" sourceLinked="0"/>
              <c:spPr>
                <a:solidFill>
                  <a:sysClr val="window" lastClr="FFFFFF"/>
                </a:solidFill>
              </c:spPr>
              <c:txPr>
                <a:bodyPr horzOverflow="overflow"/>
                <a:lstStyle/>
                <a:p>
                  <a:pPr>
                    <a:defRPr sz="800">
                      <a:solidFill>
                        <a:schemeClr val="tx1"/>
                      </a:solidFill>
                    </a:defRPr>
                  </a:pPr>
                  <a:endParaRPr lang="ja-JP"/>
                </a:p>
              </c:txPr>
              <c:showVal val="1"/>
              <c:showCatName val="1"/>
              <c:separator>
</c:separator>
            </c:dLbl>
            <c:dLbl>
              <c:idx val="2"/>
              <c:layout>
                <c:manualLayout>
                  <c:x val="-0.11510791366906435"/>
                  <c:y val="0"/>
                </c:manualLayout>
              </c:layout>
              <c:numFmt formatCode="0.0%" sourceLinked="0"/>
              <c:spPr/>
              <c:txPr>
                <a:bodyPr horzOverflow="overflow"/>
                <a:lstStyle/>
                <a:p>
                  <a:pPr>
                    <a:defRPr sz="800">
                      <a:solidFill>
                        <a:schemeClr val="tx1"/>
                      </a:solidFill>
                    </a:defRPr>
                  </a:pPr>
                  <a:endParaRPr lang="ja-JP"/>
                </a:p>
              </c:txPr>
              <c:showVal val="1"/>
              <c:showCatName val="1"/>
              <c:separator>
</c:separator>
            </c:dLbl>
            <c:dLbl>
              <c:idx val="3"/>
              <c:layout>
                <c:manualLayout>
                  <c:x val="0.20143884892086344"/>
                  <c:y val="0"/>
                </c:manualLayout>
              </c:layout>
              <c:numFmt formatCode="0.0%" sourceLinked="0"/>
              <c:spPr/>
              <c:txPr>
                <a:bodyPr horzOverflow="overflow"/>
                <a:lstStyle/>
                <a:p>
                  <a:pPr>
                    <a:defRPr sz="800">
                      <a:solidFill>
                        <a:schemeClr val="tx1"/>
                      </a:solidFill>
                    </a:defRPr>
                  </a:pPr>
                  <a:endParaRPr lang="ja-JP"/>
                </a:p>
              </c:txPr>
              <c:showVal val="1"/>
              <c:showCatName val="1"/>
              <c:separator>
</c:separator>
            </c:dLbl>
            <c:dLbl>
              <c:idx val="4"/>
              <c:numFmt formatCode="0.0%" sourceLinked="0"/>
              <c:spPr/>
              <c:txPr>
                <a:bodyPr horzOverflow="overflow"/>
                <a:lstStyle/>
                <a:p>
                  <a:pPr>
                    <a:defRPr sz="800">
                      <a:solidFill>
                        <a:schemeClr val="tx1"/>
                      </a:solidFill>
                    </a:defRPr>
                  </a:pPr>
                  <a:endParaRPr lang="ja-JP"/>
                </a:p>
              </c:txPr>
              <c:dLblPos val="outEnd"/>
              <c:showVal val="1"/>
              <c:showCatName val="1"/>
            </c:dLbl>
            <c:numFmt formatCode="0.0%" sourceLinked="0"/>
            <c:txPr>
              <a:bodyPr rot="0" horzOverflow="overflow" anchor="ctr"/>
              <a:lstStyle/>
              <a:p>
                <a:pPr algn="ctr" rtl="0">
                  <a:defRPr sz="800">
                    <a:solidFill>
                      <a:schemeClr val="tx1"/>
                    </a:solidFill>
                  </a:defRPr>
                </a:pPr>
                <a:endParaRPr lang="ja-JP"/>
              </a:p>
            </c:txPr>
            <c:dLblPos val="outEnd"/>
            <c:showVal val="1"/>
            <c:showCatName val="1"/>
            <c:separator>
</c:separator>
            <c:showLeaderLines val="1"/>
          </c:dLbls>
          <c:cat>
            <c:strRef>
              <c:f>Sheet1!$A$2:$A$5</c:f>
              <c:strCache>
                <c:ptCount val="4"/>
                <c:pt idx="0">
                  <c:v>未婚</c:v>
                </c:pt>
                <c:pt idx="1">
                  <c:v>既婚</c:v>
                </c:pt>
                <c:pt idx="2">
                  <c:v>その他</c:v>
                </c:pt>
                <c:pt idx="3">
                  <c:v>無回答</c:v>
                </c:pt>
              </c:strCache>
            </c:strRef>
          </c:cat>
          <c:val>
            <c:numRef>
              <c:f>Sheet1!$B$2:$B$5</c:f>
              <c:numCache>
                <c:formatCode>General</c:formatCode>
                <c:ptCount val="4"/>
                <c:pt idx="0">
                  <c:v>0.32900000000000107</c:v>
                </c:pt>
                <c:pt idx="1">
                  <c:v>0.58000000000000007</c:v>
                </c:pt>
                <c:pt idx="2">
                  <c:v>8.2000000000000017E-2</c:v>
                </c:pt>
                <c:pt idx="3">
                  <c:v>9.0000000000000028E-3</c:v>
                </c:pt>
              </c:numCache>
            </c:numRef>
          </c:val>
        </c:ser>
        <c:dLbls>
          <c:showVal val="1"/>
        </c:dLbls>
        <c:firstSliceAng val="0"/>
      </c:pieChart>
    </c:plotArea>
    <c:plotVisOnly val="1"/>
    <c:dispBlanksAs val="zero"/>
  </c:chart>
  <c:spPr>
    <a:ln>
      <a:noFill/>
    </a:ln>
  </c:spPr>
  <c:txPr>
    <a:bodyPr horzOverflow="overflow" anchor="ctr"/>
    <a:lstStyle/>
    <a:p>
      <a:pPr algn="ctr" rtl="0">
        <a:defRPr lang="ja-JP" altLang="en-US" sz="900">
          <a:solidFill>
            <a:schemeClr val="tx1"/>
          </a:solidFill>
          <a:latin typeface="ＭＳ 明朝"/>
          <a:ea typeface="ＭＳ 明朝"/>
        </a:defRPr>
      </a:pPr>
      <a:endParaRPr lang="ja-JP"/>
    </a:p>
  </c:txPr>
  <c:externalData r:id="rId2"/>
  <c:extLst/>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ja-JP"/>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067361409740532"/>
          <c:y val="4.5945260968926413E-2"/>
          <c:w val="0.69149054033908885"/>
          <c:h val="0.91636312557064759"/>
        </c:manualLayout>
      </c:layout>
      <c:barChart>
        <c:barDir val="bar"/>
        <c:grouping val="clustered"/>
        <c:ser>
          <c:idx val="2"/>
          <c:order val="0"/>
          <c:tx>
            <c:strRef>
              <c:f>Sheet1!$B$1</c:f>
              <c:strCache>
                <c:ptCount val="1"/>
                <c:pt idx="0">
                  <c:v>系列 1</c:v>
                </c:pt>
              </c:strCache>
            </c:strRef>
          </c:tx>
          <c:spPr>
            <a:pattFill prst="pct75">
              <a:fgClr>
                <a:sysClr val="windowText" lastClr="000000"/>
              </a:fgClr>
              <a:bgClr>
                <a:sysClr val="window" lastClr="FFFFFF"/>
              </a:bgClr>
            </a:pattFill>
            <a:ln>
              <a:solidFill>
                <a:sysClr val="windowText" lastClr="000000"/>
              </a:solidFill>
            </a:ln>
          </c:spPr>
          <c:dLbls>
            <c:txPr>
              <a:bodyPr rot="0" horzOverflow="overflow" anchor="ctr"/>
              <a:lstStyle/>
              <a:p>
                <a:pPr algn="ctr" rtl="0">
                  <a:defRPr sz="800">
                    <a:solidFill>
                      <a:schemeClr val="tx1"/>
                    </a:solidFill>
                  </a:defRPr>
                </a:pPr>
                <a:endParaRPr lang="ja-JP"/>
              </a:p>
            </c:txPr>
            <c:showVal val="1"/>
          </c:dLbls>
          <c:cat>
            <c:strRef>
              <c:f>Sheet1!$A$2:$A$9</c:f>
              <c:strCache>
                <c:ptCount val="8"/>
                <c:pt idx="0">
                  <c:v>就学前の子どもがいる</c:v>
                </c:pt>
                <c:pt idx="1">
                  <c:v>小学生の子どもがいる</c:v>
                </c:pt>
                <c:pt idx="2">
                  <c:v>中学生の子どもがいる</c:v>
                </c:pt>
                <c:pt idx="3">
                  <c:v>高学生の子どもがいる</c:v>
                </c:pt>
                <c:pt idx="4">
                  <c:v>大学生、専門学校生等
の子どもがいる</c:v>
                </c:pt>
                <c:pt idx="5">
                  <c:v>子どもは成人している
又は独立している</c:v>
                </c:pt>
                <c:pt idx="6">
                  <c:v>子どもはいない      </c:v>
                </c:pt>
                <c:pt idx="7">
                  <c:v>無回答              </c:v>
                </c:pt>
              </c:strCache>
            </c:strRef>
          </c:cat>
          <c:val>
            <c:numRef>
              <c:f>Sheet1!$B$2:$B$9</c:f>
              <c:numCache>
                <c:formatCode>0.0</c:formatCode>
                <c:ptCount val="8"/>
                <c:pt idx="0">
                  <c:v>10.1</c:v>
                </c:pt>
                <c:pt idx="1">
                  <c:v>11.4</c:v>
                </c:pt>
                <c:pt idx="2">
                  <c:v>7.2</c:v>
                </c:pt>
                <c:pt idx="3">
                  <c:v>7.2</c:v>
                </c:pt>
                <c:pt idx="4">
                  <c:v>7</c:v>
                </c:pt>
                <c:pt idx="5">
                  <c:v>36.200000000000003</c:v>
                </c:pt>
                <c:pt idx="6">
                  <c:v>36.9</c:v>
                </c:pt>
                <c:pt idx="7">
                  <c:v>1.8</c:v>
                </c:pt>
              </c:numCache>
            </c:numRef>
          </c:val>
        </c:ser>
        <c:dLbls>
          <c:showVal val="1"/>
        </c:dLbls>
        <c:gapWidth val="75"/>
        <c:axId val="148955520"/>
        <c:axId val="148957056"/>
      </c:barChart>
      <c:catAx>
        <c:axId val="148955520"/>
        <c:scaling>
          <c:orientation val="maxMin"/>
        </c:scaling>
        <c:axPos val="l"/>
        <c:numFmt formatCode="0.0" sourceLinked="1"/>
        <c:majorTickMark val="in"/>
        <c:tickLblPos val="nextTo"/>
        <c:spPr>
          <a:ln>
            <a:solidFill>
              <a:schemeClr val="tx1"/>
            </a:solidFill>
          </a:ln>
        </c:spPr>
        <c:txPr>
          <a:bodyPr horzOverflow="overflow" anchor="ctr"/>
          <a:lstStyle/>
          <a:p>
            <a:pPr algn="just" rtl="0">
              <a:defRPr sz="800">
                <a:solidFill>
                  <a:schemeClr val="tx1"/>
                </a:solidFill>
              </a:defRPr>
            </a:pPr>
            <a:endParaRPr lang="ja-JP"/>
          </a:p>
        </c:txPr>
        <c:crossAx val="148957056"/>
        <c:crosses val="autoZero"/>
        <c:auto val="1"/>
        <c:lblAlgn val="ctr"/>
        <c:lblOffset val="100"/>
      </c:catAx>
      <c:valAx>
        <c:axId val="148957056"/>
        <c:scaling>
          <c:orientation val="minMax"/>
          <c:max val="50"/>
        </c:scaling>
        <c:axPos val="t"/>
        <c:numFmt formatCode="#&quot;%&quot;;;&quot;0%&quot;;" sourceLinked="0"/>
        <c:majorTickMark val="in"/>
        <c:tickLblPos val="nextTo"/>
        <c:spPr>
          <a:ln>
            <a:solidFill>
              <a:schemeClr val="tx1"/>
            </a:solidFill>
          </a:ln>
        </c:spPr>
        <c:txPr>
          <a:bodyPr horzOverflow="overflow" anchor="ctr"/>
          <a:lstStyle/>
          <a:p>
            <a:pPr algn="ctr" rtl="0">
              <a:defRPr sz="800">
                <a:solidFill>
                  <a:schemeClr val="tx1"/>
                </a:solidFill>
              </a:defRPr>
            </a:pPr>
            <a:endParaRPr lang="ja-JP"/>
          </a:p>
        </c:txPr>
        <c:crossAx val="148955520"/>
        <c:crosses val="autoZero"/>
        <c:crossBetween val="between"/>
        <c:majorUnit val="10"/>
      </c:valAx>
      <c:spPr>
        <a:ln>
          <a:noFill/>
        </a:ln>
      </c:spPr>
    </c:plotArea>
    <c:plotVisOnly val="1"/>
    <c:dispBlanksAs val="gap"/>
  </c:chart>
  <c:spPr>
    <a:ln>
      <a:noFill/>
    </a:ln>
  </c:spPr>
  <c:txPr>
    <a:bodyPr horzOverflow="overflow" anchor="ctr"/>
    <a:lstStyle/>
    <a:p>
      <a:pPr algn="ctr" rtl="0">
        <a:defRPr lang="ja-JP" altLang="en-US" sz="900">
          <a:solidFill>
            <a:schemeClr val="tx1"/>
          </a:solidFill>
          <a:latin typeface="ＭＳ 明朝"/>
          <a:ea typeface="ＭＳ 明朝"/>
        </a:defRPr>
      </a:pPr>
      <a:endParaRPr lang="ja-JP"/>
    </a:p>
  </c:txPr>
  <c:externalData r:id="rId2"/>
  <c:extLst/>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ja-JP"/>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517510311211095"/>
          <c:y val="0.18688721048990262"/>
          <c:w val="0.63930340058586965"/>
          <c:h val="0.70283250420057364"/>
        </c:manualLayout>
      </c:layout>
      <c:pieChart>
        <c:varyColors val="1"/>
        <c:ser>
          <c:idx val="2"/>
          <c:order val="0"/>
          <c:tx>
            <c:strRef>
              <c:f>Sheet1!$B$1</c:f>
              <c:strCache>
                <c:ptCount val="1"/>
                <c:pt idx="0">
                  <c:v>(除不)%</c:v>
                </c:pt>
              </c:strCache>
            </c:strRef>
          </c:tx>
          <c:spPr>
            <a:ln>
              <a:solidFill>
                <a:schemeClr val="tx1"/>
              </a:solidFill>
            </a:ln>
          </c:spPr>
          <c:dPt>
            <c:idx val="0"/>
            <c:spPr>
              <a:pattFill prst="pct75">
                <a:fgClr>
                  <a:sysClr val="windowText" lastClr="000000"/>
                </a:fgClr>
                <a:bgClr>
                  <a:sysClr val="window" lastClr="FFFFFF"/>
                </a:bgClr>
              </a:pattFill>
              <a:ln>
                <a:solidFill>
                  <a:schemeClr val="tx1"/>
                </a:solidFill>
              </a:ln>
            </c:spPr>
          </c:dPt>
          <c:dPt>
            <c:idx val="1"/>
            <c:spPr>
              <a:pattFill prst="pct20">
                <a:fgClr>
                  <a:sysClr val="windowText" lastClr="000000"/>
                </a:fgClr>
                <a:bgClr>
                  <a:sysClr val="window" lastClr="FFFFFF"/>
                </a:bgClr>
              </a:pattFill>
              <a:ln>
                <a:solidFill>
                  <a:schemeClr val="tx1"/>
                </a:solidFill>
              </a:ln>
            </c:spPr>
          </c:dPt>
          <c:dPt>
            <c:idx val="2"/>
            <c:spPr>
              <a:pattFill prst="pct50">
                <a:fgClr>
                  <a:sysClr val="windowText" lastClr="000000"/>
                </a:fgClr>
                <a:bgClr>
                  <a:sysClr val="window" lastClr="FFFFFF"/>
                </a:bgClr>
              </a:pattFill>
              <a:ln>
                <a:solidFill>
                  <a:schemeClr val="tx1"/>
                </a:solidFill>
              </a:ln>
            </c:spPr>
          </c:dPt>
          <c:dPt>
            <c:idx val="3"/>
            <c:spPr>
              <a:pattFill prst="ltDnDiag">
                <a:fgClr>
                  <a:sysClr val="windowText" lastClr="000000"/>
                </a:fgClr>
                <a:bgClr>
                  <a:sysClr val="window" lastClr="FFFFFF"/>
                </a:bgClr>
              </a:pattFill>
              <a:ln>
                <a:solidFill>
                  <a:schemeClr val="tx1"/>
                </a:solidFill>
              </a:ln>
            </c:spPr>
          </c:dPt>
          <c:dPt>
            <c:idx val="4"/>
            <c:spPr>
              <a:pattFill prst="pct10">
                <a:fgClr>
                  <a:sysClr val="windowText" lastClr="000000"/>
                </a:fgClr>
                <a:bgClr>
                  <a:srgbClr val="FFFF00"/>
                </a:bgClr>
              </a:pattFill>
              <a:ln>
                <a:solidFill>
                  <a:schemeClr val="tx1"/>
                </a:solidFill>
              </a:ln>
            </c:spPr>
          </c:dPt>
          <c:dPt>
            <c:idx val="5"/>
            <c:spPr>
              <a:pattFill prst="ltUpDiag">
                <a:fgClr>
                  <a:sysClr val="windowText" lastClr="000000"/>
                </a:fgClr>
                <a:bgClr>
                  <a:sysClr val="window" lastClr="FFFFFF"/>
                </a:bgClr>
              </a:pattFill>
              <a:ln>
                <a:solidFill>
                  <a:schemeClr val="tx1"/>
                </a:solidFill>
              </a:ln>
            </c:spPr>
          </c:dPt>
          <c:dPt>
            <c:idx val="6"/>
            <c:spPr>
              <a:pattFill prst="pct60">
                <a:fgClr>
                  <a:sysClr val="windowText" lastClr="000000"/>
                </a:fgClr>
                <a:bgClr>
                  <a:sysClr val="window" lastClr="FFFFFF"/>
                </a:bgClr>
              </a:pattFill>
              <a:ln>
                <a:solidFill>
                  <a:schemeClr val="tx1"/>
                </a:solidFill>
              </a:ln>
            </c:spPr>
          </c:dPt>
          <c:dPt>
            <c:idx val="7"/>
            <c:spPr>
              <a:pattFill prst="wdDnDiag">
                <a:fgClr>
                  <a:sysClr val="windowText" lastClr="000000"/>
                </a:fgClr>
                <a:bgClr>
                  <a:sysClr val="window" lastClr="FFFFFF"/>
                </a:bgClr>
              </a:pattFill>
              <a:ln>
                <a:solidFill>
                  <a:schemeClr val="tx1"/>
                </a:solidFill>
              </a:ln>
            </c:spPr>
          </c:dPt>
          <c:dPt>
            <c:idx val="8"/>
            <c:spPr>
              <a:pattFill prst="pct25">
                <a:fgClr>
                  <a:sysClr val="windowText" lastClr="000000"/>
                </a:fgClr>
                <a:bgClr>
                  <a:srgbClr val="00B050"/>
                </a:bgClr>
              </a:pattFill>
              <a:ln>
                <a:solidFill>
                  <a:schemeClr val="tx1"/>
                </a:solidFill>
              </a:ln>
            </c:spPr>
          </c:dPt>
          <c:dPt>
            <c:idx val="9"/>
            <c:spPr>
              <a:pattFill prst="pct10">
                <a:fgClr>
                  <a:sysClr val="windowText" lastClr="000000"/>
                </a:fgClr>
                <a:bgClr>
                  <a:sysClr val="window" lastClr="FFFFFF"/>
                </a:bgClr>
              </a:pattFill>
              <a:ln>
                <a:solidFill>
                  <a:schemeClr val="tx1"/>
                </a:solidFill>
              </a:ln>
            </c:spPr>
          </c:dPt>
          <c:dLbls>
            <c:dLbl>
              <c:idx val="0"/>
              <c:layout>
                <c:manualLayout>
                  <c:x val="4.3378327709036523E-3"/>
                  <c:y val="0"/>
                </c:manualLayout>
              </c:layout>
              <c:numFmt formatCode="0.0%" sourceLinked="0"/>
              <c:spPr/>
              <c:txPr>
                <a:bodyPr horzOverflow="overflow"/>
                <a:lstStyle/>
                <a:p>
                  <a:pPr>
                    <a:defRPr sz="700">
                      <a:solidFill>
                        <a:schemeClr val="tx1"/>
                      </a:solidFill>
                    </a:defRPr>
                  </a:pPr>
                  <a:endParaRPr lang="ja-JP"/>
                </a:p>
              </c:txPr>
              <c:showVal val="1"/>
              <c:showCatName val="1"/>
              <c:separator>
</c:separator>
            </c:dLbl>
            <c:dLbl>
              <c:idx val="1"/>
              <c:layout>
                <c:manualLayout>
                  <c:x val="2.1654293213348341E-2"/>
                  <c:y val="-4.3261180587720653E-2"/>
                </c:manualLayout>
              </c:layout>
              <c:numFmt formatCode="0.0%" sourceLinked="0"/>
              <c:spPr>
                <a:solidFill>
                  <a:sysClr val="window" lastClr="FFFFFF"/>
                </a:solidFill>
              </c:spPr>
              <c:txPr>
                <a:bodyPr horzOverflow="overflow"/>
                <a:lstStyle/>
                <a:p>
                  <a:pPr>
                    <a:defRPr sz="700">
                      <a:solidFill>
                        <a:schemeClr val="tx1"/>
                      </a:solidFill>
                    </a:defRPr>
                  </a:pPr>
                  <a:endParaRPr lang="ja-JP"/>
                </a:p>
              </c:txPr>
              <c:showVal val="1"/>
              <c:showCatName val="1"/>
              <c:separator>
</c:separator>
            </c:dLbl>
            <c:dLbl>
              <c:idx val="2"/>
              <c:layout>
                <c:manualLayout>
                  <c:x val="-0.18452380952380953"/>
                  <c:y val="-7.5565024960115412E-2"/>
                </c:manualLayout>
              </c:layout>
              <c:numFmt formatCode="0.0%" sourceLinked="0"/>
              <c:spPr>
                <a:solidFill>
                  <a:sysClr val="window" lastClr="FFFFFF"/>
                </a:solidFill>
              </c:spPr>
              <c:txPr>
                <a:bodyPr horzOverflow="overflow"/>
                <a:lstStyle/>
                <a:p>
                  <a:pPr>
                    <a:defRPr sz="700">
                      <a:solidFill>
                        <a:schemeClr val="tx1"/>
                      </a:solidFill>
                    </a:defRPr>
                  </a:pPr>
                  <a:endParaRPr lang="ja-JP"/>
                </a:p>
              </c:txPr>
              <c:showVal val="1"/>
              <c:showCatName val="1"/>
              <c:separator>
</c:separator>
            </c:dLbl>
            <c:dLbl>
              <c:idx val="3"/>
              <c:layout>
                <c:manualLayout>
                  <c:x val="9.2682789651293493E-2"/>
                  <c:y val="-4.1171324172713822E-7"/>
                </c:manualLayout>
              </c:layout>
              <c:numFmt formatCode="0.0%" sourceLinked="0"/>
              <c:spPr>
                <a:solidFill>
                  <a:sysClr val="window" lastClr="FFFFFF"/>
                </a:solidFill>
              </c:spPr>
              <c:txPr>
                <a:bodyPr horzOverflow="overflow"/>
                <a:lstStyle/>
                <a:p>
                  <a:pPr>
                    <a:defRPr sz="700">
                      <a:solidFill>
                        <a:schemeClr val="tx1"/>
                      </a:solidFill>
                    </a:defRPr>
                  </a:pPr>
                  <a:endParaRPr lang="ja-JP"/>
                </a:p>
              </c:txPr>
              <c:showVal val="1"/>
              <c:showCatName val="1"/>
              <c:separator>
</c:separator>
            </c:dLbl>
            <c:dLbl>
              <c:idx val="4"/>
              <c:layout>
                <c:manualLayout>
                  <c:x val="0.19318897637795268"/>
                  <c:y val="-0.19288847717564719"/>
                </c:manualLayout>
              </c:layout>
              <c:numFmt formatCode="0.0%" sourceLinked="0"/>
              <c:spPr>
                <a:solidFill>
                  <a:sysClr val="window" lastClr="FFFFFF"/>
                </a:solidFill>
              </c:spPr>
              <c:txPr>
                <a:bodyPr horzOverflow="overflow"/>
                <a:lstStyle/>
                <a:p>
                  <a:pPr>
                    <a:defRPr sz="700">
                      <a:solidFill>
                        <a:schemeClr val="tx1"/>
                      </a:solidFill>
                    </a:defRPr>
                  </a:pPr>
                  <a:endParaRPr lang="ja-JP"/>
                </a:p>
              </c:txPr>
              <c:showVal val="1"/>
              <c:showCatName val="1"/>
              <c:separator>
</c:separator>
            </c:dLbl>
            <c:dLbl>
              <c:idx val="5"/>
              <c:layout>
                <c:manualLayout>
                  <c:x val="-2.0238095238095239E-2"/>
                  <c:y val="0.10203118727806107"/>
                </c:manualLayout>
              </c:layout>
              <c:numFmt formatCode="0.0%" sourceLinked="0"/>
              <c:spPr>
                <a:solidFill>
                  <a:sysClr val="window" lastClr="FFFFFF"/>
                </a:solidFill>
              </c:spPr>
              <c:txPr>
                <a:bodyPr horzOverflow="overflow"/>
                <a:lstStyle/>
                <a:p>
                  <a:pPr>
                    <a:defRPr sz="700">
                      <a:solidFill>
                        <a:schemeClr val="tx1"/>
                      </a:solidFill>
                    </a:defRPr>
                  </a:pPr>
                  <a:endParaRPr lang="ja-JP"/>
                </a:p>
              </c:txPr>
              <c:showVal val="1"/>
              <c:showCatName val="1"/>
              <c:separator>
</c:separator>
            </c:dLbl>
            <c:dLbl>
              <c:idx val="6"/>
              <c:layout>
                <c:manualLayout>
                  <c:x val="-5.0565054368203965E-2"/>
                  <c:y val="0.10980350985538571"/>
                </c:manualLayout>
              </c:layout>
              <c:numFmt formatCode="0.0%" sourceLinked="0"/>
              <c:spPr/>
              <c:txPr>
                <a:bodyPr horzOverflow="overflow"/>
                <a:lstStyle/>
                <a:p>
                  <a:pPr>
                    <a:defRPr sz="700">
                      <a:solidFill>
                        <a:schemeClr val="tx1"/>
                      </a:solidFill>
                    </a:defRPr>
                  </a:pPr>
                  <a:endParaRPr lang="ja-JP"/>
                </a:p>
              </c:txPr>
              <c:showVal val="1"/>
              <c:showCatName val="1"/>
              <c:separator>
</c:separator>
            </c:dLbl>
            <c:dLbl>
              <c:idx val="7"/>
              <c:layout>
                <c:manualLayout>
                  <c:x val="-6.6248781402324708E-2"/>
                  <c:y val="-1.5778909989192527E-2"/>
                </c:manualLayout>
              </c:layout>
              <c:numFmt formatCode="0.0%" sourceLinked="0"/>
              <c:spPr/>
              <c:txPr>
                <a:bodyPr horzOverflow="overflow"/>
                <a:lstStyle/>
                <a:p>
                  <a:pPr>
                    <a:defRPr sz="700">
                      <a:solidFill>
                        <a:schemeClr val="tx1"/>
                      </a:solidFill>
                    </a:defRPr>
                  </a:pPr>
                  <a:endParaRPr lang="ja-JP"/>
                </a:p>
              </c:txPr>
              <c:showVal val="1"/>
              <c:showCatName val="1"/>
              <c:separator>
</c:separator>
            </c:dLbl>
            <c:dLbl>
              <c:idx val="8"/>
              <c:layout>
                <c:manualLayout>
                  <c:x val="5.4345706786651671E-3"/>
                  <c:y val="-3.0976480881066342E-2"/>
                </c:manualLayout>
              </c:layout>
              <c:numFmt formatCode="0.0%" sourceLinked="0"/>
              <c:spPr/>
              <c:txPr>
                <a:bodyPr horzOverflow="overflow"/>
                <a:lstStyle/>
                <a:p>
                  <a:pPr>
                    <a:defRPr sz="700">
                      <a:solidFill>
                        <a:schemeClr val="tx1"/>
                      </a:solidFill>
                    </a:defRPr>
                  </a:pPr>
                  <a:endParaRPr lang="ja-JP"/>
                </a:p>
              </c:txPr>
              <c:showVal val="1"/>
              <c:showCatName val="1"/>
              <c:separator>
</c:separator>
            </c:dLbl>
            <c:dLbl>
              <c:idx val="9"/>
              <c:numFmt formatCode="0.0%" sourceLinked="0"/>
              <c:spPr/>
              <c:txPr>
                <a:bodyPr horzOverflow="overflow"/>
                <a:lstStyle/>
                <a:p>
                  <a:pPr>
                    <a:defRPr sz="700">
                      <a:solidFill>
                        <a:schemeClr val="tx1"/>
                      </a:solidFill>
                    </a:defRPr>
                  </a:pPr>
                  <a:endParaRPr lang="ja-JP"/>
                </a:p>
              </c:txPr>
              <c:showVal val="1"/>
              <c:showCatName val="1"/>
            </c:dLbl>
            <c:numFmt formatCode="0.0%" sourceLinked="0"/>
            <c:txPr>
              <a:bodyPr rot="0" horzOverflow="overflow" anchor="ctr"/>
              <a:lstStyle/>
              <a:p>
                <a:pPr algn="ctr" rtl="0">
                  <a:defRPr sz="700">
                    <a:solidFill>
                      <a:schemeClr val="tx1"/>
                    </a:solidFill>
                  </a:defRPr>
                </a:pPr>
                <a:endParaRPr lang="ja-JP"/>
              </a:p>
            </c:txPr>
            <c:showVal val="1"/>
            <c:showCatName val="1"/>
            <c:separator>
</c:separator>
            <c:showLeaderLines val="1"/>
          </c:dLbls>
          <c:cat>
            <c:strRef>
              <c:f>Sheet1!$A$2:$A$10</c:f>
              <c:strCache>
                <c:ptCount val="9"/>
                <c:pt idx="0">
                  <c:v>0～100万円未満</c:v>
                </c:pt>
                <c:pt idx="1">
                  <c:v>100～200
万円未満</c:v>
                </c:pt>
                <c:pt idx="2">
                  <c:v>200～300万円未満</c:v>
                </c:pt>
                <c:pt idx="3">
                  <c:v>300～400
万円未満</c:v>
                </c:pt>
                <c:pt idx="4">
                  <c:v>400～600万円未満</c:v>
                </c:pt>
                <c:pt idx="5">
                  <c:v>600～800
万円未満</c:v>
                </c:pt>
                <c:pt idx="6">
                  <c:v>800～1,000
万円未満</c:v>
                </c:pt>
                <c:pt idx="7">
                  <c:v>1,000万円以上</c:v>
                </c:pt>
                <c:pt idx="8">
                  <c:v>無回答</c:v>
                </c:pt>
              </c:strCache>
            </c:strRef>
          </c:cat>
          <c:val>
            <c:numRef>
              <c:f>Sheet1!$B$2:$B$10</c:f>
              <c:numCache>
                <c:formatCode>General</c:formatCode>
                <c:ptCount val="9"/>
                <c:pt idx="0">
                  <c:v>7.2000000000000022E-2</c:v>
                </c:pt>
                <c:pt idx="1">
                  <c:v>0.13500000000000001</c:v>
                </c:pt>
                <c:pt idx="2">
                  <c:v>0.17500000000000004</c:v>
                </c:pt>
                <c:pt idx="3">
                  <c:v>0.14500000000000021</c:v>
                </c:pt>
                <c:pt idx="4">
                  <c:v>0.19500000000000001</c:v>
                </c:pt>
                <c:pt idx="5">
                  <c:v>0.12000000000000002</c:v>
                </c:pt>
                <c:pt idx="6">
                  <c:v>6.0000000000000032E-2</c:v>
                </c:pt>
                <c:pt idx="7">
                  <c:v>5.2000000000000032E-2</c:v>
                </c:pt>
                <c:pt idx="8">
                  <c:v>4.7000000000000014E-2</c:v>
                </c:pt>
              </c:numCache>
            </c:numRef>
          </c:val>
        </c:ser>
        <c:dLbls>
          <c:showVal val="1"/>
        </c:dLbls>
        <c:firstSliceAng val="0"/>
      </c:pieChart>
    </c:plotArea>
    <c:plotVisOnly val="1"/>
    <c:dispBlanksAs val="zero"/>
  </c:chart>
  <c:spPr>
    <a:ln>
      <a:noFill/>
    </a:ln>
  </c:spPr>
  <c:txPr>
    <a:bodyPr horzOverflow="overflow" anchor="ctr"/>
    <a:lstStyle/>
    <a:p>
      <a:pPr algn="ctr" rtl="0">
        <a:defRPr lang="ja-JP" altLang="en-US" sz="900">
          <a:solidFill>
            <a:schemeClr val="tx1"/>
          </a:solidFill>
          <a:latin typeface="ＭＳ 明朝"/>
          <a:ea typeface="ＭＳ 明朝"/>
        </a:defRPr>
      </a:pPr>
      <a:endParaRPr lang="ja-JP"/>
    </a:p>
  </c:txPr>
  <c:externalData r:id="rId2"/>
  <c:userShapes r:id="rId3"/>
  <c:extLst/>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ja-JP"/>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839205910072101"/>
          <c:y val="0.13375948460987841"/>
          <c:w val="0.69390872296787165"/>
          <c:h val="0.8177609162491094"/>
        </c:manualLayout>
      </c:layout>
      <c:pieChart>
        <c:varyColors val="1"/>
        <c:ser>
          <c:idx val="2"/>
          <c:order val="0"/>
          <c:tx>
            <c:strRef>
              <c:f>Sheet1!$B$1</c:f>
              <c:strCache>
                <c:ptCount val="1"/>
                <c:pt idx="0">
                  <c:v>売上高</c:v>
                </c:pt>
              </c:strCache>
            </c:strRef>
          </c:tx>
          <c:spPr>
            <a:ln w="6350">
              <a:solidFill>
                <a:sysClr val="windowText" lastClr="000000"/>
              </a:solidFill>
            </a:ln>
          </c:spPr>
          <c:dPt>
            <c:idx val="0"/>
            <c:spPr>
              <a:pattFill prst="pct75">
                <a:fgClr>
                  <a:sysClr val="windowText" lastClr="000000"/>
                </a:fgClr>
                <a:bgClr>
                  <a:sysClr val="window" lastClr="FFFFFF"/>
                </a:bgClr>
              </a:pattFill>
              <a:ln w="6350">
                <a:solidFill>
                  <a:sysClr val="windowText" lastClr="000000"/>
                </a:solidFill>
              </a:ln>
            </c:spPr>
          </c:dPt>
          <c:dPt>
            <c:idx val="1"/>
            <c:spPr>
              <a:pattFill prst="pct20">
                <a:fgClr>
                  <a:sysClr val="windowText" lastClr="000000"/>
                </a:fgClr>
                <a:bgClr>
                  <a:sysClr val="window" lastClr="FFFFFF"/>
                </a:bgClr>
              </a:pattFill>
              <a:ln w="6350">
                <a:solidFill>
                  <a:sysClr val="windowText" lastClr="000000"/>
                </a:solidFill>
              </a:ln>
            </c:spPr>
          </c:dPt>
          <c:dPt>
            <c:idx val="2"/>
            <c:spPr>
              <a:pattFill prst="pct50">
                <a:fgClr>
                  <a:sysClr val="windowText" lastClr="000000"/>
                </a:fgClr>
                <a:bgClr>
                  <a:sysClr val="window" lastClr="FFFFFF"/>
                </a:bgClr>
              </a:pattFill>
              <a:ln w="6350">
                <a:solidFill>
                  <a:sysClr val="windowText" lastClr="000000"/>
                </a:solidFill>
              </a:ln>
            </c:spPr>
          </c:dPt>
          <c:dPt>
            <c:idx val="3"/>
            <c:spPr>
              <a:pattFill prst="pct50">
                <a:fgClr>
                  <a:sysClr val="windowText" lastClr="000000"/>
                </a:fgClr>
                <a:bgClr>
                  <a:sysClr val="window" lastClr="FFFFFF"/>
                </a:bgClr>
              </a:pattFill>
              <a:ln w="6350">
                <a:solidFill>
                  <a:sysClr val="windowText" lastClr="000000"/>
                </a:solidFill>
              </a:ln>
            </c:spPr>
          </c:dPt>
          <c:dLbls>
            <c:dLbl>
              <c:idx val="0"/>
              <c:layout>
                <c:manualLayout>
                  <c:x val="-0.15883703726223494"/>
                  <c:y val="-0.25818181818181818"/>
                </c:manualLayout>
              </c:layout>
              <c:numFmt formatCode="0.0%" sourceLinked="0"/>
              <c:spPr>
                <a:solidFill>
                  <a:sysClr val="window" lastClr="FFFFFF"/>
                </a:solidFill>
              </c:spPr>
              <c:txPr>
                <a:bodyPr horzOverflow="overflow"/>
                <a:lstStyle/>
                <a:p>
                  <a:pPr>
                    <a:defRPr sz="800">
                      <a:solidFill>
                        <a:schemeClr val="tx1"/>
                      </a:solidFill>
                    </a:defRPr>
                  </a:pPr>
                  <a:endParaRPr lang="ja-JP"/>
                </a:p>
              </c:txPr>
              <c:showVal val="1"/>
              <c:showCatName val="1"/>
              <c:separator>
</c:separator>
            </c:dLbl>
            <c:dLbl>
              <c:idx val="1"/>
              <c:layout>
                <c:manualLayout>
                  <c:x val="0.17265375611832304"/>
                  <c:y val="0.19408208064900975"/>
                </c:manualLayout>
              </c:layout>
              <c:numFmt formatCode="0.0%" sourceLinked="0"/>
              <c:spPr>
                <a:solidFill>
                  <a:sysClr val="window" lastClr="FFFFFF"/>
                </a:solidFill>
              </c:spPr>
              <c:txPr>
                <a:bodyPr horzOverflow="overflow"/>
                <a:lstStyle/>
                <a:p>
                  <a:pPr>
                    <a:defRPr sz="800">
                      <a:solidFill>
                        <a:schemeClr val="tx1"/>
                      </a:solidFill>
                    </a:defRPr>
                  </a:pPr>
                  <a:endParaRPr lang="ja-JP"/>
                </a:p>
              </c:txPr>
              <c:showVal val="1"/>
              <c:showCatName val="1"/>
              <c:separator>
</c:separator>
            </c:dLbl>
            <c:dLbl>
              <c:idx val="2"/>
              <c:layout>
                <c:manualLayout>
                  <c:x val="-0.17926975344298246"/>
                  <c:y val="1.5151515151515193E-3"/>
                </c:manualLayout>
              </c:layout>
              <c:numFmt formatCode="0.0%" sourceLinked="0"/>
              <c:spPr>
                <a:noFill/>
              </c:spPr>
              <c:txPr>
                <a:bodyPr horzOverflow="overflow"/>
                <a:lstStyle/>
                <a:p>
                  <a:pPr>
                    <a:defRPr sz="800">
                      <a:solidFill>
                        <a:schemeClr val="tx1"/>
                      </a:solidFill>
                    </a:defRPr>
                  </a:pPr>
                  <a:endParaRPr lang="ja-JP"/>
                </a:p>
              </c:txPr>
              <c:showVal val="1"/>
              <c:showCatName val="1"/>
              <c:separator>
</c:separator>
            </c:dLbl>
            <c:dLbl>
              <c:idx val="3"/>
              <c:numFmt formatCode="0.0%" sourceLinked="0"/>
              <c:spPr>
                <a:solidFill>
                  <a:sysClr val="window" lastClr="FFFFFF"/>
                </a:solidFill>
              </c:spPr>
              <c:txPr>
                <a:bodyPr horzOverflow="overflow"/>
                <a:lstStyle/>
                <a:p>
                  <a:pPr>
                    <a:defRPr sz="800">
                      <a:solidFill>
                        <a:schemeClr val="tx1"/>
                      </a:solidFill>
                    </a:defRPr>
                  </a:pPr>
                  <a:endParaRPr lang="ja-JP"/>
                </a:p>
              </c:txPr>
              <c:showVal val="1"/>
              <c:showCatName val="1"/>
            </c:dLbl>
            <c:numFmt formatCode="0.0%" sourceLinked="0"/>
            <c:spPr>
              <a:solidFill>
                <a:sysClr val="window" lastClr="FFFFFF"/>
              </a:solidFill>
            </c:spPr>
            <c:txPr>
              <a:bodyPr rot="0" horzOverflow="overflow" anchor="ctr"/>
              <a:lstStyle/>
              <a:p>
                <a:pPr algn="ctr" rtl="0">
                  <a:defRPr sz="800">
                    <a:solidFill>
                      <a:schemeClr val="tx1"/>
                    </a:solidFill>
                  </a:defRPr>
                </a:pPr>
                <a:endParaRPr lang="ja-JP"/>
              </a:p>
            </c:txPr>
            <c:showVal val="1"/>
            <c:showCatName val="1"/>
            <c:separator>
</c:separator>
            <c:showLeaderLines val="1"/>
          </c:dLbls>
          <c:cat>
            <c:strRef>
              <c:f>Sheet1!$A$2:$A$4</c:f>
              <c:strCache>
                <c:ptCount val="3"/>
                <c:pt idx="0">
                  <c:v>持家</c:v>
                </c:pt>
                <c:pt idx="1">
                  <c:v>借家</c:v>
                </c:pt>
                <c:pt idx="2">
                  <c:v>無回答</c:v>
                </c:pt>
              </c:strCache>
            </c:strRef>
          </c:cat>
          <c:val>
            <c:numRef>
              <c:f>Sheet1!$B$2:$B$4</c:f>
              <c:numCache>
                <c:formatCode>General</c:formatCode>
                <c:ptCount val="3"/>
                <c:pt idx="0">
                  <c:v>0.78900000000000003</c:v>
                </c:pt>
                <c:pt idx="1">
                  <c:v>0.18300000000000041</c:v>
                </c:pt>
                <c:pt idx="2">
                  <c:v>2.7000000000000079E-2</c:v>
                </c:pt>
              </c:numCache>
            </c:numRef>
          </c:val>
        </c:ser>
        <c:dLbls>
          <c:showVal val="1"/>
        </c:dLbls>
        <c:firstSliceAng val="0"/>
      </c:pieChart>
    </c:plotArea>
    <c:plotVisOnly val="1"/>
    <c:dispBlanksAs val="zero"/>
  </c:chart>
  <c:spPr>
    <a:ln>
      <a:noFill/>
    </a:ln>
  </c:spPr>
  <c:txPr>
    <a:bodyPr horzOverflow="overflow" anchor="ctr"/>
    <a:lstStyle/>
    <a:p>
      <a:pPr algn="ctr" rtl="0">
        <a:defRPr lang="ja-JP" altLang="en-US" sz="900">
          <a:solidFill>
            <a:schemeClr val="tx1"/>
          </a:solidFill>
          <a:latin typeface="ＭＳ 明朝"/>
          <a:ea typeface="ＭＳ 明朝"/>
        </a:defRPr>
      </a:pPr>
      <a:endParaRPr lang="ja-JP"/>
    </a:p>
  </c:txPr>
  <c:externalData r:id="rId2"/>
  <c:extLst/>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ja-JP"/>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133967639334907"/>
          <c:y val="0.10982609957460462"/>
          <c:w val="0.68373761115681464"/>
          <c:h val="0.6664949555893328"/>
        </c:manualLayout>
      </c:layout>
      <c:pieChart>
        <c:varyColors val="1"/>
        <c:ser>
          <c:idx val="2"/>
          <c:order val="0"/>
          <c:tx>
            <c:strRef>
              <c:f>Sheet1!$B$1</c:f>
              <c:strCache>
                <c:ptCount val="1"/>
                <c:pt idx="0">
                  <c:v>(除不)%</c:v>
                </c:pt>
              </c:strCache>
            </c:strRef>
          </c:tx>
          <c:spPr>
            <a:ln>
              <a:solidFill>
                <a:schemeClr val="tx1"/>
              </a:solidFill>
            </a:ln>
          </c:spPr>
          <c:dPt>
            <c:idx val="0"/>
            <c:spPr>
              <a:pattFill prst="pct75">
                <a:fgClr>
                  <a:sysClr val="windowText" lastClr="000000"/>
                </a:fgClr>
                <a:bgClr>
                  <a:sysClr val="window" lastClr="FFFFFF"/>
                </a:bgClr>
              </a:pattFill>
              <a:ln>
                <a:solidFill>
                  <a:schemeClr val="tx1"/>
                </a:solidFill>
              </a:ln>
            </c:spPr>
          </c:dPt>
          <c:dPt>
            <c:idx val="1"/>
            <c:spPr>
              <a:pattFill prst="pct20">
                <a:fgClr>
                  <a:sysClr val="windowText" lastClr="000000"/>
                </a:fgClr>
                <a:bgClr>
                  <a:sysClr val="window" lastClr="FFFFFF"/>
                </a:bgClr>
              </a:pattFill>
              <a:ln>
                <a:solidFill>
                  <a:schemeClr val="tx1"/>
                </a:solidFill>
              </a:ln>
            </c:spPr>
          </c:dPt>
          <c:dPt>
            <c:idx val="2"/>
            <c:spPr>
              <a:pattFill prst="pct50">
                <a:fgClr>
                  <a:sysClr val="windowText" lastClr="000000"/>
                </a:fgClr>
                <a:bgClr>
                  <a:sysClr val="window" lastClr="FFFFFF"/>
                </a:bgClr>
              </a:pattFill>
              <a:ln>
                <a:solidFill>
                  <a:schemeClr val="tx1"/>
                </a:solidFill>
              </a:ln>
            </c:spPr>
          </c:dPt>
          <c:dPt>
            <c:idx val="3"/>
            <c:spPr>
              <a:pattFill prst="ltDnDiag">
                <a:fgClr>
                  <a:sysClr val="windowText" lastClr="000000"/>
                </a:fgClr>
                <a:bgClr>
                  <a:sysClr val="window" lastClr="FFFFFF"/>
                </a:bgClr>
              </a:pattFill>
              <a:ln>
                <a:solidFill>
                  <a:schemeClr val="tx1"/>
                </a:solidFill>
              </a:ln>
            </c:spPr>
          </c:dPt>
          <c:dPt>
            <c:idx val="4"/>
            <c:spPr>
              <a:pattFill prst="pct5">
                <a:fgClr>
                  <a:sysClr val="windowText" lastClr="000000"/>
                </a:fgClr>
                <a:bgClr>
                  <a:srgbClr val="FFFF00"/>
                </a:bgClr>
              </a:pattFill>
              <a:ln>
                <a:solidFill>
                  <a:schemeClr val="tx1"/>
                </a:solidFill>
              </a:ln>
            </c:spPr>
          </c:dPt>
          <c:dPt>
            <c:idx val="5"/>
            <c:spPr>
              <a:pattFill prst="ltUpDiag">
                <a:fgClr>
                  <a:sysClr val="windowText" lastClr="000000"/>
                </a:fgClr>
                <a:bgClr>
                  <a:sysClr val="window" lastClr="FFFFFF"/>
                </a:bgClr>
              </a:pattFill>
              <a:ln>
                <a:solidFill>
                  <a:schemeClr val="tx1"/>
                </a:solidFill>
              </a:ln>
            </c:spPr>
          </c:dPt>
          <c:dPt>
            <c:idx val="6"/>
            <c:spPr>
              <a:pattFill prst="pct60">
                <a:fgClr>
                  <a:sysClr val="windowText" lastClr="000000"/>
                </a:fgClr>
                <a:bgClr>
                  <a:sysClr val="window" lastClr="FFFFFF"/>
                </a:bgClr>
              </a:pattFill>
              <a:ln>
                <a:solidFill>
                  <a:schemeClr val="tx1"/>
                </a:solidFill>
              </a:ln>
            </c:spPr>
          </c:dPt>
          <c:dPt>
            <c:idx val="7"/>
            <c:spPr>
              <a:pattFill prst="wdDnDiag">
                <a:fgClr>
                  <a:sysClr val="windowText" lastClr="000000"/>
                </a:fgClr>
                <a:bgClr>
                  <a:sysClr val="window" lastClr="FFFFFF"/>
                </a:bgClr>
              </a:pattFill>
              <a:ln>
                <a:solidFill>
                  <a:schemeClr val="tx1"/>
                </a:solidFill>
              </a:ln>
            </c:spPr>
          </c:dPt>
          <c:dPt>
            <c:idx val="8"/>
            <c:spPr>
              <a:pattFill prst="pct25">
                <a:fgClr>
                  <a:sysClr val="windowText" lastClr="000000"/>
                </a:fgClr>
                <a:bgClr>
                  <a:srgbClr val="00B050"/>
                </a:bgClr>
              </a:pattFill>
              <a:ln>
                <a:solidFill>
                  <a:schemeClr val="tx1"/>
                </a:solidFill>
              </a:ln>
            </c:spPr>
          </c:dPt>
          <c:dPt>
            <c:idx val="9"/>
            <c:spPr>
              <a:pattFill prst="pct10">
                <a:fgClr>
                  <a:sysClr val="windowText" lastClr="000000"/>
                </a:fgClr>
                <a:bgClr>
                  <a:sysClr val="window" lastClr="FFFFFF"/>
                </a:bgClr>
              </a:pattFill>
              <a:ln>
                <a:solidFill>
                  <a:schemeClr val="tx1"/>
                </a:solidFill>
              </a:ln>
            </c:spPr>
          </c:dPt>
          <c:dLbls>
            <c:dLbl>
              <c:idx val="0"/>
              <c:numFmt formatCode="0.0%" sourceLinked="0"/>
              <c:spPr>
                <a:solidFill>
                  <a:sysClr val="window" lastClr="FFFFFF"/>
                </a:solidFill>
              </c:spPr>
              <c:txPr>
                <a:bodyPr horzOverflow="overflow"/>
                <a:lstStyle/>
                <a:p>
                  <a:pPr>
                    <a:defRPr sz="800">
                      <a:solidFill>
                        <a:schemeClr val="tx1"/>
                      </a:solidFill>
                    </a:defRPr>
                  </a:pPr>
                  <a:endParaRPr lang="ja-JP"/>
                </a:p>
              </c:txPr>
              <c:showVal val="1"/>
              <c:showCatName val="1"/>
            </c:dLbl>
            <c:dLbl>
              <c:idx val="1"/>
              <c:layout>
                <c:manualLayout>
                  <c:x val="8.1215967407059206E-2"/>
                  <c:y val="7.6838479574146516E-3"/>
                </c:manualLayout>
              </c:layout>
              <c:tx>
                <c:rich>
                  <a:bodyPr horzOverflow="overflow"/>
                  <a:lstStyle/>
                  <a:p>
                    <a:pPr>
                      <a:defRPr/>
                    </a:pPr>
                    <a:r>
                      <a:rPr lang="ja-JP" altLang="en-US" sz="800">
                        <a:solidFill>
                          <a:schemeClr val="tx1"/>
                        </a:solidFill>
                        <a:latin typeface="ＭＳ 明朝"/>
                        <a:ea typeface="ＭＳ 明朝"/>
                      </a:rPr>
                      <a:t>安芸</a:t>
                    </a:r>
                    <a:endParaRPr lang="en-US" altLang="ja-JP" sz="800">
                      <a:solidFill>
                        <a:schemeClr val="tx1"/>
                      </a:solidFill>
                      <a:latin typeface="ＭＳ 明朝"/>
                      <a:ea typeface="ＭＳ 明朝"/>
                    </a:endParaRPr>
                  </a:p>
                  <a:p>
                    <a:pPr>
                      <a:defRPr/>
                    </a:pPr>
                    <a:r>
                      <a:rPr lang="ja-JP" altLang="en-US" sz="800">
                        <a:solidFill>
                          <a:schemeClr val="tx1"/>
                        </a:solidFill>
                        <a:latin typeface="ＭＳ 明朝"/>
                        <a:ea typeface="ＭＳ 明朝"/>
                      </a:rPr>
                      <a:t>広域圏
</a:t>
                    </a:r>
                    <a:r>
                      <a:rPr lang="en-US" altLang="ja-JP" sz="800">
                        <a:solidFill>
                          <a:schemeClr val="tx1"/>
                        </a:solidFill>
                        <a:latin typeface="ＭＳ 明朝"/>
                        <a:ea typeface="ＭＳ 明朝"/>
                      </a:rPr>
                      <a:t>7.1%</a:t>
                    </a:r>
                  </a:p>
                </c:rich>
              </c:tx>
              <c:numFmt formatCode="0.0%" sourceLinked="0"/>
              <c:spPr/>
              <c:showVal val="1"/>
              <c:showCatName val="1"/>
              <c:separator>
</c:separator>
            </c:dLbl>
            <c:dLbl>
              <c:idx val="2"/>
              <c:delete val="1"/>
            </c:dLbl>
            <c:dLbl>
              <c:idx val="3"/>
              <c:layout>
                <c:manualLayout>
                  <c:x val="-4.0729032005327723E-2"/>
                  <c:y val="0.21775041756144206"/>
                </c:manualLayout>
              </c:layout>
              <c:tx>
                <c:rich>
                  <a:bodyPr horzOverflow="overflow"/>
                  <a:lstStyle/>
                  <a:p>
                    <a:pPr>
                      <a:defRPr/>
                    </a:pPr>
                    <a:r>
                      <a:rPr lang="ja-JP" altLang="en-US" sz="800">
                        <a:solidFill>
                          <a:schemeClr val="tx1"/>
                        </a:solidFill>
                        <a:latin typeface="ＭＳ 明朝"/>
                        <a:ea typeface="ＭＳ 明朝"/>
                      </a:rPr>
                      <a:t>嶺北</a:t>
                    </a:r>
                    <a:endParaRPr lang="en-US" altLang="ja-JP" sz="800">
                      <a:solidFill>
                        <a:schemeClr val="tx1"/>
                      </a:solidFill>
                      <a:latin typeface="ＭＳ 明朝"/>
                      <a:ea typeface="ＭＳ 明朝"/>
                    </a:endParaRPr>
                  </a:p>
                  <a:p>
                    <a:pPr>
                      <a:defRPr/>
                    </a:pPr>
                    <a:r>
                      <a:rPr lang="ja-JP" altLang="en-US" sz="800">
                        <a:solidFill>
                          <a:schemeClr val="tx1"/>
                        </a:solidFill>
                        <a:latin typeface="ＭＳ 明朝"/>
                        <a:ea typeface="ＭＳ 明朝"/>
                      </a:rPr>
                      <a:t>広域圏
</a:t>
                    </a:r>
                    <a:r>
                      <a:rPr lang="en-US" altLang="ja-JP" sz="800">
                        <a:solidFill>
                          <a:schemeClr val="tx1"/>
                        </a:solidFill>
                        <a:latin typeface="ＭＳ 明朝"/>
                        <a:ea typeface="ＭＳ 明朝"/>
                      </a:rPr>
                      <a:t>2.1%</a:t>
                    </a:r>
                  </a:p>
                </c:rich>
              </c:tx>
              <c:numFmt formatCode="0.0%" sourceLinked="0"/>
              <c:spPr/>
              <c:showVal val="1"/>
              <c:showCatName val="1"/>
              <c:separator>
</c:separator>
            </c:dLbl>
            <c:dLbl>
              <c:idx val="4"/>
              <c:layout>
                <c:manualLayout>
                  <c:x val="-3.3728992831120005E-4"/>
                  <c:y val="0.15986485325697924"/>
                </c:manualLayout>
              </c:layout>
              <c:numFmt formatCode="0.0%" sourceLinked="0"/>
              <c:spPr/>
              <c:txPr>
                <a:bodyPr horzOverflow="overflow"/>
                <a:lstStyle/>
                <a:p>
                  <a:pPr>
                    <a:defRPr sz="800">
                      <a:solidFill>
                        <a:schemeClr val="tx1"/>
                      </a:solidFill>
                    </a:defRPr>
                  </a:pPr>
                  <a:endParaRPr lang="ja-JP"/>
                </a:p>
              </c:txPr>
              <c:showVal val="1"/>
              <c:showCatName val="1"/>
              <c:separator>
</c:separator>
            </c:dLbl>
            <c:dLbl>
              <c:idx val="5"/>
              <c:layout>
                <c:manualLayout>
                  <c:x val="0"/>
                  <c:y val="0.12711391076115486"/>
                </c:manualLayout>
              </c:layout>
              <c:numFmt formatCode="0.0%" sourceLinked="0"/>
              <c:spPr/>
              <c:txPr>
                <a:bodyPr horzOverflow="overflow"/>
                <a:lstStyle/>
                <a:p>
                  <a:pPr>
                    <a:defRPr sz="800">
                      <a:solidFill>
                        <a:schemeClr val="tx1"/>
                      </a:solidFill>
                    </a:defRPr>
                  </a:pPr>
                  <a:endParaRPr lang="ja-JP"/>
                </a:p>
              </c:txPr>
              <c:showVal val="1"/>
              <c:showCatName val="1"/>
              <c:separator>
</c:separator>
            </c:dLbl>
            <c:dLbl>
              <c:idx val="6"/>
              <c:layout>
                <c:manualLayout>
                  <c:x val="-5.5885141223018783E-2"/>
                  <c:y val="8.3401574803149605E-3"/>
                </c:manualLayout>
              </c:layout>
              <c:tx>
                <c:rich>
                  <a:bodyPr horzOverflow="overflow"/>
                  <a:lstStyle/>
                  <a:p>
                    <a:pPr>
                      <a:defRPr/>
                    </a:pPr>
                    <a:r>
                      <a:rPr lang="ja-JP" altLang="en-US" sz="800">
                        <a:solidFill>
                          <a:schemeClr val="tx1"/>
                        </a:solidFill>
                        <a:latin typeface="ＭＳ 明朝"/>
                        <a:ea typeface="ＭＳ 明朝"/>
                      </a:rPr>
                      <a:t>高幡</a:t>
                    </a:r>
                    <a:endParaRPr lang="en-US" altLang="ja-JP" sz="800">
                      <a:solidFill>
                        <a:schemeClr val="tx1"/>
                      </a:solidFill>
                      <a:latin typeface="ＭＳ 明朝"/>
                      <a:ea typeface="ＭＳ 明朝"/>
                    </a:endParaRPr>
                  </a:p>
                  <a:p>
                    <a:pPr>
                      <a:defRPr/>
                    </a:pPr>
                    <a:r>
                      <a:rPr lang="ja-JP" altLang="en-US" sz="800">
                        <a:solidFill>
                          <a:schemeClr val="tx1"/>
                        </a:solidFill>
                        <a:latin typeface="ＭＳ 明朝"/>
                        <a:ea typeface="ＭＳ 明朝"/>
                      </a:rPr>
                      <a:t>広域圏
</a:t>
                    </a:r>
                    <a:r>
                      <a:rPr lang="en-US" altLang="ja-JP" sz="800">
                        <a:solidFill>
                          <a:schemeClr val="tx1"/>
                        </a:solidFill>
                        <a:latin typeface="ＭＳ 明朝"/>
                        <a:ea typeface="ＭＳ 明朝"/>
                      </a:rPr>
                      <a:t>7.6%</a:t>
                    </a:r>
                  </a:p>
                </c:rich>
              </c:tx>
              <c:numFmt formatCode="0.0%" sourceLinked="0"/>
              <c:spPr/>
              <c:showVal val="1"/>
              <c:showCatName val="1"/>
              <c:separator>
</c:separator>
            </c:dLbl>
            <c:dLbl>
              <c:idx val="7"/>
              <c:layout>
                <c:manualLayout>
                  <c:x val="-9.5753124143064264E-2"/>
                  <c:y val="1.2121212121212119E-3"/>
                </c:manualLayout>
              </c:layout>
              <c:tx>
                <c:rich>
                  <a:bodyPr horzOverflow="overflow"/>
                  <a:lstStyle/>
                  <a:p>
                    <a:pPr>
                      <a:defRPr/>
                    </a:pPr>
                    <a:r>
                      <a:rPr lang="ja-JP" altLang="en-US" sz="800">
                        <a:solidFill>
                          <a:schemeClr val="tx1"/>
                        </a:solidFill>
                        <a:latin typeface="ＭＳ 明朝"/>
                        <a:ea typeface="ＭＳ 明朝"/>
                      </a:rPr>
                      <a:t>幡多</a:t>
                    </a:r>
                    <a:endParaRPr lang="en-US" altLang="ja-JP" sz="800">
                      <a:solidFill>
                        <a:schemeClr val="tx1"/>
                      </a:solidFill>
                      <a:latin typeface="ＭＳ 明朝"/>
                      <a:ea typeface="ＭＳ 明朝"/>
                    </a:endParaRPr>
                  </a:p>
                  <a:p>
                    <a:pPr>
                      <a:defRPr/>
                    </a:pPr>
                    <a:r>
                      <a:rPr lang="ja-JP" altLang="en-US" sz="800">
                        <a:solidFill>
                          <a:schemeClr val="tx1"/>
                        </a:solidFill>
                        <a:latin typeface="ＭＳ 明朝"/>
                        <a:ea typeface="ＭＳ 明朝"/>
                      </a:rPr>
                      <a:t>広域圏
</a:t>
                    </a:r>
                    <a:r>
                      <a:rPr lang="en-US" altLang="ja-JP" sz="800">
                        <a:solidFill>
                          <a:schemeClr val="tx1"/>
                        </a:solidFill>
                        <a:latin typeface="ＭＳ 明朝"/>
                        <a:ea typeface="ＭＳ 明朝"/>
                      </a:rPr>
                      <a:t>12.5%</a:t>
                    </a:r>
                  </a:p>
                </c:rich>
              </c:tx>
              <c:numFmt formatCode="0.0%" sourceLinked="0"/>
              <c:spPr/>
              <c:showVal val="1"/>
              <c:showCatName val="1"/>
              <c:separator>
</c:separator>
            </c:dLbl>
            <c:dLbl>
              <c:idx val="8"/>
              <c:layout>
                <c:manualLayout>
                  <c:x val="0.25843342343401104"/>
                  <c:y val="1.2121212121212119E-3"/>
                </c:manualLayout>
              </c:layout>
              <c:numFmt formatCode="0.0%" sourceLinked="0"/>
              <c:spPr/>
              <c:txPr>
                <a:bodyPr horzOverflow="overflow"/>
                <a:lstStyle/>
                <a:p>
                  <a:pPr>
                    <a:defRPr sz="800">
                      <a:solidFill>
                        <a:schemeClr val="tx1"/>
                      </a:solidFill>
                    </a:defRPr>
                  </a:pPr>
                  <a:endParaRPr lang="ja-JP"/>
                </a:p>
              </c:txPr>
              <c:showVal val="1"/>
              <c:showCatName val="1"/>
              <c:separator>
</c:separator>
            </c:dLbl>
            <c:dLbl>
              <c:idx val="9"/>
              <c:numFmt formatCode="0.0%" sourceLinked="0"/>
              <c:spPr/>
              <c:txPr>
                <a:bodyPr horzOverflow="overflow"/>
                <a:lstStyle/>
                <a:p>
                  <a:pPr>
                    <a:defRPr sz="800">
                      <a:solidFill>
                        <a:schemeClr val="tx1"/>
                      </a:solidFill>
                    </a:defRPr>
                  </a:pPr>
                  <a:endParaRPr lang="ja-JP"/>
                </a:p>
              </c:txPr>
              <c:showVal val="1"/>
              <c:showCatName val="1"/>
            </c:dLbl>
            <c:numFmt formatCode="0.0%" sourceLinked="0"/>
            <c:txPr>
              <a:bodyPr rot="0" horzOverflow="overflow" anchor="ctr"/>
              <a:lstStyle/>
              <a:p>
                <a:pPr algn="ctr" rtl="0">
                  <a:defRPr sz="800">
                    <a:solidFill>
                      <a:schemeClr val="tx1"/>
                    </a:solidFill>
                  </a:defRPr>
                </a:pPr>
                <a:endParaRPr lang="ja-JP"/>
              </a:p>
            </c:txPr>
            <c:showVal val="1"/>
            <c:showCatName val="1"/>
            <c:separator>
</c:separator>
            <c:showLeaderLines val="1"/>
          </c:dLbls>
          <c:cat>
            <c:strRef>
              <c:f>Sheet1!$A$2:$A$10</c:f>
              <c:strCache>
                <c:ptCount val="9"/>
                <c:pt idx="0">
                  <c:v>高知市</c:v>
                </c:pt>
                <c:pt idx="1">
                  <c:v>安芸広域圏</c:v>
                </c:pt>
                <c:pt idx="2">
                  <c:v>南国・香美
広域圏</c:v>
                </c:pt>
                <c:pt idx="3">
                  <c:v>嶺北広域圏</c:v>
                </c:pt>
                <c:pt idx="4">
                  <c:v>仁淀川広域圏</c:v>
                </c:pt>
                <c:pt idx="5">
                  <c:v>高吾北広域圏</c:v>
                </c:pt>
                <c:pt idx="6">
                  <c:v>高幡広域圏</c:v>
                </c:pt>
                <c:pt idx="7">
                  <c:v>幡多広域圏</c:v>
                </c:pt>
                <c:pt idx="8">
                  <c:v>無回答</c:v>
                </c:pt>
              </c:strCache>
            </c:strRef>
          </c:cat>
          <c:val>
            <c:numRef>
              <c:f>Sheet1!$B$2:$B$10</c:f>
              <c:numCache>
                <c:formatCode>General</c:formatCode>
                <c:ptCount val="9"/>
                <c:pt idx="0">
                  <c:v>0.442</c:v>
                </c:pt>
                <c:pt idx="1">
                  <c:v>7.0999999999999994E-2</c:v>
                </c:pt>
                <c:pt idx="2">
                  <c:v>0.14200000000000004</c:v>
                </c:pt>
                <c:pt idx="3">
                  <c:v>2.1000000000000012E-2</c:v>
                </c:pt>
                <c:pt idx="4">
                  <c:v>7.8000000000000014E-2</c:v>
                </c:pt>
                <c:pt idx="5">
                  <c:v>3.2000000000000042E-2</c:v>
                </c:pt>
                <c:pt idx="6">
                  <c:v>7.5999999999999998E-2</c:v>
                </c:pt>
                <c:pt idx="7">
                  <c:v>0.125</c:v>
                </c:pt>
                <c:pt idx="8">
                  <c:v>1.2E-2</c:v>
                </c:pt>
              </c:numCache>
            </c:numRef>
          </c:val>
        </c:ser>
        <c:dLbls>
          <c:showVal val="1"/>
        </c:dLbls>
        <c:firstSliceAng val="0"/>
      </c:pieChart>
    </c:plotArea>
    <c:plotVisOnly val="1"/>
    <c:dispBlanksAs val="zero"/>
  </c:chart>
  <c:spPr>
    <a:ln>
      <a:noFill/>
    </a:ln>
  </c:spPr>
  <c:txPr>
    <a:bodyPr horzOverflow="overflow" anchor="ctr"/>
    <a:lstStyle/>
    <a:p>
      <a:pPr algn="ctr" rtl="0">
        <a:defRPr lang="ja-JP" altLang="en-US" sz="900">
          <a:solidFill>
            <a:schemeClr val="tx1"/>
          </a:solidFill>
          <a:latin typeface="ＭＳ 明朝"/>
          <a:ea typeface="ＭＳ 明朝"/>
        </a:defRPr>
      </a:pPr>
      <a:endParaRPr lang="ja-JP"/>
    </a:p>
  </c:txPr>
  <c:externalData r:id="rId2"/>
  <c:userShapes r:id="rId3"/>
  <c:extLst/>
</c:chartSpace>
</file>

<file path=word/drawings/drawing1.xml><?xml version="1.0" encoding="utf-8"?>
<c:userShapes xmlns:c="http://schemas.openxmlformats.org/drawingml/2006/chart">
  <cdr:relSizeAnchor xmlns:cdr="http://schemas.openxmlformats.org/drawingml/2006/chartDrawing">
    <cdr:from>
      <cdr:x>0</cdr:x>
      <cdr:y>0.06125</cdr:y>
    </cdr:from>
    <cdr:to>
      <cdr:x>0.32225</cdr:x>
      <cdr:y>0.1745</cdr:y>
    </cdr:to>
    <cdr:sp macro="" textlink="">
      <cdr:nvSpPr>
        <cdr:cNvPr id="2" name="テキスト ボックス 1"/>
        <cdr:cNvSpPr txBox="1"/>
      </cdr:nvSpPr>
      <cdr:spPr>
        <a:xfrm xmlns:a="http://schemas.openxmlformats.org/drawingml/2006/main">
          <a:off x="0" y="123098"/>
          <a:ext cx="739732" cy="227607"/>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en-US" altLang="ja-JP" sz="800">
              <a:latin typeface="ＭＳ 明朝"/>
              <a:ea typeface="ＭＳ 明朝"/>
            </a:rPr>
            <a:t>70</a:t>
          </a:r>
          <a:r>
            <a:rPr lang="ja-JP" altLang="en-US" sz="800">
              <a:latin typeface="ＭＳ 明朝"/>
              <a:ea typeface="ＭＳ 明朝"/>
            </a:rPr>
            <a:t>歳以上</a:t>
          </a:r>
        </a:p>
      </cdr:txBody>
    </cdr:sp>
  </cdr:relSizeAnchor>
</c:userShapes>
</file>

<file path=word/drawings/drawing2.xml><?xml version="1.0" encoding="utf-8"?>
<c:userShapes xmlns:c="http://schemas.openxmlformats.org/drawingml/2006/chart">
  <cdr:relSizeAnchor xmlns:cdr="http://schemas.openxmlformats.org/drawingml/2006/chartDrawing">
    <cdr:from>
      <cdr:x>0.14975</cdr:x>
      <cdr:y>0.41575</cdr:y>
    </cdr:from>
    <cdr:to>
      <cdr:x>0.214</cdr:x>
      <cdr:y>0.48225</cdr:y>
    </cdr:to>
    <cdr:sp macro="" textlink="">
      <cdr:nvSpPr>
        <cdr:cNvPr id="4" name="直線コネクタ 3"/>
        <cdr:cNvSpPr/>
      </cdr:nvSpPr>
      <cdr:spPr>
        <a:xfrm xmlns:a="http://schemas.openxmlformats.org/drawingml/2006/main" flipH="1">
          <a:off x="399383" y="1005844"/>
          <a:ext cx="171354" cy="16088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userShapes>
</file>

<file path=word/drawings/drawing3.xml><?xml version="1.0" encoding="utf-8"?>
<c:userShapes xmlns:c="http://schemas.openxmlformats.org/drawingml/2006/chart">
  <cdr:relSizeAnchor xmlns:cdr="http://schemas.openxmlformats.org/drawingml/2006/chartDrawing">
    <cdr:from>
      <cdr:x>0.261</cdr:x>
      <cdr:y>0.80375</cdr:y>
    </cdr:from>
    <cdr:to>
      <cdr:x>0.50725</cdr:x>
      <cdr:y>0.982</cdr:y>
    </cdr:to>
    <cdr:sp macro="" textlink="">
      <cdr:nvSpPr>
        <cdr:cNvPr id="2" name="テキスト ボックス 1"/>
        <cdr:cNvSpPr txBox="1"/>
      </cdr:nvSpPr>
      <cdr:spPr>
        <a:xfrm xmlns:a="http://schemas.openxmlformats.org/drawingml/2006/main">
          <a:off x="663768" y="2097666"/>
          <a:ext cx="626256" cy="465205"/>
        </a:xfrm>
        <a:prstGeom xmlns:a="http://schemas.openxmlformats.org/drawingml/2006/main" prst="rect">
          <a:avLst/>
        </a:prstGeom>
      </cdr:spPr>
      <cdr:txBody>
        <a:bodyPr xmlns:a="http://schemas.openxmlformats.org/drawingml/2006/main" vertOverflow="clip" horzOverflow="overflow" wrap="square" lIns="0" tIns="0" rIns="0" bIns="0" rtlCol="0"/>
        <a:lstStyle xmlns:a="http://schemas.openxmlformats.org/drawingml/2006/main"/>
        <a:p xmlns:a="http://schemas.openxmlformats.org/drawingml/2006/main">
          <a:r>
            <a:rPr lang="ja-JP" altLang="en-US" sz="800">
              <a:latin typeface="ＭＳ 明朝"/>
              <a:ea typeface="ＭＳ 明朝"/>
            </a:rPr>
            <a:t>南国・香美</a:t>
          </a:r>
          <a:endParaRPr lang="en-US" altLang="ja-JP" sz="800">
            <a:latin typeface="ＭＳ 明朝"/>
            <a:ea typeface="ＭＳ 明朝"/>
          </a:endParaRPr>
        </a:p>
        <a:p xmlns:a="http://schemas.openxmlformats.org/drawingml/2006/main">
          <a:r>
            <a:rPr lang="ja-JP" altLang="en-US" sz="800">
              <a:latin typeface="ＭＳ 明朝"/>
              <a:ea typeface="ＭＳ 明朝"/>
            </a:rPr>
            <a:t>  広域圏</a:t>
          </a:r>
          <a:endParaRPr lang="en-US" altLang="ja-JP" sz="800">
            <a:latin typeface="ＭＳ 明朝"/>
            <a:ea typeface="ＭＳ 明朝"/>
          </a:endParaRPr>
        </a:p>
        <a:p xmlns:a="http://schemas.openxmlformats.org/drawingml/2006/main">
          <a:r>
            <a:rPr lang="en-US" altLang="ja-JP" sz="800">
              <a:latin typeface="ＭＳ 明朝"/>
              <a:ea typeface="ＭＳ 明朝"/>
            </a:rPr>
            <a:t>  14.2%</a:t>
          </a:r>
          <a:endParaRPr lang="ja-JP" altLang="en-US" sz="800">
            <a:latin typeface="ＭＳ 明朝"/>
            <a:ea typeface="ＭＳ 明朝"/>
          </a:endParaRPr>
        </a:p>
      </cdr:txBody>
    </cdr:sp>
  </cdr:relSizeAnchor>
  <cdr:relSizeAnchor xmlns:cdr="http://schemas.openxmlformats.org/drawingml/2006/chartDrawing">
    <cdr:from>
      <cdr:x>0.3655</cdr:x>
      <cdr:y>0.72725</cdr:y>
    </cdr:from>
    <cdr:to>
      <cdr:x>0.373</cdr:x>
      <cdr:y>0.8</cdr:y>
    </cdr:to>
    <cdr:sp macro="" textlink="">
      <cdr:nvSpPr>
        <cdr:cNvPr id="5" name="直線コネクタ 4"/>
        <cdr:cNvSpPr/>
      </cdr:nvSpPr>
      <cdr:spPr>
        <a:xfrm xmlns:a="http://schemas.openxmlformats.org/drawingml/2006/main">
          <a:off x="929530" y="1898013"/>
          <a:ext cx="19073" cy="18986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0A1ED-E87E-4475-BC56-431A155D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2248</Words>
  <Characters>12816</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tommy</cp:lastModifiedBy>
  <cp:revision>7</cp:revision>
  <cp:lastPrinted>2017-11-27T23:41:00Z</cp:lastPrinted>
  <dcterms:created xsi:type="dcterms:W3CDTF">2017-12-13T07:28:00Z</dcterms:created>
  <dcterms:modified xsi:type="dcterms:W3CDTF">2017-12-14T01:39:00Z</dcterms:modified>
</cp:coreProperties>
</file>