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3.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4.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15.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6.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17.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18.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9.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20.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1.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2.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2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24.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25.xml" ContentType="application/vnd.openxmlformats-officedocument.drawingml.chartshapes+xml"/>
  <Override PartName="/word/charts/chart33.xml" ContentType="application/vnd.openxmlformats-officedocument.drawingml.chart+xml"/>
  <Override PartName="/word/drawings/drawing26.xml" ContentType="application/vnd.openxmlformats-officedocument.drawingml.chartshapes+xml"/>
  <Override PartName="/word/charts/chart34.xml" ContentType="application/vnd.openxmlformats-officedocument.drawingml.chart+xml"/>
  <Override PartName="/word/theme/themeOverride33.xml" ContentType="application/vnd.openxmlformats-officedocument.themeOverride+xml"/>
  <Override PartName="/word/drawings/drawing27.xml" ContentType="application/vnd.openxmlformats-officedocument.drawingml.chartshapes+xml"/>
  <Override PartName="/word/charts/chart35.xml" ContentType="application/vnd.openxmlformats-officedocument.drawingml.chart+xml"/>
  <Override PartName="/word/theme/themeOverride34.xml" ContentType="application/vnd.openxmlformats-officedocument.themeOverride+xml"/>
  <Override PartName="/word/drawings/drawing28.xml" ContentType="application/vnd.openxmlformats-officedocument.drawingml.chartshapes+xml"/>
  <Override PartName="/word/charts/chart36.xml" ContentType="application/vnd.openxmlformats-officedocument.drawingml.chart+xml"/>
  <Override PartName="/word/theme/themeOverride35.xml" ContentType="application/vnd.openxmlformats-officedocument.themeOverride+xml"/>
  <Override PartName="/word/drawings/drawing29.xml" ContentType="application/vnd.openxmlformats-officedocument.drawingml.chartshapes+xml"/>
  <Override PartName="/word/charts/chart37.xml" ContentType="application/vnd.openxmlformats-officedocument.drawingml.chart+xml"/>
  <Override PartName="/word/theme/themeOverride36.xml" ContentType="application/vnd.openxmlformats-officedocument.themeOverride+xml"/>
  <Override PartName="/word/drawings/drawing30.xml" ContentType="application/vnd.openxmlformats-officedocument.drawingml.chartshapes+xml"/>
  <Override PartName="/word/charts/chart38.xml" ContentType="application/vnd.openxmlformats-officedocument.drawingml.chart+xml"/>
  <Override PartName="/word/theme/themeOverride37.xml" ContentType="application/vnd.openxmlformats-officedocument.themeOverride+xml"/>
  <Override PartName="/word/drawings/drawing31.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drawings/drawing32.xml" ContentType="application/vnd.openxmlformats-officedocument.drawingml.chartshapes+xml"/>
  <Override PartName="/word/charts/chart40.xml" ContentType="application/vnd.openxmlformats-officedocument.drawingml.chart+xml"/>
  <Override PartName="/word/theme/themeOverride39.xml" ContentType="application/vnd.openxmlformats-officedocument.themeOverride+xml"/>
  <Override PartName="/word/drawings/drawing33.xml" ContentType="application/vnd.openxmlformats-officedocument.drawingml.chartshapes+xml"/>
  <Override PartName="/word/charts/chart41.xml" ContentType="application/vnd.openxmlformats-officedocument.drawingml.chart+xml"/>
  <Override PartName="/word/theme/themeOverride40.xml" ContentType="application/vnd.openxmlformats-officedocument.themeOverride+xml"/>
  <Override PartName="/word/drawings/drawing34.xml" ContentType="application/vnd.openxmlformats-officedocument.drawingml.chartshapes+xml"/>
  <Override PartName="/word/charts/chart42.xml" ContentType="application/vnd.openxmlformats-officedocument.drawingml.chart+xml"/>
  <Override PartName="/word/theme/themeOverride41.xml" ContentType="application/vnd.openxmlformats-officedocument.themeOverride+xml"/>
  <Override PartName="/word/drawings/drawing35.xml" ContentType="application/vnd.openxmlformats-officedocument.drawingml.chartshapes+xml"/>
  <Override PartName="/word/charts/chart43.xml" ContentType="application/vnd.openxmlformats-officedocument.drawingml.chart+xml"/>
  <Override PartName="/word/theme/themeOverride42.xml" ContentType="application/vnd.openxmlformats-officedocument.themeOverride+xml"/>
  <Override PartName="/word/drawings/drawing36.xml" ContentType="application/vnd.openxmlformats-officedocument.drawingml.chartshapes+xml"/>
  <Override PartName="/word/charts/chart44.xml" ContentType="application/vnd.openxmlformats-officedocument.drawingml.chart+xml"/>
  <Override PartName="/word/theme/themeOverride43.xml" ContentType="application/vnd.openxmlformats-officedocument.themeOverride+xml"/>
  <Override PartName="/word/drawings/drawing37.xml" ContentType="application/vnd.openxmlformats-officedocument.drawingml.chartshapes+xml"/>
  <Override PartName="/word/charts/chart45.xml" ContentType="application/vnd.openxmlformats-officedocument.drawingml.chart+xml"/>
  <Override PartName="/word/theme/themeOverride44.xml" ContentType="application/vnd.openxmlformats-officedocument.themeOverride+xml"/>
  <Override PartName="/word/drawings/drawing38.xml" ContentType="application/vnd.openxmlformats-officedocument.drawingml.chartshapes+xml"/>
  <Override PartName="/word/charts/chart46.xml" ContentType="application/vnd.openxmlformats-officedocument.drawingml.chart+xml"/>
  <Override PartName="/word/theme/themeOverride45.xml" ContentType="application/vnd.openxmlformats-officedocument.themeOverride+xml"/>
  <Override PartName="/word/drawings/drawing39.xml" ContentType="application/vnd.openxmlformats-officedocument.drawingml.chartshapes+xml"/>
  <Override PartName="/word/charts/chart47.xml" ContentType="application/vnd.openxmlformats-officedocument.drawingml.chart+xml"/>
  <Override PartName="/word/theme/themeOverride46.xml" ContentType="application/vnd.openxmlformats-officedocument.themeOverride+xml"/>
  <Override PartName="/word/drawings/drawing40.xml" ContentType="application/vnd.openxmlformats-officedocument.drawingml.chartshapes+xml"/>
  <Override PartName="/word/charts/chart48.xml" ContentType="application/vnd.openxmlformats-officedocument.drawingml.chart+xml"/>
  <Override PartName="/word/theme/themeOverride47.xml" ContentType="application/vnd.openxmlformats-officedocument.themeOverride+xml"/>
  <Override PartName="/word/drawings/drawing41.xml" ContentType="application/vnd.openxmlformats-officedocument.drawingml.chartshapes+xml"/>
  <Override PartName="/word/charts/chart49.xml" ContentType="application/vnd.openxmlformats-officedocument.drawingml.chart+xml"/>
  <Override PartName="/word/theme/themeOverride48.xml" ContentType="application/vnd.openxmlformats-officedocument.themeOverride+xml"/>
  <Override PartName="/word/drawings/drawing42.xml" ContentType="application/vnd.openxmlformats-officedocument.drawingml.chartshapes+xml"/>
  <Override PartName="/word/charts/chart50.xml" ContentType="application/vnd.openxmlformats-officedocument.drawingml.chart+xml"/>
  <Override PartName="/word/theme/themeOverride49.xml" ContentType="application/vnd.openxmlformats-officedocument.themeOverride+xml"/>
  <Override PartName="/word/drawings/drawing43.xml" ContentType="application/vnd.openxmlformats-officedocument.drawingml.chartshapes+xml"/>
  <Override PartName="/word/charts/chart51.xml" ContentType="application/vnd.openxmlformats-officedocument.drawingml.chart+xml"/>
  <Override PartName="/word/theme/themeOverride50.xml" ContentType="application/vnd.openxmlformats-officedocument.themeOverride+xml"/>
  <Override PartName="/word/drawings/drawing44.xml" ContentType="application/vnd.openxmlformats-officedocument.drawingml.chartshapes+xml"/>
  <Override PartName="/word/charts/chart52.xml" ContentType="application/vnd.openxmlformats-officedocument.drawingml.chart+xml"/>
  <Override PartName="/word/theme/themeOverride51.xml" ContentType="application/vnd.openxmlformats-officedocument.themeOverride+xml"/>
  <Override PartName="/word/drawings/drawing45.xml" ContentType="application/vnd.openxmlformats-officedocument.drawingml.chartshapes+xml"/>
  <Override PartName="/word/charts/chart53.xml" ContentType="application/vnd.openxmlformats-officedocument.drawingml.chart+xml"/>
  <Override PartName="/word/theme/themeOverride52.xml" ContentType="application/vnd.openxmlformats-officedocument.themeOverride+xml"/>
  <Override PartName="/word/drawings/drawing46.xml" ContentType="application/vnd.openxmlformats-officedocument.drawingml.chartshapes+xml"/>
  <Override PartName="/word/charts/chart54.xml" ContentType="application/vnd.openxmlformats-officedocument.drawingml.chart+xml"/>
  <Override PartName="/word/theme/themeOverride53.xml" ContentType="application/vnd.openxmlformats-officedocument.themeOverride+xml"/>
  <Override PartName="/word/drawings/drawing47.xml" ContentType="application/vnd.openxmlformats-officedocument.drawingml.chartshapes+xml"/>
  <Override PartName="/word/charts/chart55.xml" ContentType="application/vnd.openxmlformats-officedocument.drawingml.chart+xml"/>
  <Override PartName="/word/theme/themeOverride54.xml" ContentType="application/vnd.openxmlformats-officedocument.themeOverride+xml"/>
  <Override PartName="/word/drawings/drawing48.xml" ContentType="application/vnd.openxmlformats-officedocument.drawingml.chartshapes+xml"/>
  <Override PartName="/word/charts/chart56.xml" ContentType="application/vnd.openxmlformats-officedocument.drawingml.chart+xml"/>
  <Override PartName="/word/theme/themeOverride55.xml" ContentType="application/vnd.openxmlformats-officedocument.themeOverride+xml"/>
  <Override PartName="/word/drawings/drawing49.xml" ContentType="application/vnd.openxmlformats-officedocument.drawingml.chartshapes+xml"/>
  <Override PartName="/word/charts/chart57.xml" ContentType="application/vnd.openxmlformats-officedocument.drawingml.chart+xml"/>
  <Override PartName="/word/theme/themeOverride56.xml" ContentType="application/vnd.openxmlformats-officedocument.themeOverride+xml"/>
  <Override PartName="/word/drawings/drawing50.xml" ContentType="application/vnd.openxmlformats-officedocument.drawingml.chartshapes+xml"/>
  <Override PartName="/word/charts/chart58.xml" ContentType="application/vnd.openxmlformats-officedocument.drawingml.chart+xml"/>
  <Override PartName="/word/theme/themeOverride57.xml" ContentType="application/vnd.openxmlformats-officedocument.themeOverride+xml"/>
  <Override PartName="/word/drawings/drawing51.xml" ContentType="application/vnd.openxmlformats-officedocument.drawingml.chartshapes+xml"/>
  <Override PartName="/word/charts/chart59.xml" ContentType="application/vnd.openxmlformats-officedocument.drawingml.chart+xml"/>
  <Override PartName="/word/theme/themeOverride58.xml" ContentType="application/vnd.openxmlformats-officedocument.themeOverride+xml"/>
  <Override PartName="/word/drawings/drawing52.xml" ContentType="application/vnd.openxmlformats-officedocument.drawingml.chartshapes+xml"/>
  <Override PartName="/word/charts/chart60.xml" ContentType="application/vnd.openxmlformats-officedocument.drawingml.chart+xml"/>
  <Override PartName="/word/theme/themeOverride59.xml" ContentType="application/vnd.openxmlformats-officedocument.themeOverride+xml"/>
  <Override PartName="/word/drawings/drawing53.xml" ContentType="application/vnd.openxmlformats-officedocument.drawingml.chartshapes+xml"/>
  <Override PartName="/word/charts/chart61.xml" ContentType="application/vnd.openxmlformats-officedocument.drawingml.chart+xml"/>
  <Override PartName="/word/theme/themeOverride60.xml" ContentType="application/vnd.openxmlformats-officedocument.themeOverride+xml"/>
  <Override PartName="/word/drawings/drawing54.xml" ContentType="application/vnd.openxmlformats-officedocument.drawingml.chartshapes+xml"/>
  <Override PartName="/word/charts/chart62.xml" ContentType="application/vnd.openxmlformats-officedocument.drawingml.chart+xml"/>
  <Override PartName="/word/theme/themeOverride61.xml" ContentType="application/vnd.openxmlformats-officedocument.themeOverride+xml"/>
  <Override PartName="/word/drawings/drawing55.xml" ContentType="application/vnd.openxmlformats-officedocument.drawingml.chartshapes+xml"/>
  <Override PartName="/word/charts/chart63.xml" ContentType="application/vnd.openxmlformats-officedocument.drawingml.chart+xml"/>
  <Override PartName="/word/theme/themeOverride62.xml" ContentType="application/vnd.openxmlformats-officedocument.themeOverride+xml"/>
  <Override PartName="/word/drawings/drawing56.xml" ContentType="application/vnd.openxmlformats-officedocument.drawingml.chartshapes+xml"/>
  <Override PartName="/word/charts/chart64.xml" ContentType="application/vnd.openxmlformats-officedocument.drawingml.chart+xml"/>
  <Override PartName="/word/theme/themeOverride63.xml" ContentType="application/vnd.openxmlformats-officedocument.themeOverride+xml"/>
  <Override PartName="/word/drawings/drawing57.xml" ContentType="application/vnd.openxmlformats-officedocument.drawingml.chartshapes+xml"/>
  <Override PartName="/word/charts/chart65.xml" ContentType="application/vnd.openxmlformats-officedocument.drawingml.chart+xml"/>
  <Override PartName="/word/theme/themeOverride64.xml" ContentType="application/vnd.openxmlformats-officedocument.themeOverride+xml"/>
  <Override PartName="/word/drawings/drawing58.xml" ContentType="application/vnd.openxmlformats-officedocument.drawingml.chartshapes+xml"/>
  <Override PartName="/word/charts/chart66.xml" ContentType="application/vnd.openxmlformats-officedocument.drawingml.chart+xml"/>
  <Override PartName="/word/theme/themeOverride65.xml" ContentType="application/vnd.openxmlformats-officedocument.themeOverride+xml"/>
  <Override PartName="/word/drawings/drawing59.xml" ContentType="application/vnd.openxmlformats-officedocument.drawingml.chartshapes+xml"/>
  <Override PartName="/word/charts/chart67.xml" ContentType="application/vnd.openxmlformats-officedocument.drawingml.chart+xml"/>
  <Override PartName="/word/theme/themeOverride66.xml" ContentType="application/vnd.openxmlformats-officedocument.themeOverride+xml"/>
  <Override PartName="/word/drawings/drawing60.xml" ContentType="application/vnd.openxmlformats-officedocument.drawingml.chartshapes+xml"/>
  <Override PartName="/word/charts/chart68.xml" ContentType="application/vnd.openxmlformats-officedocument.drawingml.chart+xml"/>
  <Override PartName="/word/theme/themeOverride67.xml" ContentType="application/vnd.openxmlformats-officedocument.themeOverride+xml"/>
  <Override PartName="/word/drawings/drawing61.xml" ContentType="application/vnd.openxmlformats-officedocument.drawingml.chartshapes+xml"/>
  <Override PartName="/word/charts/chart69.xml" ContentType="application/vnd.openxmlformats-officedocument.drawingml.chart+xml"/>
  <Override PartName="/word/theme/themeOverride68.xml" ContentType="application/vnd.openxmlformats-officedocument.themeOverride+xml"/>
  <Override PartName="/word/drawings/drawing62.xml" ContentType="application/vnd.openxmlformats-officedocument.drawingml.chartshapes+xml"/>
  <Override PartName="/word/charts/chart70.xml" ContentType="application/vnd.openxmlformats-officedocument.drawingml.chart+xml"/>
  <Override PartName="/word/theme/themeOverride69.xml" ContentType="application/vnd.openxmlformats-officedocument.themeOverride+xml"/>
  <Override PartName="/word/drawings/drawing63.xml" ContentType="application/vnd.openxmlformats-officedocument.drawingml.chartshapes+xml"/>
  <Override PartName="/word/charts/chart71.xml" ContentType="application/vnd.openxmlformats-officedocument.drawingml.chart+xml"/>
  <Override PartName="/word/theme/themeOverride70.xml" ContentType="application/vnd.openxmlformats-officedocument.themeOverride+xml"/>
  <Override PartName="/word/drawings/drawing64.xml" ContentType="application/vnd.openxmlformats-officedocument.drawingml.chartshapes+xml"/>
  <Override PartName="/word/charts/chart72.xml" ContentType="application/vnd.openxmlformats-officedocument.drawingml.chart+xml"/>
  <Override PartName="/word/theme/themeOverride71.xml" ContentType="application/vnd.openxmlformats-officedocument.themeOverride+xml"/>
  <Override PartName="/word/drawings/drawing65.xml" ContentType="application/vnd.openxmlformats-officedocument.drawingml.chartshapes+xml"/>
  <Override PartName="/word/charts/chart73.xml" ContentType="application/vnd.openxmlformats-officedocument.drawingml.chart+xml"/>
  <Override PartName="/word/theme/themeOverride72.xml" ContentType="application/vnd.openxmlformats-officedocument.themeOverride+xml"/>
  <Override PartName="/word/drawings/drawing66.xml" ContentType="application/vnd.openxmlformats-officedocument.drawingml.chartshapes+xml"/>
  <Override PartName="/word/charts/chart74.xml" ContentType="application/vnd.openxmlformats-officedocument.drawingml.chart+xml"/>
  <Override PartName="/word/theme/themeOverride73.xml" ContentType="application/vnd.openxmlformats-officedocument.themeOverride+xml"/>
  <Override PartName="/word/drawings/drawing67.xml" ContentType="application/vnd.openxmlformats-officedocument.drawingml.chartshapes+xml"/>
  <Override PartName="/word/charts/chart75.xml" ContentType="application/vnd.openxmlformats-officedocument.drawingml.chart+xml"/>
  <Override PartName="/word/theme/themeOverride74.xml" ContentType="application/vnd.openxmlformats-officedocument.themeOverride+xml"/>
  <Override PartName="/word/drawings/drawing68.xml" ContentType="application/vnd.openxmlformats-officedocument.drawingml.chartshapes+xml"/>
  <Override PartName="/word/charts/chart76.xml" ContentType="application/vnd.openxmlformats-officedocument.drawingml.chart+xml"/>
  <Override PartName="/word/theme/themeOverride75.xml" ContentType="application/vnd.openxmlformats-officedocument.themeOverride+xml"/>
  <Override PartName="/word/drawings/drawing69.xml" ContentType="application/vnd.openxmlformats-officedocument.drawingml.chartshapes+xml"/>
  <Override PartName="/word/charts/chart77.xml" ContentType="application/vnd.openxmlformats-officedocument.drawingml.chart+xml"/>
  <Override PartName="/word/theme/themeOverride76.xml" ContentType="application/vnd.openxmlformats-officedocument.themeOverride+xml"/>
  <Override PartName="/word/drawings/drawing70.xml" ContentType="application/vnd.openxmlformats-officedocument.drawingml.chartshapes+xml"/>
  <Override PartName="/word/charts/chart78.xml" ContentType="application/vnd.openxmlformats-officedocument.drawingml.chart+xml"/>
  <Override PartName="/word/theme/themeOverride77.xml" ContentType="application/vnd.openxmlformats-officedocument.themeOverride+xml"/>
  <Override PartName="/word/drawings/drawing71.xml" ContentType="application/vnd.openxmlformats-officedocument.drawingml.chartshapes+xml"/>
  <Override PartName="/word/charts/chart79.xml" ContentType="application/vnd.openxmlformats-officedocument.drawingml.chart+xml"/>
  <Override PartName="/word/theme/themeOverride78.xml" ContentType="application/vnd.openxmlformats-officedocument.themeOverride+xml"/>
  <Override PartName="/word/drawings/drawing72.xml" ContentType="application/vnd.openxmlformats-officedocument.drawingml.chartshapes+xml"/>
  <Override PartName="/word/charts/chart80.xml" ContentType="application/vnd.openxmlformats-officedocument.drawingml.chart+xml"/>
  <Override PartName="/word/theme/themeOverride79.xml" ContentType="application/vnd.openxmlformats-officedocument.themeOverride+xml"/>
  <Override PartName="/word/drawings/drawing73.xml" ContentType="application/vnd.openxmlformats-officedocument.drawingml.chartshapes+xml"/>
  <Override PartName="/word/charts/chart81.xml" ContentType="application/vnd.openxmlformats-officedocument.drawingml.chart+xml"/>
  <Override PartName="/word/theme/themeOverride80.xml" ContentType="application/vnd.openxmlformats-officedocument.themeOverride+xml"/>
  <Override PartName="/word/drawings/drawing74.xml" ContentType="application/vnd.openxmlformats-officedocument.drawingml.chartshapes+xml"/>
  <Override PartName="/word/charts/chart82.xml" ContentType="application/vnd.openxmlformats-officedocument.drawingml.chart+xml"/>
  <Override PartName="/word/theme/themeOverride81.xml" ContentType="application/vnd.openxmlformats-officedocument.themeOverride+xml"/>
  <Override PartName="/word/drawings/drawing75.xml" ContentType="application/vnd.openxmlformats-officedocument.drawingml.chartshapes+xml"/>
  <Override PartName="/word/charts/chart83.xml" ContentType="application/vnd.openxmlformats-officedocument.drawingml.chart+xml"/>
  <Override PartName="/word/theme/themeOverride82.xml" ContentType="application/vnd.openxmlformats-officedocument.themeOverride+xml"/>
  <Override PartName="/word/drawings/drawing76.xml" ContentType="application/vnd.openxmlformats-officedocument.drawingml.chartshapes+xml"/>
  <Override PartName="/word/charts/chart84.xml" ContentType="application/vnd.openxmlformats-officedocument.drawingml.chart+xml"/>
  <Override PartName="/word/theme/themeOverride83.xml" ContentType="application/vnd.openxmlformats-officedocument.themeOverride+xml"/>
  <Override PartName="/word/drawings/drawing77.xml" ContentType="application/vnd.openxmlformats-officedocument.drawingml.chartshapes+xml"/>
  <Override PartName="/word/charts/chart85.xml" ContentType="application/vnd.openxmlformats-officedocument.drawingml.chart+xml"/>
  <Override PartName="/word/theme/themeOverride84.xml" ContentType="application/vnd.openxmlformats-officedocument.themeOverride+xml"/>
  <Override PartName="/word/drawings/drawing78.xml" ContentType="application/vnd.openxmlformats-officedocument.drawingml.chartshapes+xml"/>
  <Override PartName="/word/charts/chart86.xml" ContentType="application/vnd.openxmlformats-officedocument.drawingml.chart+xml"/>
  <Override PartName="/word/theme/themeOverride85.xml" ContentType="application/vnd.openxmlformats-officedocument.themeOverride+xml"/>
  <Override PartName="/word/drawings/drawing79.xml" ContentType="application/vnd.openxmlformats-officedocument.drawingml.chartshapes+xml"/>
  <Override PartName="/word/charts/chart87.xml" ContentType="application/vnd.openxmlformats-officedocument.drawingml.chart+xml"/>
  <Override PartName="/word/theme/themeOverride86.xml" ContentType="application/vnd.openxmlformats-officedocument.themeOverride+xml"/>
  <Override PartName="/word/drawings/drawing80.xml" ContentType="application/vnd.openxmlformats-officedocument.drawingml.chartshapes+xml"/>
  <Override PartName="/word/charts/chart88.xml" ContentType="application/vnd.openxmlformats-officedocument.drawingml.chart+xml"/>
  <Override PartName="/word/theme/themeOverride87.xml" ContentType="application/vnd.openxmlformats-officedocument.themeOverride+xml"/>
  <Override PartName="/word/drawings/drawing81.xml" ContentType="application/vnd.openxmlformats-officedocument.drawingml.chartshapes+xml"/>
  <Override PartName="/word/charts/chart89.xml" ContentType="application/vnd.openxmlformats-officedocument.drawingml.chart+xml"/>
  <Override PartName="/word/theme/themeOverride88.xml" ContentType="application/vnd.openxmlformats-officedocument.themeOverride+xml"/>
  <Override PartName="/word/drawings/drawing82.xml" ContentType="application/vnd.openxmlformats-officedocument.drawingml.chartshapes+xml"/>
  <Override PartName="/word/charts/chart90.xml" ContentType="application/vnd.openxmlformats-officedocument.drawingml.chart+xml"/>
  <Override PartName="/word/theme/themeOverride89.xml" ContentType="application/vnd.openxmlformats-officedocument.themeOverride+xml"/>
  <Override PartName="/word/drawings/drawing83.xml" ContentType="application/vnd.openxmlformats-officedocument.drawingml.chartshapes+xml"/>
  <Override PartName="/word/charts/chart91.xml" ContentType="application/vnd.openxmlformats-officedocument.drawingml.chart+xml"/>
  <Override PartName="/word/theme/themeOverride90.xml" ContentType="application/vnd.openxmlformats-officedocument.themeOverride+xml"/>
  <Override PartName="/word/drawings/drawing84.xml" ContentType="application/vnd.openxmlformats-officedocument.drawingml.chartshapes+xml"/>
  <Override PartName="/word/charts/chart92.xml" ContentType="application/vnd.openxmlformats-officedocument.drawingml.chart+xml"/>
  <Override PartName="/word/theme/themeOverride91.xml" ContentType="application/vnd.openxmlformats-officedocument.themeOverride+xml"/>
  <Override PartName="/word/drawings/drawing85.xml" ContentType="application/vnd.openxmlformats-officedocument.drawingml.chartshapes+xml"/>
  <Override PartName="/word/charts/chart93.xml" ContentType="application/vnd.openxmlformats-officedocument.drawingml.chart+xml"/>
  <Override PartName="/word/theme/themeOverride92.xml" ContentType="application/vnd.openxmlformats-officedocument.themeOverride+xml"/>
  <Override PartName="/word/drawings/drawing86.xml" ContentType="application/vnd.openxmlformats-officedocument.drawingml.chartshapes+xml"/>
  <Override PartName="/word/charts/chart94.xml" ContentType="application/vnd.openxmlformats-officedocument.drawingml.chart+xml"/>
  <Override PartName="/word/theme/themeOverride93.xml" ContentType="application/vnd.openxmlformats-officedocument.themeOverride+xml"/>
  <Override PartName="/word/drawings/drawing87.xml" ContentType="application/vnd.openxmlformats-officedocument.drawingml.chartshapes+xml"/>
  <Override PartName="/word/charts/chart95.xml" ContentType="application/vnd.openxmlformats-officedocument.drawingml.chart+xml"/>
  <Override PartName="/word/theme/themeOverride94.xml" ContentType="application/vnd.openxmlformats-officedocument.themeOverride+xml"/>
  <Override PartName="/word/drawings/drawing88.xml" ContentType="application/vnd.openxmlformats-officedocument.drawingml.chartshapes+xml"/>
  <Override PartName="/word/charts/chart96.xml" ContentType="application/vnd.openxmlformats-officedocument.drawingml.chart+xml"/>
  <Override PartName="/word/theme/themeOverride95.xml" ContentType="application/vnd.openxmlformats-officedocument.themeOverride+xml"/>
  <Override PartName="/word/drawings/drawing89.xml" ContentType="application/vnd.openxmlformats-officedocument.drawingml.chartshapes+xml"/>
  <Override PartName="/word/charts/chart97.xml" ContentType="application/vnd.openxmlformats-officedocument.drawingml.chart+xml"/>
  <Override PartName="/word/theme/themeOverride96.xml" ContentType="application/vnd.openxmlformats-officedocument.themeOverride+xml"/>
  <Override PartName="/word/drawings/drawing90.xml" ContentType="application/vnd.openxmlformats-officedocument.drawingml.chartshapes+xml"/>
  <Override PartName="/word/charts/chart98.xml" ContentType="application/vnd.openxmlformats-officedocument.drawingml.chart+xml"/>
  <Override PartName="/word/theme/themeOverride97.xml" ContentType="application/vnd.openxmlformats-officedocument.themeOverride+xml"/>
  <Override PartName="/word/drawings/drawing91.xml" ContentType="application/vnd.openxmlformats-officedocument.drawingml.chartshapes+xml"/>
  <Override PartName="/word/charts/chart99.xml" ContentType="application/vnd.openxmlformats-officedocument.drawingml.chart+xml"/>
  <Override PartName="/word/theme/themeOverride98.xml" ContentType="application/vnd.openxmlformats-officedocument.themeOverride+xml"/>
  <Override PartName="/word/drawings/drawing92.xml" ContentType="application/vnd.openxmlformats-officedocument.drawingml.chartshapes+xml"/>
  <Override PartName="/word/charts/chart100.xml" ContentType="application/vnd.openxmlformats-officedocument.drawingml.chart+xml"/>
  <Override PartName="/word/theme/themeOverride99.xml" ContentType="application/vnd.openxmlformats-officedocument.themeOverride+xml"/>
  <Override PartName="/word/drawings/drawing93.xml" ContentType="application/vnd.openxmlformats-officedocument.drawingml.chartshapes+xml"/>
  <Override PartName="/word/charts/chart101.xml" ContentType="application/vnd.openxmlformats-officedocument.drawingml.chart+xml"/>
  <Override PartName="/word/theme/themeOverride100.xml" ContentType="application/vnd.openxmlformats-officedocument.themeOverride+xml"/>
  <Override PartName="/word/drawings/drawing94.xml" ContentType="application/vnd.openxmlformats-officedocument.drawingml.chartshapes+xml"/>
  <Override PartName="/word/charts/chart102.xml" ContentType="application/vnd.openxmlformats-officedocument.drawingml.chart+xml"/>
  <Override PartName="/word/theme/themeOverride101.xml" ContentType="application/vnd.openxmlformats-officedocument.themeOverride+xml"/>
  <Override PartName="/word/drawings/drawing95.xml" ContentType="application/vnd.openxmlformats-officedocument.drawingml.chartshapes+xml"/>
  <Override PartName="/word/charts/chart103.xml" ContentType="application/vnd.openxmlformats-officedocument.drawingml.chart+xml"/>
  <Override PartName="/word/theme/themeOverride102.xml" ContentType="application/vnd.openxmlformats-officedocument.themeOverride+xml"/>
  <Override PartName="/word/drawings/drawing96.xml" ContentType="application/vnd.openxmlformats-officedocument.drawingml.chartshapes+xml"/>
  <Override PartName="/word/charts/chart104.xml" ContentType="application/vnd.openxmlformats-officedocument.drawingml.chart+xml"/>
  <Override PartName="/word/theme/themeOverride103.xml" ContentType="application/vnd.openxmlformats-officedocument.themeOverride+xml"/>
  <Override PartName="/word/drawings/drawing97.xml" ContentType="application/vnd.openxmlformats-officedocument.drawingml.chartshapes+xml"/>
  <Override PartName="/word/charts/chart105.xml" ContentType="application/vnd.openxmlformats-officedocument.drawingml.chart+xml"/>
  <Override PartName="/word/theme/themeOverride104.xml" ContentType="application/vnd.openxmlformats-officedocument.themeOverride+xml"/>
  <Override PartName="/word/drawings/drawing98.xml" ContentType="application/vnd.openxmlformats-officedocument.drawingml.chartshapes+xml"/>
  <Override PartName="/word/charts/chart106.xml" ContentType="application/vnd.openxmlformats-officedocument.drawingml.chart+xml"/>
  <Override PartName="/word/theme/themeOverride105.xml" ContentType="application/vnd.openxmlformats-officedocument.themeOverride+xml"/>
  <Override PartName="/word/drawings/drawing99.xml" ContentType="application/vnd.openxmlformats-officedocument.drawingml.chartshapes+xml"/>
  <Override PartName="/word/charts/chart107.xml" ContentType="application/vnd.openxmlformats-officedocument.drawingml.chart+xml"/>
  <Override PartName="/word/theme/themeOverride106.xml" ContentType="application/vnd.openxmlformats-officedocument.themeOverride+xml"/>
  <Override PartName="/word/drawings/drawing100.xml" ContentType="application/vnd.openxmlformats-officedocument.drawingml.chartshapes+xml"/>
  <Override PartName="/word/charts/chart108.xml" ContentType="application/vnd.openxmlformats-officedocument.drawingml.chart+xml"/>
  <Override PartName="/word/theme/themeOverride107.xml" ContentType="application/vnd.openxmlformats-officedocument.themeOverride+xml"/>
  <Override PartName="/word/drawings/drawing101.xml" ContentType="application/vnd.openxmlformats-officedocument.drawingml.chartshapes+xml"/>
  <Override PartName="/word/charts/chart109.xml" ContentType="application/vnd.openxmlformats-officedocument.drawingml.chart+xml"/>
  <Override PartName="/word/theme/themeOverride108.xml" ContentType="application/vnd.openxmlformats-officedocument.themeOverride+xml"/>
  <Override PartName="/word/drawings/drawing102.xml" ContentType="application/vnd.openxmlformats-officedocument.drawingml.chartshapes+xml"/>
  <Override PartName="/word/charts/chart110.xml" ContentType="application/vnd.openxmlformats-officedocument.drawingml.chart+xml"/>
  <Override PartName="/word/theme/themeOverride109.xml" ContentType="application/vnd.openxmlformats-officedocument.themeOverride+xml"/>
  <Override PartName="/word/drawings/drawing103.xml" ContentType="application/vnd.openxmlformats-officedocument.drawingml.chartshapes+xml"/>
  <Override PartName="/word/charts/chart111.xml" ContentType="application/vnd.openxmlformats-officedocument.drawingml.chart+xml"/>
  <Override PartName="/word/theme/themeOverride110.xml" ContentType="application/vnd.openxmlformats-officedocument.themeOverride+xml"/>
  <Override PartName="/word/drawings/drawing104.xml" ContentType="application/vnd.openxmlformats-officedocument.drawingml.chartshapes+xml"/>
  <Override PartName="/word/charts/chart112.xml" ContentType="application/vnd.openxmlformats-officedocument.drawingml.chart+xml"/>
  <Override PartName="/word/theme/themeOverride111.xml" ContentType="application/vnd.openxmlformats-officedocument.themeOverride+xml"/>
  <Override PartName="/word/drawings/drawing105.xml" ContentType="application/vnd.openxmlformats-officedocument.drawingml.chartshapes+xml"/>
  <Override PartName="/word/charts/chart113.xml" ContentType="application/vnd.openxmlformats-officedocument.drawingml.chart+xml"/>
  <Override PartName="/word/theme/themeOverride112.xml" ContentType="application/vnd.openxmlformats-officedocument.themeOverride+xml"/>
  <Override PartName="/word/drawings/drawing106.xml" ContentType="application/vnd.openxmlformats-officedocument.drawingml.chartshapes+xml"/>
  <Override PartName="/word/charts/chart114.xml" ContentType="application/vnd.openxmlformats-officedocument.drawingml.chart+xml"/>
  <Override PartName="/word/theme/themeOverride113.xml" ContentType="application/vnd.openxmlformats-officedocument.themeOverride+xml"/>
  <Override PartName="/word/drawings/drawing107.xml" ContentType="application/vnd.openxmlformats-officedocument.drawingml.chartshapes+xml"/>
  <Override PartName="/word/charts/chart115.xml" ContentType="application/vnd.openxmlformats-officedocument.drawingml.chart+xml"/>
  <Override PartName="/word/theme/themeOverride114.xml" ContentType="application/vnd.openxmlformats-officedocument.themeOverride+xml"/>
  <Override PartName="/word/drawings/drawing108.xml" ContentType="application/vnd.openxmlformats-officedocument.drawingml.chartshapes+xml"/>
  <Override PartName="/word/charts/chart116.xml" ContentType="application/vnd.openxmlformats-officedocument.drawingml.chart+xml"/>
  <Override PartName="/word/theme/themeOverride115.xml" ContentType="application/vnd.openxmlformats-officedocument.themeOverride+xml"/>
  <Override PartName="/word/drawings/drawing109.xml" ContentType="application/vnd.openxmlformats-officedocument.drawingml.chartshapes+xml"/>
  <Override PartName="/word/charts/chart117.xml" ContentType="application/vnd.openxmlformats-officedocument.drawingml.chart+xml"/>
  <Override PartName="/word/theme/themeOverride116.xml" ContentType="application/vnd.openxmlformats-officedocument.themeOverride+xml"/>
  <Override PartName="/word/drawings/drawing110.xml" ContentType="application/vnd.openxmlformats-officedocument.drawingml.chartshapes+xml"/>
  <Override PartName="/word/charts/chart118.xml" ContentType="application/vnd.openxmlformats-officedocument.drawingml.chart+xml"/>
  <Override PartName="/word/theme/themeOverride117.xml" ContentType="application/vnd.openxmlformats-officedocument.themeOverride+xml"/>
  <Override PartName="/word/drawings/drawing111.xml" ContentType="application/vnd.openxmlformats-officedocument.drawingml.chartshapes+xml"/>
  <Override PartName="/word/charts/chart119.xml" ContentType="application/vnd.openxmlformats-officedocument.drawingml.chart+xml"/>
  <Override PartName="/word/theme/themeOverride118.xml" ContentType="application/vnd.openxmlformats-officedocument.themeOverride+xml"/>
  <Override PartName="/word/drawings/drawing11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806" w:rsidRDefault="00C53806">
      <w:pPr>
        <w:jc w:val="center"/>
        <w:rPr>
          <w:sz w:val="48"/>
        </w:rPr>
      </w:pPr>
    </w:p>
    <w:p w:rsidR="00C53806" w:rsidRDefault="00C53806">
      <w:pPr>
        <w:jc w:val="center"/>
        <w:rPr>
          <w:sz w:val="48"/>
        </w:rPr>
      </w:pPr>
    </w:p>
    <w:p w:rsidR="00C53806" w:rsidRDefault="00C53806">
      <w:pPr>
        <w:jc w:val="center"/>
        <w:rPr>
          <w:sz w:val="48"/>
        </w:rPr>
      </w:pPr>
    </w:p>
    <w:p w:rsidR="00C53806" w:rsidRDefault="00C53806">
      <w:pPr>
        <w:jc w:val="center"/>
        <w:rPr>
          <w:sz w:val="48"/>
        </w:rPr>
      </w:pPr>
    </w:p>
    <w:p w:rsidR="00C53806" w:rsidRDefault="00C53806">
      <w:pPr>
        <w:jc w:val="center"/>
        <w:rPr>
          <w:sz w:val="48"/>
        </w:rPr>
      </w:pPr>
    </w:p>
    <w:p w:rsidR="00C53806" w:rsidRDefault="00C53806">
      <w:pPr>
        <w:jc w:val="center"/>
        <w:rPr>
          <w:sz w:val="48"/>
        </w:rPr>
      </w:pPr>
    </w:p>
    <w:p w:rsidR="00C53806" w:rsidRDefault="00C53806">
      <w:pPr>
        <w:jc w:val="center"/>
        <w:rPr>
          <w:sz w:val="48"/>
        </w:rPr>
      </w:pPr>
    </w:p>
    <w:p w:rsidR="00C53806" w:rsidRDefault="00C53806">
      <w:pPr>
        <w:jc w:val="center"/>
        <w:rPr>
          <w:sz w:val="48"/>
        </w:rPr>
      </w:pPr>
    </w:p>
    <w:p w:rsidR="00C53806" w:rsidRDefault="009760D2">
      <w:pPr>
        <w:jc w:val="center"/>
        <w:rPr>
          <w:rFonts w:asciiTheme="minorEastAsia" w:hAnsiTheme="minorEastAsia"/>
          <w:sz w:val="48"/>
        </w:rPr>
      </w:pPr>
      <w:r>
        <w:rPr>
          <w:rFonts w:asciiTheme="minorEastAsia" w:hAnsiTheme="minorEastAsia" w:hint="eastAsia"/>
          <w:sz w:val="48"/>
        </w:rPr>
        <w:t>Ⅴ　調査結果</w:t>
      </w:r>
    </w:p>
    <w:p w:rsidR="00C53806" w:rsidRDefault="009760D2">
      <w:pPr>
        <w:jc w:val="center"/>
        <w:rPr>
          <w:rFonts w:asciiTheme="minorEastAsia" w:hAnsiTheme="minorEastAsia"/>
          <w:sz w:val="48"/>
        </w:rPr>
      </w:pPr>
      <w:r>
        <w:rPr>
          <w:rFonts w:asciiTheme="minorEastAsia" w:hAnsiTheme="minorEastAsia" w:hint="eastAsia"/>
          <w:sz w:val="48"/>
        </w:rPr>
        <w:t>〔解説・グラフ〕</w:t>
      </w: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C53806">
      <w:pPr>
        <w:jc w:val="center"/>
        <w:rPr>
          <w:rFonts w:asciiTheme="minorEastAsia" w:hAnsiTheme="minorEastAsia"/>
          <w:sz w:val="48"/>
        </w:rPr>
      </w:pPr>
    </w:p>
    <w:p w:rsidR="00C53806" w:rsidRDefault="009760D2">
      <w:pPr>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〔１〕県の基本政策について</w:t>
      </w:r>
    </w:p>
    <w:tbl>
      <w:tblPr>
        <w:tblW w:w="960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00"/>
      </w:tblGrid>
      <w:tr w:rsidR="00C53806">
        <w:trPr>
          <w:trHeight w:val="524"/>
        </w:trPr>
        <w:tc>
          <w:tcPr>
            <w:tcW w:w="9600" w:type="dxa"/>
          </w:tcPr>
          <w:p w:rsidR="00C53806" w:rsidRDefault="009760D2">
            <w:pPr>
              <w:ind w:left="420" w:hangingChars="200" w:hanging="420"/>
              <w:rPr>
                <w:rFonts w:ascii="ＭＳ ゴシック" w:eastAsia="ＭＳ ゴシック" w:hAnsi="ＭＳ ゴシック"/>
              </w:rPr>
            </w:pPr>
            <w:r>
              <w:rPr>
                <w:rFonts w:ascii="ＭＳ ゴシック" w:eastAsia="ＭＳ ゴシック" w:hAnsi="ＭＳ ゴシック" w:hint="eastAsia"/>
              </w:rPr>
              <w:t>問１　「経済の活性化」について、第３期高知県産業振興計画に基づき、県が行っている施策のうち特に力を入れるべきものは何ですか。（３つまで○印）</w:t>
            </w:r>
          </w:p>
        </w:tc>
      </w:tr>
    </w:tbl>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「産業の担い手の育成・確保」が43.2％と１位になっている。</w:t>
      </w:r>
    </w:p>
    <w:p w:rsidR="00C53806" w:rsidRDefault="009760D2">
      <w:pPr>
        <w:jc w:val="left"/>
        <w:rPr>
          <w:rFonts w:ascii="ＭＳ 明朝" w:eastAsia="ＭＳ 明朝" w:hAnsi="ＭＳ 明朝"/>
        </w:rPr>
      </w:pPr>
      <w:r>
        <w:rPr>
          <w:rFonts w:ascii="ＭＳ 明朝" w:eastAsia="ＭＳ 明朝" w:hAnsi="ＭＳ 明朝" w:hint="eastAsia"/>
        </w:rPr>
        <w:t xml:space="preserve">　次いで「農林漁業の生産地の強化」が38.5％、「観光の振興」が34.9％と続いている。</w:t>
      </w:r>
    </w:p>
    <w:p w:rsidR="00C53806" w:rsidRDefault="00C53806">
      <w:pPr>
        <w:jc w:val="left"/>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352F49">
      <w:pPr>
        <w:ind w:firstLineChars="100" w:firstLine="210"/>
        <w:jc w:val="left"/>
        <w:rPr>
          <w:rFonts w:ascii="ＭＳ 明朝" w:eastAsia="ＭＳ 明朝" w:hAnsi="ＭＳ 明朝"/>
        </w:rPr>
      </w:pPr>
      <w:r>
        <w:rPr>
          <w:rFonts w:ascii="ＭＳ 明朝" w:eastAsia="ＭＳ 明朝" w:hAnsi="ＭＳ 明朝" w:hint="eastAsia"/>
        </w:rPr>
        <w:t>選択肢の一部が変更されたため</w:t>
      </w:r>
      <w:r w:rsidR="009760D2">
        <w:rPr>
          <w:rFonts w:ascii="ＭＳ 明朝" w:eastAsia="ＭＳ 明朝" w:hAnsi="ＭＳ 明朝" w:hint="eastAsia"/>
        </w:rPr>
        <w:t>単純な比</w:t>
      </w:r>
      <w:r>
        <w:rPr>
          <w:rFonts w:ascii="ＭＳ 明朝" w:eastAsia="ＭＳ 明朝" w:hAnsi="ＭＳ 明朝" w:hint="eastAsia"/>
        </w:rPr>
        <w:t>較はできないが、昨年度２位だった「産業の担い手の育成・確保」が今年度は１位に</w:t>
      </w:r>
      <w:r w:rsidR="009760D2">
        <w:rPr>
          <w:rFonts w:ascii="ＭＳ 明朝" w:eastAsia="ＭＳ 明朝" w:hAnsi="ＭＳ 明朝" w:hint="eastAsia"/>
        </w:rPr>
        <w:t>なっており、昨年度１位だった「農林漁業の生産地の強化」が２位になっている。</w:t>
      </w:r>
    </w:p>
    <w:p w:rsidR="00C53806" w:rsidRDefault="00C53806">
      <w:pPr>
        <w:jc w:val="left"/>
        <w:rPr>
          <w:rFonts w:ascii="ＭＳ 明朝" w:eastAsia="ＭＳ 明朝" w:hAnsi="ＭＳ 明朝"/>
        </w:rPr>
      </w:pPr>
    </w:p>
    <w:p w:rsidR="00C53806" w:rsidRDefault="009760D2">
      <w:pPr>
        <w:jc w:val="center"/>
        <w:rPr>
          <w:rFonts w:ascii="ＭＳ 明朝" w:eastAsia="ＭＳ 明朝" w:hAnsi="ＭＳ 明朝"/>
        </w:rPr>
      </w:pPr>
      <w:bookmarkStart w:id="0" w:name="_GoBack"/>
      <w:r>
        <w:rPr>
          <w:rFonts w:ascii="ＭＳ 明朝" w:eastAsia="ＭＳ 明朝" w:hAnsi="ＭＳ 明朝"/>
          <w:noProof/>
        </w:rPr>
        <w:drawing>
          <wp:anchor distT="0" distB="0" distL="114300" distR="114300" simplePos="0" relativeHeight="2" behindDoc="0" locked="0" layoutInCell="1" allowOverlap="1">
            <wp:simplePos x="0" y="0"/>
            <wp:positionH relativeFrom="column">
              <wp:posOffset>-95250</wp:posOffset>
            </wp:positionH>
            <wp:positionV relativeFrom="paragraph">
              <wp:posOffset>285750</wp:posOffset>
            </wp:positionV>
            <wp:extent cx="3190875" cy="6581775"/>
            <wp:effectExtent l="0" t="0" r="0" b="0"/>
            <wp:wrapSquare wrapText="bothSides"/>
            <wp:docPr id="10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bookmarkEnd w:id="0"/>
      <w:r>
        <w:rPr>
          <w:rFonts w:ascii="ＭＳ 明朝" w:eastAsia="ＭＳ 明朝" w:hAnsi="ＭＳ 明朝"/>
          <w:noProof/>
        </w:rPr>
        <w:drawing>
          <wp:anchor distT="0" distB="0" distL="114300" distR="114300" simplePos="0" relativeHeight="3" behindDoc="0" locked="0" layoutInCell="1" allowOverlap="1">
            <wp:simplePos x="0" y="0"/>
            <wp:positionH relativeFrom="column">
              <wp:posOffset>3098800</wp:posOffset>
            </wp:positionH>
            <wp:positionV relativeFrom="paragraph">
              <wp:posOffset>283845</wp:posOffset>
            </wp:positionV>
            <wp:extent cx="3171825" cy="6638925"/>
            <wp:effectExtent l="0" t="0" r="0" b="0"/>
            <wp:wrapSquare wrapText="bothSides"/>
            <wp:docPr id="102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男性では「産業の担い手の育成・確保」と「農林漁業の生産地の強化」が、女性では「産業の担い手の育成・確保」が１位になっている。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2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10歳代、20歳代、30歳代では「観光の振興」が、40歳代、50歳代、60歳代では「産業の担い手の育成・確保」が、70歳以上では「農林漁業の生産地の強化」が</w:t>
      </w:r>
      <w:r w:rsidR="00352F49">
        <w:rPr>
          <w:rFonts w:ascii="ＭＳ 明朝" w:eastAsia="ＭＳ 明朝" w:hAnsi="ＭＳ 明朝" w:hint="eastAsia"/>
        </w:rPr>
        <w:t>１</w:t>
      </w:r>
      <w:r>
        <w:rPr>
          <w:rFonts w:ascii="ＭＳ 明朝" w:eastAsia="ＭＳ 明朝" w:hAnsi="ＭＳ 明朝" w:hint="eastAsia"/>
        </w:rPr>
        <w:t>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2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781" w:type="dxa"/>
        <w:tblInd w:w="108" w:type="dxa"/>
        <w:tblLayout w:type="fixed"/>
        <w:tblLook w:val="04A0" w:firstRow="1" w:lastRow="0" w:firstColumn="1" w:lastColumn="0" w:noHBand="0" w:noVBand="1"/>
      </w:tblPr>
      <w:tblGrid>
        <w:gridCol w:w="567"/>
        <w:gridCol w:w="1843"/>
        <w:gridCol w:w="603"/>
        <w:gridCol w:w="604"/>
        <w:gridCol w:w="778"/>
        <w:gridCol w:w="598"/>
        <w:gridCol w:w="598"/>
        <w:gridCol w:w="599"/>
        <w:gridCol w:w="598"/>
        <w:gridCol w:w="599"/>
        <w:gridCol w:w="598"/>
        <w:gridCol w:w="599"/>
        <w:gridCol w:w="598"/>
        <w:gridCol w:w="599"/>
      </w:tblGrid>
      <w:tr w:rsidR="00C53806">
        <w:trPr>
          <w:cantSplit/>
          <w:trHeight w:val="2778"/>
        </w:trPr>
        <w:tc>
          <w:tcPr>
            <w:tcW w:w="2410"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type id="_x0000_t202" coordsize="21600,21600" o:spt="202" path="m,l,21600r21600,l21600,xe">
                  <v:stroke joinstyle="miter"/>
                  <v:path gradientshapeok="t" o:connecttype="rect"/>
                </v:shapetype>
                <v:shape id="テキスト ボックス 319" o:spid="_x0000_s2113" type="#_x0000_t202" style="position:absolute;left:0;text-align:left;margin-left:56.75pt;margin-top:.75pt;width:54pt;height:20.25pt;z-index:6"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318" o:spid="_x0000_s2112" type="#_x0000_t202" style="position:absolute;left:0;text-align:left;margin-left:-4pt;margin-top:115.4pt;width:54pt;height:20.6pt;z-index:7" filled="f" stroked="f">
                  <v:textbox>
                    <w:txbxContent>
                      <w:p w:rsidR="00B642E5" w:rsidRDefault="00B642E5">
                        <w:pPr>
                          <w:rPr>
                            <w:sz w:val="18"/>
                          </w:rPr>
                        </w:pPr>
                        <w:r>
                          <w:rPr>
                            <w:rFonts w:hint="eastAsia"/>
                            <w:sz w:val="18"/>
                          </w:rPr>
                          <w:t>属　性</w:t>
                        </w:r>
                      </w:p>
                    </w:txbxContent>
                  </v:textbox>
                </v:shape>
              </w:pict>
            </w:r>
          </w:p>
        </w:tc>
        <w:tc>
          <w:tcPr>
            <w:tcW w:w="60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農林漁業の生産地の強化</w:t>
            </w:r>
          </w:p>
        </w:tc>
        <w:tc>
          <w:tcPr>
            <w:tcW w:w="6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加工食品や機械などのものづくり産業の振興</w:t>
            </w:r>
          </w:p>
        </w:tc>
        <w:tc>
          <w:tcPr>
            <w:tcW w:w="77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防災関連産業、コンテンツ関連産業、ＩｏＴ関連産業などの新たな産業の創出</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観光の振興</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県産品等の県外・海外での販売促進支援</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産業の担い手の育成・確保</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県外からの移住の促進</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第一次産業などを核とした産業集積（地域産業クラスター）</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起業や新たな事業展開を志す方への支援</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企業の誘致</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地域の商店街等の活性化</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7"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0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70.1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0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37.2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20.2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03"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39.6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26.7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598"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0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60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77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598" w:type="dxa"/>
            <w:tcBorders>
              <w:bottom w:val="double" w:sz="4" w:space="0" w:color="auto"/>
            </w:tcBorders>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7"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0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60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77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37.7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599" w:type="dxa"/>
            <w:tcBorders>
              <w:top w:val="double" w:sz="4" w:space="0" w:color="auto"/>
            </w:tcBorders>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17.3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32.1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19.8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0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599"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03"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60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77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r>
      <w:tr w:rsidR="00C53806">
        <w:trPr>
          <w:trHeight w:val="340"/>
        </w:trPr>
        <w:tc>
          <w:tcPr>
            <w:tcW w:w="567"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03" w:type="dxa"/>
            <w:tcBorders>
              <w:bottom w:val="single" w:sz="4" w:space="0" w:color="auto"/>
            </w:tcBorders>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60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7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26.4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85"/>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問２ 「日本一の健康長寿県づくり」について、第３期日本一の健康長寿県構想に基づき、県が行っ</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ている施策のうち特に力を入れるべきものは何ですか。（３つまで○印）</w:t>
            </w:r>
          </w:p>
        </w:tc>
      </w:tr>
    </w:tbl>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「少子化対策の推進」が37.9％で１位になっている。</w:t>
      </w:r>
    </w:p>
    <w:p w:rsidR="00C53806" w:rsidRDefault="009760D2">
      <w:pPr>
        <w:jc w:val="left"/>
        <w:rPr>
          <w:rFonts w:ascii="ＭＳ 明朝" w:eastAsia="ＭＳ 明朝" w:hAnsi="ＭＳ 明朝"/>
        </w:rPr>
      </w:pPr>
      <w:r>
        <w:rPr>
          <w:rFonts w:ascii="ＭＳ 明朝" w:eastAsia="ＭＳ 明朝" w:hAnsi="ＭＳ 明朝" w:hint="eastAsia"/>
        </w:rPr>
        <w:t xml:space="preserve">　次いで「高齢者がいつまでも元気に暮らせる地域づくり」が36.1％、「生涯にわたる健康的な生活習慣の定着」が34.1％と続いている。</w:t>
      </w: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9760D2">
      <w:pPr>
        <w:ind w:firstLineChars="100" w:firstLine="210"/>
        <w:jc w:val="left"/>
        <w:rPr>
          <w:rFonts w:ascii="ＭＳ 明朝" w:eastAsia="ＭＳ 明朝" w:hAnsi="ＭＳ 明朝"/>
        </w:rPr>
      </w:pPr>
      <w:r>
        <w:rPr>
          <w:rFonts w:ascii="ＭＳ 明朝" w:eastAsia="ＭＳ 明朝" w:hAnsi="ＭＳ 明朝" w:hint="eastAsia"/>
        </w:rPr>
        <w:t>「少子化対策の推進」が昨年度より2.5</w:t>
      </w:r>
      <w:r w:rsidR="00352F49">
        <w:rPr>
          <w:rFonts w:ascii="ＭＳ 明朝" w:eastAsia="ＭＳ 明朝" w:hAnsi="ＭＳ 明朝" w:hint="eastAsia"/>
        </w:rPr>
        <w:t>ポイント増加して１位に</w:t>
      </w:r>
      <w:r>
        <w:rPr>
          <w:rFonts w:ascii="ＭＳ 明朝" w:eastAsia="ＭＳ 明朝" w:hAnsi="ＭＳ 明朝" w:hint="eastAsia"/>
        </w:rPr>
        <w:t>なっており、昨年度、同率で１位だった「高齢者がいつまでも元気に暮らせる地域づくり」が0.7</w:t>
      </w:r>
      <w:r w:rsidR="00352F49">
        <w:rPr>
          <w:rFonts w:ascii="ＭＳ 明朝" w:eastAsia="ＭＳ 明朝" w:hAnsi="ＭＳ 明朝" w:hint="eastAsia"/>
        </w:rPr>
        <w:t>ポイント増加しているが</w:t>
      </w:r>
      <w:r>
        <w:rPr>
          <w:rFonts w:ascii="ＭＳ 明朝" w:eastAsia="ＭＳ 明朝" w:hAnsi="ＭＳ 明朝" w:hint="eastAsia"/>
        </w:rPr>
        <w:t>２位になっている。</w:t>
      </w: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9" behindDoc="0" locked="0" layoutInCell="1" allowOverlap="1">
            <wp:simplePos x="0" y="0"/>
            <wp:positionH relativeFrom="column">
              <wp:posOffset>3187700</wp:posOffset>
            </wp:positionH>
            <wp:positionV relativeFrom="paragraph">
              <wp:posOffset>288925</wp:posOffset>
            </wp:positionV>
            <wp:extent cx="3082925" cy="6634480"/>
            <wp:effectExtent l="0" t="0" r="0" b="0"/>
            <wp:wrapSquare wrapText="bothSides"/>
            <wp:docPr id="10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noProof/>
        </w:rPr>
        <w:drawing>
          <wp:anchor distT="0" distB="0" distL="114300" distR="114300" simplePos="0" relativeHeight="8" behindDoc="0" locked="0" layoutInCell="1" allowOverlap="1">
            <wp:simplePos x="0" y="0"/>
            <wp:positionH relativeFrom="column">
              <wp:align>left</wp:align>
            </wp:positionH>
            <wp:positionV relativeFrom="paragraph">
              <wp:align>top</wp:align>
            </wp:positionV>
            <wp:extent cx="3190875" cy="6524625"/>
            <wp:effectExtent l="0" t="0" r="0" b="0"/>
            <wp:wrapSquare wrapText="bothSides"/>
            <wp:docPr id="103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男性では「少子化対策の推進」が、女性では「介護などのサービス提供を担う人材の安定確保」が</w:t>
      </w:r>
      <w:r w:rsidR="00352F49">
        <w:rPr>
          <w:rFonts w:ascii="ＭＳ 明朝" w:eastAsia="ＭＳ 明朝" w:hAnsi="ＭＳ 明朝" w:hint="eastAsia"/>
        </w:rPr>
        <w:t>１</w:t>
      </w:r>
      <w:r>
        <w:rPr>
          <w:rFonts w:ascii="ＭＳ 明朝" w:eastAsia="ＭＳ 明朝" w:hAnsi="ＭＳ 明朝" w:hint="eastAsia"/>
        </w:rPr>
        <w:t>位になっている。「介護などのサービス提供を担う人材の安定確保」では、女性が男性よりも9.8ポイント高くなっている。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20歳代、30歳代では「少子化対策の推進」が、40歳代、50歳代では「介護などのサービス提供を担う人材の安定確保」が、60歳代、70歳以上では「高齢者がいつまでも元気に暮らせる地域づくり」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3806" w:rsidRDefault="00C53806">
      <w:pPr>
        <w:ind w:firstLineChars="100" w:firstLine="210"/>
        <w:rPr>
          <w:rFonts w:ascii="ＭＳ 明朝" w:eastAsia="ＭＳ 明朝" w:hAnsi="ＭＳ 明朝"/>
        </w:rPr>
      </w:pPr>
    </w:p>
    <w:p w:rsidR="00C53806" w:rsidRDefault="00C53806">
      <w:pPr>
        <w:ind w:firstLineChars="100" w:firstLine="210"/>
        <w:rPr>
          <w:rFonts w:ascii="ＭＳ 明朝" w:eastAsia="ＭＳ 明朝" w:hAnsi="ＭＳ 明朝"/>
        </w:rPr>
      </w:pPr>
    </w:p>
    <w:p w:rsidR="00C53806" w:rsidRDefault="00C53806">
      <w:pPr>
        <w:ind w:firstLineChars="100" w:firstLine="210"/>
        <w:rPr>
          <w:rFonts w:ascii="ＭＳ 明朝" w:eastAsia="ＭＳ 明朝" w:hAnsi="ＭＳ 明朝"/>
        </w:rPr>
      </w:pPr>
    </w:p>
    <w:p w:rsidR="00C53806" w:rsidRDefault="00C53806">
      <w:pPr>
        <w:ind w:firstLineChars="100" w:firstLine="210"/>
        <w:rPr>
          <w:rFonts w:ascii="ＭＳ 明朝" w:eastAsia="ＭＳ 明朝" w:hAnsi="ＭＳ 明朝"/>
        </w:rPr>
      </w:pPr>
    </w:p>
    <w:p w:rsidR="00C53806" w:rsidRDefault="00C53806">
      <w:pPr>
        <w:ind w:firstLineChars="100" w:firstLine="210"/>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7"/>
        <w:gridCol w:w="1843"/>
        <w:gridCol w:w="657"/>
        <w:gridCol w:w="657"/>
        <w:gridCol w:w="657"/>
        <w:gridCol w:w="657"/>
        <w:gridCol w:w="657"/>
        <w:gridCol w:w="658"/>
        <w:gridCol w:w="657"/>
        <w:gridCol w:w="657"/>
        <w:gridCol w:w="657"/>
        <w:gridCol w:w="657"/>
        <w:gridCol w:w="658"/>
      </w:tblGrid>
      <w:tr w:rsidR="00C53806">
        <w:trPr>
          <w:cantSplit/>
          <w:trHeight w:val="2778"/>
        </w:trPr>
        <w:tc>
          <w:tcPr>
            <w:tcW w:w="2410"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6" o:spid="_x0000_s2111" type="#_x0000_t202" style="position:absolute;left:0;text-align:left;margin-left:56.75pt;margin-top:.75pt;width:54pt;height:20.25pt;z-index:22"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7" o:spid="_x0000_s2110" type="#_x0000_t202" style="position:absolute;left:0;text-align:left;margin-left:-4pt;margin-top:115.4pt;width:54pt;height:20.6pt;z-index:23" filled="f" stroked="f">
                  <v:textbox>
                    <w:txbxContent>
                      <w:p w:rsidR="00B642E5" w:rsidRDefault="00B642E5">
                        <w:pPr>
                          <w:rPr>
                            <w:sz w:val="18"/>
                          </w:rPr>
                        </w:pPr>
                        <w:r>
                          <w:rPr>
                            <w:rFonts w:hint="eastAsia"/>
                            <w:sz w:val="18"/>
                          </w:rPr>
                          <w:t>属　性</w:t>
                        </w:r>
                      </w:p>
                    </w:txbxContent>
                  </v:textbox>
                </v:shape>
              </w:pic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がん対策や脳血管疾患・心臓病・糖尿病などの血管病対策</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生涯にわたる健康的な生活習慣の定着</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医師等の地域偏在の是正</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在宅医療・介護の推進</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救急医療体制の強化</w:t>
            </w:r>
          </w:p>
        </w:tc>
        <w:tc>
          <w:tcPr>
            <w:tcW w:w="65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高齢者がいつまでも元気に暮らせる地域づくり</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障害のある方の自立を促し、安心して生活のできる地域づくり</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厳しい環境にある子どもたちへの支援</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少子化対策の推進</w:t>
            </w:r>
          </w:p>
        </w:tc>
        <w:tc>
          <w:tcPr>
            <w:tcW w:w="6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介護などのサービス提供を担う人材の安定確保</w:t>
            </w:r>
          </w:p>
        </w:tc>
        <w:tc>
          <w:tcPr>
            <w:tcW w:w="65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7"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37.2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16.3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5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65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30.2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57"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30.6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5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6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65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r>
      <w:tr w:rsidR="00C53806">
        <w:trPr>
          <w:trHeight w:val="340"/>
        </w:trPr>
        <w:tc>
          <w:tcPr>
            <w:tcW w:w="567"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36.5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65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25.1 </w:t>
            </w:r>
          </w:p>
        </w:tc>
        <w:tc>
          <w:tcPr>
            <w:tcW w:w="657" w:type="dxa"/>
            <w:tcBorders>
              <w:top w:val="double" w:sz="4" w:space="0" w:color="auto"/>
            </w:tcBorders>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6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34.6 </w:t>
            </w:r>
          </w:p>
        </w:tc>
        <w:tc>
          <w:tcPr>
            <w:tcW w:w="65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29.8 </w:t>
            </w:r>
          </w:p>
        </w:tc>
        <w:tc>
          <w:tcPr>
            <w:tcW w:w="657"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34.2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29.8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57"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657"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657"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57"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58"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18.7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657" w:type="dxa"/>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6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65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40"/>
        </w:trPr>
        <w:tc>
          <w:tcPr>
            <w:tcW w:w="567"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23.9 </w:t>
            </w:r>
          </w:p>
        </w:tc>
        <w:tc>
          <w:tcPr>
            <w:tcW w:w="65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657" w:type="dxa"/>
            <w:tcBorders>
              <w:bottom w:val="single" w:sz="4" w:space="0" w:color="auto"/>
            </w:tcBorders>
            <w:shd w:val="clear" w:color="auto" w:fill="BFBFBF" w:themeFill="background1" w:themeFillShade="BF"/>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6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27.9 </w:t>
            </w:r>
          </w:p>
        </w:tc>
        <w:tc>
          <w:tcPr>
            <w:tcW w:w="65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bl>
    <w:p w:rsidR="00C53806" w:rsidRDefault="00C53806">
      <w:pPr>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p w:rsidR="00C53806" w:rsidRDefault="00C53806">
      <w:pPr>
        <w:ind w:firstLineChars="100" w:firstLine="210"/>
        <w:rPr>
          <w:rFonts w:ascii="ＭＳ ゴシック" w:eastAsia="ＭＳ ゴシック" w:hAnsi="ＭＳ ゴシック"/>
        </w:rPr>
      </w:pPr>
    </w:p>
    <w:tbl>
      <w:tblPr>
        <w:tblpPr w:leftFromText="142" w:rightFromText="142" w:vertAnchor="page" w:horzAnchor="margin" w:tblpX="99" w:tblpY="943"/>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420" w:hangingChars="200" w:hanging="420"/>
              <w:rPr>
                <w:rFonts w:ascii="ＭＳ ゴシック" w:eastAsia="ＭＳ ゴシック" w:hAnsi="ＭＳ ゴシック"/>
                <w:sz w:val="24"/>
              </w:rPr>
            </w:pPr>
            <w:r>
              <w:rPr>
                <w:rFonts w:ascii="ＭＳ ゴシック" w:eastAsia="ＭＳ ゴシック" w:hAnsi="ＭＳ ゴシック" w:hint="eastAsia"/>
              </w:rPr>
              <w:t xml:space="preserve">問３　</w:t>
            </w:r>
            <w:r>
              <w:rPr>
                <w:rFonts w:ascii="ＭＳ ゴシック" w:eastAsia="ＭＳ ゴシック" w:hAnsi="ＭＳ ゴシック" w:hint="eastAsia"/>
                <w:spacing w:val="-4"/>
              </w:rPr>
              <w:t>「教育の充実と子育て支援」について、教育等の振興に関する施策の大綱</w:t>
            </w:r>
            <w:r>
              <w:rPr>
                <w:rFonts w:ascii="ＭＳ ゴシック" w:eastAsia="ＭＳ ゴシック" w:hAnsi="ＭＳ ゴシック" w:hint="eastAsia"/>
              </w:rPr>
              <w:t>に基づき、県が行っている施策のうち特に力を入れるべきものは何ですか。（３つまで○印）</w:t>
            </w:r>
          </w:p>
        </w:tc>
      </w:tr>
    </w:tbl>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「学力向上に向けた学校の組織力の強化」が43.6</w:t>
      </w:r>
      <w:r w:rsidR="00352F49">
        <w:rPr>
          <w:rFonts w:ascii="ＭＳ ゴシック" w:eastAsia="ＭＳ ゴシック" w:hAnsi="ＭＳ ゴシック" w:hint="eastAsia"/>
          <w:b/>
          <w:u w:val="single"/>
        </w:rPr>
        <w:t>％で１位に</w:t>
      </w:r>
      <w:r>
        <w:rPr>
          <w:rFonts w:ascii="ＭＳ ゴシック" w:eastAsia="ＭＳ ゴシック" w:hAnsi="ＭＳ ゴシック" w:hint="eastAsia"/>
          <w:b/>
          <w:u w:val="single"/>
        </w:rPr>
        <w:t>なっている。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次いで「いじめや暴力行為、不登校などへの対策の充実」が41.5％、「貧困の世代間連鎖を教育によって断ち切るための支援の充実」が32.2％と続いている。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9760D2">
      <w:pPr>
        <w:ind w:firstLineChars="100" w:firstLine="210"/>
        <w:jc w:val="left"/>
        <w:rPr>
          <w:rFonts w:ascii="ＭＳ 明朝" w:eastAsia="ＭＳ 明朝" w:hAnsi="ＭＳ 明朝"/>
        </w:rPr>
      </w:pPr>
      <w:r>
        <w:rPr>
          <w:rFonts w:ascii="ＭＳ 明朝" w:eastAsia="ＭＳ 明朝" w:hAnsi="ＭＳ 明朝" w:hint="eastAsia"/>
        </w:rPr>
        <w:t>今年度</w:t>
      </w:r>
      <w:r w:rsidR="00352F49">
        <w:rPr>
          <w:rFonts w:ascii="ＭＳ 明朝" w:eastAsia="ＭＳ 明朝" w:hAnsi="ＭＳ 明朝" w:hint="eastAsia"/>
        </w:rPr>
        <w:t>も、昨年度と同じく「学力向上に向けた学校の組織力の強化」が１位に</w:t>
      </w:r>
      <w:r>
        <w:rPr>
          <w:rFonts w:ascii="ＭＳ 明朝" w:eastAsia="ＭＳ 明朝" w:hAnsi="ＭＳ 明朝" w:hint="eastAsia"/>
        </w:rPr>
        <w:t>なっている。「道徳教育の推進」が昨年度から6.3</w:t>
      </w:r>
      <w:r w:rsidR="00352F49">
        <w:rPr>
          <w:rFonts w:ascii="ＭＳ 明朝" w:eastAsia="ＭＳ 明朝" w:hAnsi="ＭＳ 明朝" w:hint="eastAsia"/>
        </w:rPr>
        <w:t>ポイント減少し、３位から５位に</w:t>
      </w:r>
      <w:r>
        <w:rPr>
          <w:rFonts w:ascii="ＭＳ 明朝" w:eastAsia="ＭＳ 明朝" w:hAnsi="ＭＳ 明朝" w:hint="eastAsia"/>
        </w:rPr>
        <w:t>なっている。</w:t>
      </w: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13" behindDoc="0" locked="0" layoutInCell="1" allowOverlap="1">
            <wp:simplePos x="0" y="0"/>
            <wp:positionH relativeFrom="column">
              <wp:posOffset>3145155</wp:posOffset>
            </wp:positionH>
            <wp:positionV relativeFrom="paragraph">
              <wp:posOffset>286385</wp:posOffset>
            </wp:positionV>
            <wp:extent cx="3125470" cy="6634480"/>
            <wp:effectExtent l="0" t="0" r="0" b="0"/>
            <wp:wrapSquare wrapText="bothSides"/>
            <wp:docPr id="103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noProof/>
        </w:rPr>
        <w:drawing>
          <wp:anchor distT="0" distB="0" distL="114300" distR="114300" simplePos="0" relativeHeight="12" behindDoc="0" locked="0" layoutInCell="1" allowOverlap="1">
            <wp:simplePos x="0" y="0"/>
            <wp:positionH relativeFrom="column">
              <wp:align>left</wp:align>
            </wp:positionH>
            <wp:positionV relativeFrom="paragraph">
              <wp:align>top</wp:align>
            </wp:positionV>
            <wp:extent cx="3190875" cy="6524625"/>
            <wp:effectExtent l="0" t="0" r="0" b="0"/>
            <wp:wrapSquare wrapText="bothSides"/>
            <wp:docPr id="103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男女とも「学力向上に向けた学校の組織力の強化」</w:t>
      </w:r>
      <w:r w:rsidR="00352F49">
        <w:rPr>
          <w:rFonts w:ascii="ＭＳ 明朝" w:eastAsia="ＭＳ 明朝" w:hAnsi="ＭＳ 明朝" w:hint="eastAsia"/>
        </w:rPr>
        <w:t>が</w:t>
      </w:r>
      <w:r>
        <w:rPr>
          <w:rFonts w:ascii="ＭＳ 明朝" w:eastAsia="ＭＳ 明朝" w:hAnsi="ＭＳ 明朝" w:hint="eastAsia"/>
        </w:rPr>
        <w:t>、「いじめや暴力行為、不登校などへの対策の充実」が続いており、次いで男性では「道徳教育の推進」が、女性では「貧困の世代間連鎖を教育によって断ち切るための支援の充実」が続いている。</w:t>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10歳代、40歳代、50歳代では「学力向上に向けた学校の組織力の強化」、20歳代、30歳代、60歳代、70歳以上では「いじめや暴力行為、不登校などへの対策の充実」が１位になっている。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4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3806" w:rsidRDefault="00C53806">
      <w:pPr>
        <w:rPr>
          <w:rFonts w:ascii="ＭＳ 明朝" w:eastAsia="ＭＳ 明朝" w:hAnsi="ＭＳ 明朝"/>
        </w:rPr>
      </w:pPr>
    </w:p>
    <w:p w:rsidR="00C53806" w:rsidRDefault="009760D2">
      <w:pPr>
        <w:tabs>
          <w:tab w:val="left" w:pos="1260"/>
        </w:tabs>
        <w:rPr>
          <w:rFonts w:ascii="ＭＳ 明朝" w:eastAsia="ＭＳ 明朝" w:hAnsi="ＭＳ 明朝"/>
        </w:rPr>
      </w:pPr>
      <w:r>
        <w:rPr>
          <w:rFonts w:ascii="ＭＳ 明朝" w:eastAsia="ＭＳ 明朝" w:hAnsi="ＭＳ 明朝"/>
        </w:rPr>
        <w:tab/>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923" w:type="dxa"/>
        <w:tblLayout w:type="fixed"/>
        <w:tblLook w:val="04A0" w:firstRow="1" w:lastRow="0" w:firstColumn="1" w:lastColumn="0" w:noHBand="0" w:noVBand="1"/>
      </w:tblPr>
      <w:tblGrid>
        <w:gridCol w:w="567"/>
        <w:gridCol w:w="1843"/>
        <w:gridCol w:w="638"/>
        <w:gridCol w:w="638"/>
        <w:gridCol w:w="638"/>
        <w:gridCol w:w="638"/>
        <w:gridCol w:w="798"/>
        <w:gridCol w:w="670"/>
        <w:gridCol w:w="670"/>
        <w:gridCol w:w="838"/>
        <w:gridCol w:w="661"/>
        <w:gridCol w:w="662"/>
        <w:gridCol w:w="662"/>
      </w:tblGrid>
      <w:tr w:rsidR="00C53806">
        <w:trPr>
          <w:cantSplit/>
          <w:trHeight w:val="2778"/>
        </w:trPr>
        <w:tc>
          <w:tcPr>
            <w:tcW w:w="2410"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12" o:spid="_x0000_s2109" type="#_x0000_t202" style="position:absolute;left:0;text-align:left;margin-left:56.75pt;margin-top:.75pt;width:54pt;height:20.25pt;z-index:26"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13" o:spid="_x0000_s2108" type="#_x0000_t202" style="position:absolute;left:0;text-align:left;margin-left:-4pt;margin-top:115.4pt;width:54pt;height:20.6pt;z-index:27" filled="f" stroked="f">
                  <v:textbox>
                    <w:txbxContent>
                      <w:p w:rsidR="00B642E5" w:rsidRDefault="00B642E5">
                        <w:pPr>
                          <w:rPr>
                            <w:sz w:val="18"/>
                          </w:rPr>
                        </w:pPr>
                        <w:r>
                          <w:rPr>
                            <w:rFonts w:hint="eastAsia"/>
                            <w:sz w:val="18"/>
                          </w:rPr>
                          <w:t>属　性</w:t>
                        </w:r>
                      </w:p>
                    </w:txbxContent>
                  </v:textbox>
                </v:shape>
              </w:pic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学力向上に向けた学校の組織力の強化</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道徳教育の推進</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運動能力の向上、運動習慣の確立</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社会的・職業的自立に向けたキャリア教育の推進</w:t>
            </w:r>
          </w:p>
        </w:tc>
        <w:tc>
          <w:tcPr>
            <w:tcW w:w="7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発達障害など特別な支援を必要とする子どもへの指導・支援の充実</w:t>
            </w:r>
          </w:p>
        </w:tc>
        <w:tc>
          <w:tcPr>
            <w:tcW w:w="67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貧困の世代間連鎖を教育によって断ち切るための支援の充実</w:t>
            </w:r>
          </w:p>
        </w:tc>
        <w:tc>
          <w:tcPr>
            <w:tcW w:w="67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いじめや暴力行為、不登校などへの対策の充実</w:t>
            </w:r>
          </w:p>
        </w:tc>
        <w:tc>
          <w:tcPr>
            <w:tcW w:w="8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地域の方々との連携・協働による学習やスポーツ活動などの推進</w:t>
            </w:r>
          </w:p>
        </w:tc>
        <w:tc>
          <w:tcPr>
            <w:tcW w:w="66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就学前の教育・保育の充実</w:t>
            </w:r>
          </w:p>
        </w:tc>
        <w:tc>
          <w:tcPr>
            <w:tcW w:w="66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生涯にわたって学び続けられる環境づくりの推進</w:t>
            </w:r>
          </w:p>
        </w:tc>
        <w:tc>
          <w:tcPr>
            <w:tcW w:w="66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7"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32.0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34.0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37.7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25.2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32.9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48.3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24.3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55.0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16.9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40"/>
        </w:trPr>
        <w:tc>
          <w:tcPr>
            <w:tcW w:w="567"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38"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47.6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7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7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67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8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6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6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6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7"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38"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44.5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7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67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67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8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66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6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66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29.8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67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45.4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21.0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43.7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3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25.2 </w:t>
            </w:r>
          </w:p>
        </w:tc>
        <w:tc>
          <w:tcPr>
            <w:tcW w:w="7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67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8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66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44.8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26.4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70"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27.4 </w:t>
            </w:r>
          </w:p>
        </w:tc>
        <w:tc>
          <w:tcPr>
            <w:tcW w:w="670"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c>
          <w:tcPr>
            <w:tcW w:w="8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26.4 </w:t>
            </w:r>
          </w:p>
        </w:tc>
        <w:tc>
          <w:tcPr>
            <w:tcW w:w="66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19.9 </w:t>
            </w:r>
          </w:p>
        </w:tc>
        <w:tc>
          <w:tcPr>
            <w:tcW w:w="66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66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bl>
    <w:p w:rsidR="00C53806" w:rsidRDefault="00C53806"/>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420" w:hangingChars="200" w:hanging="420"/>
              <w:rPr>
                <w:rFonts w:ascii="ＭＳ ゴシック" w:eastAsia="ＭＳ ゴシック" w:hAnsi="ＭＳ ゴシック"/>
              </w:rPr>
            </w:pPr>
            <w:r>
              <w:rPr>
                <w:rFonts w:ascii="ＭＳ ゴシック" w:eastAsia="ＭＳ ゴシック" w:hAnsi="ＭＳ ゴシック" w:hint="eastAsia"/>
              </w:rPr>
              <w:t>問４　「南海トラフ地震対策の抜本強化・加速化」について、第３期南海トラフ地震対策行動計画に</w:t>
            </w:r>
          </w:p>
          <w:p w:rsidR="00C53806" w:rsidRDefault="009760D2">
            <w:pPr>
              <w:ind w:left="420"/>
              <w:rPr>
                <w:rFonts w:ascii="ＭＳ ゴシック" w:eastAsia="ＭＳ ゴシック" w:hAnsi="ＭＳ ゴシック"/>
              </w:rPr>
            </w:pPr>
            <w:r>
              <w:rPr>
                <w:rFonts w:ascii="ＭＳ ゴシック" w:eastAsia="ＭＳ ゴシック" w:hAnsi="ＭＳ ゴシック" w:hint="eastAsia"/>
              </w:rPr>
              <w:t>基づき、県が行っている施策のうち特に力を入れるべきものは何ですか。（３つまで○印）</w:t>
            </w:r>
          </w:p>
        </w:tc>
      </w:tr>
    </w:tbl>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「支援物資が避難所に確実に届く体制づくり」が48.5％で１位になっている。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次いで「津波からの避難場所や避難路の整備」が39.4％、「住宅の耐震化の強化」が30.3％と続いている。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352F49">
      <w:pPr>
        <w:ind w:firstLineChars="100" w:firstLine="210"/>
        <w:jc w:val="left"/>
        <w:rPr>
          <w:rFonts w:ascii="ＭＳ 明朝" w:eastAsia="ＭＳ 明朝" w:hAnsi="ＭＳ 明朝"/>
        </w:rPr>
      </w:pPr>
      <w:r>
        <w:rPr>
          <w:rFonts w:ascii="ＭＳ 明朝" w:eastAsia="ＭＳ 明朝" w:hAnsi="ＭＳ 明朝" w:hint="eastAsia"/>
        </w:rPr>
        <w:t>選択数が変更されたため単純な比較はできないが、昨年度と同じくに今年度も「支援物資が避難所に確実に届く体制づくり」が１位に</w:t>
      </w:r>
      <w:r w:rsidR="009760D2">
        <w:rPr>
          <w:rFonts w:ascii="ＭＳ 明朝" w:eastAsia="ＭＳ 明朝" w:hAnsi="ＭＳ 明朝" w:hint="eastAsia"/>
        </w:rPr>
        <w:t>なっている。</w:t>
      </w:r>
    </w:p>
    <w:p w:rsidR="00C53806" w:rsidRPr="00352F49" w:rsidRDefault="00C53806">
      <w:pPr>
        <w:jc w:val="left"/>
        <w:rPr>
          <w:rFonts w:ascii="ＭＳ ゴシック" w:eastAsia="ＭＳ ゴシック" w:hAnsi="ＭＳ ゴシック"/>
        </w:rPr>
      </w:pP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15" behindDoc="0" locked="0" layoutInCell="1" allowOverlap="1">
            <wp:simplePos x="0" y="0"/>
            <wp:positionH relativeFrom="column">
              <wp:posOffset>3187700</wp:posOffset>
            </wp:positionH>
            <wp:positionV relativeFrom="paragraph">
              <wp:posOffset>288290</wp:posOffset>
            </wp:positionV>
            <wp:extent cx="3082925" cy="6634480"/>
            <wp:effectExtent l="0" t="0" r="0" b="0"/>
            <wp:wrapSquare wrapText="bothSides"/>
            <wp:docPr id="104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noProof/>
        </w:rPr>
        <w:drawing>
          <wp:anchor distT="0" distB="0" distL="114300" distR="114300" simplePos="0" relativeHeight="14" behindDoc="0" locked="0" layoutInCell="1" allowOverlap="1">
            <wp:simplePos x="0" y="0"/>
            <wp:positionH relativeFrom="column">
              <wp:align>left</wp:align>
            </wp:positionH>
            <wp:positionV relativeFrom="paragraph">
              <wp:align>top</wp:align>
            </wp:positionV>
            <wp:extent cx="3190875" cy="6524625"/>
            <wp:effectExtent l="0" t="0" r="0" b="0"/>
            <wp:wrapSquare wrapText="bothSides"/>
            <wp:docPr id="104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4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10歳代、20歳代では「津波からの避難場所や避難路の整備」</w:t>
      </w:r>
      <w:r w:rsidR="00711F4B">
        <w:rPr>
          <w:rFonts w:ascii="ＭＳ 明朝" w:eastAsia="ＭＳ 明朝" w:hAnsi="ＭＳ 明朝" w:hint="eastAsia"/>
        </w:rPr>
        <w:t>が</w:t>
      </w:r>
      <w:r>
        <w:rPr>
          <w:rFonts w:ascii="ＭＳ 明朝" w:eastAsia="ＭＳ 明朝" w:hAnsi="ＭＳ 明朝" w:hint="eastAsia"/>
        </w:rPr>
        <w:t>、30歳代、40歳代、50歳代、60歳代、70歳以上では「支援物資が避難所に確実に届く体制づくり」が１位になっている。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4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《職業別・広域市町村圏別・沿岸部別》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10632" w:type="dxa"/>
        <w:tblInd w:w="-318" w:type="dxa"/>
        <w:tblLayout w:type="fixed"/>
        <w:tblLook w:val="04A0" w:firstRow="1" w:lastRow="0" w:firstColumn="1" w:lastColumn="0" w:noHBand="0" w:noVBand="1"/>
      </w:tblPr>
      <w:tblGrid>
        <w:gridCol w:w="568"/>
        <w:gridCol w:w="1843"/>
        <w:gridCol w:w="585"/>
        <w:gridCol w:w="585"/>
        <w:gridCol w:w="586"/>
        <w:gridCol w:w="585"/>
        <w:gridCol w:w="586"/>
        <w:gridCol w:w="617"/>
        <w:gridCol w:w="850"/>
        <w:gridCol w:w="637"/>
        <w:gridCol w:w="638"/>
        <w:gridCol w:w="638"/>
        <w:gridCol w:w="638"/>
        <w:gridCol w:w="638"/>
        <w:gridCol w:w="638"/>
      </w:tblGrid>
      <w:tr w:rsidR="00C53806">
        <w:trPr>
          <w:cantSplit/>
          <w:trHeight w:val="2778"/>
        </w:trPr>
        <w:tc>
          <w:tcPr>
            <w:tcW w:w="2411"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18" o:spid="_x0000_s2107" type="#_x0000_t202" style="position:absolute;left:0;text-align:left;margin-left:56.75pt;margin-top:.75pt;width:54pt;height:20.25pt;z-index:30"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19" o:spid="_x0000_s2106" type="#_x0000_t202" style="position:absolute;left:0;text-align:left;margin-left:-4pt;margin-top:115.4pt;width:54pt;height:20.6pt;z-index:31" filled="f" stroked="f">
                  <v:textbox>
                    <w:txbxContent>
                      <w:p w:rsidR="00B642E5" w:rsidRDefault="00B642E5">
                        <w:pPr>
                          <w:rPr>
                            <w:sz w:val="18"/>
                          </w:rPr>
                        </w:pPr>
                        <w:r>
                          <w:rPr>
                            <w:rFonts w:hint="eastAsia"/>
                            <w:sz w:val="18"/>
                          </w:rPr>
                          <w:t>属　性</w:t>
                        </w:r>
                      </w:p>
                    </w:txbxContent>
                  </v:textbox>
                </v:shape>
              </w:pict>
            </w:r>
          </w:p>
        </w:tc>
        <w:tc>
          <w:tcPr>
            <w:tcW w:w="58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住宅の耐震化の強化</w:t>
            </w:r>
          </w:p>
        </w:tc>
        <w:tc>
          <w:tcPr>
            <w:tcW w:w="58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津波からの避難場所や避難路の整備</w:t>
            </w:r>
          </w:p>
        </w:tc>
        <w:tc>
          <w:tcPr>
            <w:tcW w:w="5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体育館などの避難所の確保や運営体制の充実</w:t>
            </w:r>
          </w:p>
        </w:tc>
        <w:tc>
          <w:tcPr>
            <w:tcW w:w="58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支援物資が避難所に確実に届く体制づくり</w:t>
            </w:r>
          </w:p>
        </w:tc>
        <w:tc>
          <w:tcPr>
            <w:tcW w:w="5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前方展開型による医療救護体制の推進</w:t>
            </w:r>
          </w:p>
        </w:tc>
        <w:tc>
          <w:tcPr>
            <w:tcW w:w="61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防災教育の強化</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高齢者や障害者などの要配慮者の方々を地域で支え合う仕組みづくり</w:t>
            </w:r>
          </w:p>
        </w:tc>
        <w:tc>
          <w:tcPr>
            <w:tcW w:w="63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地震火災・津波火災対策の推進</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津波や浸水による被害を防ぐ防潮堤などのハード整備</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地震を予知・観測・伝達する体制の強化</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自主防災組織など人のつながりの強化</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発災後の応急対策活動や住民生活に必要となる燃料の確保対策</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8"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34.0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34.0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49.5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88.9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85"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42.0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43.5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39.9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23.9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44.5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20.2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39.0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48.2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35.5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55.2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585"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59.1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21.5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21.5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60.3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585"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44.8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8"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30.7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35.4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24.3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54.0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18.5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8"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58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58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5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585"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50.6 </w:t>
            </w:r>
          </w:p>
        </w:tc>
        <w:tc>
          <w:tcPr>
            <w:tcW w:w="5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61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3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40"/>
        </w:trPr>
        <w:tc>
          <w:tcPr>
            <w:tcW w:w="568"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58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58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5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585"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48.7 </w:t>
            </w:r>
          </w:p>
        </w:tc>
        <w:tc>
          <w:tcPr>
            <w:tcW w:w="5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1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16.9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63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19.9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40"/>
        </w:trPr>
        <w:tc>
          <w:tcPr>
            <w:tcW w:w="568"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27.2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39.5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49.1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8"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20.5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45.9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8"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8"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46.8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47.6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40"/>
        </w:trPr>
        <w:tc>
          <w:tcPr>
            <w:tcW w:w="568"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585"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8"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28.5 </w:t>
            </w:r>
          </w:p>
        </w:tc>
        <w:tc>
          <w:tcPr>
            <w:tcW w:w="58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58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5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1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r>
      <w:tr w:rsidR="00C53806">
        <w:trPr>
          <w:trHeight w:val="340"/>
        </w:trPr>
        <w:tc>
          <w:tcPr>
            <w:tcW w:w="568" w:type="dxa"/>
            <w:vMerge/>
            <w:tcBorders>
              <w:bottom w:val="double" w:sz="4" w:space="0" w:color="auto"/>
            </w:tcBorders>
            <w:vAlign w:val="center"/>
          </w:tcPr>
          <w:p w:rsidR="00C53806" w:rsidRDefault="00C53806">
            <w:pPr>
              <w:jc w:val="center"/>
              <w:rPr>
                <w:rFonts w:ascii="ＭＳ 明朝" w:hAnsi="ＭＳ 明朝"/>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58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58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5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19.9 </w:t>
            </w:r>
          </w:p>
        </w:tc>
        <w:tc>
          <w:tcPr>
            <w:tcW w:w="585"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53.2 </w:t>
            </w:r>
          </w:p>
        </w:tc>
        <w:tc>
          <w:tcPr>
            <w:tcW w:w="5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1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63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19.9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r w:rsidR="00C53806">
        <w:trPr>
          <w:trHeight w:val="340"/>
        </w:trPr>
        <w:tc>
          <w:tcPr>
            <w:tcW w:w="568" w:type="dxa"/>
            <w:vMerge w:val="restart"/>
            <w:tcBorders>
              <w:top w:val="double" w:sz="4" w:space="0" w:color="auto"/>
            </w:tcBorders>
            <w:textDirection w:val="tbRlV"/>
            <w:vAlign w:val="center"/>
          </w:tcPr>
          <w:p w:rsidR="00C53806" w:rsidRDefault="009760D2">
            <w:pPr>
              <w:spacing w:line="0" w:lineRule="atLeast"/>
              <w:jc w:val="center"/>
              <w:rPr>
                <w:rFonts w:ascii="ＭＳ 明朝" w:hAnsi="ＭＳ 明朝"/>
                <w:sz w:val="14"/>
              </w:rPr>
            </w:pPr>
            <w:r>
              <w:rPr>
                <w:rFonts w:ascii="ＭＳ 明朝" w:hAnsi="ＭＳ 明朝" w:hint="eastAsia"/>
                <w:sz w:val="16"/>
              </w:rPr>
              <w:t>沿岸</w:t>
            </w:r>
          </w:p>
          <w:p w:rsidR="00C53806" w:rsidRDefault="009760D2">
            <w:pPr>
              <w:spacing w:line="0" w:lineRule="atLeast"/>
              <w:jc w:val="center"/>
              <w:rPr>
                <w:rFonts w:ascii="ＭＳ 明朝" w:hAnsi="ＭＳ 明朝"/>
              </w:rPr>
            </w:pPr>
            <w:r>
              <w:rPr>
                <w:rFonts w:ascii="ＭＳ 明朝" w:hAnsi="ＭＳ 明朝" w:hint="eastAsia"/>
                <w:sz w:val="16"/>
              </w:rPr>
              <w:t>部別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沿岸部</w:t>
            </w:r>
          </w:p>
        </w:tc>
        <w:tc>
          <w:tcPr>
            <w:tcW w:w="585"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27.3 </w:t>
            </w:r>
          </w:p>
        </w:tc>
        <w:tc>
          <w:tcPr>
            <w:tcW w:w="585"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46.5 </w:t>
            </w:r>
          </w:p>
        </w:tc>
        <w:tc>
          <w:tcPr>
            <w:tcW w:w="586"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18.8 </w:t>
            </w:r>
          </w:p>
        </w:tc>
        <w:tc>
          <w:tcPr>
            <w:tcW w:w="585"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sz w:val="18"/>
              </w:rPr>
            </w:pPr>
            <w:r>
              <w:rPr>
                <w:rFonts w:ascii="ＭＳ 明朝" w:hAnsi="ＭＳ 明朝"/>
                <w:sz w:val="18"/>
              </w:rPr>
              <w:t xml:space="preserve">47.0 </w:t>
            </w:r>
          </w:p>
        </w:tc>
        <w:tc>
          <w:tcPr>
            <w:tcW w:w="586"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17.9 </w:t>
            </w:r>
          </w:p>
        </w:tc>
        <w:tc>
          <w:tcPr>
            <w:tcW w:w="617"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14.</w:t>
            </w:r>
            <w:r>
              <w:rPr>
                <w:rFonts w:ascii="ＭＳ 明朝" w:hAnsi="ＭＳ 明朝" w:hint="eastAsia"/>
                <w:sz w:val="18"/>
              </w:rPr>
              <w:t>3</w:t>
            </w:r>
          </w:p>
        </w:tc>
        <w:tc>
          <w:tcPr>
            <w:tcW w:w="850"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17.7 </w:t>
            </w:r>
          </w:p>
        </w:tc>
        <w:tc>
          <w:tcPr>
            <w:tcW w:w="637"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10.7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21.</w:t>
            </w:r>
            <w:r>
              <w:rPr>
                <w:rFonts w:ascii="ＭＳ 明朝" w:hAnsi="ＭＳ 明朝" w:hint="eastAsia"/>
                <w:sz w:val="18"/>
              </w:rPr>
              <w:t>7</w:t>
            </w:r>
            <w:r>
              <w:rPr>
                <w:rFonts w:ascii="ＭＳ 明朝" w:hAnsi="ＭＳ 明朝"/>
                <w:sz w:val="18"/>
              </w:rPr>
              <w:t xml:space="preserve">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23.9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16.8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20.</w:t>
            </w:r>
            <w:r>
              <w:rPr>
                <w:rFonts w:ascii="ＭＳ 明朝" w:hAnsi="ＭＳ 明朝" w:hint="eastAsia"/>
                <w:sz w:val="18"/>
              </w:rPr>
              <w:t>3</w:t>
            </w:r>
            <w:r>
              <w:rPr>
                <w:rFonts w:ascii="ＭＳ 明朝" w:hAnsi="ＭＳ 明朝"/>
                <w:sz w:val="18"/>
              </w:rPr>
              <w:t xml:space="preserve">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hint="eastAsia"/>
                <w:sz w:val="18"/>
              </w:rPr>
              <w:t>1.8</w:t>
            </w:r>
            <w:r>
              <w:rPr>
                <w:rFonts w:ascii="ＭＳ 明朝" w:hAnsi="ＭＳ 明朝"/>
                <w:sz w:val="18"/>
              </w:rPr>
              <w:t xml:space="preserve"> </w:t>
            </w:r>
          </w:p>
        </w:tc>
      </w:tr>
      <w:tr w:rsidR="00C53806">
        <w:trPr>
          <w:trHeight w:val="340"/>
        </w:trPr>
        <w:tc>
          <w:tcPr>
            <w:tcW w:w="568"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非沿岸部</w:t>
            </w:r>
          </w:p>
        </w:tc>
        <w:tc>
          <w:tcPr>
            <w:tcW w:w="585"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32.2 </w:t>
            </w:r>
          </w:p>
        </w:tc>
        <w:tc>
          <w:tcPr>
            <w:tcW w:w="585"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35.</w:t>
            </w:r>
            <w:r>
              <w:rPr>
                <w:rFonts w:ascii="ＭＳ 明朝" w:hAnsi="ＭＳ 明朝" w:hint="eastAsia"/>
                <w:sz w:val="18"/>
              </w:rPr>
              <w:t>9</w:t>
            </w:r>
            <w:r>
              <w:rPr>
                <w:rFonts w:ascii="ＭＳ 明朝" w:hAnsi="ＭＳ 明朝"/>
                <w:sz w:val="18"/>
              </w:rPr>
              <w:t xml:space="preserve"> </w:t>
            </w:r>
          </w:p>
        </w:tc>
        <w:tc>
          <w:tcPr>
            <w:tcW w:w="586"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21.</w:t>
            </w:r>
            <w:r>
              <w:rPr>
                <w:rFonts w:ascii="ＭＳ 明朝" w:hAnsi="ＭＳ 明朝" w:hint="eastAsia"/>
                <w:sz w:val="18"/>
              </w:rPr>
              <w:t>6</w:t>
            </w:r>
            <w:r>
              <w:rPr>
                <w:rFonts w:ascii="ＭＳ 明朝" w:hAnsi="ＭＳ 明朝"/>
                <w:sz w:val="18"/>
              </w:rPr>
              <w:t xml:space="preserve"> </w:t>
            </w:r>
          </w:p>
        </w:tc>
        <w:tc>
          <w:tcPr>
            <w:tcW w:w="585"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sz w:val="18"/>
              </w:rPr>
            </w:pPr>
            <w:r>
              <w:rPr>
                <w:rFonts w:ascii="ＭＳ 明朝" w:hAnsi="ＭＳ 明朝"/>
                <w:sz w:val="18"/>
              </w:rPr>
              <w:t xml:space="preserve">49.0 </w:t>
            </w:r>
          </w:p>
        </w:tc>
        <w:tc>
          <w:tcPr>
            <w:tcW w:w="586"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17.9 </w:t>
            </w:r>
          </w:p>
        </w:tc>
        <w:tc>
          <w:tcPr>
            <w:tcW w:w="617"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1</w:t>
            </w:r>
            <w:r>
              <w:rPr>
                <w:rFonts w:ascii="ＭＳ 明朝" w:hAnsi="ＭＳ 明朝" w:hint="eastAsia"/>
                <w:sz w:val="18"/>
              </w:rPr>
              <w:t>8.0</w:t>
            </w:r>
            <w:r>
              <w:rPr>
                <w:rFonts w:ascii="ＭＳ 明朝" w:hAnsi="ＭＳ 明朝"/>
                <w:sz w:val="18"/>
              </w:rPr>
              <w:t xml:space="preserve"> </w:t>
            </w:r>
          </w:p>
        </w:tc>
        <w:tc>
          <w:tcPr>
            <w:tcW w:w="850"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22.1 </w:t>
            </w:r>
          </w:p>
        </w:tc>
        <w:tc>
          <w:tcPr>
            <w:tcW w:w="637"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9.1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15.7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21.3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22.5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 xml:space="preserve">16.6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sz w:val="18"/>
              </w:rPr>
            </w:pPr>
            <w:r>
              <w:rPr>
                <w:rFonts w:ascii="ＭＳ 明朝" w:hAnsi="ＭＳ 明朝"/>
                <w:sz w:val="18"/>
              </w:rPr>
              <w:t>1.</w:t>
            </w:r>
            <w:r>
              <w:rPr>
                <w:rFonts w:ascii="ＭＳ 明朝" w:hAnsi="ＭＳ 明朝" w:hint="eastAsia"/>
                <w:sz w:val="18"/>
              </w:rPr>
              <w:t>3</w:t>
            </w:r>
            <w:r>
              <w:rPr>
                <w:rFonts w:ascii="ＭＳ 明朝" w:hAnsi="ＭＳ 明朝"/>
                <w:sz w:val="18"/>
              </w:rPr>
              <w:t xml:space="preserve">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7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問５　「インフラの充実と有効活用」について、県が行っている施策のうち特に力を入れるべきもの</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は何ですか。（２つまで○印）</w:t>
            </w:r>
          </w:p>
        </w:tc>
      </w:tr>
    </w:tbl>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「日常生活を支える国道や県道等の整備」が44.3</w:t>
      </w:r>
      <w:r w:rsidR="00352F49">
        <w:rPr>
          <w:rFonts w:ascii="ＭＳ ゴシック" w:eastAsia="ＭＳ ゴシック" w:hAnsi="ＭＳ ゴシック" w:hint="eastAsia"/>
          <w:b/>
          <w:u w:val="single"/>
        </w:rPr>
        <w:t>％と１位に</w:t>
      </w:r>
      <w:r>
        <w:rPr>
          <w:rFonts w:ascii="ＭＳ ゴシック" w:eastAsia="ＭＳ ゴシック" w:hAnsi="ＭＳ ゴシック" w:hint="eastAsia"/>
          <w:b/>
          <w:u w:val="single"/>
        </w:rPr>
        <w:t>なっている。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次いで「他の地域とのつながりを強化する高速道路等の整備」が32.6％、「既存インフラの維持管理や老朽化対策」が28.8％と続いている。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9760D2">
      <w:pPr>
        <w:ind w:firstLineChars="100" w:firstLine="210"/>
        <w:jc w:val="left"/>
        <w:rPr>
          <w:rFonts w:ascii="ＭＳ 明朝" w:eastAsia="ＭＳ 明朝" w:hAnsi="ＭＳ 明朝"/>
        </w:rPr>
      </w:pPr>
      <w:r>
        <w:rPr>
          <w:rFonts w:ascii="ＭＳ 明朝" w:eastAsia="ＭＳ 明朝" w:hAnsi="ＭＳ 明朝" w:hint="eastAsia"/>
        </w:rPr>
        <w:t>今年度も、昨年度と同じく「日常生活を支える国道や県道等の整備」が１位になっており、以降の順位もほぼ同じとなっている。</w:t>
      </w:r>
    </w:p>
    <w:p w:rsidR="00C53806" w:rsidRDefault="00C53806">
      <w:pPr>
        <w:jc w:val="left"/>
        <w:rPr>
          <w:rFonts w:ascii="ＭＳ ゴシック" w:eastAsia="ＭＳ ゴシック" w:hAnsi="ＭＳ ゴシック"/>
        </w:rPr>
      </w:pP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17" behindDoc="0" locked="0" layoutInCell="1" allowOverlap="1">
            <wp:simplePos x="0" y="0"/>
            <wp:positionH relativeFrom="column">
              <wp:posOffset>3098800</wp:posOffset>
            </wp:positionH>
            <wp:positionV relativeFrom="paragraph">
              <wp:posOffset>283845</wp:posOffset>
            </wp:positionV>
            <wp:extent cx="3171825" cy="6638925"/>
            <wp:effectExtent l="0" t="0" r="0" b="0"/>
            <wp:wrapSquare wrapText="bothSides"/>
            <wp:docPr id="105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noProof/>
        </w:rPr>
        <w:drawing>
          <wp:anchor distT="0" distB="0" distL="114300" distR="114300" simplePos="0" relativeHeight="16" behindDoc="0" locked="0" layoutInCell="1" allowOverlap="1">
            <wp:simplePos x="0" y="0"/>
            <wp:positionH relativeFrom="column">
              <wp:align>left</wp:align>
            </wp:positionH>
            <wp:positionV relativeFrom="paragraph">
              <wp:align>top</wp:align>
            </wp:positionV>
            <wp:extent cx="3190875" cy="6524625"/>
            <wp:effectExtent l="0" t="0" r="0" b="0"/>
            <wp:wrapSquare wrapText="bothSides"/>
            <wp:docPr id="105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男女とも「日常生活を支える国道や県道等の整備」が１位になっている。次いで男性では「他の地域とのつながりを強化する高速道路等の整備」、「既存インフラの維持管理や老朽化対策」</w:t>
      </w:r>
      <w:r w:rsidR="00352F49">
        <w:rPr>
          <w:rFonts w:ascii="ＭＳ 明朝" w:eastAsia="ＭＳ 明朝" w:hAnsi="ＭＳ 明朝" w:hint="eastAsia"/>
        </w:rPr>
        <w:t>が</w:t>
      </w:r>
      <w:r>
        <w:rPr>
          <w:rFonts w:ascii="ＭＳ 明朝" w:eastAsia="ＭＳ 明朝" w:hAnsi="ＭＳ 明朝" w:hint="eastAsia"/>
        </w:rPr>
        <w:t>、女性では「公共交通機関の</w:t>
      </w:r>
      <w:r w:rsidR="00352F49">
        <w:rPr>
          <w:rFonts w:ascii="ＭＳ 明朝" w:eastAsia="ＭＳ 明朝" w:hAnsi="ＭＳ 明朝" w:hint="eastAsia"/>
        </w:rPr>
        <w:t>維持確保」、「他の地域とのつながりを強化する高速道路等の整備」が</w:t>
      </w:r>
      <w:r>
        <w:rPr>
          <w:rFonts w:ascii="ＭＳ 明朝" w:eastAsia="ＭＳ 明朝" w:hAnsi="ＭＳ 明朝" w:hint="eastAsia"/>
        </w:rPr>
        <w:t>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5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ゴシック" w:eastAsia="ＭＳ ゴシック" w:hAnsi="ＭＳ ゴシック"/>
        </w:rPr>
      </w:pPr>
      <w:r>
        <w:rPr>
          <w:rFonts w:ascii="ＭＳ 明朝" w:eastAsia="ＭＳ 明朝" w:hAnsi="ＭＳ 明朝" w:hint="eastAsia"/>
        </w:rPr>
        <w:t>10歳代では「南海トラフ地震を見据えた大規模防波堤等の整備」が、20歳代、40歳代、50歳代、60歳代、30歳代では「他の地域とのつながりを強化する高速道路等の整備」が、70歳以上では「日常生活を支える国道や県道等の整備」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498" w:type="dxa"/>
        <w:tblInd w:w="108" w:type="dxa"/>
        <w:tblLayout w:type="fixed"/>
        <w:tblLook w:val="04A0" w:firstRow="1" w:lastRow="0" w:firstColumn="1" w:lastColumn="0" w:noHBand="0" w:noVBand="1"/>
      </w:tblPr>
      <w:tblGrid>
        <w:gridCol w:w="567"/>
        <w:gridCol w:w="1843"/>
        <w:gridCol w:w="886"/>
        <w:gridCol w:w="886"/>
        <w:gridCol w:w="886"/>
        <w:gridCol w:w="886"/>
        <w:gridCol w:w="886"/>
        <w:gridCol w:w="886"/>
        <w:gridCol w:w="886"/>
        <w:gridCol w:w="886"/>
      </w:tblGrid>
      <w:tr w:rsidR="00C53806">
        <w:trPr>
          <w:cantSplit/>
          <w:trHeight w:val="2948"/>
        </w:trPr>
        <w:tc>
          <w:tcPr>
            <w:tcW w:w="2410"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25" o:spid="_x0000_s2105" type="#_x0000_t202" style="position:absolute;left:0;text-align:left;margin-left:-4pt;margin-top:124.8pt;width:54pt;height:20.6pt;z-index:35"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24" o:spid="_x0000_s2104" type="#_x0000_t202" style="position:absolute;left:0;text-align:left;margin-left:56.75pt;margin-top:.75pt;width:54pt;height:20.25pt;z-index:34" filled="f" stroked="f">
                  <v:textbox>
                    <w:txbxContent>
                      <w:p w:rsidR="00B642E5" w:rsidRDefault="00B642E5">
                        <w:pPr>
                          <w:rPr>
                            <w:sz w:val="18"/>
                          </w:rPr>
                        </w:pPr>
                        <w:r>
                          <w:rPr>
                            <w:rFonts w:hint="eastAsia"/>
                            <w:sz w:val="18"/>
                          </w:rPr>
                          <w:t>項　目</w:t>
                        </w:r>
                      </w:p>
                    </w:txbxContent>
                  </v:textbox>
                </v:shape>
              </w:pic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他の地域とのつながりを強化する高速道路等の整備</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日常生活を支える国道や県道等の整備</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風水害に対する河川や海岸等の整備</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南海トラフ地震を見据えた大規模防波堤等の整備</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既存インフラの維持管理や老朽化対策</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公共交通機関の維持確保</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高速道路や空港、港湾等を活用した物流対策</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7"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39.0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33.5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11.2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886"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42.4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r>
      <w:tr w:rsidR="00C53806">
        <w:trPr>
          <w:trHeight w:val="340"/>
        </w:trPr>
        <w:tc>
          <w:tcPr>
            <w:tcW w:w="567"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31.1 </w:t>
            </w:r>
          </w:p>
        </w:tc>
        <w:tc>
          <w:tcPr>
            <w:tcW w:w="886"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41.1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16.6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39.5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30.1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40"/>
        </w:trPr>
        <w:tc>
          <w:tcPr>
            <w:tcW w:w="567"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886"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48.3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26.4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問６　「中山間対策の充実・強化」について、県が行っている施策のうち特に力を入れるべきものは</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何ですか。（２つまで○印）</w:t>
            </w:r>
          </w:p>
        </w:tc>
      </w:tr>
    </w:tbl>
    <w:p w:rsidR="00C53806" w:rsidRDefault="00C53806">
      <w:pPr>
        <w:rPr>
          <w:rFonts w:ascii="ＭＳ ゴシック" w:eastAsia="ＭＳ ゴシック" w:hAnsi="ＭＳ ゴシック"/>
        </w:rPr>
      </w:pPr>
    </w:p>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「買い物や通院のための移動手段の確保」が45.3％で１位になっている。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次いで「地域での医療・介護の確保」が45.1％、「地域で収入を得ることができる産業づくり」が37.4％と続いている。</w:t>
      </w: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352F49">
      <w:pPr>
        <w:ind w:firstLineChars="100" w:firstLine="210"/>
        <w:jc w:val="left"/>
        <w:rPr>
          <w:rFonts w:ascii="ＭＳ 明朝" w:eastAsia="ＭＳ 明朝" w:hAnsi="ＭＳ 明朝"/>
        </w:rPr>
      </w:pPr>
      <w:r>
        <w:rPr>
          <w:rFonts w:ascii="ＭＳ 明朝" w:eastAsia="ＭＳ 明朝" w:hAnsi="ＭＳ 明朝" w:hint="eastAsia"/>
        </w:rPr>
        <w:t>今年度</w:t>
      </w:r>
      <w:r w:rsidR="009760D2">
        <w:rPr>
          <w:rFonts w:ascii="ＭＳ 明朝" w:eastAsia="ＭＳ 明朝" w:hAnsi="ＭＳ 明朝" w:hint="eastAsia"/>
        </w:rPr>
        <w:t>は、「買い物や通院のための移動手段の確保」が昨年度から4.4</w:t>
      </w:r>
      <w:r>
        <w:rPr>
          <w:rFonts w:ascii="ＭＳ 明朝" w:eastAsia="ＭＳ 明朝" w:hAnsi="ＭＳ 明朝" w:hint="eastAsia"/>
        </w:rPr>
        <w:t>ポイント増加し、２位から１位に</w:t>
      </w:r>
      <w:r w:rsidR="009760D2">
        <w:rPr>
          <w:rFonts w:ascii="ＭＳ 明朝" w:eastAsia="ＭＳ 明朝" w:hAnsi="ＭＳ 明朝" w:hint="eastAsia"/>
        </w:rPr>
        <w:t>なっている。</w:t>
      </w:r>
    </w:p>
    <w:p w:rsidR="00C53806" w:rsidRDefault="00C53806">
      <w:pPr>
        <w:jc w:val="left"/>
        <w:rPr>
          <w:rFonts w:ascii="ＭＳ ゴシック" w:eastAsia="ＭＳ ゴシック" w:hAnsi="ＭＳ ゴシック"/>
        </w:rPr>
      </w:pPr>
    </w:p>
    <w:p w:rsidR="00C53806" w:rsidRDefault="00C53806">
      <w:pPr>
        <w:jc w:val="left"/>
        <w:rPr>
          <w:rFonts w:ascii="ＭＳ ゴシック" w:eastAsia="ＭＳ ゴシック" w:hAnsi="ＭＳ ゴシック"/>
        </w:rPr>
      </w:pP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19" behindDoc="0" locked="0" layoutInCell="1" allowOverlap="1">
            <wp:simplePos x="0" y="0"/>
            <wp:positionH relativeFrom="column">
              <wp:posOffset>3145155</wp:posOffset>
            </wp:positionH>
            <wp:positionV relativeFrom="paragraph">
              <wp:posOffset>278130</wp:posOffset>
            </wp:positionV>
            <wp:extent cx="3125470" cy="6634480"/>
            <wp:effectExtent l="0" t="0" r="0" b="0"/>
            <wp:wrapSquare wrapText="bothSides"/>
            <wp:docPr id="105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noProof/>
        </w:rPr>
        <w:drawing>
          <wp:anchor distT="0" distB="0" distL="114300" distR="114300" simplePos="0" relativeHeight="18" behindDoc="0" locked="0" layoutInCell="1" allowOverlap="1">
            <wp:simplePos x="0" y="0"/>
            <wp:positionH relativeFrom="column">
              <wp:align>left</wp:align>
            </wp:positionH>
            <wp:positionV relativeFrom="paragraph">
              <wp:align>top</wp:align>
            </wp:positionV>
            <wp:extent cx="3190875" cy="6524625"/>
            <wp:effectExtent l="0" t="0" r="0" b="0"/>
            <wp:wrapSquare wrapText="bothSides"/>
            <wp:docPr id="105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性では「買い物や通院のための移動手段の確保」が、女性では「地域での医療・介護の確保」が１位になっている。次いで男性では「地域での医療・介護の確保」、「地域で収入を得ることができる産業づくり」が、女性では「買い物や通院のための移動手段の確保」、「地域で収入を得ることができる産業づくり」が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5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10歳代、20歳代、30歳代、50歳代、60歳代では「地域での医療・介護の確保」が、40歳代、70歳以上では「買い物や通院のための移動手段の確保」が１位になっている。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5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3806" w:rsidRDefault="009760D2">
      <w:pPr>
        <w:tabs>
          <w:tab w:val="left" w:pos="1050"/>
        </w:tabs>
        <w:rPr>
          <w:rFonts w:ascii="ＭＳ 明朝" w:eastAsia="ＭＳ 明朝" w:hAnsi="ＭＳ 明朝"/>
        </w:rPr>
      </w:pPr>
      <w:r>
        <w:rPr>
          <w:rFonts w:ascii="ＭＳ 明朝" w:eastAsia="ＭＳ 明朝" w:hAnsi="ＭＳ 明朝"/>
        </w:rPr>
        <w:tab/>
      </w:r>
    </w:p>
    <w:p w:rsidR="00C53806" w:rsidRDefault="00C53806">
      <w:pPr>
        <w:tabs>
          <w:tab w:val="left" w:pos="1050"/>
        </w:tabs>
        <w:rPr>
          <w:rFonts w:ascii="ＭＳ 明朝" w:eastAsia="ＭＳ 明朝" w:hAnsi="ＭＳ 明朝"/>
        </w:rPr>
      </w:pPr>
    </w:p>
    <w:p w:rsidR="00C53806" w:rsidRDefault="00C53806">
      <w:pPr>
        <w:tabs>
          <w:tab w:val="left" w:pos="1050"/>
        </w:tabs>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498" w:type="dxa"/>
        <w:tblInd w:w="108" w:type="dxa"/>
        <w:tblLayout w:type="fixed"/>
        <w:tblLook w:val="04A0" w:firstRow="1" w:lastRow="0" w:firstColumn="1" w:lastColumn="0" w:noHBand="0" w:noVBand="1"/>
      </w:tblPr>
      <w:tblGrid>
        <w:gridCol w:w="567"/>
        <w:gridCol w:w="1843"/>
        <w:gridCol w:w="886"/>
        <w:gridCol w:w="886"/>
        <w:gridCol w:w="886"/>
        <w:gridCol w:w="886"/>
        <w:gridCol w:w="886"/>
        <w:gridCol w:w="886"/>
        <w:gridCol w:w="886"/>
        <w:gridCol w:w="886"/>
      </w:tblGrid>
      <w:tr w:rsidR="00C53806">
        <w:trPr>
          <w:cantSplit/>
          <w:trHeight w:val="2211"/>
        </w:trPr>
        <w:tc>
          <w:tcPr>
            <w:tcW w:w="2410"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1" o:spid="_x0000_s2103" type="#_x0000_t202" style="position:absolute;left:0;text-align:left;margin-left:-1.35pt;margin-top:85.9pt;width:54pt;height:20.6pt;z-index:39"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0" o:spid="_x0000_s2102" type="#_x0000_t202" style="position:absolute;left:0;text-align:left;margin-left:56.75pt;margin-top:.75pt;width:54pt;height:20.25pt;z-index:38" filled="f" stroked="f">
                  <v:textbox>
                    <w:txbxContent>
                      <w:p w:rsidR="00B642E5" w:rsidRDefault="00B642E5">
                        <w:pPr>
                          <w:rPr>
                            <w:sz w:val="18"/>
                          </w:rPr>
                        </w:pPr>
                        <w:r>
                          <w:rPr>
                            <w:rFonts w:hint="eastAsia"/>
                            <w:sz w:val="18"/>
                          </w:rPr>
                          <w:t>項　目</w:t>
                        </w:r>
                      </w:p>
                    </w:txbxContent>
                  </v:textbox>
                </v:shape>
              </w:pic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食料品や日用品などの確保</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地域での医療・介護の確保</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買い物や通院のための移動手段の確保</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地域で収入を得ることができる産業づくり</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集落の維持・再生に向けた地域の支え合いの仕組みづくり</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移住促進等による地域活動などの担い手の確保</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鳥獣被害への対策</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7"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35.1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42.7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20.9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886"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47.6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r>
      <w:tr w:rsidR="00C53806">
        <w:trPr>
          <w:trHeight w:val="340"/>
        </w:trPr>
        <w:tc>
          <w:tcPr>
            <w:tcW w:w="567"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886"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37.2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16.2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42.1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20.5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40.5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88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51.2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24.4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24.4 </w:t>
            </w:r>
          </w:p>
        </w:tc>
        <w:tc>
          <w:tcPr>
            <w:tcW w:w="886"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39.3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88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問７　「少子化対策の充実・強化と女性の活躍の場の拡大」について、県が行っている施策のうち特</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に力を入れるべきものは何ですか。（２つまで○印）</w:t>
            </w:r>
          </w:p>
        </w:tc>
      </w:tr>
    </w:tbl>
    <w:p w:rsidR="00C53806" w:rsidRDefault="00C53806">
      <w:pPr>
        <w:rPr>
          <w:rFonts w:ascii="ＭＳ ゴシック" w:eastAsia="ＭＳ ゴシック" w:hAnsi="ＭＳ ゴシック"/>
        </w:rPr>
      </w:pPr>
    </w:p>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「子育てや教育にかかる経済的な負担の軽減」が45.6％で１位になっている。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次いで「安心して妊娠・出産できる環境の整備」が29.7％、「仕事と育児・介護などの家庭生活の両立に理解がある職場づくり」が29.2％と続いている。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352F49">
      <w:pPr>
        <w:ind w:firstLineChars="100" w:firstLine="210"/>
        <w:jc w:val="left"/>
        <w:rPr>
          <w:rFonts w:ascii="ＭＳ 明朝" w:eastAsia="ＭＳ 明朝" w:hAnsi="ＭＳ 明朝"/>
        </w:rPr>
      </w:pPr>
      <w:r>
        <w:rPr>
          <w:rFonts w:ascii="ＭＳ 明朝" w:eastAsia="ＭＳ 明朝" w:hAnsi="ＭＳ 明朝" w:hint="eastAsia"/>
        </w:rPr>
        <w:t>今年度</w:t>
      </w:r>
      <w:r w:rsidR="009760D2">
        <w:rPr>
          <w:rFonts w:ascii="ＭＳ 明朝" w:eastAsia="ＭＳ 明朝" w:hAnsi="ＭＳ 明朝" w:hint="eastAsia"/>
        </w:rPr>
        <w:t>も、「子育てや教育にかかる経済的な負担の軽減」が昨年度から1.6</w:t>
      </w:r>
      <w:r>
        <w:rPr>
          <w:rFonts w:ascii="ＭＳ 明朝" w:eastAsia="ＭＳ 明朝" w:hAnsi="ＭＳ 明朝" w:hint="eastAsia"/>
        </w:rPr>
        <w:t>ポイント増加し１位に</w:t>
      </w:r>
      <w:r w:rsidR="009760D2">
        <w:rPr>
          <w:rFonts w:ascii="ＭＳ 明朝" w:eastAsia="ＭＳ 明朝" w:hAnsi="ＭＳ 明朝" w:hint="eastAsia"/>
        </w:rPr>
        <w:t>なっている。</w:t>
      </w:r>
    </w:p>
    <w:p w:rsidR="00C53806" w:rsidRDefault="00C53806">
      <w:pPr>
        <w:jc w:val="left"/>
        <w:rPr>
          <w:rFonts w:ascii="ＭＳ ゴシック" w:eastAsia="ＭＳ ゴシック" w:hAnsi="ＭＳ ゴシック"/>
        </w:rPr>
      </w:pP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21" behindDoc="0" locked="0" layoutInCell="1" allowOverlap="1">
            <wp:simplePos x="0" y="0"/>
            <wp:positionH relativeFrom="column">
              <wp:posOffset>3187700</wp:posOffset>
            </wp:positionH>
            <wp:positionV relativeFrom="paragraph">
              <wp:posOffset>288290</wp:posOffset>
            </wp:positionV>
            <wp:extent cx="3082925" cy="6634480"/>
            <wp:effectExtent l="0" t="0" r="0" b="0"/>
            <wp:wrapSquare wrapText="bothSides"/>
            <wp:docPr id="106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ＭＳ 明朝" w:eastAsia="ＭＳ 明朝" w:hAnsi="ＭＳ 明朝" w:hint="eastAsia"/>
        </w:rPr>
        <w:t>《　総　合　》</w:t>
      </w:r>
    </w:p>
    <w:p w:rsidR="00C53806" w:rsidRDefault="009760D2">
      <w:pPr>
        <w:rPr>
          <w:rFonts w:ascii="ＭＳ ゴシック" w:eastAsia="ＭＳ ゴシック" w:hAnsi="ＭＳ ゴシック"/>
        </w:rPr>
      </w:pPr>
      <w:r>
        <w:rPr>
          <w:noProof/>
        </w:rPr>
        <w:drawing>
          <wp:anchor distT="0" distB="0" distL="114300" distR="114300" simplePos="0" relativeHeight="20" behindDoc="0" locked="0" layoutInCell="1" allowOverlap="1">
            <wp:simplePos x="0" y="0"/>
            <wp:positionH relativeFrom="column">
              <wp:align>left</wp:align>
            </wp:positionH>
            <wp:positionV relativeFrom="paragraph">
              <wp:align>top</wp:align>
            </wp:positionV>
            <wp:extent cx="3190875" cy="6524625"/>
            <wp:effectExtent l="0" t="0" r="0" b="0"/>
            <wp:wrapSquare wrapText="bothSides"/>
            <wp:docPr id="106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男女とも「子育てや教育にかかる経済的な負担の軽減」が1位になっている。次いで男性では「安心して妊娠・出産できる環境の整備」、「仕事と育児・介護などの家庭生活の両立に理解がある職場づくり」</w:t>
      </w:r>
      <w:r w:rsidR="00352F49">
        <w:rPr>
          <w:rFonts w:ascii="ＭＳ 明朝" w:eastAsia="ＭＳ 明朝" w:hAnsi="ＭＳ 明朝" w:hint="eastAsia"/>
        </w:rPr>
        <w:t>が</w:t>
      </w:r>
      <w:r>
        <w:rPr>
          <w:rFonts w:ascii="ＭＳ 明朝" w:eastAsia="ＭＳ 明朝" w:hAnsi="ＭＳ 明朝" w:hint="eastAsia"/>
        </w:rPr>
        <w:t>、女性では「仕事と育児・介護などの家庭生活の両立に理解がある職場づくり」、「安心して妊娠・出産できる環境の整備」が続いている。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6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70歳以上を除くすべての年代で「子育てや教育にかかる経済的な負担の軽減」が、70歳以上では「結婚を希望する独身者への出会い・結婚支援策の充実」が１位になっている。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6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tabs>
          <w:tab w:val="left" w:pos="1680"/>
        </w:tabs>
        <w:rPr>
          <w:rFonts w:ascii="ＭＳ 明朝" w:eastAsia="ＭＳ 明朝" w:hAnsi="ＭＳ 明朝"/>
        </w:rPr>
      </w:pPr>
      <w:r>
        <w:rPr>
          <w:rFonts w:ascii="ＭＳ 明朝" w:eastAsia="ＭＳ 明朝" w:hAnsi="ＭＳ 明朝"/>
        </w:rPr>
        <w:tab/>
      </w:r>
    </w:p>
    <w:p w:rsidR="00C53806" w:rsidRDefault="00C53806">
      <w:pPr>
        <w:tabs>
          <w:tab w:val="left" w:pos="1680"/>
        </w:tabs>
        <w:rPr>
          <w:rFonts w:ascii="ＭＳ 明朝" w:eastAsia="ＭＳ 明朝" w:hAnsi="ＭＳ 明朝"/>
        </w:rPr>
      </w:pPr>
    </w:p>
    <w:p w:rsidR="00C53806" w:rsidRDefault="00C53806">
      <w:pPr>
        <w:tabs>
          <w:tab w:val="left" w:pos="1680"/>
        </w:tabs>
        <w:rPr>
          <w:rFonts w:ascii="ＭＳ 明朝" w:eastAsia="ＭＳ 明朝" w:hAnsi="ＭＳ 明朝"/>
        </w:rPr>
      </w:pPr>
    </w:p>
    <w:p w:rsidR="00C53806" w:rsidRDefault="00C53806">
      <w:pPr>
        <w:tabs>
          <w:tab w:val="left" w:pos="1680"/>
        </w:tabs>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2"/>
        <w:gridCol w:w="1990"/>
        <w:gridCol w:w="787"/>
        <w:gridCol w:w="787"/>
        <w:gridCol w:w="788"/>
        <w:gridCol w:w="787"/>
        <w:gridCol w:w="788"/>
        <w:gridCol w:w="787"/>
        <w:gridCol w:w="788"/>
        <w:gridCol w:w="787"/>
        <w:gridCol w:w="788"/>
      </w:tblGrid>
      <w:tr w:rsidR="00C53806">
        <w:trPr>
          <w:cantSplit/>
          <w:trHeight w:val="226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261" o:spid="_x0000_s2101" type="#_x0000_t202" style="position:absolute;left:0;text-align:left;margin-left:-4pt;margin-top:90.5pt;width:54pt;height:20.6pt;z-index:43"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260" o:spid="_x0000_s2100" type="#_x0000_t202" style="position:absolute;left:0;text-align:left;margin-left:56.75pt;margin-top:.75pt;width:54pt;height:20.25pt;z-index:42" filled="f" stroked="f">
                  <v:textbox>
                    <w:txbxContent>
                      <w:p w:rsidR="00B642E5" w:rsidRDefault="00B642E5">
                        <w:pPr>
                          <w:rPr>
                            <w:sz w:val="18"/>
                          </w:rPr>
                        </w:pPr>
                        <w:r>
                          <w:rPr>
                            <w:rFonts w:hint="eastAsia"/>
                            <w:sz w:val="18"/>
                          </w:rPr>
                          <w:t>項　目</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地域や職場など社会全体で結婚や子育てを応援する機運の醸成</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結婚を希望する独身者への出会い・結婚支援策の充実</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安心して妊娠・出産できる環境の整備</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子育てや教育にかかる経済的な負担の軽減</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子どもの預け先の確保など子育て支援サービスの充実</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男性の家事・育児の分担など家庭における男女共同参画の推進</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いったん子育て等に専念しても、希望すれば再就職できるための支援</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仕事と育児・介護などの家庭生活の両立に理解がある職場づくり</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2"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29.8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tcPr>
          <w:p w:rsidR="00C53806" w:rsidRDefault="00C53806">
            <w:pPr>
              <w:rPr>
                <w:rFonts w:ascii="ＭＳ 明朝" w:hAnsi="ＭＳ 明朝"/>
                <w:sz w:val="18"/>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40"/>
        </w:trPr>
        <w:tc>
          <w:tcPr>
            <w:tcW w:w="562" w:type="dxa"/>
            <w:vMerge/>
            <w:tcBorders>
              <w:bottom w:val="double" w:sz="4" w:space="0" w:color="auto"/>
            </w:tcBorders>
          </w:tcPr>
          <w:p w:rsidR="00C53806" w:rsidRDefault="00C53806">
            <w:pPr>
              <w:rPr>
                <w:rFonts w:ascii="ＭＳ 明朝" w:hAnsi="ＭＳ 明朝"/>
                <w:sz w:val="18"/>
              </w:rPr>
            </w:pPr>
          </w:p>
        </w:tc>
        <w:tc>
          <w:tcPr>
            <w:tcW w:w="1990"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87"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r>
      <w:tr w:rsidR="00C53806">
        <w:trPr>
          <w:trHeight w:val="340"/>
        </w:trPr>
        <w:tc>
          <w:tcPr>
            <w:tcW w:w="562"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90"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31.1 </w:t>
            </w:r>
          </w:p>
        </w:tc>
        <w:tc>
          <w:tcPr>
            <w:tcW w:w="787"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21.8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29.9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r w:rsidR="00C53806">
        <w:trPr>
          <w:trHeight w:val="340"/>
        </w:trPr>
        <w:tc>
          <w:tcPr>
            <w:tcW w:w="562" w:type="dxa"/>
            <w:vMerge/>
            <w:vAlign w:val="center"/>
          </w:tcPr>
          <w:p w:rsidR="00C53806" w:rsidRDefault="00C53806">
            <w:pPr>
              <w:jc w:val="center"/>
              <w:rPr>
                <w:rFonts w:ascii="ＭＳ 明朝" w:hAnsi="ＭＳ 明朝"/>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2" w:type="dxa"/>
            <w:vMerge/>
            <w:vAlign w:val="center"/>
          </w:tcPr>
          <w:p w:rsidR="00C53806" w:rsidRDefault="00C53806">
            <w:pPr>
              <w:jc w:val="center"/>
              <w:rPr>
                <w:rFonts w:ascii="ＭＳ 明朝" w:hAnsi="ＭＳ 明朝"/>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vAlign w:val="center"/>
          </w:tcPr>
          <w:p w:rsidR="00C53806" w:rsidRDefault="00C53806">
            <w:pPr>
              <w:jc w:val="center"/>
              <w:rPr>
                <w:rFonts w:ascii="ＭＳ 明朝" w:hAnsi="ＭＳ 明朝"/>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r>
      <w:tr w:rsidR="00C53806">
        <w:trPr>
          <w:trHeight w:val="340"/>
        </w:trPr>
        <w:tc>
          <w:tcPr>
            <w:tcW w:w="562" w:type="dxa"/>
            <w:vMerge/>
            <w:vAlign w:val="center"/>
          </w:tcPr>
          <w:p w:rsidR="00C53806" w:rsidRDefault="00C53806">
            <w:pPr>
              <w:jc w:val="center"/>
              <w:rPr>
                <w:rFonts w:ascii="ＭＳ 明朝" w:hAnsi="ＭＳ 明朝"/>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2" w:type="dxa"/>
            <w:vMerge/>
            <w:vAlign w:val="center"/>
          </w:tcPr>
          <w:p w:rsidR="00C53806" w:rsidRDefault="00C53806">
            <w:pPr>
              <w:jc w:val="center"/>
              <w:rPr>
                <w:rFonts w:ascii="ＭＳ 明朝" w:hAnsi="ＭＳ 明朝"/>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2" w:type="dxa"/>
            <w:vMerge/>
            <w:vAlign w:val="center"/>
          </w:tcPr>
          <w:p w:rsidR="00C53806" w:rsidRDefault="00C53806">
            <w:pPr>
              <w:jc w:val="center"/>
              <w:rPr>
                <w:rFonts w:ascii="ＭＳ 明朝" w:hAnsi="ＭＳ 明朝"/>
              </w:rPr>
            </w:pPr>
          </w:p>
        </w:tc>
        <w:tc>
          <w:tcPr>
            <w:tcW w:w="1990"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40"/>
        </w:trPr>
        <w:tc>
          <w:tcPr>
            <w:tcW w:w="562" w:type="dxa"/>
            <w:vMerge/>
            <w:tcBorders>
              <w:bottom w:val="single" w:sz="4" w:space="0" w:color="auto"/>
            </w:tcBorders>
            <w:vAlign w:val="center"/>
          </w:tcPr>
          <w:p w:rsidR="00C53806" w:rsidRDefault="00C53806">
            <w:pPr>
              <w:jc w:val="center"/>
              <w:rPr>
                <w:rFonts w:ascii="ＭＳ 明朝" w:hAnsi="ＭＳ 明朝"/>
              </w:rPr>
            </w:pPr>
          </w:p>
        </w:tc>
        <w:tc>
          <w:tcPr>
            <w:tcW w:w="1990"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16.9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29.9 </w:t>
            </w:r>
          </w:p>
        </w:tc>
        <w:tc>
          <w:tcPr>
            <w:tcW w:w="787"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27.4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vAlign w:val="center"/>
          </w:tcPr>
          <w:p w:rsidR="00C53806" w:rsidRDefault="009760D2">
            <w:pPr>
              <w:spacing w:line="360" w:lineRule="exact"/>
              <w:rPr>
                <w:rFonts w:ascii="ＭＳ ゴシック" w:eastAsia="ＭＳ ゴシック" w:hAnsi="ＭＳ ゴシック"/>
              </w:rPr>
            </w:pPr>
            <w:r>
              <w:rPr>
                <w:rFonts w:ascii="ＭＳ ゴシック" w:eastAsia="ＭＳ ゴシック" w:hAnsi="ＭＳ ゴシック" w:hint="eastAsia"/>
              </w:rPr>
              <w:t>問８　文化芸術の振興について、特に力を入れるべきものは何ですか。（２つまで○印）</w:t>
            </w:r>
          </w:p>
        </w:tc>
      </w:tr>
    </w:tbl>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【総合】</w:t>
      </w:r>
      <w:r>
        <w:rPr>
          <w:rFonts w:ascii="ＭＳ 明朝" w:eastAsia="ＭＳ 明朝" w:hAnsi="ＭＳ 明朝" w:hint="eastAsia"/>
        </w:rPr>
        <w:t xml:space="preserve">　</w:t>
      </w:r>
      <w:r>
        <w:rPr>
          <w:rFonts w:ascii="ＭＳ ゴシック" w:eastAsia="ＭＳ ゴシック" w:hAnsi="ＭＳ ゴシック" w:hint="eastAsia"/>
          <w:b/>
          <w:u w:val="single"/>
        </w:rPr>
        <w:t>「文化芸術を鑑賞・体験できる機会の充実」が46.8％で１位になっている。</w:t>
      </w:r>
    </w:p>
    <w:p w:rsidR="00C53806" w:rsidRDefault="009760D2">
      <w:pPr>
        <w:rPr>
          <w:rFonts w:ascii="ＭＳ 明朝" w:eastAsia="ＭＳ 明朝" w:hAnsi="ＭＳ 明朝"/>
        </w:rPr>
      </w:pPr>
      <w:r>
        <w:rPr>
          <w:rFonts w:ascii="ＭＳ 明朝" w:eastAsia="ＭＳ 明朝" w:hAnsi="ＭＳ 明朝" w:hint="eastAsia"/>
        </w:rPr>
        <w:t xml:space="preserve">　次いで「ホール・劇場、美術館、博物館等の文化施設の充実」が36.8％、「高知固有の文化の継承や活用」が36.7％と続いている。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男女とも「文化芸術を鑑賞・体験できる機会の充実」が１位になっている。次いで男性では「高知固有の文化の継承や活用」、「ホール・劇場、美術館、博物館等の文化施設の充実」</w:t>
      </w:r>
      <w:r w:rsidR="00352F49">
        <w:rPr>
          <w:rFonts w:ascii="ＭＳ 明朝" w:eastAsia="ＭＳ 明朝" w:hAnsi="ＭＳ 明朝" w:hint="eastAsia"/>
        </w:rPr>
        <w:t>が</w:t>
      </w:r>
      <w:r>
        <w:rPr>
          <w:rFonts w:ascii="ＭＳ 明朝" w:eastAsia="ＭＳ 明朝" w:hAnsi="ＭＳ 明朝" w:hint="eastAsia"/>
        </w:rPr>
        <w:t>、女性では「ホール・劇場、美術</w:t>
      </w:r>
      <w:r w:rsidR="00352F49">
        <w:rPr>
          <w:rFonts w:ascii="ＭＳ 明朝" w:eastAsia="ＭＳ 明朝" w:hAnsi="ＭＳ 明朝" w:hint="eastAsia"/>
        </w:rPr>
        <w:t>館、博物館等の文化施設の充実」、「高知固有の文化の継承や活用」が</w:t>
      </w:r>
      <w:r>
        <w:rPr>
          <w:rFonts w:ascii="ＭＳ 明朝" w:eastAsia="ＭＳ 明朝" w:hAnsi="ＭＳ 明朝" w:hint="eastAsia"/>
        </w:rPr>
        <w:t>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6000" cy="6019800"/>
            <wp:effectExtent l="0" t="0" r="0" b="0"/>
            <wp:docPr id="106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70歳以上を除くすべての年代で「文化芸術を鑑賞・体験できる機会の充実」が、70歳以上では「高知固有の文化の継承や活用」が１位になっている。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6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1012"/>
        <w:gridCol w:w="1012"/>
        <w:gridCol w:w="1013"/>
        <w:gridCol w:w="1012"/>
        <w:gridCol w:w="1013"/>
        <w:gridCol w:w="1012"/>
        <w:gridCol w:w="1013"/>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269" o:spid="_x0000_s2099" type="#_x0000_t202" style="position:absolute;left:0;text-align:left;margin-left:72.9pt;margin-top:1.55pt;width:54pt;height:20.25pt;z-index:46"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268" o:spid="_x0000_s2098" type="#_x0000_t202" style="position:absolute;left:0;text-align:left;margin-left:-4pt;margin-top:110.55pt;width:54pt;height:20.6pt;z-index:47" filled="f" stroked="f">
                  <v:textbox>
                    <w:txbxContent>
                      <w:p w:rsidR="00B642E5" w:rsidRDefault="00B642E5">
                        <w:pPr>
                          <w:rPr>
                            <w:sz w:val="18"/>
                          </w:rPr>
                        </w:pPr>
                        <w:r>
                          <w:rPr>
                            <w:rFonts w:hint="eastAsia"/>
                            <w:sz w:val="18"/>
                          </w:rPr>
                          <w:t>属　性</w:t>
                        </w:r>
                      </w:p>
                    </w:txbxContent>
                  </v:textbox>
                </v:shape>
              </w:pict>
            </w:r>
          </w:p>
        </w:tc>
        <w:tc>
          <w:tcPr>
            <w:tcW w:w="1012"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ホール・劇場、美術館、博物館等の文化施設の充実</w:t>
            </w:r>
          </w:p>
        </w:tc>
        <w:tc>
          <w:tcPr>
            <w:tcW w:w="1012"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文化芸術を鑑賞・体験できる機会の充実</w:t>
            </w:r>
          </w:p>
        </w:tc>
        <w:tc>
          <w:tcPr>
            <w:tcW w:w="101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文化芸術活動を発表する機会の拡充</w:t>
            </w:r>
          </w:p>
        </w:tc>
        <w:tc>
          <w:tcPr>
            <w:tcW w:w="1012"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高知固有の文化の継承や活用</w:t>
            </w:r>
          </w:p>
        </w:tc>
        <w:tc>
          <w:tcPr>
            <w:tcW w:w="101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文化芸術活動を支える人材の育成</w:t>
            </w:r>
          </w:p>
        </w:tc>
        <w:tc>
          <w:tcPr>
            <w:tcW w:w="1012"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文化芸術に関するイベント等の情報発信</w:t>
            </w:r>
          </w:p>
        </w:tc>
        <w:tc>
          <w:tcPr>
            <w:tcW w:w="101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45.4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42.2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37.0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101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42.9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25.3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38.7 </w:t>
            </w:r>
          </w:p>
        </w:tc>
        <w:tc>
          <w:tcPr>
            <w:tcW w:w="1012"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49.7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32.7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40"/>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1012"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53.2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9.0 </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34.3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20.4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vAlign w:val="center"/>
          </w:tcPr>
          <w:p w:rsidR="00C53806" w:rsidRDefault="009760D2">
            <w:pPr>
              <w:spacing w:line="360" w:lineRule="exact"/>
              <w:rPr>
                <w:rFonts w:ascii="ＭＳ ゴシック" w:eastAsia="ＭＳ ゴシック" w:hAnsi="ＭＳ ゴシック"/>
              </w:rPr>
            </w:pPr>
            <w:r>
              <w:rPr>
                <w:rFonts w:ascii="ＭＳ ゴシック" w:eastAsia="ＭＳ ゴシック" w:hAnsi="ＭＳ ゴシック" w:hint="eastAsia"/>
              </w:rPr>
              <w:t>問９　スポーツの振興について、特に力を入れるべきものは何ですか。（２つまで○印）</w:t>
            </w:r>
          </w:p>
        </w:tc>
      </w:tr>
    </w:tbl>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【総合】</w:t>
      </w:r>
      <w:r>
        <w:rPr>
          <w:rFonts w:ascii="ＭＳ 明朝" w:eastAsia="ＭＳ 明朝" w:hAnsi="ＭＳ 明朝" w:hint="eastAsia"/>
        </w:rPr>
        <w:t xml:space="preserve">　</w:t>
      </w:r>
      <w:r>
        <w:rPr>
          <w:rFonts w:ascii="ＭＳ ゴシック" w:eastAsia="ＭＳ ゴシック" w:hAnsi="ＭＳ ゴシック" w:hint="eastAsia"/>
          <w:b/>
          <w:u w:val="single"/>
        </w:rPr>
        <w:t>「誰もが地域でスポーツに参加できるための環境づくり」が51.8％で1位になっている。</w:t>
      </w:r>
    </w:p>
    <w:p w:rsidR="00C53806" w:rsidRDefault="009760D2">
      <w:pPr>
        <w:rPr>
          <w:rFonts w:ascii="ＭＳ 明朝" w:eastAsia="ＭＳ 明朝" w:hAnsi="ＭＳ 明朝"/>
        </w:rPr>
      </w:pPr>
      <w:r>
        <w:rPr>
          <w:rFonts w:ascii="ＭＳ 明朝" w:eastAsia="ＭＳ 明朝" w:hAnsi="ＭＳ 明朝" w:hint="eastAsia"/>
        </w:rPr>
        <w:t xml:space="preserve">　次いで「選手や指導者の育成による競技力の向上」が51.3％、「スポーツ施設などの充実」が46.1％と続いている。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男性では「選手や指導者の育成による競技力の向上」</w:t>
      </w:r>
      <w:r w:rsidR="00352F49">
        <w:rPr>
          <w:rFonts w:ascii="ＭＳ 明朝" w:eastAsia="ＭＳ 明朝" w:hAnsi="ＭＳ 明朝" w:hint="eastAsia"/>
        </w:rPr>
        <w:t>が</w:t>
      </w:r>
      <w:r>
        <w:rPr>
          <w:rFonts w:ascii="ＭＳ 明朝" w:eastAsia="ＭＳ 明朝" w:hAnsi="ＭＳ 明朝" w:hint="eastAsia"/>
        </w:rPr>
        <w:t>、女性では「誰もが地域でスポーツに参加できるための環境づくり」が</w:t>
      </w:r>
      <w:r w:rsidR="00352F49">
        <w:rPr>
          <w:rFonts w:ascii="ＭＳ 明朝" w:eastAsia="ＭＳ 明朝" w:hAnsi="ＭＳ 明朝" w:hint="eastAsia"/>
        </w:rPr>
        <w:t>１</w:t>
      </w:r>
      <w:r>
        <w:rPr>
          <w:rFonts w:ascii="ＭＳ 明朝" w:eastAsia="ＭＳ 明朝" w:hAnsi="ＭＳ 明朝" w:hint="eastAsia"/>
        </w:rPr>
        <w:t>位になっている。「誰もが地域でスポーツに参加できるための環境づくり」では女性が男性よりも8.6ポイント高くなっている。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6000" cy="6019800"/>
            <wp:effectExtent l="0" t="0" r="0" b="0"/>
            <wp:docPr id="107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10歳代、30歳代、70歳以上では「誰もが地域でスポーツに参加できるための環境づくり」</w:t>
      </w:r>
      <w:r w:rsidR="00711F4B">
        <w:rPr>
          <w:rFonts w:ascii="ＭＳ 明朝" w:eastAsia="ＭＳ 明朝" w:hAnsi="ＭＳ 明朝" w:hint="eastAsia"/>
        </w:rPr>
        <w:t>が</w:t>
      </w:r>
      <w:r>
        <w:rPr>
          <w:rFonts w:ascii="ＭＳ 明朝" w:eastAsia="ＭＳ 明朝" w:hAnsi="ＭＳ 明朝" w:hint="eastAsia"/>
        </w:rPr>
        <w:t>、20歳代では「スポーツ施設などの充実」</w:t>
      </w:r>
      <w:r w:rsidR="00711F4B">
        <w:rPr>
          <w:rFonts w:ascii="ＭＳ 明朝" w:eastAsia="ＭＳ 明朝" w:hAnsi="ＭＳ 明朝" w:hint="eastAsia"/>
        </w:rPr>
        <w:t>が</w:t>
      </w:r>
      <w:r>
        <w:rPr>
          <w:rFonts w:ascii="ＭＳ 明朝" w:eastAsia="ＭＳ 明朝" w:hAnsi="ＭＳ 明朝" w:hint="eastAsia"/>
        </w:rPr>
        <w:t>、40歳代、50歳代、60歳代では「選手や指導者の育成による競技力の向上」が１位になっている。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7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1417"/>
        <w:gridCol w:w="1417"/>
        <w:gridCol w:w="1418"/>
        <w:gridCol w:w="1417"/>
        <w:gridCol w:w="1418"/>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275" o:spid="_x0000_s2097" type="#_x0000_t202" style="position:absolute;left:0;text-align:left;margin-left:69.65pt;margin-top:-.05pt;width:54pt;height:20.25pt;z-index:50"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274" o:spid="_x0000_s2096" type="#_x0000_t202" style="position:absolute;left:0;text-align:left;margin-left:-4pt;margin-top:110.55pt;width:54pt;height:20.6pt;z-index:51" filled="f" stroked="f">
                  <v:textbox>
                    <w:txbxContent>
                      <w:p w:rsidR="00B642E5" w:rsidRDefault="00B642E5">
                        <w:pPr>
                          <w:rPr>
                            <w:sz w:val="18"/>
                          </w:rPr>
                        </w:pPr>
                        <w:r>
                          <w:rPr>
                            <w:rFonts w:hint="eastAsia"/>
                            <w:sz w:val="18"/>
                          </w:rPr>
                          <w:t>属　性</w:t>
                        </w:r>
                      </w:p>
                    </w:txbxContent>
                  </v:textbox>
                </v:shape>
              </w:pict>
            </w:r>
          </w:p>
        </w:tc>
        <w:tc>
          <w:tcPr>
            <w:tcW w:w="141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選手や指導者の育成による競技力の向上</w:t>
            </w:r>
          </w:p>
        </w:tc>
        <w:tc>
          <w:tcPr>
            <w:tcW w:w="141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誰もが地域でスポーツに参加できるための環境づくり</w:t>
            </w:r>
          </w:p>
        </w:tc>
        <w:tc>
          <w:tcPr>
            <w:tcW w:w="1418"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スポーツを通じた交流人口の拡大</w:t>
            </w:r>
          </w:p>
        </w:tc>
        <w:tc>
          <w:tcPr>
            <w:tcW w:w="141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スポーツ施設などの充実</w:t>
            </w:r>
          </w:p>
        </w:tc>
        <w:tc>
          <w:tcPr>
            <w:tcW w:w="1418"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60.8 </w:t>
            </w:r>
          </w:p>
        </w:tc>
        <w:tc>
          <w:tcPr>
            <w:tcW w:w="1417"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43.3 </w:t>
            </w:r>
          </w:p>
        </w:tc>
        <w:tc>
          <w:tcPr>
            <w:tcW w:w="1418"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24.7 </w:t>
            </w:r>
          </w:p>
        </w:tc>
        <w:tc>
          <w:tcPr>
            <w:tcW w:w="1417"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45.4 </w:t>
            </w:r>
          </w:p>
        </w:tc>
        <w:tc>
          <w:tcPr>
            <w:tcW w:w="1418"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55.6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33.3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33.3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55.6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46.4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46.4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24.6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55.1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52.8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49.5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23.9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49.1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1.8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47.2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54.3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22.7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48.6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47.8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48.8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27.6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47.3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56.3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46.9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29.7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40.6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1.6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63.6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54.5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31.8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45.5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53.7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54.4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20.1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39.6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1.3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42.2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56.9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50.9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59.3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54.0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28.0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38.6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1.1 </w:t>
            </w:r>
          </w:p>
        </w:tc>
      </w:tr>
      <w:tr w:rsidR="00C53806">
        <w:trPr>
          <w:trHeight w:val="340"/>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1417" w:type="dxa"/>
            <w:tcBorders>
              <w:top w:val="nil"/>
              <w:left w:val="single" w:sz="4" w:space="0" w:color="auto"/>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48.8 </w:t>
            </w:r>
          </w:p>
        </w:tc>
        <w:tc>
          <w:tcPr>
            <w:tcW w:w="1417" w:type="dxa"/>
            <w:tcBorders>
              <w:top w:val="nil"/>
              <w:left w:val="nil"/>
              <w:bottom w:val="doub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55.9 </w:t>
            </w:r>
          </w:p>
        </w:tc>
        <w:tc>
          <w:tcPr>
            <w:tcW w:w="1418"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25.3 </w:t>
            </w:r>
          </w:p>
        </w:tc>
        <w:tc>
          <w:tcPr>
            <w:tcW w:w="1417"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48.2 </w:t>
            </w:r>
          </w:p>
        </w:tc>
        <w:tc>
          <w:tcPr>
            <w:tcW w:w="1418"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1.8 </w:t>
            </w:r>
          </w:p>
        </w:tc>
      </w:tr>
      <w:tr w:rsidR="00C53806">
        <w:trPr>
          <w:trHeight w:val="340"/>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51.5 </w:t>
            </w:r>
          </w:p>
        </w:tc>
        <w:tc>
          <w:tcPr>
            <w:tcW w:w="1417"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51.4 </w:t>
            </w:r>
          </w:p>
        </w:tc>
        <w:tc>
          <w:tcPr>
            <w:tcW w:w="1418"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23.4 </w:t>
            </w:r>
          </w:p>
        </w:tc>
        <w:tc>
          <w:tcPr>
            <w:tcW w:w="1417"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47.2 </w:t>
            </w:r>
          </w:p>
        </w:tc>
        <w:tc>
          <w:tcPr>
            <w:tcW w:w="1418"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1.5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55.3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45.6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19.3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52.6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48.0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53.7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26.6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45.9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1.3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64.7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52.9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26.5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38.2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53.2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55.6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23.0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46.8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2.4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51.0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58.8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35.3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35.3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44.7 </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54.5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31.7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43.9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3.3 </w:t>
            </w:r>
          </w:p>
        </w:tc>
      </w:tr>
      <w:tr w:rsidR="00C53806">
        <w:trPr>
          <w:trHeight w:val="340"/>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54.2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47.8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25.9 </w:t>
            </w:r>
          </w:p>
        </w:tc>
        <w:tc>
          <w:tcPr>
            <w:tcW w:w="1417"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46.8 </w:t>
            </w:r>
          </w:p>
        </w:tc>
        <w:tc>
          <w:tcPr>
            <w:tcW w:w="1418"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問10　県が行っている８つの政策のうち、より一層力を入れて取り組むべきだと考えるものは何です</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か。（２つまで○印）</w:t>
            </w:r>
          </w:p>
        </w:tc>
      </w:tr>
    </w:tbl>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「経済の活性化」が56.3％で１位になっている。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次いで「南海トラフ地震対策の抜本強化・加速化」が34.0％、「教育の充実と子育て支援」が33.4％と続いている。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rsidR="00C53806" w:rsidRDefault="00352F49">
      <w:pPr>
        <w:ind w:firstLineChars="100" w:firstLine="210"/>
        <w:jc w:val="left"/>
        <w:rPr>
          <w:rFonts w:ascii="ＭＳ 明朝" w:eastAsia="ＭＳ 明朝" w:hAnsi="ＭＳ 明朝"/>
        </w:rPr>
      </w:pPr>
      <w:r>
        <w:rPr>
          <w:rFonts w:ascii="ＭＳ 明朝" w:eastAsia="ＭＳ 明朝" w:hAnsi="ＭＳ 明朝" w:hint="eastAsia"/>
        </w:rPr>
        <w:t>選択数が変更されたため単純な比較はできないが、今年度も</w:t>
      </w:r>
      <w:r w:rsidR="009760D2">
        <w:rPr>
          <w:rFonts w:ascii="ＭＳ 明朝" w:eastAsia="ＭＳ 明朝" w:hAnsi="ＭＳ 明朝" w:hint="eastAsia"/>
        </w:rPr>
        <w:t>「経済の活性化」が１位になっている。</w:t>
      </w:r>
    </w:p>
    <w:p w:rsidR="00C53806" w:rsidRDefault="00C53806">
      <w:pPr>
        <w:jc w:val="left"/>
        <w:rPr>
          <w:rFonts w:ascii="ＭＳ ゴシック" w:eastAsia="ＭＳ ゴシック" w:hAnsi="ＭＳ ゴシック"/>
        </w:rPr>
      </w:pPr>
    </w:p>
    <w:p w:rsidR="00C53806" w:rsidRDefault="00C53806">
      <w:pPr>
        <w:jc w:val="left"/>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総　合　》</w:t>
      </w:r>
    </w:p>
    <w:p w:rsidR="00C53806" w:rsidRDefault="00C53806">
      <w:pPr>
        <w:jc w:val="cente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hint="eastAsia"/>
          <w:noProof/>
        </w:rPr>
        <w:drawing>
          <wp:inline distT="0" distB="0" distL="0" distR="0">
            <wp:extent cx="5981700" cy="6286500"/>
            <wp:effectExtent l="0" t="0" r="0" b="0"/>
            <wp:docPr id="107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男女とも「経済の活性化」が１位になっている。次いで男性では「教育の充実と子育て支援」、「南海トラフ地震対策の抜本強化・加速化」</w:t>
      </w:r>
      <w:r w:rsidR="00352F49">
        <w:rPr>
          <w:rFonts w:ascii="ＭＳ 明朝" w:eastAsia="ＭＳ 明朝" w:hAnsi="ＭＳ 明朝" w:hint="eastAsia"/>
        </w:rPr>
        <w:t>が</w:t>
      </w:r>
      <w:r>
        <w:rPr>
          <w:rFonts w:ascii="ＭＳ 明朝" w:eastAsia="ＭＳ 明朝" w:hAnsi="ＭＳ 明朝" w:hint="eastAsia"/>
        </w:rPr>
        <w:t>、女性では「南海トラフ地震対策の抜本強化・加速化」、「教育の充実と子育て支援」が続いている。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　性　別　》</w:t>
      </w:r>
    </w:p>
    <w:p w:rsidR="00C53806" w:rsidRDefault="009760D2">
      <w:pPr>
        <w:rPr>
          <w:rFonts w:ascii="ＭＳ 明朝" w:eastAsia="ＭＳ 明朝" w:hAnsi="ＭＳ 明朝"/>
        </w:rPr>
      </w:pPr>
      <w:r>
        <w:rPr>
          <w:noProof/>
        </w:rPr>
        <w:drawing>
          <wp:inline distT="0" distB="0" distL="0" distR="0">
            <wp:extent cx="5978525" cy="7817485"/>
            <wp:effectExtent l="0" t="0" r="0" b="0"/>
            <wp:docPr id="107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10歳代では「南海トラフ地震対策の抜本強化・加速化」が、10歳代を除くすべての年代では「経済の活性化」が１位になっている。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7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885"/>
        <w:gridCol w:w="886"/>
        <w:gridCol w:w="886"/>
        <w:gridCol w:w="886"/>
        <w:gridCol w:w="886"/>
        <w:gridCol w:w="886"/>
        <w:gridCol w:w="886"/>
        <w:gridCol w:w="886"/>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283" o:spid="_x0000_s2095" type="#_x0000_t202" style="position:absolute;left:0;text-align:left;margin-left:75.25pt;margin-top:.75pt;width:54pt;height:20.25pt;z-index:55"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282" o:spid="_x0000_s2094" type="#_x0000_t202" style="position:absolute;left:0;text-align:left;margin-left:-4pt;margin-top:110.55pt;width:54pt;height:20.6pt;z-index:56" filled="f" stroked="f">
                  <v:textbox>
                    <w:txbxContent>
                      <w:p w:rsidR="00B642E5" w:rsidRDefault="00B642E5">
                        <w:pPr>
                          <w:rPr>
                            <w:sz w:val="18"/>
                          </w:rPr>
                        </w:pPr>
                        <w:r>
                          <w:rPr>
                            <w:rFonts w:hint="eastAsia"/>
                            <w:sz w:val="18"/>
                          </w:rPr>
                          <w:t>属　性</w:t>
                        </w:r>
                      </w:p>
                    </w:txbxContent>
                  </v:textbox>
                </v:shape>
              </w:pict>
            </w:r>
          </w:p>
        </w:tc>
        <w:tc>
          <w:tcPr>
            <w:tcW w:w="885"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経済の活性化</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日本一の健康長寿県づくり</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教育の充実と子育て支援</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南海トラフ地震対策の抜本強化・加速化</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インフラの充実と有効活用</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中山間対策の充実・強化</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少子化対策の充実・強化と女性の活躍の場の拡大</w:t>
            </w:r>
          </w:p>
        </w:tc>
        <w:tc>
          <w:tcPr>
            <w:tcW w:w="8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文化芸術とスポーツの振興</w:t>
            </w:r>
          </w:p>
        </w:tc>
      </w:tr>
      <w:tr w:rsidR="00C53806">
        <w:trPr>
          <w:cantSplit/>
          <w:trHeight w:val="340"/>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widowControl/>
              <w:jc w:val="right"/>
              <w:rPr>
                <w:rFonts w:ascii="ＭＳ 明朝" w:hAnsi="ＭＳ 明朝"/>
                <w:color w:val="000000"/>
                <w:sz w:val="18"/>
              </w:rPr>
            </w:pPr>
            <w:r>
              <w:rPr>
                <w:rFonts w:ascii="ＭＳ 明朝" w:hAnsi="ＭＳ 明朝"/>
                <w:color w:val="000000"/>
                <w:sz w:val="18"/>
              </w:rPr>
              <w:t xml:space="preserve">59.8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40.2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88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885"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65.2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885"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340"/>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885" w:type="dxa"/>
            <w:tcBorders>
              <w:top w:val="nil"/>
              <w:left w:val="single" w:sz="4" w:space="0" w:color="auto"/>
              <w:bottom w:val="doub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51.8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88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r>
      <w:tr w:rsidR="00C53806">
        <w:trPr>
          <w:trHeight w:val="340"/>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885"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widowControl/>
              <w:jc w:val="right"/>
              <w:rPr>
                <w:rFonts w:ascii="ＭＳ 明朝" w:hAnsi="ＭＳ 明朝"/>
                <w:color w:val="000000"/>
                <w:sz w:val="18"/>
              </w:rPr>
            </w:pPr>
            <w:r>
              <w:rPr>
                <w:rFonts w:ascii="ＭＳ 明朝" w:hAnsi="ＭＳ 明朝"/>
                <w:color w:val="000000"/>
                <w:sz w:val="18"/>
              </w:rPr>
              <w:t xml:space="preserve">58.0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33.5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36.3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88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20.2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50.2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885"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30.1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 </w:t>
            </w:r>
          </w:p>
        </w:tc>
      </w:tr>
      <w:tr w:rsidR="00C53806">
        <w:trPr>
          <w:trHeight w:val="340"/>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55.7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34.3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88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63"/>
        </w:trPr>
        <w:tc>
          <w:tcPr>
            <w:tcW w:w="9597" w:type="dxa"/>
            <w:vAlign w:val="center"/>
          </w:tcPr>
          <w:p w:rsidR="00C53806" w:rsidRDefault="009760D2">
            <w:pPr>
              <w:spacing w:line="360" w:lineRule="exact"/>
              <w:rPr>
                <w:rFonts w:ascii="ＭＳ ゴシック" w:eastAsia="ＭＳ ゴシック" w:hAnsi="ＭＳ ゴシック"/>
              </w:rPr>
            </w:pPr>
            <w:r>
              <w:rPr>
                <w:rFonts w:ascii="ＭＳ ゴシック" w:eastAsia="ＭＳ ゴシック" w:hAnsi="ＭＳ ゴシック" w:hint="eastAsia"/>
              </w:rPr>
              <w:t>問12　あなたのお宅は津波で浸水が予測される地域ですか。（１つだけ〇印）</w:t>
            </w:r>
          </w:p>
        </w:tc>
      </w:tr>
    </w:tbl>
    <w:p w:rsidR="00C53806" w:rsidRDefault="009760D2">
      <w:pPr>
        <w:rPr>
          <w:rFonts w:ascii="ＭＳ ゴシック" w:eastAsia="ＭＳ ゴシック" w:hAnsi="ＭＳ ゴシック"/>
        </w:rPr>
      </w:pPr>
      <w:r>
        <w:rPr>
          <w:rFonts w:ascii="ＭＳ ゴシック" w:eastAsia="ＭＳ ゴシック" w:hAnsi="ＭＳ ゴシック" w:hint="eastAsia"/>
        </w:rPr>
        <w:t>【総合】</w:t>
      </w:r>
    </w:p>
    <w:p w:rsidR="00C53806" w:rsidRDefault="009760D2">
      <w:pPr>
        <w:ind w:firstLineChars="100" w:firstLine="211"/>
        <w:rPr>
          <w:rFonts w:ascii="ＭＳ 明朝" w:eastAsia="ＭＳ 明朝" w:hAnsi="ＭＳ 明朝"/>
        </w:rPr>
      </w:pPr>
      <w:r>
        <w:rPr>
          <w:rFonts w:ascii="ＭＳ ゴシック" w:eastAsia="ＭＳ ゴシック" w:hAnsi="ＭＳ ゴシック" w:hint="eastAsia"/>
          <w:b/>
          <w:u w:val="single"/>
        </w:rPr>
        <w:t>「わからない」が8.2％となっており、より一層の周知の工夫が必要である。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70歳以上では「わからない」が他の年代と比べると高くなっている。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581015"/>
            <wp:effectExtent l="0" t="0" r="0" b="0"/>
            <wp:docPr id="108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392670"/>
            <wp:effectExtent l="0" t="0" r="0" b="0"/>
            <wp:docPr id="108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問13　あなたが津波の浸水が予測される地域にいるときに、今まで経験したことがないような大きな</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揺れに襲われ、その揺れが１分以上続いたとします。あなたはいつ避難しますか。</w:t>
            </w:r>
          </w:p>
          <w:p w:rsidR="00C53806" w:rsidRDefault="009760D2">
            <w:pPr>
              <w:ind w:firstLineChars="3700" w:firstLine="7770"/>
              <w:rPr>
                <w:rFonts w:ascii="ＭＳ ゴシック" w:eastAsia="ＭＳ ゴシック" w:hAnsi="ＭＳ ゴシック"/>
              </w:rPr>
            </w:pPr>
            <w:r>
              <w:rPr>
                <w:rFonts w:ascii="ＭＳ ゴシック" w:eastAsia="ＭＳ ゴシック" w:hAnsi="ＭＳ ゴシック" w:hint="eastAsia"/>
              </w:rPr>
              <w:t>（１つだけ○印）</w:t>
            </w:r>
          </w:p>
        </w:tc>
      </w:tr>
    </w:tbl>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「揺れがおさまった後、すぐに」が71.7％で１位になっている。</w:t>
      </w:r>
    </w:p>
    <w:p w:rsidR="00C53806" w:rsidRDefault="009760D2">
      <w:pPr>
        <w:rPr>
          <w:rFonts w:ascii="ＭＳ 明朝" w:eastAsia="ＭＳ 明朝" w:hAnsi="ＭＳ 明朝"/>
        </w:rPr>
      </w:pPr>
      <w:r>
        <w:rPr>
          <w:rFonts w:ascii="ＭＳ 明朝" w:eastAsia="ＭＳ 明朝" w:hAnsi="ＭＳ 明朝" w:hint="eastAsia"/>
        </w:rPr>
        <w:t xml:space="preserve">　次いで「津波警報が出たら」が13.6％、「市町村から避難の呼びかけがあったら」が8.7％と続いている。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すべての年代で「揺れがおさまった後、すぐに」が１位になっている。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175250"/>
            <wp:effectExtent l="0" t="0" r="0" b="0"/>
            <wp:docPr id="108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tabs>
          <w:tab w:val="left" w:pos="1470"/>
        </w:tabs>
        <w:rPr>
          <w:rFonts w:ascii="ＭＳ 明朝" w:eastAsia="ＭＳ 明朝" w:hAnsi="ＭＳ 明朝"/>
        </w:rPr>
      </w:pPr>
      <w:r>
        <w:rPr>
          <w:rFonts w:ascii="ＭＳ 明朝" w:eastAsia="ＭＳ 明朝" w:hAnsi="ＭＳ 明朝"/>
        </w:rPr>
        <w:tab/>
      </w:r>
    </w:p>
    <w:p w:rsidR="00C53806" w:rsidRDefault="00C53806">
      <w:pPr>
        <w:tabs>
          <w:tab w:val="left" w:pos="1470"/>
        </w:tabs>
        <w:rPr>
          <w:rFonts w:ascii="ＭＳ 明朝" w:eastAsia="ＭＳ 明朝" w:hAnsi="ＭＳ 明朝"/>
        </w:rPr>
      </w:pPr>
    </w:p>
    <w:p w:rsidR="00C53806" w:rsidRDefault="00C53806">
      <w:pPr>
        <w:tabs>
          <w:tab w:val="left" w:pos="1470"/>
        </w:tabs>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sz w:val="14"/>
        </w:rPr>
        <w:drawing>
          <wp:inline distT="0" distB="0" distL="0" distR="0">
            <wp:extent cx="6158865" cy="7633970"/>
            <wp:effectExtent l="0" t="0" r="0" b="0"/>
            <wp:docPr id="108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pPr w:leftFromText="142" w:rightFromText="142" w:vertAnchor="text" w:horzAnchor="margin" w:tblpY="29"/>
        <w:tblW w:w="9637" w:type="dxa"/>
        <w:tblLayout w:type="fixed"/>
        <w:tblLook w:val="04A0" w:firstRow="1" w:lastRow="0" w:firstColumn="1" w:lastColumn="0" w:noHBand="0" w:noVBand="1"/>
      </w:tblPr>
      <w:tblGrid>
        <w:gridCol w:w="9637"/>
      </w:tblGrid>
      <w:tr w:rsidR="00C53806">
        <w:trPr>
          <w:trHeight w:val="417"/>
        </w:trPr>
        <w:tc>
          <w:tcPr>
            <w:tcW w:w="9637"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【問12×問13のクロス分析】</w:t>
            </w:r>
          </w:p>
        </w:tc>
      </w:tr>
    </w:tbl>
    <w:p w:rsidR="00C53806" w:rsidRDefault="00C53806">
      <w:pPr>
        <w:rPr>
          <w:rFonts w:ascii="ＭＳ 明朝" w:eastAsia="ＭＳ 明朝" w:hAnsi="ＭＳ 明朝"/>
        </w:rPr>
      </w:pPr>
    </w:p>
    <w:p w:rsidR="00C53806" w:rsidRDefault="009760D2">
      <w:pPr>
        <w:ind w:firstLineChars="100" w:firstLine="210"/>
        <w:rPr>
          <w:rFonts w:ascii="ＭＳ 明朝" w:eastAsia="ＭＳ 明朝" w:hAnsi="ＭＳ 明朝"/>
        </w:rPr>
      </w:pPr>
      <w:r>
        <w:rPr>
          <w:rFonts w:ascii="ＭＳ 明朝" w:eastAsia="ＭＳ 明朝" w:hAnsi="ＭＳ 明朝" w:hint="eastAsia"/>
        </w:rPr>
        <w:t>「あなたのお宅は津波で浸水が予測される地域ですか。」という質問への回答に対し、「いつ避難するのか。」について見て</w:t>
      </w:r>
      <w:r w:rsidR="00352F49">
        <w:rPr>
          <w:rFonts w:ascii="ＭＳ 明朝" w:eastAsia="ＭＳ 明朝" w:hAnsi="ＭＳ 明朝" w:hint="eastAsia"/>
        </w:rPr>
        <w:t>みると、「わからない」では「揺れがおさまった後、すぐに」が</w:t>
      </w:r>
      <w:r>
        <w:rPr>
          <w:rFonts w:ascii="ＭＳ 明朝" w:eastAsia="ＭＳ 明朝" w:hAnsi="ＭＳ 明朝" w:hint="eastAsia"/>
        </w:rPr>
        <w:t>低く、「津波警報が出たら」、「市町村から避難の呼びかけがあったら」、「避難しない」が高くなっている。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《問12×問13のクロス分析》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11"/>
        <w:tblW w:w="9360" w:type="dxa"/>
        <w:tblInd w:w="108" w:type="dxa"/>
        <w:tblLayout w:type="fixed"/>
        <w:tblLook w:val="04A0" w:firstRow="1" w:lastRow="0" w:firstColumn="1" w:lastColumn="0" w:noHBand="0" w:noVBand="1"/>
      </w:tblPr>
      <w:tblGrid>
        <w:gridCol w:w="567"/>
        <w:gridCol w:w="2268"/>
        <w:gridCol w:w="1305"/>
        <w:gridCol w:w="1305"/>
        <w:gridCol w:w="1305"/>
        <w:gridCol w:w="1305"/>
        <w:gridCol w:w="1305"/>
      </w:tblGrid>
      <w:tr w:rsidR="00C53806">
        <w:tc>
          <w:tcPr>
            <w:tcW w:w="2835" w:type="dxa"/>
            <w:gridSpan w:val="2"/>
            <w:vMerge w:val="restart"/>
            <w:tcBorders>
              <w:tl2br w:val="single" w:sz="4" w:space="0" w:color="auto"/>
            </w:tcBorders>
          </w:tcPr>
          <w:p w:rsidR="00C53806" w:rsidRDefault="00C53806">
            <w:pPr>
              <w:rPr>
                <w:rFonts w:ascii="ＭＳ 明朝" w:eastAsia="ＭＳ 明朝" w:hAnsi="ＭＳ 明朝"/>
              </w:rPr>
            </w:pPr>
          </w:p>
        </w:tc>
        <w:tc>
          <w:tcPr>
            <w:tcW w:w="6525" w:type="dxa"/>
            <w:gridSpan w:val="5"/>
            <w:vAlign w:val="center"/>
          </w:tcPr>
          <w:p w:rsidR="00C53806" w:rsidRDefault="009760D2">
            <w:pPr>
              <w:jc w:val="center"/>
              <w:rPr>
                <w:rFonts w:ascii="ＭＳ 明朝" w:eastAsia="ＭＳ 明朝" w:hAnsi="ＭＳ 明朝"/>
              </w:rPr>
            </w:pPr>
            <w:r>
              <w:rPr>
                <w:rFonts w:ascii="ＭＳ 明朝" w:eastAsia="ＭＳ 明朝" w:hAnsi="ＭＳ 明朝" w:hint="eastAsia"/>
              </w:rPr>
              <w:t>問13</w:t>
            </w:r>
          </w:p>
        </w:tc>
      </w:tr>
      <w:tr w:rsidR="00C53806">
        <w:trPr>
          <w:cantSplit/>
          <w:trHeight w:val="2551"/>
        </w:trPr>
        <w:tc>
          <w:tcPr>
            <w:tcW w:w="2835" w:type="dxa"/>
            <w:gridSpan w:val="2"/>
            <w:vMerge/>
          </w:tcPr>
          <w:p w:rsidR="00C53806" w:rsidRDefault="00C53806">
            <w:pPr>
              <w:rPr>
                <w:rFonts w:ascii="ＭＳ 明朝" w:eastAsia="ＭＳ 明朝" w:hAnsi="ＭＳ 明朝"/>
              </w:rPr>
            </w:pPr>
          </w:p>
        </w:tc>
        <w:tc>
          <w:tcPr>
            <w:tcW w:w="1305"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揺れがおさまった後、すぐに</w:t>
            </w:r>
          </w:p>
        </w:tc>
        <w:tc>
          <w:tcPr>
            <w:tcW w:w="1305"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津波警報が出たら</w:t>
            </w:r>
          </w:p>
        </w:tc>
        <w:tc>
          <w:tcPr>
            <w:tcW w:w="1305"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市町村から避難の呼びかけがあったら</w:t>
            </w:r>
          </w:p>
        </w:tc>
        <w:tc>
          <w:tcPr>
            <w:tcW w:w="1305"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周りの人が避難したら</w:t>
            </w:r>
          </w:p>
        </w:tc>
        <w:tc>
          <w:tcPr>
            <w:tcW w:w="1305"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避難しない</w:t>
            </w:r>
          </w:p>
        </w:tc>
      </w:tr>
      <w:tr w:rsidR="00C53806">
        <w:trPr>
          <w:trHeight w:val="720"/>
        </w:trPr>
        <w:tc>
          <w:tcPr>
            <w:tcW w:w="567"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問12</w:t>
            </w:r>
          </w:p>
        </w:tc>
        <w:tc>
          <w:tcPr>
            <w:tcW w:w="2268"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津波で浸水が予測される地域である</w:t>
            </w:r>
          </w:p>
        </w:tc>
        <w:tc>
          <w:tcPr>
            <w:tcW w:w="1305"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72.2</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15.3</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7.4</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2.1</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2.7</w:t>
            </w:r>
          </w:p>
        </w:tc>
      </w:tr>
      <w:tr w:rsidR="00C53806">
        <w:trPr>
          <w:trHeight w:val="720"/>
        </w:trPr>
        <w:tc>
          <w:tcPr>
            <w:tcW w:w="567" w:type="dxa"/>
            <w:vMerge/>
          </w:tcPr>
          <w:p w:rsidR="00C53806" w:rsidRDefault="00C53806">
            <w:pPr>
              <w:rPr>
                <w:rFonts w:ascii="ＭＳ 明朝" w:eastAsia="ＭＳ 明朝" w:hAnsi="ＭＳ 明朝"/>
              </w:rPr>
            </w:pPr>
          </w:p>
        </w:tc>
        <w:tc>
          <w:tcPr>
            <w:tcW w:w="2268"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津波で浸水が予測される地域ではない</w:t>
            </w:r>
          </w:p>
        </w:tc>
        <w:tc>
          <w:tcPr>
            <w:tcW w:w="1305"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75.0</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10.3</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9.0</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2.4</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1.6</w:t>
            </w:r>
          </w:p>
        </w:tc>
      </w:tr>
      <w:tr w:rsidR="00C53806">
        <w:trPr>
          <w:trHeight w:val="720"/>
        </w:trPr>
        <w:tc>
          <w:tcPr>
            <w:tcW w:w="567" w:type="dxa"/>
            <w:vMerge/>
          </w:tcPr>
          <w:p w:rsidR="00C53806" w:rsidRDefault="00C53806">
            <w:pPr>
              <w:rPr>
                <w:rFonts w:ascii="ＭＳ 明朝" w:eastAsia="ＭＳ 明朝" w:hAnsi="ＭＳ 明朝"/>
              </w:rPr>
            </w:pPr>
          </w:p>
        </w:tc>
        <w:tc>
          <w:tcPr>
            <w:tcW w:w="2268"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わからない</w:t>
            </w:r>
          </w:p>
        </w:tc>
        <w:tc>
          <w:tcPr>
            <w:tcW w:w="1305"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50.0</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22.7</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14.4</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9.1</w:t>
            </w:r>
          </w:p>
        </w:tc>
        <w:tc>
          <w:tcPr>
            <w:tcW w:w="1305"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3.8</w:t>
            </w:r>
          </w:p>
        </w:tc>
      </w:tr>
    </w:tbl>
    <w:p w:rsidR="00C53806" w:rsidRDefault="00C53806"/>
    <w:p w:rsidR="00C53806" w:rsidRDefault="00C53806"/>
    <w:p w:rsidR="00C53806" w:rsidRDefault="009760D2">
      <w:pPr>
        <w:widowControl/>
        <w:jc w:val="left"/>
        <w:rPr>
          <w:rFonts w:ascii="ＭＳ 明朝" w:eastAsia="ＭＳ 明朝" w:hAnsi="ＭＳ 明朝"/>
        </w:rPr>
      </w:pPr>
      <w:r>
        <w:rPr>
          <w:rFonts w:ascii="ＭＳ 明朝" w:eastAsia="ＭＳ 明朝" w:hAnsi="ＭＳ 明朝"/>
        </w:rPr>
        <w:br w:type="page"/>
      </w: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問14　強い揺れにより、家具（タンス、本棚、食器棚、戸棚）や家電（冷蔵庫、電子レンジ、テレビ）</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などが倒れたり、飛んでくることがあります。耐震金具などにより家具や家電を固定することや、</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配置の見直しをするなど室内の安全対策が大変重要となります。</w:t>
            </w:r>
          </w:p>
          <w:p w:rsidR="00C53806" w:rsidRDefault="009760D2">
            <w:pPr>
              <w:rPr>
                <w:rFonts w:ascii="ＭＳ ゴシック" w:eastAsia="ＭＳ ゴシック" w:hAnsi="ＭＳ ゴシック"/>
              </w:rPr>
            </w:pPr>
            <w:r>
              <w:rPr>
                <w:rFonts w:ascii="ＭＳ ゴシック" w:eastAsia="ＭＳ ゴシック" w:hAnsi="ＭＳ ゴシック" w:hint="eastAsia"/>
              </w:rPr>
              <w:t xml:space="preserve">　　　あなたのお宅では、家具や家電などの固定をしていますか。（１つだけ○印）</w:t>
            </w:r>
          </w:p>
        </w:tc>
      </w:tr>
    </w:tbl>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「固定が必要な家具や家電などがあるが固定していない」が66.7％で１位になっている。</w:t>
      </w:r>
    </w:p>
    <w:p w:rsidR="00C53806" w:rsidRDefault="009760D2">
      <w:pPr>
        <w:rPr>
          <w:rFonts w:ascii="ＭＳ 明朝" w:eastAsia="ＭＳ 明朝" w:hAnsi="ＭＳ 明朝"/>
        </w:rPr>
      </w:pPr>
      <w:r>
        <w:rPr>
          <w:rFonts w:ascii="ＭＳ 明朝" w:eastAsia="ＭＳ 明朝" w:hAnsi="ＭＳ 明朝" w:hint="eastAsia"/>
        </w:rPr>
        <w:t xml:space="preserve">　次いで「固定している」が14.7％、「固定が必要な家具や家電などを居室内に置いていない」が9.6％と続いている。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すべての年代で「固定が必要な家具や家電などがあるが固定していない」が１位になっている。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4943475"/>
            <wp:effectExtent l="0" t="0" r="0" b="0"/>
            <wp:docPr id="108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08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問15　強い揺れにより、ご自宅に大きな被害が出た場合、避難所で避難生活を送ることになります。</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発災直後においては、行政が避難所の運営を行うことが困難であるため、避難所の開設や運営に</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ついて、住民の皆さま自らが行っていただく必要があります。</w:t>
            </w:r>
          </w:p>
          <w:p w:rsidR="00C53806" w:rsidRDefault="009760D2">
            <w:pPr>
              <w:ind w:firstLineChars="300" w:firstLine="630"/>
              <w:rPr>
                <w:rFonts w:ascii="ＭＳ ゴシック" w:eastAsia="ＭＳ ゴシック" w:hAnsi="ＭＳ ゴシック"/>
              </w:rPr>
            </w:pPr>
            <w:r>
              <w:rPr>
                <w:rFonts w:ascii="ＭＳ ゴシック" w:eastAsia="ＭＳ ゴシック" w:hAnsi="ＭＳ ゴシック" w:hint="eastAsia"/>
              </w:rPr>
              <w:t>あなたは、食事の提供や物資の受入・配布、高齢者の生活支援など、避難所の開設や運営に関</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わろうと思いますか。（１つだけ○印）</w:t>
            </w:r>
          </w:p>
        </w:tc>
      </w:tr>
    </w:tbl>
    <w:p w:rsidR="00352F49"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「関わりたい」と「関わりたいが、やり方がわからない」を合わせると69.9％が避難所の</w:t>
      </w:r>
    </w:p>
    <w:p w:rsidR="00C53806" w:rsidRDefault="009760D2" w:rsidP="00352F49">
      <w:pPr>
        <w:ind w:leftChars="400" w:left="1051" w:hangingChars="100" w:hanging="211"/>
        <w:rPr>
          <w:rFonts w:ascii="ＭＳ ゴシック" w:eastAsia="ＭＳ ゴシック" w:hAnsi="ＭＳ ゴシック"/>
          <w:b/>
          <w:u w:val="single"/>
        </w:rPr>
      </w:pPr>
      <w:r>
        <w:rPr>
          <w:rFonts w:ascii="ＭＳ ゴシック" w:eastAsia="ＭＳ ゴシック" w:hAnsi="ＭＳ ゴシック" w:hint="eastAsia"/>
          <w:b/>
          <w:u w:val="single"/>
        </w:rPr>
        <w:t>開設や運営に関わりたいと思っている。</w:t>
      </w:r>
    </w:p>
    <w:p w:rsidR="00C53806" w:rsidRDefault="009760D2">
      <w:pPr>
        <w:rPr>
          <w:rFonts w:ascii="ＭＳ 明朝" w:eastAsia="ＭＳ 明朝" w:hAnsi="ＭＳ 明朝"/>
        </w:rPr>
      </w:pPr>
      <w:r>
        <w:rPr>
          <w:rFonts w:ascii="ＭＳ 明朝" w:eastAsia="ＭＳ 明朝" w:hAnsi="ＭＳ 明朝" w:hint="eastAsia"/>
        </w:rPr>
        <w:t xml:space="preserve">　そのうち「関わりたい」が32.0％、「関わりたいが、やり方がわからない」が37.9％となっている。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10歳代、60歳代、70歳以上では「関わりたい」が、20歳代、30歳代、40歳代、50歳代では「関わりたいが、やり方がわからない」が１位になっている。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4943475"/>
            <wp:effectExtent l="0" t="0" r="0" b="0"/>
            <wp:docPr id="108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C53806">
      <w:pPr>
        <w:jc w:val="cente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sz w:val="15"/>
        </w:rPr>
        <w:drawing>
          <wp:inline distT="0" distB="0" distL="0" distR="0">
            <wp:extent cx="6157595" cy="7237095"/>
            <wp:effectExtent l="0" t="0" r="0" b="0"/>
            <wp:docPr id="108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問16　あなたのお宅では南海トラフ地震に備え、食料を備蓄していますか。（備蓄には、日常に使用</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できる食品を少し多く買い置きすることも含みます。）（１つだけ〇印）</w:t>
            </w:r>
          </w:p>
        </w:tc>
      </w:tr>
    </w:tbl>
    <w:p w:rsidR="00C53806" w:rsidRDefault="00C53806">
      <w:pPr>
        <w:rPr>
          <w:rFonts w:ascii="ＭＳ 明朝" w:eastAsia="ＭＳ 明朝" w:hAnsi="ＭＳ 明朝"/>
        </w:rPr>
      </w:pPr>
    </w:p>
    <w:p w:rsidR="00352F49"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63.4％が食料を「備蓄している」と回答しており、「備蓄していない」の36.0％を27.4</w:t>
      </w:r>
    </w:p>
    <w:p w:rsidR="00C53806" w:rsidRDefault="009760D2" w:rsidP="00352F49">
      <w:pPr>
        <w:ind w:leftChars="400" w:left="1051" w:hangingChars="100" w:hanging="211"/>
        <w:rPr>
          <w:rFonts w:ascii="ＭＳ ゴシック" w:eastAsia="ＭＳ ゴシック" w:hAnsi="ＭＳ ゴシック"/>
          <w:b/>
          <w:u w:val="single"/>
        </w:rPr>
      </w:pPr>
      <w:r>
        <w:rPr>
          <w:rFonts w:ascii="ＭＳ ゴシック" w:eastAsia="ＭＳ ゴシック" w:hAnsi="ＭＳ ゴシック" w:hint="eastAsia"/>
          <w:b/>
          <w:u w:val="single"/>
        </w:rPr>
        <w:t>ポイント上回っている。</w:t>
      </w:r>
    </w:p>
    <w:p w:rsidR="00C53806" w:rsidRDefault="009760D2">
      <w:pPr>
        <w:rPr>
          <w:rFonts w:ascii="ＭＳ 明朝" w:eastAsia="ＭＳ 明朝" w:hAnsi="ＭＳ 明朝"/>
        </w:rPr>
      </w:pPr>
      <w:r>
        <w:rPr>
          <w:rFonts w:ascii="ＭＳ 明朝" w:eastAsia="ＭＳ 明朝" w:hAnsi="ＭＳ 明朝" w:hint="eastAsia"/>
        </w:rPr>
        <w:t xml:space="preserve">　そのうち「１日～２日分を備蓄している」が40.5％、「</w:t>
      </w:r>
      <w:r w:rsidR="006F7878">
        <w:rPr>
          <w:rFonts w:ascii="ＭＳ 明朝" w:eastAsia="ＭＳ 明朝" w:hAnsi="ＭＳ 明朝" w:hint="eastAsia"/>
        </w:rPr>
        <w:t>３</w:t>
      </w:r>
      <w:r>
        <w:rPr>
          <w:rFonts w:ascii="ＭＳ 明朝" w:eastAsia="ＭＳ 明朝" w:hAnsi="ＭＳ 明朝" w:hint="eastAsia"/>
        </w:rPr>
        <w:t>日～</w:t>
      </w:r>
      <w:r w:rsidR="006F7878">
        <w:rPr>
          <w:rFonts w:ascii="ＭＳ 明朝" w:eastAsia="ＭＳ 明朝" w:hAnsi="ＭＳ 明朝" w:hint="eastAsia"/>
        </w:rPr>
        <w:t>６</w:t>
      </w:r>
      <w:r>
        <w:rPr>
          <w:rFonts w:ascii="ＭＳ 明朝" w:eastAsia="ＭＳ 明朝" w:hAnsi="ＭＳ 明朝" w:hint="eastAsia"/>
        </w:rPr>
        <w:t>日分を備蓄している」が19.4％、「</w:t>
      </w:r>
      <w:r w:rsidR="00B642E5">
        <w:rPr>
          <w:rFonts w:ascii="ＭＳ 明朝" w:eastAsia="ＭＳ 明朝" w:hAnsi="ＭＳ 明朝" w:hint="eastAsia"/>
        </w:rPr>
        <w:t>７</w:t>
      </w:r>
      <w:r>
        <w:rPr>
          <w:rFonts w:ascii="ＭＳ 明朝" w:eastAsia="ＭＳ 明朝" w:hAnsi="ＭＳ 明朝" w:hint="eastAsia"/>
        </w:rPr>
        <w:t>日分以上を備蓄している」が3.5％となっている。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10歳代、20歳代、30歳代では「備蓄していない」が、40歳代、50歳代、60歳代、70歳以上では「１日～２日分を備蓄している」が１位になっている。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347970"/>
            <wp:effectExtent l="0" t="0" r="0" b="0"/>
            <wp:docPr id="108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9B6B00" w:rsidRDefault="009B6B00">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09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問17　あなたのお宅では南海トラフ地震に備え、飲料水を備蓄していますか。（備蓄には、日常に使</w:t>
            </w:r>
          </w:p>
          <w:p w:rsidR="00C53806" w:rsidRDefault="009760D2">
            <w:pPr>
              <w:ind w:firstLineChars="200" w:firstLine="420"/>
              <w:rPr>
                <w:rFonts w:ascii="ＭＳ ゴシック" w:eastAsia="ＭＳ ゴシック" w:hAnsi="ＭＳ ゴシック"/>
              </w:rPr>
            </w:pPr>
            <w:r>
              <w:rPr>
                <w:rFonts w:ascii="ＭＳ ゴシック" w:eastAsia="ＭＳ ゴシック" w:hAnsi="ＭＳ ゴシック" w:hint="eastAsia"/>
              </w:rPr>
              <w:t>用できる飲料水を少し多く買い置きすることも含みます。）（１つだけ〇印）</w:t>
            </w:r>
          </w:p>
        </w:tc>
      </w:tr>
    </w:tbl>
    <w:p w:rsidR="009B6B00" w:rsidRDefault="009B6B00" w:rsidP="00352F49">
      <w:pPr>
        <w:ind w:left="840" w:hangingChars="400" w:hanging="840"/>
        <w:rPr>
          <w:rFonts w:ascii="ＭＳ ゴシック" w:eastAsia="ＭＳ ゴシック" w:hAnsi="ＭＳ ゴシック"/>
        </w:rPr>
      </w:pPr>
    </w:p>
    <w:p w:rsidR="00C53806" w:rsidRDefault="009760D2" w:rsidP="00352F49">
      <w:pPr>
        <w:ind w:left="840" w:hangingChars="400" w:hanging="84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59.9％が飲料水を「備蓄している」と回答しており、「備蓄していない」の39.4％を20.5ポイント上回っている。</w:t>
      </w:r>
    </w:p>
    <w:p w:rsidR="00C53806" w:rsidRDefault="009760D2">
      <w:pPr>
        <w:rPr>
          <w:rFonts w:ascii="ＭＳ ゴシック" w:eastAsia="ＭＳ ゴシック" w:hAnsi="ＭＳ ゴシック"/>
        </w:rPr>
      </w:pPr>
      <w:r>
        <w:rPr>
          <w:rFonts w:ascii="ＭＳ 明朝" w:eastAsia="ＭＳ 明朝" w:hAnsi="ＭＳ 明朝" w:hint="eastAsia"/>
        </w:rPr>
        <w:t xml:space="preserve">　そのうち「１日～２日分を備蓄している」が38.9％、「３日～６日分を備蓄している」が16.5％、「７日分以上を備蓄している」が4.5％となっている。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男性では「備蓄していない」が、女性では「１日～２日分を備蓄している」が１位になっている。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10歳代、20歳代、30歳代、50歳代では「備蓄していない」が、40歳代、60歳代、70歳以上では「１日～２日分を備蓄している」が１位になっている。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4943475"/>
            <wp:effectExtent l="0" t="0" r="0" b="0"/>
            <wp:docPr id="109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09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問18　過去１年間に地域や職場の地震に関する防災訓練に参加したことがありますか。</w:t>
            </w:r>
          </w:p>
          <w:p w:rsidR="00C53806" w:rsidRDefault="009760D2">
            <w:pPr>
              <w:rPr>
                <w:rFonts w:ascii="ＭＳ ゴシック" w:eastAsia="ＭＳ ゴシック" w:hAnsi="ＭＳ ゴシック"/>
              </w:rPr>
            </w:pPr>
            <w:r>
              <w:rPr>
                <w:rFonts w:ascii="ＭＳ ゴシック" w:eastAsia="ＭＳ ゴシック" w:hAnsi="ＭＳ ゴシック" w:hint="eastAsia"/>
              </w:rPr>
              <w:t xml:space="preserve">　　　　　　　　　　　　　　　　　　　　　　　　　　　　　　　　　　　　　（１つだけ○印）</w:t>
            </w:r>
          </w:p>
        </w:tc>
      </w:tr>
    </w:tbl>
    <w:p w:rsidR="00C53806" w:rsidRDefault="00C53806">
      <w:pPr>
        <w:rPr>
          <w:rFonts w:ascii="ＭＳ 明朝" w:eastAsia="ＭＳ 明朝" w:hAnsi="ＭＳ 明朝"/>
        </w:rPr>
      </w:pPr>
    </w:p>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「参加した」が42.2％で１位になっている。</w:t>
      </w:r>
    </w:p>
    <w:p w:rsidR="00C53806" w:rsidRDefault="009760D2">
      <w:pPr>
        <w:rPr>
          <w:rFonts w:ascii="ＭＳ 明朝" w:eastAsia="ＭＳ 明朝" w:hAnsi="ＭＳ 明朝"/>
        </w:rPr>
      </w:pPr>
      <w:r>
        <w:rPr>
          <w:rFonts w:ascii="ＭＳ 明朝" w:eastAsia="ＭＳ 明朝" w:hAnsi="ＭＳ 明朝" w:hint="eastAsia"/>
        </w:rPr>
        <w:t xml:space="preserve">　次いで「訓練がなかった、またはあったかわからない」が27.7％、「都合が合わず参加できなかった」が21.0％となっている。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すべての年代で「参加した」が１位になっている。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《総合・性別・年代別・沿岸部別》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347970"/>
            <wp:effectExtent l="0" t="0" r="0" b="0"/>
            <wp:docPr id="109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53806" w:rsidRDefault="009760D2">
      <w:pPr>
        <w:tabs>
          <w:tab w:val="left" w:pos="1470"/>
        </w:tabs>
        <w:rPr>
          <w:rFonts w:ascii="ＭＳ 明朝" w:eastAsia="ＭＳ 明朝" w:hAnsi="ＭＳ 明朝"/>
        </w:rPr>
      </w:pPr>
      <w:r>
        <w:rPr>
          <w:rFonts w:ascii="ＭＳ 明朝" w:eastAsia="ＭＳ 明朝" w:hAnsi="ＭＳ 明朝"/>
        </w:rPr>
        <w:tab/>
      </w:r>
    </w:p>
    <w:p w:rsidR="00C53806" w:rsidRDefault="00C53806">
      <w:pPr>
        <w:tabs>
          <w:tab w:val="left" w:pos="1470"/>
        </w:tabs>
        <w:rPr>
          <w:rFonts w:ascii="ＭＳ 明朝" w:eastAsia="ＭＳ 明朝" w:hAnsi="ＭＳ 明朝"/>
        </w:rPr>
      </w:pPr>
    </w:p>
    <w:p w:rsidR="00C53806" w:rsidRDefault="00C53806">
      <w:pPr>
        <w:tabs>
          <w:tab w:val="left" w:pos="1470"/>
        </w:tabs>
        <w:rPr>
          <w:rFonts w:ascii="ＭＳ 明朝" w:eastAsia="ＭＳ 明朝" w:hAnsi="ＭＳ 明朝"/>
        </w:rPr>
      </w:pPr>
    </w:p>
    <w:p w:rsidR="00C53806" w:rsidRDefault="009760D2">
      <w:pPr>
        <w:tabs>
          <w:tab w:val="left" w:pos="840"/>
        </w:tabs>
        <w:rPr>
          <w:rFonts w:ascii="ＭＳ 明朝" w:eastAsia="ＭＳ 明朝" w:hAnsi="ＭＳ 明朝"/>
        </w:rPr>
      </w:pPr>
      <w:r>
        <w:rPr>
          <w:rFonts w:ascii="ＭＳ 明朝" w:eastAsia="ＭＳ 明朝" w:hAnsi="ＭＳ 明朝"/>
        </w:rPr>
        <w:tab/>
      </w:r>
    </w:p>
    <w:p w:rsidR="00C53806" w:rsidRDefault="00C53806">
      <w:pPr>
        <w:tabs>
          <w:tab w:val="left" w:pos="840"/>
        </w:tabs>
        <w:rPr>
          <w:rFonts w:ascii="ＭＳ 明朝" w:eastAsia="ＭＳ 明朝" w:hAnsi="ＭＳ 明朝"/>
        </w:rPr>
      </w:pPr>
    </w:p>
    <w:p w:rsidR="00C53806" w:rsidRDefault="00C53806">
      <w:pPr>
        <w:tabs>
          <w:tab w:val="left" w:pos="840"/>
        </w:tabs>
        <w:rPr>
          <w:rFonts w:ascii="ＭＳ 明朝" w:eastAsia="ＭＳ 明朝" w:hAnsi="ＭＳ 明朝"/>
        </w:rPr>
      </w:pPr>
    </w:p>
    <w:p w:rsidR="00C53806" w:rsidRDefault="00C53806">
      <w:pPr>
        <w:tabs>
          <w:tab w:val="left" w:pos="840"/>
        </w:tabs>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435850"/>
            <wp:effectExtent l="0" t="0" r="0" b="0"/>
            <wp:docPr id="109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Style w:val="a9"/>
        <w:tblpPr w:leftFromText="142" w:rightFromText="142" w:vertAnchor="text" w:horzAnchor="margin" w:tblpY="-40"/>
        <w:tblW w:w="9639"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sz w:val="21"/>
              </w:rPr>
              <w:t>問19　地域や職場の地震に関する防災訓練に、どうすれば参加する人が増えると思いますか。　　　　　　　　　　　　　　　（２つまで○印）</w:t>
            </w:r>
          </w:p>
        </w:tc>
      </w:tr>
    </w:tbl>
    <w:p w:rsidR="00C53806" w:rsidRDefault="00C53806">
      <w:pPr>
        <w:rPr>
          <w:rFonts w:ascii="ＭＳ ゴシック" w:eastAsia="ＭＳ ゴシック" w:hAnsi="ＭＳ ゴシック"/>
        </w:rPr>
      </w:pPr>
    </w:p>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「近所同士で声を掛け合って一緒に参加する」が36.2％で１位になっている。</w:t>
      </w:r>
    </w:p>
    <w:p w:rsidR="00C53806" w:rsidRDefault="009760D2">
      <w:pPr>
        <w:rPr>
          <w:rFonts w:ascii="ＭＳ 明朝" w:eastAsia="ＭＳ 明朝" w:hAnsi="ＭＳ 明朝"/>
        </w:rPr>
      </w:pPr>
      <w:r>
        <w:rPr>
          <w:rFonts w:ascii="ＭＳ 明朝" w:eastAsia="ＭＳ 明朝" w:hAnsi="ＭＳ 明朝" w:hint="eastAsia"/>
        </w:rPr>
        <w:t xml:space="preserve">　次いで「他のイベントと一緒に行う」が33.3％、「訓練の回数を増やす、参加しやすい日に開催する」が29.4％となっている。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男女とも「総合」とほぼ同じ傾向になっている。</w:t>
      </w: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900545"/>
            <wp:effectExtent l="0" t="0" r="0" b="0"/>
            <wp:docPr id="109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10歳代、30歳代、40歳代では「他のイベントと一緒に行う」が、20歳代では「参加賞（非常食など）を出す」が、50歳代、60歳代、70歳以上では「近所同士で声を掛け合って一緒に参加する」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09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《職業別・広域市町村圏別・沿岸部別》</w:t>
      </w: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498" w:type="dxa"/>
        <w:tblInd w:w="108" w:type="dxa"/>
        <w:tblLayout w:type="fixed"/>
        <w:tblLook w:val="04A0" w:firstRow="1" w:lastRow="0" w:firstColumn="1" w:lastColumn="0" w:noHBand="0" w:noVBand="1"/>
      </w:tblPr>
      <w:tblGrid>
        <w:gridCol w:w="567"/>
        <w:gridCol w:w="1985"/>
        <w:gridCol w:w="992"/>
        <w:gridCol w:w="992"/>
        <w:gridCol w:w="992"/>
        <w:gridCol w:w="993"/>
        <w:gridCol w:w="992"/>
        <w:gridCol w:w="992"/>
        <w:gridCol w:w="993"/>
      </w:tblGrid>
      <w:tr w:rsidR="00C53806">
        <w:trPr>
          <w:cantSplit/>
          <w:trHeight w:val="1871"/>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229" o:spid="_x0000_s2093" type="#_x0000_t202" style="position:absolute;left:0;text-align:left;margin-left:-4pt;margin-top:66.25pt;width:54pt;height:20.6pt;z-index:114" filled="f" stroked="f">
                  <v:textbox style="mso-next-textbox:#テキスト ボックス 229">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230" o:spid="_x0000_s2092" type="#_x0000_t202" style="position:absolute;left:0;text-align:left;margin-left:56.75pt;margin-top:.75pt;width:54pt;height:20.25pt;z-index:113" filled="f" stroked="f">
                  <v:textbox style="mso-next-textbox:#テキスト ボックス 230">
                    <w:txbxContent>
                      <w:p w:rsidR="00B642E5" w:rsidRDefault="00B642E5">
                        <w:pPr>
                          <w:rPr>
                            <w:sz w:val="18"/>
                          </w:rPr>
                        </w:pPr>
                        <w:r>
                          <w:rPr>
                            <w:rFonts w:hint="eastAsia"/>
                            <w:sz w:val="18"/>
                          </w:rPr>
                          <w:t>項　目</w:t>
                        </w:r>
                      </w:p>
                    </w:txbxContent>
                  </v:textbox>
                </v:shape>
              </w:pict>
            </w:r>
          </w:p>
        </w:tc>
        <w:tc>
          <w:tcPr>
            <w:tcW w:w="99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近所同士で声を掛け合って一緒に参加する</w:t>
            </w:r>
          </w:p>
        </w:tc>
        <w:tc>
          <w:tcPr>
            <w:tcW w:w="99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訓練の回数を増やす、参加しやすい日に開催する</w:t>
            </w:r>
          </w:p>
        </w:tc>
        <w:tc>
          <w:tcPr>
            <w:tcW w:w="99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パンフレットやチラシ、テレビＣＭなどで訓練の広報を行う</w:t>
            </w:r>
          </w:p>
        </w:tc>
        <w:tc>
          <w:tcPr>
            <w:tcW w:w="99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他のイベントと一緒に行う</w:t>
            </w:r>
          </w:p>
        </w:tc>
        <w:tc>
          <w:tcPr>
            <w:tcW w:w="99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参加賞（非常食など）を出す</w:t>
            </w:r>
          </w:p>
        </w:tc>
        <w:tc>
          <w:tcPr>
            <w:tcW w:w="99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参加を義務化する</w:t>
            </w:r>
          </w:p>
        </w:tc>
        <w:tc>
          <w:tcPr>
            <w:tcW w:w="99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7"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11.3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99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99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99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35.0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7" w:type="dxa"/>
            <w:vMerge/>
          </w:tcPr>
          <w:p w:rsidR="00C53806" w:rsidRDefault="00C53806">
            <w:pPr>
              <w:rPr>
                <w:rFonts w:ascii="ＭＳ 明朝" w:hAnsi="ＭＳ 明朝"/>
                <w:sz w:val="18"/>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53.4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7" w:type="dxa"/>
            <w:vMerge/>
            <w:tcBorders>
              <w:bottom w:val="double" w:sz="4" w:space="0" w:color="auto"/>
            </w:tcBorders>
          </w:tcPr>
          <w:p w:rsidR="00C53806" w:rsidRDefault="00C53806">
            <w:pPr>
              <w:rPr>
                <w:rFonts w:ascii="ＭＳ 明朝" w:hAnsi="ＭＳ 明朝"/>
                <w:sz w:val="18"/>
              </w:rPr>
            </w:pPr>
          </w:p>
        </w:tc>
        <w:tc>
          <w:tcPr>
            <w:tcW w:w="1985"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99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99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993" w:type="dxa"/>
            <w:tcBorders>
              <w:bottom w:val="double" w:sz="4" w:space="0" w:color="auto"/>
            </w:tcBorders>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40"/>
        </w:trPr>
        <w:tc>
          <w:tcPr>
            <w:tcW w:w="567"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5"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993"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25.1 </w:t>
            </w:r>
          </w:p>
        </w:tc>
        <w:tc>
          <w:tcPr>
            <w:tcW w:w="993" w:type="dxa"/>
            <w:tcBorders>
              <w:top w:val="double" w:sz="4" w:space="0" w:color="auto"/>
            </w:tcBorders>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7" w:type="dxa"/>
            <w:vMerge/>
            <w:vAlign w:val="center"/>
          </w:tcPr>
          <w:p w:rsidR="00C53806" w:rsidRDefault="00C53806">
            <w:pPr>
              <w:jc w:val="center"/>
              <w:rPr>
                <w:rFonts w:ascii="ＭＳ 明朝" w:hAnsi="ＭＳ 明朝"/>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7" w:type="dxa"/>
            <w:vMerge/>
            <w:vAlign w:val="center"/>
          </w:tcPr>
          <w:p w:rsidR="00C53806" w:rsidRDefault="00C53806">
            <w:pPr>
              <w:jc w:val="center"/>
              <w:rPr>
                <w:rFonts w:ascii="ＭＳ 明朝" w:hAnsi="ＭＳ 明朝"/>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36.7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24.5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r>
      <w:tr w:rsidR="00C53806">
        <w:trPr>
          <w:trHeight w:val="340"/>
        </w:trPr>
        <w:tc>
          <w:tcPr>
            <w:tcW w:w="567" w:type="dxa"/>
            <w:vMerge/>
            <w:vAlign w:val="center"/>
          </w:tcPr>
          <w:p w:rsidR="00C53806" w:rsidRDefault="00C53806">
            <w:pPr>
              <w:jc w:val="center"/>
              <w:rPr>
                <w:rFonts w:ascii="ＭＳ 明朝" w:hAnsi="ＭＳ 明朝"/>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7" w:type="dxa"/>
            <w:vMerge/>
            <w:vAlign w:val="center"/>
          </w:tcPr>
          <w:p w:rsidR="00C53806" w:rsidRDefault="00C53806">
            <w:pPr>
              <w:jc w:val="center"/>
              <w:rPr>
                <w:rFonts w:ascii="ＭＳ 明朝" w:hAnsi="ＭＳ 明朝"/>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40"/>
        </w:trPr>
        <w:tc>
          <w:tcPr>
            <w:tcW w:w="567" w:type="dxa"/>
            <w:vMerge/>
            <w:vAlign w:val="center"/>
          </w:tcPr>
          <w:p w:rsidR="00C53806" w:rsidRDefault="00C53806">
            <w:pPr>
              <w:jc w:val="center"/>
              <w:rPr>
                <w:rFonts w:ascii="ＭＳ 明朝" w:hAnsi="ＭＳ 明朝"/>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7" w:type="dxa"/>
            <w:vMerge/>
            <w:vAlign w:val="center"/>
          </w:tcPr>
          <w:p w:rsidR="00C53806" w:rsidRDefault="00C53806">
            <w:pPr>
              <w:jc w:val="center"/>
              <w:rPr>
                <w:rFonts w:ascii="ＭＳ 明朝" w:hAnsi="ＭＳ 明朝"/>
              </w:rPr>
            </w:pPr>
          </w:p>
        </w:tc>
        <w:tc>
          <w:tcPr>
            <w:tcW w:w="1985"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99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28.5 </w:t>
            </w:r>
          </w:p>
        </w:tc>
        <w:tc>
          <w:tcPr>
            <w:tcW w:w="99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993" w:type="dxa"/>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40"/>
        </w:trPr>
        <w:tc>
          <w:tcPr>
            <w:tcW w:w="567" w:type="dxa"/>
            <w:vMerge/>
            <w:tcBorders>
              <w:bottom w:val="double" w:sz="4" w:space="0" w:color="auto"/>
            </w:tcBorders>
            <w:vAlign w:val="center"/>
          </w:tcPr>
          <w:p w:rsidR="00C53806" w:rsidRDefault="00C53806">
            <w:pPr>
              <w:jc w:val="center"/>
              <w:rPr>
                <w:rFonts w:ascii="ＭＳ 明朝" w:hAnsi="ＭＳ 明朝"/>
              </w:rPr>
            </w:pPr>
          </w:p>
        </w:tc>
        <w:tc>
          <w:tcPr>
            <w:tcW w:w="1985"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99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39.3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26.4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13.9 </w:t>
            </w:r>
          </w:p>
        </w:tc>
        <w:tc>
          <w:tcPr>
            <w:tcW w:w="99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26.9 </w:t>
            </w:r>
          </w:p>
        </w:tc>
        <w:tc>
          <w:tcPr>
            <w:tcW w:w="99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18.9 </w:t>
            </w:r>
          </w:p>
        </w:tc>
        <w:tc>
          <w:tcPr>
            <w:tcW w:w="993" w:type="dxa"/>
            <w:tcBorders>
              <w:bottom w:val="double" w:sz="4" w:space="0" w:color="auto"/>
            </w:tcBorders>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r>
      <w:tr w:rsidR="00C53806" w:rsidTr="00DE5038">
        <w:trPr>
          <w:trHeight w:val="340"/>
        </w:trPr>
        <w:tc>
          <w:tcPr>
            <w:tcW w:w="567" w:type="dxa"/>
            <w:vMerge w:val="restart"/>
            <w:tcBorders>
              <w:top w:val="double" w:sz="4" w:space="0" w:color="auto"/>
            </w:tcBorders>
            <w:textDirection w:val="tbRlV"/>
            <w:vAlign w:val="center"/>
          </w:tcPr>
          <w:p w:rsidR="00C53806" w:rsidRDefault="009760D2">
            <w:pPr>
              <w:spacing w:line="0" w:lineRule="atLeast"/>
              <w:ind w:left="113" w:right="113"/>
              <w:jc w:val="center"/>
              <w:rPr>
                <w:rFonts w:ascii="ＭＳ 明朝" w:hAnsi="ＭＳ 明朝"/>
                <w:sz w:val="18"/>
              </w:rPr>
            </w:pPr>
            <w:r>
              <w:rPr>
                <w:rFonts w:ascii="ＭＳ 明朝" w:hAnsi="ＭＳ 明朝" w:hint="eastAsia"/>
                <w:sz w:val="18"/>
              </w:rPr>
              <w:t>沿岸</w:t>
            </w:r>
          </w:p>
          <w:p w:rsidR="00C53806" w:rsidRDefault="009760D2">
            <w:pPr>
              <w:spacing w:line="0" w:lineRule="atLeast"/>
              <w:ind w:left="113" w:right="113"/>
              <w:jc w:val="center"/>
              <w:rPr>
                <w:rFonts w:ascii="ＭＳ 明朝" w:hAnsi="ＭＳ 明朝"/>
                <w:sz w:val="21"/>
              </w:rPr>
            </w:pPr>
            <w:r>
              <w:rPr>
                <w:rFonts w:ascii="ＭＳ 明朝" w:hAnsi="ＭＳ 明朝" w:hint="eastAsia"/>
                <w:sz w:val="18"/>
              </w:rPr>
              <w:t>部別</w:t>
            </w:r>
          </w:p>
        </w:tc>
        <w:tc>
          <w:tcPr>
            <w:tcW w:w="1985" w:type="dxa"/>
            <w:tcBorders>
              <w:top w:val="double" w:sz="4" w:space="0" w:color="auto"/>
            </w:tcBorders>
            <w:vAlign w:val="center"/>
          </w:tcPr>
          <w:p w:rsidR="00C53806" w:rsidRDefault="009760D2">
            <w:pPr>
              <w:rPr>
                <w:rFonts w:ascii="ＭＳ 明朝" w:hAnsi="ＭＳ 明朝"/>
                <w:color w:val="000000"/>
                <w:sz w:val="18"/>
              </w:rPr>
            </w:pPr>
            <w:r>
              <w:rPr>
                <w:rFonts w:ascii="ＭＳ 明朝" w:hAnsi="ＭＳ 明朝" w:hint="eastAsia"/>
                <w:color w:val="000000"/>
                <w:sz w:val="18"/>
              </w:rPr>
              <w:t>沿岸部</w:t>
            </w:r>
          </w:p>
        </w:tc>
        <w:tc>
          <w:tcPr>
            <w:tcW w:w="992" w:type="dxa"/>
            <w:tcBorders>
              <w:top w:val="double" w:sz="4" w:space="0" w:color="auto"/>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993"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32.2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99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993" w:type="dxa"/>
            <w:tcBorders>
              <w:top w:val="double" w:sz="4" w:space="0" w:color="auto"/>
            </w:tcBorders>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rsidTr="00DE5038">
        <w:trPr>
          <w:trHeight w:val="340"/>
        </w:trPr>
        <w:tc>
          <w:tcPr>
            <w:tcW w:w="567" w:type="dxa"/>
            <w:vMerge/>
            <w:tcBorders>
              <w:bottom w:val="single" w:sz="4" w:space="0" w:color="auto"/>
            </w:tcBorders>
            <w:vAlign w:val="center"/>
          </w:tcPr>
          <w:p w:rsidR="00C53806" w:rsidRDefault="00C53806">
            <w:pPr>
              <w:jc w:val="center"/>
              <w:rPr>
                <w:rFonts w:ascii="ＭＳ 明朝" w:hAnsi="ＭＳ 明朝"/>
              </w:rPr>
            </w:pPr>
          </w:p>
        </w:tc>
        <w:tc>
          <w:tcPr>
            <w:tcW w:w="1985" w:type="dxa"/>
            <w:tcBorders>
              <w:bottom w:val="single" w:sz="4" w:space="0" w:color="auto"/>
            </w:tcBorders>
            <w:vAlign w:val="center"/>
          </w:tcPr>
          <w:p w:rsidR="00C53806" w:rsidRDefault="009760D2">
            <w:pPr>
              <w:rPr>
                <w:rFonts w:ascii="ＭＳ 明朝" w:hAnsi="ＭＳ 明朝"/>
                <w:color w:val="000000"/>
                <w:sz w:val="18"/>
              </w:rPr>
            </w:pPr>
            <w:r>
              <w:rPr>
                <w:rFonts w:ascii="ＭＳ 明朝" w:hAnsi="ＭＳ 明朝" w:hint="eastAsia"/>
                <w:color w:val="000000"/>
                <w:sz w:val="18"/>
              </w:rPr>
              <w:t>非沿岸部</w:t>
            </w:r>
          </w:p>
        </w:tc>
        <w:tc>
          <w:tcPr>
            <w:tcW w:w="992" w:type="dxa"/>
            <w:tcBorders>
              <w:bottom w:val="single" w:sz="4" w:space="0" w:color="auto"/>
            </w:tcBorders>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34.2 </w:t>
            </w:r>
          </w:p>
        </w:tc>
        <w:tc>
          <w:tcPr>
            <w:tcW w:w="99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29.6 </w:t>
            </w:r>
          </w:p>
        </w:tc>
        <w:tc>
          <w:tcPr>
            <w:tcW w:w="99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993" w:type="dxa"/>
            <w:tcBorders>
              <w:bottom w:val="single" w:sz="4" w:space="0" w:color="auto"/>
            </w:tcBorders>
            <w:shd w:val="pct20" w:color="auto" w:fill="auto"/>
            <w:vAlign w:val="center"/>
          </w:tcPr>
          <w:p w:rsidR="00C53806" w:rsidRPr="00DE5038" w:rsidRDefault="009760D2">
            <w:pPr>
              <w:jc w:val="right"/>
              <w:rPr>
                <w:rFonts w:ascii="ＭＳ 明朝" w:hAnsi="ＭＳ 明朝"/>
                <w:color w:val="000000"/>
                <w:sz w:val="18"/>
                <w:highlight w:val="lightGray"/>
              </w:rPr>
            </w:pPr>
            <w:r w:rsidRPr="00DE5038">
              <w:rPr>
                <w:rFonts w:ascii="ＭＳ 明朝" w:hAnsi="ＭＳ 明朝"/>
                <w:color w:val="000000"/>
                <w:sz w:val="18"/>
              </w:rPr>
              <w:t>34.3</w:t>
            </w:r>
            <w:r w:rsidRPr="00DE5038">
              <w:rPr>
                <w:rFonts w:ascii="ＭＳ 明朝" w:hAnsi="ＭＳ 明朝"/>
                <w:color w:val="000000"/>
                <w:sz w:val="18"/>
                <w:highlight w:val="lightGray"/>
              </w:rPr>
              <w:t xml:space="preserve"> </w:t>
            </w:r>
          </w:p>
        </w:tc>
        <w:tc>
          <w:tcPr>
            <w:tcW w:w="99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99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25.1 </w:t>
            </w:r>
          </w:p>
        </w:tc>
        <w:tc>
          <w:tcPr>
            <w:tcW w:w="993" w:type="dxa"/>
            <w:tcBorders>
              <w:bottom w:val="single" w:sz="4" w:space="0" w:color="auto"/>
            </w:tcBorders>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bl>
    <w:p w:rsidR="00C53806" w:rsidRDefault="00C53806"/>
    <w:p w:rsidR="00C53806" w:rsidRDefault="00C53806"/>
    <w:p w:rsidR="00C53806" w:rsidRDefault="00C53806"/>
    <w:p w:rsidR="00C53806" w:rsidRDefault="00C53806"/>
    <w:p w:rsidR="00C53806" w:rsidRDefault="00C53806"/>
    <w:p w:rsidR="00C53806" w:rsidRDefault="00C53806"/>
    <w:p w:rsidR="00C53806" w:rsidRDefault="00C53806"/>
    <w:tbl>
      <w:tblPr>
        <w:tblpPr w:leftFromText="142" w:rightFromText="142" w:vertAnchor="page" w:horzAnchor="margin" w:tblpX="99" w:tblpY="946"/>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問20　あなたのお宅（持家、借家に関わらず）の建築年と構造をお答えください。</w:t>
            </w:r>
          </w:p>
          <w:p w:rsidR="00C53806" w:rsidRDefault="009760D2">
            <w:pPr>
              <w:ind w:leftChars="150" w:left="7350" w:hangingChars="3350" w:hanging="7035"/>
              <w:rPr>
                <w:rFonts w:ascii="ＭＳ ゴシック" w:eastAsia="ＭＳ ゴシック" w:hAnsi="ＭＳ ゴシック"/>
              </w:rPr>
            </w:pPr>
            <w:r>
              <w:rPr>
                <w:rFonts w:ascii="ＭＳ ゴシック" w:eastAsia="ＭＳ ゴシック" w:hAnsi="ＭＳ ゴシック" w:hint="eastAsia"/>
              </w:rPr>
              <w:t>増改築されている場合は、主な部分の建築年としてください。（1つだけ○印）</w:t>
            </w:r>
          </w:p>
        </w:tc>
      </w:tr>
    </w:tbl>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「昭和56年５月以前の木造住宅」が25.7％で１位になっている。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次いで「昭和56年６月以降で平成12年５月以前の木造住宅」が21.8％、「平成12年６月以降の木造住宅」が16.8％となっている。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低い年代ほど「わからない」が高くなっている。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《総合・性別・年代別・住まいの状況別》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356860"/>
            <wp:effectExtent l="0" t="0" r="0" b="0"/>
            <wp:docPr id="109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599680"/>
            <wp:effectExtent l="0" t="0" r="0" b="0"/>
            <wp:docPr id="110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問20　副問１（問20で「１」を選んだ方のみお答えください。）</w:t>
            </w:r>
          </w:p>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 xml:space="preserve">　　専門家による耐震診断（地震の揺れに対する建物の強さの診断)を受けたことがありますか、ま</w:t>
            </w:r>
          </w:p>
          <w:p w:rsidR="00C53806" w:rsidRDefault="009760D2">
            <w:pPr>
              <w:ind w:leftChars="200" w:left="7770" w:hangingChars="3500" w:hanging="7350"/>
              <w:rPr>
                <w:rFonts w:ascii="ＭＳ ゴシック" w:eastAsia="ＭＳ ゴシック" w:hAnsi="ＭＳ ゴシック"/>
              </w:rPr>
            </w:pPr>
            <w:r>
              <w:rPr>
                <w:rFonts w:ascii="ＭＳ ゴシック" w:eastAsia="ＭＳ ゴシック" w:hAnsi="ＭＳ ゴシック" w:hint="eastAsia"/>
              </w:rPr>
              <w:t>た、その結果はどうでしたか。（1つだけ○印）</w:t>
            </w:r>
          </w:p>
        </w:tc>
      </w:tr>
    </w:tbl>
    <w:p w:rsidR="00C53806" w:rsidRDefault="00C53806">
      <w:pPr>
        <w:rPr>
          <w:rFonts w:ascii="ＭＳ 明朝" w:eastAsia="ＭＳ 明朝" w:hAnsi="ＭＳ 明朝"/>
        </w:rPr>
      </w:pPr>
    </w:p>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「診断を受けたことはない」が79.2</w:t>
      </w:r>
      <w:r w:rsidR="0009185E">
        <w:rPr>
          <w:rFonts w:ascii="ＭＳ ゴシック" w:eastAsia="ＭＳ ゴシック" w:hAnsi="ＭＳ ゴシック" w:hint="eastAsia"/>
          <w:b/>
          <w:u w:val="single"/>
        </w:rPr>
        <w:t>％で１位になっている。</w:t>
      </w:r>
    </w:p>
    <w:p w:rsidR="00C53806" w:rsidRDefault="009760D2">
      <w:pPr>
        <w:rPr>
          <w:rFonts w:ascii="ＭＳ 明朝" w:eastAsia="ＭＳ 明朝" w:hAnsi="ＭＳ 明朝"/>
          <w:kern w:val="0"/>
        </w:rPr>
      </w:pPr>
      <w:r>
        <w:rPr>
          <w:rFonts w:ascii="ＭＳ 明朝" w:eastAsia="ＭＳ 明朝" w:hAnsi="ＭＳ 明朝" w:hint="eastAsia"/>
          <w:kern w:val="0"/>
        </w:rPr>
        <w:t xml:space="preserve">　次いで「診断を受けた結果、耐震性がなく耐震改修が必要と診断された」が17.9％となっている。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すべての年代で「診断を受けたことはない」が１位</w:t>
      </w:r>
      <w:r w:rsidR="00352F49">
        <w:rPr>
          <w:rFonts w:ascii="ＭＳ 明朝" w:eastAsia="ＭＳ 明朝" w:hAnsi="ＭＳ 明朝" w:hint="eastAsia"/>
        </w:rPr>
        <w:t>に</w:t>
      </w:r>
      <w:r>
        <w:rPr>
          <w:rFonts w:ascii="ＭＳ 明朝" w:eastAsia="ＭＳ 明朝" w:hAnsi="ＭＳ 明朝" w:hint="eastAsia"/>
        </w:rPr>
        <w:t>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《総合・性別・年代別・住まいの状況別》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356860"/>
            <wp:effectExtent l="0" t="0" r="0" b="0"/>
            <wp:docPr id="110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tabs>
          <w:tab w:val="center" w:pos="4773"/>
          <w:tab w:val="left" w:pos="6720"/>
        </w:tabs>
        <w:jc w:val="left"/>
        <w:rPr>
          <w:rFonts w:ascii="ＭＳ 明朝" w:eastAsia="ＭＳ 明朝" w:hAnsi="ＭＳ 明朝"/>
        </w:rPr>
      </w:pPr>
      <w:r>
        <w:rPr>
          <w:rFonts w:ascii="ＭＳ 明朝" w:eastAsia="ＭＳ 明朝" w:hAnsi="ＭＳ 明朝"/>
        </w:rPr>
        <w:tab/>
      </w:r>
      <w:r>
        <w:rPr>
          <w:rFonts w:ascii="ＭＳ 明朝" w:eastAsia="ＭＳ 明朝" w:hAnsi="ＭＳ 明朝" w:hint="eastAsia"/>
        </w:rPr>
        <w:t>《職業別・広域市町村圏別》</w:t>
      </w:r>
      <w:r>
        <w:rPr>
          <w:rFonts w:ascii="ＭＳ 明朝" w:eastAsia="ＭＳ 明朝" w:hAnsi="ＭＳ 明朝"/>
        </w:rPr>
        <w:tab/>
      </w:r>
    </w:p>
    <w:p w:rsidR="00C53806" w:rsidRDefault="00C53806">
      <w:pPr>
        <w:tabs>
          <w:tab w:val="center" w:pos="4773"/>
          <w:tab w:val="left" w:pos="6720"/>
        </w:tabs>
        <w:jc w:val="left"/>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sz w:val="15"/>
        </w:rPr>
        <w:drawing>
          <wp:inline distT="0" distB="0" distL="0" distR="0">
            <wp:extent cx="6158865" cy="7590790"/>
            <wp:effectExtent l="0" t="0" r="0" b="0"/>
            <wp:docPr id="110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問20　副問２ （副問１で「１」を選んだ方のみお答えください。）</w:t>
            </w:r>
          </w:p>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 xml:space="preserve">　　耐震改修工事を行いましたか、また、建て替えなどを予定していますか。（1つだけ○印）</w:t>
            </w:r>
          </w:p>
        </w:tc>
      </w:tr>
    </w:tbl>
    <w:p w:rsidR="00C53806" w:rsidRDefault="00C53806">
      <w:pPr>
        <w:rPr>
          <w:rFonts w:ascii="ＭＳ 明朝" w:eastAsia="ＭＳ 明朝" w:hAnsi="ＭＳ 明朝"/>
        </w:rPr>
      </w:pPr>
    </w:p>
    <w:p w:rsidR="00C5380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「耐震改修工事を行った」が47.3％で１位になっている。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次いで「耐震改修工事も建て替えも行う予定はない」が21.6％と続いている。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ind w:firstLineChars="100" w:firstLine="210"/>
        <w:rPr>
          <w:rFonts w:ascii="ＭＳ 明朝" w:eastAsia="ＭＳ 明朝" w:hAnsi="ＭＳ 明朝"/>
        </w:rPr>
      </w:pPr>
      <w:r>
        <w:rPr>
          <w:rFonts w:ascii="ＭＳ 明朝" w:eastAsia="ＭＳ 明朝" w:hAnsi="ＭＳ 明朝" w:hint="eastAsia"/>
        </w:rPr>
        <w:t>「耐震改修工事を行った」では、女性が男性より16.1ポイント高くなっている。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60歳代、70歳以上では「耐震改修工事を行った」が高くなっている。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《総合・性別・年代別・住まいの状況別》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503545"/>
            <wp:effectExtent l="0" t="0" r="0" b="0"/>
            <wp:docPr id="110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10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ind w:firstLineChars="100" w:firstLine="210"/>
        <w:rPr>
          <w:rFonts w:ascii="ＭＳ 明朝" w:eastAsia="ＭＳ 明朝" w:hAnsi="ＭＳ 明朝"/>
        </w:rPr>
      </w:pPr>
    </w:p>
    <w:tbl>
      <w:tblPr>
        <w:tblStyle w:val="a9"/>
        <w:tblW w:w="9781" w:type="dxa"/>
        <w:tblInd w:w="108" w:type="dxa"/>
        <w:tblLayout w:type="fixed"/>
        <w:tblLook w:val="04A0" w:firstRow="1" w:lastRow="0" w:firstColumn="1" w:lastColumn="0" w:noHBand="0" w:noVBand="1"/>
      </w:tblPr>
      <w:tblGrid>
        <w:gridCol w:w="9781"/>
      </w:tblGrid>
      <w:tr w:rsidR="00C53806">
        <w:trPr>
          <w:trHeight w:val="416"/>
        </w:trPr>
        <w:tc>
          <w:tcPr>
            <w:tcW w:w="9648"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問20　副問３ （副問１で「３」を選んだ方のみお答えください。）</w:t>
            </w:r>
          </w:p>
          <w:p w:rsidR="00C53806" w:rsidRDefault="009760D2">
            <w:pPr>
              <w:rPr>
                <w:rFonts w:ascii="ＭＳ 明朝" w:hAnsi="ＭＳ 明朝"/>
              </w:rPr>
            </w:pPr>
            <w:r>
              <w:rPr>
                <w:rFonts w:ascii="ＭＳ ゴシック" w:eastAsia="ＭＳ ゴシック" w:hAnsi="ＭＳ ゴシック" w:hint="eastAsia"/>
                <w:sz w:val="21"/>
              </w:rPr>
              <w:t xml:space="preserve">　　耐震診断を受けていないのは、どのような理由があるからですか。（当てはまるものすべてに○印）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「耐震診断の結果、耐震改修工事などが必要になっても費用が高額で出せない」が44.6％で１位になっている。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次いで「どんなに耐震化しても大地震（または大津波）にあえば被害は避けられないと思う」が35.5％、「耐震診断の費用がかかる」が33.3％となっている。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男女とも「総合」とほぼ同じ傾向になっている。</w:t>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753860"/>
            <wp:effectExtent l="0" t="0" r="0" b="0"/>
            <wp:docPr id="110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30歳代、40歳代、50歳代、60歳代では「耐震診断の結果、耐震改修工事などが必要になっても費用が高額で出せない」が、20歳代では「耐震診断の費用がかかる」が、70歳以上では「どんなに耐震化しても大地震（または大津波）にあえば被害は避けられないと思う」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rFonts w:ascii="ＭＳ 明朝" w:eastAsia="ＭＳ 明朝" w:hAnsi="ＭＳ 明朝"/>
          <w:noProof/>
          <w:sz w:val="18"/>
        </w:rPr>
        <w:drawing>
          <wp:inline distT="0" distB="0" distL="0" distR="0">
            <wp:extent cx="5963285" cy="7747000"/>
            <wp:effectExtent l="0" t="0" r="0" b="0"/>
            <wp:docPr id="110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《職業別・広域市町村圏別・住まいの状況別》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923" w:type="dxa"/>
        <w:tblInd w:w="-224" w:type="dxa"/>
        <w:tblLayout w:type="fixed"/>
        <w:tblLook w:val="04A0" w:firstRow="1" w:lastRow="0" w:firstColumn="1" w:lastColumn="0" w:noHBand="0" w:noVBand="1"/>
      </w:tblPr>
      <w:tblGrid>
        <w:gridCol w:w="519"/>
        <w:gridCol w:w="1836"/>
        <w:gridCol w:w="536"/>
        <w:gridCol w:w="536"/>
        <w:gridCol w:w="536"/>
        <w:gridCol w:w="536"/>
        <w:gridCol w:w="536"/>
        <w:gridCol w:w="536"/>
        <w:gridCol w:w="536"/>
        <w:gridCol w:w="536"/>
        <w:gridCol w:w="728"/>
        <w:gridCol w:w="564"/>
        <w:gridCol w:w="712"/>
        <w:gridCol w:w="709"/>
        <w:gridCol w:w="567"/>
      </w:tblGrid>
      <w:tr w:rsidR="00C53806">
        <w:trPr>
          <w:cantSplit/>
          <w:trHeight w:val="2211"/>
        </w:trPr>
        <w:tc>
          <w:tcPr>
            <w:tcW w:w="2355" w:type="dxa"/>
            <w:gridSpan w:val="2"/>
            <w:tcBorders>
              <w:tl2br w:val="single" w:sz="4" w:space="0" w:color="auto"/>
            </w:tcBorders>
          </w:tcPr>
          <w:p w:rsidR="00C53806" w:rsidRDefault="00F940FB">
            <w:pPr>
              <w:spacing w:line="0" w:lineRule="atLeast"/>
              <w:rPr>
                <w:rFonts w:ascii="ＭＳ 明朝" w:hAnsi="ＭＳ 明朝"/>
                <w:sz w:val="18"/>
              </w:rPr>
            </w:pPr>
            <w:r>
              <w:rPr>
                <w:rFonts w:ascii="ＭＳ 明朝" w:hAnsi="ＭＳ 明朝"/>
                <w:sz w:val="18"/>
              </w:rPr>
              <w:pict>
                <v:shape id="テキスト ボックス 320" o:spid="_x0000_s2091" type="#_x0000_t202" style="position:absolute;left:0;text-align:left;margin-left:-4pt;margin-top:87.5pt;width:54pt;height:20.6pt;z-index:74"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21" o:spid="_x0000_s2090" type="#_x0000_t202" style="position:absolute;left:0;text-align:left;margin-left:56.75pt;margin-top:.75pt;width:54pt;height:20.25pt;z-index:73" filled="f" stroked="f">
                  <v:textbox>
                    <w:txbxContent>
                      <w:p w:rsidR="00B642E5" w:rsidRDefault="00B642E5">
                        <w:pPr>
                          <w:rPr>
                            <w:sz w:val="18"/>
                          </w:rPr>
                        </w:pPr>
                        <w:r>
                          <w:rPr>
                            <w:rFonts w:hint="eastAsia"/>
                            <w:sz w:val="18"/>
                          </w:rPr>
                          <w:t>項　目</w:t>
                        </w:r>
                      </w:p>
                    </w:txbxContent>
                  </v:textbox>
                </v:shape>
              </w:pict>
            </w:r>
          </w:p>
        </w:tc>
        <w:tc>
          <w:tcPr>
            <w:tcW w:w="536"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自分が生きている間に南海トラフ地震は起きないと思う</w:t>
            </w:r>
          </w:p>
        </w:tc>
        <w:tc>
          <w:tcPr>
            <w:tcW w:w="536"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自宅が地震に強いと思っている</w:t>
            </w:r>
          </w:p>
        </w:tc>
        <w:tc>
          <w:tcPr>
            <w:tcW w:w="536"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自宅が地震に弱いと思っているので受ける意味が無い</w:t>
            </w:r>
          </w:p>
        </w:tc>
        <w:tc>
          <w:tcPr>
            <w:tcW w:w="536"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申し込み手続きに手間がかかる</w:t>
            </w:r>
          </w:p>
        </w:tc>
        <w:tc>
          <w:tcPr>
            <w:tcW w:w="536"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家の中に他人が入ってほしくない</w:t>
            </w:r>
          </w:p>
        </w:tc>
        <w:tc>
          <w:tcPr>
            <w:tcW w:w="536" w:type="dxa"/>
            <w:textDirection w:val="tbRlV"/>
            <w:vAlign w:val="center"/>
          </w:tcPr>
          <w:p w:rsidR="00C53806" w:rsidRDefault="009760D2">
            <w:pPr>
              <w:spacing w:line="0" w:lineRule="atLeast"/>
              <w:ind w:firstLineChars="50" w:firstLine="80"/>
              <w:rPr>
                <w:rFonts w:ascii="ＭＳ Ｐゴシック" w:eastAsia="ＭＳ Ｐゴシック" w:hAnsi="ＭＳ Ｐゴシック"/>
                <w:color w:val="000000"/>
                <w:sz w:val="16"/>
              </w:rPr>
            </w:pPr>
            <w:r>
              <w:rPr>
                <w:rFonts w:hint="eastAsia"/>
                <w:color w:val="000000"/>
                <w:sz w:val="16"/>
              </w:rPr>
              <w:t>部屋を片付けるのが面倒だ</w:t>
            </w:r>
          </w:p>
        </w:tc>
        <w:tc>
          <w:tcPr>
            <w:tcW w:w="536" w:type="dxa"/>
            <w:textDirection w:val="tbRlV"/>
            <w:vAlign w:val="center"/>
          </w:tcPr>
          <w:p w:rsidR="00C53806" w:rsidRDefault="009760D2">
            <w:pPr>
              <w:spacing w:line="0" w:lineRule="atLeast"/>
              <w:ind w:firstLineChars="50" w:firstLine="80"/>
              <w:rPr>
                <w:rFonts w:ascii="ＭＳ Ｐゴシック" w:eastAsia="ＭＳ Ｐゴシック" w:hAnsi="ＭＳ Ｐゴシック"/>
                <w:color w:val="000000"/>
                <w:sz w:val="16"/>
              </w:rPr>
            </w:pPr>
            <w:r>
              <w:rPr>
                <w:rFonts w:hint="eastAsia"/>
                <w:color w:val="000000"/>
                <w:sz w:val="16"/>
              </w:rPr>
              <w:t>耐震診断の費用がかかる</w:t>
            </w:r>
          </w:p>
        </w:tc>
        <w:tc>
          <w:tcPr>
            <w:tcW w:w="536"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耐震診断のやり方がわからない</w:t>
            </w:r>
          </w:p>
        </w:tc>
        <w:tc>
          <w:tcPr>
            <w:tcW w:w="728"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近いうちにリフォームする予定で、その時に耐震診断をするつもりである</w:t>
            </w:r>
          </w:p>
        </w:tc>
        <w:tc>
          <w:tcPr>
            <w:tcW w:w="564"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近いうちに建て替えるつもりである</w:t>
            </w:r>
          </w:p>
        </w:tc>
        <w:tc>
          <w:tcPr>
            <w:tcW w:w="712"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耐震診断の結果、耐震改修工事などが必要になっても費用が高額で出せない</w:t>
            </w:r>
          </w:p>
        </w:tc>
        <w:tc>
          <w:tcPr>
            <w:tcW w:w="709" w:type="dxa"/>
            <w:textDirection w:val="tbRlV"/>
            <w:vAlign w:val="center"/>
          </w:tcPr>
          <w:p w:rsidR="00C53806" w:rsidRDefault="009760D2">
            <w:pPr>
              <w:spacing w:line="0" w:lineRule="atLeast"/>
              <w:ind w:leftChars="50" w:left="105"/>
              <w:rPr>
                <w:rFonts w:ascii="ＭＳ Ｐゴシック" w:eastAsia="ＭＳ Ｐゴシック" w:hAnsi="ＭＳ Ｐゴシック"/>
                <w:color w:val="000000"/>
                <w:sz w:val="16"/>
              </w:rPr>
            </w:pPr>
            <w:r>
              <w:rPr>
                <w:rFonts w:hint="eastAsia"/>
                <w:color w:val="000000"/>
                <w:sz w:val="16"/>
              </w:rPr>
              <w:t>どんなに耐震化しても大地震（または大津波）にあえば被害は避けられないと思う</w:t>
            </w:r>
          </w:p>
        </w:tc>
        <w:tc>
          <w:tcPr>
            <w:tcW w:w="567" w:type="dxa"/>
            <w:textDirection w:val="tbRlV"/>
            <w:vAlign w:val="center"/>
          </w:tcPr>
          <w:p w:rsidR="00C53806" w:rsidRDefault="009760D2">
            <w:pPr>
              <w:spacing w:line="0" w:lineRule="atLeast"/>
              <w:ind w:firstLineChars="50" w:firstLine="80"/>
              <w:rPr>
                <w:rFonts w:ascii="ＭＳ Ｐゴシック" w:eastAsia="ＭＳ Ｐゴシック" w:hAnsi="ＭＳ Ｐゴシック"/>
                <w:color w:val="000000"/>
                <w:sz w:val="16"/>
              </w:rPr>
            </w:pPr>
            <w:r>
              <w:rPr>
                <w:rFonts w:hint="eastAsia"/>
                <w:color w:val="000000"/>
                <w:sz w:val="16"/>
              </w:rPr>
              <w:t>その他</w:t>
            </w:r>
          </w:p>
        </w:tc>
      </w:tr>
      <w:tr w:rsidR="00C53806">
        <w:trPr>
          <w:cantSplit/>
          <w:trHeight w:val="227"/>
        </w:trPr>
        <w:tc>
          <w:tcPr>
            <w:tcW w:w="519"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5.6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13.9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30.6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8.3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41.7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27.8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27.8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61.1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16.1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19.4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45.2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12.9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17.5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45.0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17.5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5.5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20.0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47.3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14.3 </w:t>
            </w:r>
          </w:p>
        </w:tc>
        <w:tc>
          <w:tcPr>
            <w:tcW w:w="536"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14.3 </w:t>
            </w:r>
          </w:p>
        </w:tc>
        <w:tc>
          <w:tcPr>
            <w:tcW w:w="536"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14.3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14.3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28.6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28.6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75.0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50.0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50.0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40.0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23.3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36.4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9.1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9.1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45.5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r>
      <w:tr w:rsidR="00C53806">
        <w:trPr>
          <w:trHeight w:val="227"/>
        </w:trPr>
        <w:tc>
          <w:tcPr>
            <w:tcW w:w="519" w:type="dxa"/>
            <w:vMerge/>
          </w:tcPr>
          <w:p w:rsidR="00C53806" w:rsidRDefault="00C53806">
            <w:pPr>
              <w:rPr>
                <w:rFonts w:ascii="ＭＳ 明朝" w:hAnsi="ＭＳ 明朝"/>
                <w:sz w:val="18"/>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21.6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45.1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49.0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r>
      <w:tr w:rsidR="00C53806">
        <w:trPr>
          <w:trHeight w:val="227"/>
        </w:trPr>
        <w:tc>
          <w:tcPr>
            <w:tcW w:w="519" w:type="dxa"/>
            <w:vMerge/>
            <w:tcBorders>
              <w:bottom w:val="double" w:sz="4" w:space="0" w:color="auto"/>
            </w:tcBorders>
          </w:tcPr>
          <w:p w:rsidR="00C53806" w:rsidRDefault="00C53806">
            <w:pPr>
              <w:rPr>
                <w:rFonts w:ascii="ＭＳ 明朝" w:hAnsi="ＭＳ 明朝"/>
                <w:sz w:val="18"/>
              </w:rPr>
            </w:pPr>
          </w:p>
        </w:tc>
        <w:tc>
          <w:tcPr>
            <w:tcW w:w="1836"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5.3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5.3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7.9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15.8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5.3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15.8 </w:t>
            </w:r>
          </w:p>
        </w:tc>
        <w:tc>
          <w:tcPr>
            <w:tcW w:w="536" w:type="dxa"/>
            <w:tcBorders>
              <w:bottom w:val="doub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39.5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18.4 </w:t>
            </w:r>
          </w:p>
        </w:tc>
        <w:tc>
          <w:tcPr>
            <w:tcW w:w="728"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2.6 </w:t>
            </w:r>
          </w:p>
        </w:tc>
        <w:tc>
          <w:tcPr>
            <w:tcW w:w="564"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42.1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34.2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23.7 </w:t>
            </w:r>
          </w:p>
        </w:tc>
      </w:tr>
      <w:tr w:rsidR="00C53806">
        <w:trPr>
          <w:cantSplit/>
          <w:trHeight w:val="227"/>
        </w:trPr>
        <w:tc>
          <w:tcPr>
            <w:tcW w:w="519"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36"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 </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 </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23.4 </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11.2 </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 </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12.1 </w:t>
            </w:r>
          </w:p>
        </w:tc>
        <w:tc>
          <w:tcPr>
            <w:tcW w:w="536"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41.1 </w:t>
            </w:r>
          </w:p>
        </w:tc>
        <w:tc>
          <w:tcPr>
            <w:tcW w:w="536"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16.8 </w:t>
            </w:r>
          </w:p>
        </w:tc>
        <w:tc>
          <w:tcPr>
            <w:tcW w:w="728"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 </w:t>
            </w:r>
          </w:p>
        </w:tc>
        <w:tc>
          <w:tcPr>
            <w:tcW w:w="564"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5.6 </w:t>
            </w:r>
          </w:p>
        </w:tc>
        <w:tc>
          <w:tcPr>
            <w:tcW w:w="712"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40.2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24.3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18.7 </w:t>
            </w:r>
          </w:p>
        </w:tc>
      </w:tr>
      <w:tr w:rsidR="00C53806">
        <w:trPr>
          <w:cantSplit/>
          <w:trHeight w:val="227"/>
        </w:trPr>
        <w:tc>
          <w:tcPr>
            <w:tcW w:w="519" w:type="dxa"/>
            <w:vMerge/>
            <w:vAlign w:val="center"/>
          </w:tcPr>
          <w:p w:rsidR="00C53806" w:rsidRDefault="00C53806">
            <w:pPr>
              <w:jc w:val="center"/>
              <w:rPr>
                <w:rFonts w:ascii="ＭＳ 明朝" w:hAnsi="ＭＳ 明朝"/>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31.1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8.9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46.7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53.3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r>
      <w:tr w:rsidR="00C53806">
        <w:trPr>
          <w:cantSplit/>
          <w:trHeight w:val="227"/>
        </w:trPr>
        <w:tc>
          <w:tcPr>
            <w:tcW w:w="519" w:type="dxa"/>
            <w:vMerge/>
            <w:vAlign w:val="center"/>
          </w:tcPr>
          <w:p w:rsidR="00C53806" w:rsidRDefault="00C53806">
            <w:pPr>
              <w:jc w:val="center"/>
              <w:rPr>
                <w:rFonts w:ascii="ＭＳ 明朝" w:hAnsi="ＭＳ 明朝"/>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23.9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15.2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34.8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13.0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54.3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10.9 </w:t>
            </w:r>
          </w:p>
        </w:tc>
      </w:tr>
      <w:tr w:rsidR="00C53806">
        <w:trPr>
          <w:cantSplit/>
          <w:trHeight w:val="227"/>
        </w:trPr>
        <w:tc>
          <w:tcPr>
            <w:tcW w:w="519" w:type="dxa"/>
            <w:vMerge/>
            <w:vAlign w:val="center"/>
          </w:tcPr>
          <w:p w:rsidR="00C53806" w:rsidRDefault="00C53806">
            <w:pPr>
              <w:jc w:val="center"/>
              <w:rPr>
                <w:rFonts w:ascii="ＭＳ 明朝" w:hAnsi="ＭＳ 明朝"/>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15.4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15.4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23.1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7.7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7.7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30.8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38.5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15.4 </w:t>
            </w:r>
          </w:p>
        </w:tc>
      </w:tr>
      <w:tr w:rsidR="00C53806">
        <w:trPr>
          <w:cantSplit/>
          <w:trHeight w:val="227"/>
        </w:trPr>
        <w:tc>
          <w:tcPr>
            <w:tcW w:w="519" w:type="dxa"/>
            <w:vMerge/>
            <w:vAlign w:val="center"/>
          </w:tcPr>
          <w:p w:rsidR="00C53806" w:rsidRDefault="00C53806">
            <w:pPr>
              <w:jc w:val="center"/>
              <w:rPr>
                <w:rFonts w:ascii="ＭＳ 明朝" w:hAnsi="ＭＳ 明朝"/>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8.0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 </w:t>
            </w:r>
          </w:p>
        </w:tc>
        <w:tc>
          <w:tcPr>
            <w:tcW w:w="712"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40.0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24.0 </w:t>
            </w:r>
          </w:p>
        </w:tc>
      </w:tr>
      <w:tr w:rsidR="00C53806">
        <w:trPr>
          <w:cantSplit/>
          <w:trHeight w:val="227"/>
        </w:trPr>
        <w:tc>
          <w:tcPr>
            <w:tcW w:w="519" w:type="dxa"/>
            <w:vMerge/>
            <w:vAlign w:val="center"/>
          </w:tcPr>
          <w:p w:rsidR="00C53806" w:rsidRDefault="00C53806">
            <w:pPr>
              <w:jc w:val="center"/>
              <w:rPr>
                <w:rFonts w:ascii="ＭＳ 明朝" w:hAnsi="ＭＳ 明朝"/>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12.5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6.3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18.8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18.8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6.3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56.3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56.3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6.3 </w:t>
            </w:r>
          </w:p>
        </w:tc>
      </w:tr>
      <w:tr w:rsidR="00C53806">
        <w:trPr>
          <w:cantSplit/>
          <w:trHeight w:val="227"/>
        </w:trPr>
        <w:tc>
          <w:tcPr>
            <w:tcW w:w="519" w:type="dxa"/>
            <w:vMerge/>
            <w:vAlign w:val="center"/>
          </w:tcPr>
          <w:p w:rsidR="00C53806" w:rsidRDefault="00C53806">
            <w:pPr>
              <w:jc w:val="center"/>
              <w:rPr>
                <w:rFonts w:ascii="ＭＳ 明朝" w:hAnsi="ＭＳ 明朝"/>
              </w:rPr>
            </w:pPr>
          </w:p>
        </w:tc>
        <w:tc>
          <w:tcPr>
            <w:tcW w:w="1836"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6.7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10.0 </w:t>
            </w:r>
          </w:p>
        </w:tc>
        <w:tc>
          <w:tcPr>
            <w:tcW w:w="536"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30.0 </w:t>
            </w:r>
          </w:p>
        </w:tc>
        <w:tc>
          <w:tcPr>
            <w:tcW w:w="536"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72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564"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 </w:t>
            </w:r>
          </w:p>
        </w:tc>
        <w:tc>
          <w:tcPr>
            <w:tcW w:w="712"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50.0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13.3 </w:t>
            </w:r>
          </w:p>
        </w:tc>
      </w:tr>
      <w:tr w:rsidR="00C53806">
        <w:trPr>
          <w:cantSplit/>
          <w:trHeight w:val="227"/>
        </w:trPr>
        <w:tc>
          <w:tcPr>
            <w:tcW w:w="519" w:type="dxa"/>
            <w:vMerge/>
            <w:tcBorders>
              <w:bottom w:val="double" w:sz="4" w:space="0" w:color="auto"/>
            </w:tcBorders>
            <w:vAlign w:val="center"/>
          </w:tcPr>
          <w:p w:rsidR="00C53806" w:rsidRDefault="00C53806">
            <w:pPr>
              <w:jc w:val="center"/>
              <w:rPr>
                <w:rFonts w:ascii="ＭＳ 明朝" w:hAnsi="ＭＳ 明朝"/>
              </w:rPr>
            </w:pPr>
          </w:p>
        </w:tc>
        <w:tc>
          <w:tcPr>
            <w:tcW w:w="1836"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21.4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11.9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 </w:t>
            </w:r>
          </w:p>
        </w:tc>
        <w:tc>
          <w:tcPr>
            <w:tcW w:w="536" w:type="dxa"/>
            <w:tcBorders>
              <w:bottom w:val="doub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28.6 </w:t>
            </w:r>
          </w:p>
        </w:tc>
        <w:tc>
          <w:tcPr>
            <w:tcW w:w="536"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19.0 </w:t>
            </w:r>
          </w:p>
        </w:tc>
        <w:tc>
          <w:tcPr>
            <w:tcW w:w="728"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40.5 </w:t>
            </w:r>
          </w:p>
        </w:tc>
        <w:tc>
          <w:tcPr>
            <w:tcW w:w="709"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40.5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19.0 </w:t>
            </w:r>
          </w:p>
        </w:tc>
      </w:tr>
      <w:tr w:rsidR="00C53806">
        <w:trPr>
          <w:cantSplit/>
          <w:trHeight w:val="430"/>
        </w:trPr>
        <w:tc>
          <w:tcPr>
            <w:tcW w:w="519" w:type="dxa"/>
            <w:vMerge w:val="restart"/>
            <w:tcBorders>
              <w:top w:val="double" w:sz="4" w:space="0" w:color="auto"/>
            </w:tcBorders>
            <w:textDirection w:val="tbRlV"/>
            <w:vAlign w:val="center"/>
          </w:tcPr>
          <w:p w:rsidR="00C53806" w:rsidRDefault="009760D2">
            <w:pPr>
              <w:spacing w:line="0" w:lineRule="atLeast"/>
              <w:ind w:left="113" w:right="113"/>
              <w:jc w:val="center"/>
              <w:rPr>
                <w:rFonts w:ascii="ＭＳ 明朝" w:hAnsi="ＭＳ 明朝"/>
                <w:sz w:val="13"/>
              </w:rPr>
            </w:pPr>
            <w:r>
              <w:rPr>
                <w:rFonts w:ascii="ＭＳ 明朝" w:hAnsi="ＭＳ 明朝" w:hint="eastAsia"/>
                <w:sz w:val="14"/>
              </w:rPr>
              <w:t>住まいの状況別</w:t>
            </w:r>
          </w:p>
        </w:tc>
        <w:tc>
          <w:tcPr>
            <w:tcW w:w="1836" w:type="dxa"/>
            <w:tcBorders>
              <w:top w:val="double" w:sz="4" w:space="0" w:color="auto"/>
              <w:bottom w:val="single" w:sz="4" w:space="0" w:color="auto"/>
            </w:tcBorders>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持家</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4.9 </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5.6 </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20.5 </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12.3 </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5.2 </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11.9 </w:t>
            </w:r>
          </w:p>
        </w:tc>
        <w:tc>
          <w:tcPr>
            <w:tcW w:w="536" w:type="dxa"/>
            <w:tcBorders>
              <w:top w:val="double" w:sz="4" w:space="0" w:color="auto"/>
              <w:bottom w:val="sing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35.1 </w:t>
            </w:r>
          </w:p>
        </w:tc>
        <w:tc>
          <w:tcPr>
            <w:tcW w:w="536"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15.7 </w:t>
            </w:r>
          </w:p>
        </w:tc>
        <w:tc>
          <w:tcPr>
            <w:tcW w:w="728"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 </w:t>
            </w:r>
          </w:p>
        </w:tc>
        <w:tc>
          <w:tcPr>
            <w:tcW w:w="564"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3.4 </w:t>
            </w:r>
          </w:p>
        </w:tc>
        <w:tc>
          <w:tcPr>
            <w:tcW w:w="712" w:type="dxa"/>
            <w:tcBorders>
              <w:top w:val="double" w:sz="4" w:space="0" w:color="auto"/>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48.1 </w:t>
            </w:r>
          </w:p>
        </w:tc>
        <w:tc>
          <w:tcPr>
            <w:tcW w:w="709"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36.9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10.8 </w:t>
            </w:r>
          </w:p>
        </w:tc>
      </w:tr>
      <w:tr w:rsidR="00C53806">
        <w:trPr>
          <w:cantSplit/>
          <w:trHeight w:val="430"/>
        </w:trPr>
        <w:tc>
          <w:tcPr>
            <w:tcW w:w="519" w:type="dxa"/>
            <w:vMerge/>
            <w:tcBorders>
              <w:bottom w:val="single" w:sz="4" w:space="0" w:color="auto"/>
            </w:tcBorders>
            <w:vAlign w:val="center"/>
          </w:tcPr>
          <w:p w:rsidR="00C53806" w:rsidRDefault="00C53806">
            <w:pPr>
              <w:jc w:val="center"/>
              <w:rPr>
                <w:rFonts w:ascii="ＭＳ 明朝" w:hAnsi="ＭＳ 明朝"/>
                <w:sz w:val="12"/>
              </w:rPr>
            </w:pPr>
          </w:p>
        </w:tc>
        <w:tc>
          <w:tcPr>
            <w:tcW w:w="1836" w:type="dxa"/>
            <w:tcBorders>
              <w:bottom w:val="single" w:sz="4" w:space="0" w:color="auto"/>
            </w:tcBorders>
            <w:vAlign w:val="center"/>
          </w:tcPr>
          <w:p w:rsidR="00C53806" w:rsidRDefault="009760D2">
            <w:pPr>
              <w:rPr>
                <w:rFonts w:ascii="ＭＳ Ｐゴシック" w:eastAsia="ＭＳ Ｐゴシック" w:hAnsi="ＭＳ Ｐゴシック"/>
                <w:color w:val="000000"/>
                <w:sz w:val="18"/>
              </w:rPr>
            </w:pPr>
            <w:r>
              <w:rPr>
                <w:rFonts w:hint="eastAsia"/>
                <w:color w:val="000000"/>
                <w:sz w:val="18"/>
              </w:rPr>
              <w:t>借家</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31.4 </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5.9 </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 </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 </w:t>
            </w:r>
          </w:p>
        </w:tc>
        <w:tc>
          <w:tcPr>
            <w:tcW w:w="536" w:type="dxa"/>
            <w:tcBorders>
              <w:bottom w:val="sing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25.5 </w:t>
            </w:r>
          </w:p>
        </w:tc>
        <w:tc>
          <w:tcPr>
            <w:tcW w:w="536"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c>
          <w:tcPr>
            <w:tcW w:w="728"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4"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712"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23.5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25.5 </w:t>
            </w:r>
          </w:p>
        </w:tc>
        <w:tc>
          <w:tcPr>
            <w:tcW w:w="567"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43.1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Style w:val="a9"/>
        <w:tblW w:w="9971" w:type="dxa"/>
        <w:tblInd w:w="-224" w:type="dxa"/>
        <w:tblLayout w:type="fixed"/>
        <w:tblLook w:val="04A0" w:firstRow="1" w:lastRow="0" w:firstColumn="1" w:lastColumn="0" w:noHBand="0" w:noVBand="1"/>
      </w:tblPr>
      <w:tblGrid>
        <w:gridCol w:w="9971"/>
      </w:tblGrid>
      <w:tr w:rsidR="00C53806">
        <w:trPr>
          <w:trHeight w:val="416"/>
        </w:trPr>
        <w:tc>
          <w:tcPr>
            <w:tcW w:w="9639"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問20　副問４　（副問２で「３」、「４」を選んだ方のみお答えください。）</w:t>
            </w:r>
          </w:p>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 xml:space="preserve">　　 耐震改修工事などをしていないのはどのような理由からですか。</w:t>
            </w:r>
          </w:p>
          <w:p w:rsidR="00C53806" w:rsidRDefault="009760D2">
            <w:pPr>
              <w:ind w:firstLineChars="2950" w:firstLine="6195"/>
              <w:rPr>
                <w:rFonts w:ascii="ＭＳ 明朝" w:hAnsi="ＭＳ 明朝"/>
              </w:rPr>
            </w:pPr>
            <w:r>
              <w:rPr>
                <w:rFonts w:ascii="ＭＳ ゴシック" w:eastAsia="ＭＳ ゴシック" w:hAnsi="ＭＳ ゴシック" w:hint="eastAsia"/>
                <w:sz w:val="21"/>
              </w:rPr>
              <w:t>（当てはまるものすべてに○印）</w:t>
            </w:r>
          </w:p>
        </w:tc>
      </w:tr>
    </w:tbl>
    <w:p w:rsidR="00C53806" w:rsidRDefault="00C53806">
      <w:pPr>
        <w:ind w:firstLineChars="100" w:firstLine="210"/>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「費用が高い」が75.0％で１位になっている。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次いで「工事中の生活に支障が出る」が37.5％、「どんなに耐震化しても大地震（または大津波）にあえば被害は避けられないと思う」が29.2％と続いている。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693535"/>
            <wp:effectExtent l="0" t="0" r="0" b="0"/>
            <wp:docPr id="110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20歳代、30歳代、40歳代、50歳代、60歳代では「費用が高い」が、30歳代ではこれと同率で「工事中の生活に支障が出る」が、70歳以上では「どんなに耐震化しても大地震（または大津波）にあえば被害は避けられないと思う」、「申し込み手続きに手間がかかる」が同率で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1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53806" w:rsidRDefault="00C53806">
      <w:pPr>
        <w:rPr>
          <w:rFonts w:ascii="ＭＳ 明朝" w:eastAsia="ＭＳ 明朝" w:hAnsi="ＭＳ 明朝"/>
        </w:rPr>
      </w:pPr>
    </w:p>
    <w:p w:rsidR="00C53806" w:rsidRDefault="009760D2">
      <w:pPr>
        <w:tabs>
          <w:tab w:val="left" w:pos="7980"/>
        </w:tabs>
        <w:rPr>
          <w:rFonts w:ascii="ＭＳ 明朝" w:eastAsia="ＭＳ 明朝" w:hAnsi="ＭＳ 明朝"/>
        </w:rPr>
      </w:pPr>
      <w:r>
        <w:rPr>
          <w:rFonts w:ascii="ＭＳ 明朝" w:eastAsia="ＭＳ 明朝" w:hAnsi="ＭＳ 明朝"/>
        </w:rPr>
        <w:tab/>
      </w:r>
    </w:p>
    <w:p w:rsidR="00C53806" w:rsidRDefault="00C53806">
      <w:pPr>
        <w:tabs>
          <w:tab w:val="left" w:pos="7980"/>
        </w:tabs>
        <w:rPr>
          <w:rFonts w:ascii="ＭＳ 明朝" w:eastAsia="ＭＳ 明朝" w:hAnsi="ＭＳ 明朝"/>
        </w:rPr>
      </w:pPr>
    </w:p>
    <w:p w:rsidR="00C53806" w:rsidRDefault="00C53806">
      <w:pPr>
        <w:tabs>
          <w:tab w:val="left" w:pos="7980"/>
        </w:tabs>
        <w:rPr>
          <w:rFonts w:ascii="ＭＳ 明朝" w:eastAsia="ＭＳ 明朝" w:hAnsi="ＭＳ 明朝"/>
        </w:rPr>
      </w:pPr>
    </w:p>
    <w:p w:rsidR="00C53806" w:rsidRDefault="00C53806">
      <w:pPr>
        <w:tabs>
          <w:tab w:val="left" w:pos="7980"/>
        </w:tabs>
        <w:rPr>
          <w:rFonts w:ascii="ＭＳ 明朝" w:eastAsia="ＭＳ 明朝" w:hAnsi="ＭＳ 明朝"/>
        </w:rPr>
      </w:pPr>
    </w:p>
    <w:p w:rsidR="00C53806" w:rsidRDefault="00C53806">
      <w:pPr>
        <w:tabs>
          <w:tab w:val="left" w:pos="7980"/>
        </w:tabs>
        <w:rPr>
          <w:rFonts w:ascii="ＭＳ 明朝" w:eastAsia="ＭＳ 明朝" w:hAnsi="ＭＳ 明朝"/>
        </w:rPr>
      </w:pPr>
    </w:p>
    <w:p w:rsidR="00C53806" w:rsidRDefault="00C53806">
      <w:pPr>
        <w:tabs>
          <w:tab w:val="left" w:pos="7980"/>
        </w:tabs>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《職業別・広域市町村圏別・住まいの状況別》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709"/>
        <w:gridCol w:w="1843"/>
        <w:gridCol w:w="850"/>
        <w:gridCol w:w="851"/>
        <w:gridCol w:w="850"/>
        <w:gridCol w:w="851"/>
        <w:gridCol w:w="850"/>
        <w:gridCol w:w="851"/>
        <w:gridCol w:w="1098"/>
        <w:gridCol w:w="886"/>
      </w:tblGrid>
      <w:tr w:rsidR="00C53806">
        <w:trPr>
          <w:cantSplit/>
          <w:trHeight w:val="1984"/>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25" o:spid="_x0000_s2089" type="#_x0000_t202" style="position:absolute;left:0;text-align:left;margin-left:2.75pt;margin-top:73.75pt;width:54pt;height:20.6pt;z-index:76"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26" o:spid="_x0000_s2088" type="#_x0000_t202" style="position:absolute;left:0;text-align:left;margin-left:56.75pt;margin-top:.75pt;width:54pt;height:20.25pt;z-index:75" filled="f" stroked="f">
                  <v:textbox>
                    <w:txbxContent>
                      <w:p w:rsidR="00B642E5" w:rsidRDefault="00B642E5">
                        <w:pPr>
                          <w:rPr>
                            <w:sz w:val="18"/>
                          </w:rPr>
                        </w:pPr>
                        <w:r>
                          <w:rPr>
                            <w:rFonts w:hint="eastAsia"/>
                            <w:sz w:val="18"/>
                          </w:rPr>
                          <w:t>項　目</w:t>
                        </w:r>
                      </w:p>
                    </w:txbxContent>
                  </v:textbox>
                </v:shape>
              </w:pic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費用が高い</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申し込み手続きに手間がかかる</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家の中に他人が入ってほしくない</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工事中の生活に支障が出る</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工事に伴う荷物の移動が面倒だ</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信頼できる業者を知らない</w:t>
            </w:r>
          </w:p>
        </w:tc>
        <w:tc>
          <w:tcPr>
            <w:tcW w:w="10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どんなに耐震化しても大地震（または大津波）にあえば被害は避けられないと思う</w:t>
            </w:r>
          </w:p>
        </w:tc>
        <w:tc>
          <w:tcPr>
            <w:tcW w:w="88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709"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25.0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Pr>
          <w:p w:rsidR="00C53806" w:rsidRDefault="00C53806">
            <w:pPr>
              <w:rPr>
                <w:rFonts w:ascii="ＭＳ 明朝" w:hAnsi="ＭＳ 明朝"/>
                <w:sz w:val="18"/>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Borders>
              <w:bottom w:val="double" w:sz="4" w:space="0" w:color="auto"/>
            </w:tcBorders>
          </w:tcPr>
          <w:p w:rsidR="00C53806" w:rsidRDefault="00C53806">
            <w:pPr>
              <w:rPr>
                <w:rFonts w:ascii="ＭＳ 明朝" w:hAnsi="ＭＳ 明朝"/>
                <w:sz w:val="18"/>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850"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0"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1098"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843"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850"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72.7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9.1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18.2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9.1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9.1 </w:t>
            </w:r>
          </w:p>
        </w:tc>
        <w:tc>
          <w:tcPr>
            <w:tcW w:w="10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36.4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9.1 </w:t>
            </w:r>
          </w:p>
        </w:tc>
      </w:tr>
      <w:tr w:rsidR="00C53806">
        <w:trPr>
          <w:trHeight w:val="340"/>
        </w:trPr>
        <w:tc>
          <w:tcPr>
            <w:tcW w:w="709"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50.0 </w:t>
            </w:r>
          </w:p>
        </w:tc>
      </w:tr>
      <w:tr w:rsidR="00C53806">
        <w:trPr>
          <w:trHeight w:val="340"/>
        </w:trPr>
        <w:tc>
          <w:tcPr>
            <w:tcW w:w="709" w:type="dxa"/>
            <w:vMerge/>
            <w:vAlign w:val="center"/>
          </w:tcPr>
          <w:p w:rsidR="00C53806" w:rsidRDefault="00C53806">
            <w:pPr>
              <w:jc w:val="center"/>
              <w:rPr>
                <w:rFonts w:ascii="ＭＳ 明朝" w:hAnsi="ＭＳ 明朝"/>
              </w:rPr>
            </w:pPr>
          </w:p>
        </w:tc>
        <w:tc>
          <w:tcPr>
            <w:tcW w:w="1843"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trHeight w:val="340"/>
        </w:trPr>
        <w:tc>
          <w:tcPr>
            <w:tcW w:w="709" w:type="dxa"/>
            <w:vMerge/>
            <w:tcBorders>
              <w:bottom w:val="double" w:sz="4" w:space="0" w:color="auto"/>
            </w:tcBorders>
            <w:vAlign w:val="center"/>
          </w:tcPr>
          <w:p w:rsidR="00C53806" w:rsidRDefault="00C53806">
            <w:pPr>
              <w:jc w:val="center"/>
              <w:rPr>
                <w:rFonts w:ascii="ＭＳ 明朝" w:hAnsi="ＭＳ 明朝"/>
              </w:rPr>
            </w:pPr>
          </w:p>
        </w:tc>
        <w:tc>
          <w:tcPr>
            <w:tcW w:w="1843"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850"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80.0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20.0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40.0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20.0 </w:t>
            </w:r>
          </w:p>
        </w:tc>
        <w:tc>
          <w:tcPr>
            <w:tcW w:w="10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20.0 </w:t>
            </w:r>
          </w:p>
        </w:tc>
        <w:tc>
          <w:tcPr>
            <w:tcW w:w="88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r>
      <w:tr w:rsidR="00C53806">
        <w:trPr>
          <w:cantSplit/>
          <w:trHeight w:val="340"/>
        </w:trPr>
        <w:tc>
          <w:tcPr>
            <w:tcW w:w="709" w:type="dxa"/>
            <w:vMerge w:val="restart"/>
            <w:tcBorders>
              <w:top w:val="double" w:sz="4" w:space="0" w:color="auto"/>
            </w:tcBorders>
            <w:textDirection w:val="tbRlV"/>
            <w:vAlign w:val="center"/>
          </w:tcPr>
          <w:p w:rsidR="00C53806" w:rsidRDefault="009760D2">
            <w:pPr>
              <w:spacing w:line="0" w:lineRule="atLeast"/>
              <w:ind w:left="57" w:right="57"/>
              <w:jc w:val="center"/>
              <w:rPr>
                <w:rFonts w:ascii="ＭＳ 明朝" w:hAnsi="ＭＳ 明朝"/>
                <w:sz w:val="16"/>
              </w:rPr>
            </w:pPr>
            <w:r>
              <w:rPr>
                <w:rFonts w:ascii="ＭＳ 明朝" w:hAnsi="ＭＳ 明朝" w:hint="eastAsia"/>
                <w:sz w:val="14"/>
              </w:rPr>
              <w:t>住まいの状況別</w:t>
            </w:r>
          </w:p>
        </w:tc>
        <w:tc>
          <w:tcPr>
            <w:tcW w:w="1843" w:type="dxa"/>
            <w:tcBorders>
              <w:top w:val="double" w:sz="4" w:space="0" w:color="auto"/>
            </w:tcBorders>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持家</w:t>
            </w:r>
          </w:p>
        </w:tc>
        <w:tc>
          <w:tcPr>
            <w:tcW w:w="850"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73.9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13.0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39.1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17.4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17.4 </w:t>
            </w:r>
          </w:p>
        </w:tc>
        <w:tc>
          <w:tcPr>
            <w:tcW w:w="10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30.4 </w:t>
            </w:r>
          </w:p>
        </w:tc>
        <w:tc>
          <w:tcPr>
            <w:tcW w:w="88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4.3 </w:t>
            </w:r>
          </w:p>
        </w:tc>
      </w:tr>
      <w:tr w:rsidR="00C53806">
        <w:trPr>
          <w:cantSplit/>
          <w:trHeight w:val="340"/>
        </w:trPr>
        <w:tc>
          <w:tcPr>
            <w:tcW w:w="709" w:type="dxa"/>
            <w:vMerge/>
            <w:tcBorders>
              <w:bottom w:val="single" w:sz="4" w:space="0" w:color="auto"/>
            </w:tcBorders>
            <w:vAlign w:val="center"/>
          </w:tcPr>
          <w:p w:rsidR="00C53806" w:rsidRDefault="00C53806">
            <w:pPr>
              <w:jc w:val="center"/>
              <w:rPr>
                <w:rFonts w:ascii="ＭＳ 明朝" w:hAnsi="ＭＳ 明朝"/>
              </w:rPr>
            </w:pPr>
          </w:p>
        </w:tc>
        <w:tc>
          <w:tcPr>
            <w:tcW w:w="1843" w:type="dxa"/>
            <w:tcBorders>
              <w:bottom w:val="single" w:sz="4" w:space="0" w:color="auto"/>
            </w:tcBorders>
            <w:vAlign w:val="center"/>
          </w:tcPr>
          <w:p w:rsidR="00C53806" w:rsidRDefault="009760D2">
            <w:pPr>
              <w:rPr>
                <w:rFonts w:ascii="ＭＳ Ｐゴシック" w:eastAsia="ＭＳ Ｐゴシック" w:hAnsi="ＭＳ Ｐゴシック"/>
                <w:color w:val="000000"/>
                <w:sz w:val="18"/>
              </w:rPr>
            </w:pPr>
            <w:r>
              <w:rPr>
                <w:rFonts w:hint="eastAsia"/>
                <w:color w:val="000000"/>
                <w:sz w:val="18"/>
              </w:rPr>
              <w:t>借家</w:t>
            </w:r>
          </w:p>
        </w:tc>
        <w:tc>
          <w:tcPr>
            <w:tcW w:w="850"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50"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10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0.0 </w:t>
            </w:r>
          </w:p>
        </w:tc>
        <w:tc>
          <w:tcPr>
            <w:tcW w:w="886"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hint="eastAsia"/>
                <w:color w:val="000000"/>
                <w:sz w:val="18"/>
              </w:rPr>
              <w:t xml:space="preserve">100.0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4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C53806">
        <w:trPr>
          <w:trHeight w:val="524"/>
        </w:trPr>
        <w:tc>
          <w:tcPr>
            <w:tcW w:w="9639" w:type="dxa"/>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問20　副問５　（各問から副問５へ誘導された方のみお答えください。）</w:t>
            </w:r>
          </w:p>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 xml:space="preserve">　　 県や市町村が昭和56年５月31日以前に建築された住宅の耐震診断や耐震設計、耐震改修工事</w:t>
            </w:r>
          </w:p>
          <w:p w:rsidR="00C53806" w:rsidRDefault="009760D2">
            <w:pPr>
              <w:ind w:leftChars="250" w:left="7245" w:hangingChars="3200" w:hanging="6720"/>
              <w:rPr>
                <w:rFonts w:ascii="ＭＳ ゴシック" w:eastAsia="ＭＳ ゴシック" w:hAnsi="ＭＳ ゴシック"/>
              </w:rPr>
            </w:pPr>
            <w:r>
              <w:rPr>
                <w:rFonts w:ascii="ＭＳ ゴシック" w:eastAsia="ＭＳ ゴシック" w:hAnsi="ＭＳ ゴシック" w:hint="eastAsia"/>
              </w:rPr>
              <w:t>にかかった費用の一部を補助していますが、ご存じですか。（1つだけ○印）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「知っている」と「既に利用した（利用中を含む）」を合わせると58.5％が制度を知っている。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そのうち「知っている」が54.6％、「既に利用した（利用中を含む）」が3.9％となっている。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10歳代では「知らない」が、10歳代を除くすべての年代では「知っている」が１位になっている。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《総合・性別・年代別・住まいの状況別》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321935"/>
            <wp:effectExtent l="0" t="0" r="0" b="0"/>
            <wp:docPr id="111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tabs>
          <w:tab w:val="center" w:pos="4773"/>
          <w:tab w:val="left" w:pos="6510"/>
        </w:tabs>
        <w:jc w:val="left"/>
        <w:rPr>
          <w:rFonts w:ascii="ＭＳ 明朝" w:eastAsia="ＭＳ 明朝" w:hAnsi="ＭＳ 明朝"/>
        </w:rPr>
      </w:pPr>
      <w:r>
        <w:rPr>
          <w:rFonts w:ascii="ＭＳ 明朝" w:eastAsia="ＭＳ 明朝" w:hAnsi="ＭＳ 明朝"/>
        </w:rPr>
        <w:tab/>
      </w:r>
      <w:r>
        <w:rPr>
          <w:rFonts w:ascii="ＭＳ 明朝" w:eastAsia="ＭＳ 明朝" w:hAnsi="ＭＳ 明朝" w:hint="eastAsia"/>
        </w:rPr>
        <w:t>《職業別・広域市町村圏別》</w:t>
      </w:r>
      <w:r>
        <w:rPr>
          <w:rFonts w:ascii="ＭＳ 明朝" w:eastAsia="ＭＳ 明朝" w:hAnsi="ＭＳ 明朝"/>
        </w:rPr>
        <w:tab/>
      </w:r>
    </w:p>
    <w:p w:rsidR="00C53806" w:rsidRDefault="00C53806">
      <w:pPr>
        <w:tabs>
          <w:tab w:val="center" w:pos="4773"/>
          <w:tab w:val="left" w:pos="6510"/>
        </w:tabs>
        <w:jc w:val="left"/>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573645"/>
            <wp:effectExtent l="0" t="0" r="0" b="0"/>
            <wp:docPr id="111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問21　耐震改修工事について、自己負担がどれくらいの金額までなら工事をしてもよいと思います</w:t>
            </w:r>
          </w:p>
          <w:p w:rsidR="00C53806" w:rsidRDefault="009760D2">
            <w:pPr>
              <w:ind w:leftChars="200" w:left="7770" w:hangingChars="3500" w:hanging="7350"/>
              <w:rPr>
                <w:rFonts w:ascii="ＭＳ ゴシック" w:eastAsia="ＭＳ ゴシック" w:hAnsi="ＭＳ ゴシック"/>
              </w:rPr>
            </w:pPr>
            <w:r>
              <w:rPr>
                <w:rFonts w:ascii="ＭＳ ゴシック" w:eastAsia="ＭＳ ゴシック" w:hAnsi="ＭＳ ゴシック" w:hint="eastAsia"/>
              </w:rPr>
              <w:t xml:space="preserve">か。（1つだけ○印）　</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「10万円まで」が33.3％で１位になっている。</w:t>
      </w:r>
    </w:p>
    <w:p w:rsidR="00C53806" w:rsidRDefault="009760D2">
      <w:pPr>
        <w:rPr>
          <w:rFonts w:ascii="ＭＳ ゴシック" w:eastAsia="ＭＳ ゴシック" w:hAnsi="ＭＳ ゴシック"/>
        </w:rPr>
      </w:pPr>
      <w:r>
        <w:rPr>
          <w:rFonts w:ascii="ＭＳ 明朝" w:eastAsia="ＭＳ 明朝" w:hAnsi="ＭＳ 明朝" w:hint="eastAsia"/>
          <w:kern w:val="0"/>
        </w:rPr>
        <w:t xml:space="preserve">　次いで「20万円まで」が21.3％、「40万円まで」が14.2％と続いている。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70歳以上を除くすべての年代で「10万円まで」が、70歳以上では「20万円まで」が１位になっている。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《総合・性別・年代別・住まいの状況別》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132705"/>
            <wp:effectExtent l="0" t="0" r="0" b="0"/>
            <wp:docPr id="111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C53806">
      <w:pPr>
        <w:jc w:val="cente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C53806">
      <w:pPr>
        <w:jc w:val="cente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435850"/>
            <wp:effectExtent l="0" t="0" r="0" b="0"/>
            <wp:docPr id="111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ind w:firstLineChars="100" w:firstLine="210"/>
        <w:rPr>
          <w:rFonts w:ascii="ＭＳ 明朝" w:eastAsia="ＭＳ 明朝" w:hAnsi="ＭＳ 明朝"/>
        </w:rPr>
      </w:pPr>
    </w:p>
    <w:tbl>
      <w:tblPr>
        <w:tblStyle w:val="a9"/>
        <w:tblW w:w="9637" w:type="dxa"/>
        <w:tblInd w:w="108" w:type="dxa"/>
        <w:tblLayout w:type="fixed"/>
        <w:tblLook w:val="04A0" w:firstRow="1" w:lastRow="0" w:firstColumn="1" w:lastColumn="0" w:noHBand="0" w:noVBand="1"/>
      </w:tblPr>
      <w:tblGrid>
        <w:gridCol w:w="9637"/>
      </w:tblGrid>
      <w:tr w:rsidR="00C53806">
        <w:tc>
          <w:tcPr>
            <w:tcW w:w="963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【問20×問21のクロス分析】</w:t>
            </w:r>
          </w:p>
        </w:tc>
      </w:tr>
    </w:tbl>
    <w:p w:rsidR="00C53806" w:rsidRDefault="00C53806">
      <w:pP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hint="eastAsia"/>
        </w:rPr>
        <w:t xml:space="preserve">　「自宅の建築年と構造についてお答えください。」という質問への回答に対し、「耐震工事における自己負担額がどれくらいの金額までなら工事をしてもよいと思いますか。」について見てみると、建築年と構造に関わらず、「10万円まで」が高くなっている。</w:t>
      </w:r>
    </w:p>
    <w:p w:rsidR="00C53806" w:rsidRDefault="00C53806">
      <w:pPr>
        <w:rPr>
          <w:rFonts w:ascii="ＭＳ 明朝" w:eastAsia="ＭＳ 明朝" w:hAnsi="ＭＳ 明朝"/>
        </w:rPr>
      </w:pPr>
    </w:p>
    <w:p w:rsidR="00C53806" w:rsidRDefault="00C53806">
      <w:pPr>
        <w:jc w:val="cente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《問20×問21のクロス分析》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2"/>
        <w:tblW w:w="9763" w:type="dxa"/>
        <w:tblLayout w:type="fixed"/>
        <w:tblLook w:val="04A0" w:firstRow="1" w:lastRow="0" w:firstColumn="1" w:lastColumn="0" w:noHBand="0" w:noVBand="1"/>
      </w:tblPr>
      <w:tblGrid>
        <w:gridCol w:w="527"/>
        <w:gridCol w:w="2492"/>
        <w:gridCol w:w="963"/>
        <w:gridCol w:w="963"/>
        <w:gridCol w:w="964"/>
        <w:gridCol w:w="963"/>
        <w:gridCol w:w="964"/>
        <w:gridCol w:w="963"/>
        <w:gridCol w:w="964"/>
      </w:tblGrid>
      <w:tr w:rsidR="00C53806">
        <w:tc>
          <w:tcPr>
            <w:tcW w:w="3085" w:type="dxa"/>
            <w:gridSpan w:val="2"/>
            <w:vMerge w:val="restart"/>
            <w:tcBorders>
              <w:tl2br w:val="single" w:sz="4" w:space="0" w:color="auto"/>
            </w:tcBorders>
          </w:tcPr>
          <w:p w:rsidR="00C53806" w:rsidRDefault="00C53806">
            <w:pPr>
              <w:rPr>
                <w:rFonts w:ascii="ＭＳ 明朝" w:eastAsia="ＭＳ 明朝" w:hAnsi="ＭＳ 明朝"/>
              </w:rPr>
            </w:pPr>
          </w:p>
        </w:tc>
        <w:tc>
          <w:tcPr>
            <w:tcW w:w="6877" w:type="dxa"/>
            <w:gridSpan w:val="7"/>
          </w:tcPr>
          <w:p w:rsidR="00C53806" w:rsidRDefault="009760D2">
            <w:pPr>
              <w:jc w:val="center"/>
              <w:rPr>
                <w:rFonts w:ascii="ＭＳ 明朝" w:eastAsia="ＭＳ 明朝" w:hAnsi="ＭＳ 明朝"/>
              </w:rPr>
            </w:pPr>
            <w:r>
              <w:rPr>
                <w:rFonts w:ascii="ＭＳ 明朝" w:eastAsia="ＭＳ 明朝" w:hAnsi="ＭＳ 明朝" w:hint="eastAsia"/>
              </w:rPr>
              <w:t>問21</w:t>
            </w:r>
          </w:p>
        </w:tc>
      </w:tr>
      <w:tr w:rsidR="00C53806">
        <w:trPr>
          <w:cantSplit/>
          <w:trHeight w:val="1587"/>
        </w:trPr>
        <w:tc>
          <w:tcPr>
            <w:tcW w:w="3085" w:type="dxa"/>
            <w:gridSpan w:val="2"/>
            <w:vMerge/>
          </w:tcPr>
          <w:p w:rsidR="00C53806" w:rsidRDefault="00C53806">
            <w:pPr>
              <w:rPr>
                <w:rFonts w:ascii="ＭＳ 明朝" w:eastAsia="ＭＳ 明朝" w:hAnsi="ＭＳ 明朝"/>
              </w:rPr>
            </w:pPr>
          </w:p>
        </w:tc>
        <w:tc>
          <w:tcPr>
            <w:tcW w:w="982"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１０万円まで</w:t>
            </w:r>
          </w:p>
        </w:tc>
        <w:tc>
          <w:tcPr>
            <w:tcW w:w="982"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２０万円まで</w:t>
            </w:r>
          </w:p>
        </w:tc>
        <w:tc>
          <w:tcPr>
            <w:tcW w:w="983"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４０万円まで</w:t>
            </w:r>
          </w:p>
        </w:tc>
        <w:tc>
          <w:tcPr>
            <w:tcW w:w="982"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６０万円まで</w:t>
            </w:r>
          </w:p>
        </w:tc>
        <w:tc>
          <w:tcPr>
            <w:tcW w:w="983"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８０万円まで</w:t>
            </w:r>
          </w:p>
        </w:tc>
        <w:tc>
          <w:tcPr>
            <w:tcW w:w="982"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１００万円まで</w:t>
            </w:r>
          </w:p>
        </w:tc>
        <w:tc>
          <w:tcPr>
            <w:tcW w:w="983" w:type="dxa"/>
            <w:textDirection w:val="tbRlV"/>
            <w:vAlign w:val="center"/>
          </w:tcPr>
          <w:p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１００万円以上でもよい</w:t>
            </w:r>
          </w:p>
        </w:tc>
      </w:tr>
      <w:tr w:rsidR="00C53806">
        <w:trPr>
          <w:trHeight w:val="720"/>
        </w:trPr>
        <w:tc>
          <w:tcPr>
            <w:tcW w:w="534"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問20</w:t>
            </w:r>
          </w:p>
        </w:tc>
        <w:tc>
          <w:tcPr>
            <w:tcW w:w="2551"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昭和56年５月以前の木造住宅</w:t>
            </w:r>
          </w:p>
        </w:tc>
        <w:tc>
          <w:tcPr>
            <w:tcW w:w="982"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31.7</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21.1</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11.4</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5.6</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1.7</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12.8</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3.4</w:t>
            </w:r>
          </w:p>
        </w:tc>
      </w:tr>
      <w:tr w:rsidR="00C53806">
        <w:trPr>
          <w:trHeight w:val="720"/>
        </w:trPr>
        <w:tc>
          <w:tcPr>
            <w:tcW w:w="534" w:type="dxa"/>
            <w:vMerge/>
          </w:tcPr>
          <w:p w:rsidR="00C53806" w:rsidRDefault="00C53806">
            <w:pPr>
              <w:rPr>
                <w:rFonts w:ascii="ＭＳ 明朝" w:eastAsia="ＭＳ 明朝" w:hAnsi="ＭＳ 明朝"/>
              </w:rPr>
            </w:pPr>
          </w:p>
        </w:tc>
        <w:tc>
          <w:tcPr>
            <w:tcW w:w="2551"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昭和56年６月以降で平成12年５月以前の木造住宅</w:t>
            </w:r>
          </w:p>
        </w:tc>
        <w:tc>
          <w:tcPr>
            <w:tcW w:w="982"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30.3</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20.9</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16.6</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11.4</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2.0</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12.3</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4.0</w:t>
            </w:r>
          </w:p>
        </w:tc>
      </w:tr>
      <w:tr w:rsidR="00C53806">
        <w:trPr>
          <w:trHeight w:val="720"/>
        </w:trPr>
        <w:tc>
          <w:tcPr>
            <w:tcW w:w="534" w:type="dxa"/>
            <w:vMerge/>
          </w:tcPr>
          <w:p w:rsidR="00C53806" w:rsidRDefault="00C53806">
            <w:pPr>
              <w:rPr>
                <w:rFonts w:ascii="ＭＳ 明朝" w:eastAsia="ＭＳ 明朝" w:hAnsi="ＭＳ 明朝"/>
              </w:rPr>
            </w:pPr>
          </w:p>
        </w:tc>
        <w:tc>
          <w:tcPr>
            <w:tcW w:w="2551"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平成12年６月以降の木造住宅</w:t>
            </w:r>
          </w:p>
        </w:tc>
        <w:tc>
          <w:tcPr>
            <w:tcW w:w="982"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25.6</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24.8</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18.9</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9.3</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1.9</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9.3</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2.6</w:t>
            </w:r>
          </w:p>
        </w:tc>
      </w:tr>
      <w:tr w:rsidR="00C53806">
        <w:trPr>
          <w:trHeight w:val="720"/>
        </w:trPr>
        <w:tc>
          <w:tcPr>
            <w:tcW w:w="534" w:type="dxa"/>
            <w:vMerge/>
          </w:tcPr>
          <w:p w:rsidR="00C53806" w:rsidRDefault="00C53806">
            <w:pPr>
              <w:rPr>
                <w:rFonts w:ascii="ＭＳ 明朝" w:eastAsia="ＭＳ 明朝" w:hAnsi="ＭＳ 明朝"/>
              </w:rPr>
            </w:pPr>
          </w:p>
        </w:tc>
        <w:tc>
          <w:tcPr>
            <w:tcW w:w="2551"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昭和56年５月以前の非木造住宅</w:t>
            </w:r>
          </w:p>
        </w:tc>
        <w:tc>
          <w:tcPr>
            <w:tcW w:w="982"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32.7</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15.4</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11.5</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3.8</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1.9</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13.5</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3.8</w:t>
            </w:r>
          </w:p>
        </w:tc>
      </w:tr>
      <w:tr w:rsidR="00C53806">
        <w:trPr>
          <w:trHeight w:val="720"/>
        </w:trPr>
        <w:tc>
          <w:tcPr>
            <w:tcW w:w="534" w:type="dxa"/>
            <w:vMerge/>
          </w:tcPr>
          <w:p w:rsidR="00C53806" w:rsidRDefault="00C53806">
            <w:pPr>
              <w:rPr>
                <w:rFonts w:ascii="ＭＳ 明朝" w:eastAsia="ＭＳ 明朝" w:hAnsi="ＭＳ 明朝"/>
              </w:rPr>
            </w:pPr>
          </w:p>
        </w:tc>
        <w:tc>
          <w:tcPr>
            <w:tcW w:w="2551"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昭和56年６月以降の非木造住宅</w:t>
            </w:r>
          </w:p>
        </w:tc>
        <w:tc>
          <w:tcPr>
            <w:tcW w:w="982"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33.2</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21.2</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15.7</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6.5</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0.9</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11.5</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6.9</w:t>
            </w:r>
          </w:p>
        </w:tc>
      </w:tr>
      <w:tr w:rsidR="00C53806">
        <w:trPr>
          <w:trHeight w:val="720"/>
        </w:trPr>
        <w:tc>
          <w:tcPr>
            <w:tcW w:w="534" w:type="dxa"/>
            <w:vMerge/>
          </w:tcPr>
          <w:p w:rsidR="00C53806" w:rsidRDefault="00C53806">
            <w:pPr>
              <w:rPr>
                <w:rFonts w:ascii="ＭＳ 明朝" w:eastAsia="ＭＳ 明朝" w:hAnsi="ＭＳ 明朝"/>
              </w:rPr>
            </w:pPr>
          </w:p>
        </w:tc>
        <w:tc>
          <w:tcPr>
            <w:tcW w:w="2551" w:type="dxa"/>
            <w:vAlign w:val="center"/>
          </w:tcPr>
          <w:p w:rsidR="00C53806" w:rsidRDefault="009760D2">
            <w:pPr>
              <w:rPr>
                <w:rFonts w:ascii="ＭＳ 明朝" w:eastAsia="ＭＳ 明朝" w:hAnsi="ＭＳ 明朝"/>
                <w:color w:val="000000"/>
                <w:sz w:val="18"/>
              </w:rPr>
            </w:pPr>
            <w:r>
              <w:rPr>
                <w:rFonts w:ascii="ＭＳ 明朝" w:eastAsia="ＭＳ 明朝" w:hAnsi="ＭＳ 明朝" w:hint="eastAsia"/>
                <w:color w:val="000000"/>
                <w:sz w:val="18"/>
              </w:rPr>
              <w:t>わからない</w:t>
            </w:r>
          </w:p>
        </w:tc>
        <w:tc>
          <w:tcPr>
            <w:tcW w:w="982" w:type="dxa"/>
            <w:shd w:val="clear" w:color="auto" w:fill="D9D9D9" w:themeFill="background1" w:themeFillShade="D9"/>
            <w:vAlign w:val="center"/>
          </w:tcPr>
          <w:p w:rsidR="00C53806" w:rsidRDefault="009760D2">
            <w:pPr>
              <w:jc w:val="right"/>
              <w:rPr>
                <w:rFonts w:ascii="ＭＳ 明朝" w:eastAsia="ＭＳ 明朝" w:hAnsi="ＭＳ 明朝"/>
              </w:rPr>
            </w:pPr>
            <w:r>
              <w:rPr>
                <w:rFonts w:ascii="ＭＳ 明朝" w:eastAsia="ＭＳ 明朝" w:hAnsi="ＭＳ 明朝" w:hint="eastAsia"/>
              </w:rPr>
              <w:t>50.7</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20.9</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7.4</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4.7</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1.4</w:t>
            </w:r>
          </w:p>
        </w:tc>
        <w:tc>
          <w:tcPr>
            <w:tcW w:w="982"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3.7</w:t>
            </w:r>
          </w:p>
        </w:tc>
        <w:tc>
          <w:tcPr>
            <w:tcW w:w="983" w:type="dxa"/>
            <w:vAlign w:val="center"/>
          </w:tcPr>
          <w:p w:rsidR="00C53806" w:rsidRDefault="009760D2">
            <w:pPr>
              <w:jc w:val="right"/>
              <w:rPr>
                <w:rFonts w:ascii="ＭＳ 明朝" w:eastAsia="ＭＳ 明朝" w:hAnsi="ＭＳ 明朝"/>
              </w:rPr>
            </w:pPr>
            <w:r>
              <w:rPr>
                <w:rFonts w:ascii="ＭＳ 明朝" w:eastAsia="ＭＳ 明朝" w:hAnsi="ＭＳ 明朝" w:hint="eastAsia"/>
              </w:rPr>
              <w:t>2.3</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widowControl/>
        <w:jc w:val="left"/>
        <w:rPr>
          <w:rFonts w:ascii="ＭＳ 明朝" w:eastAsia="ＭＳ 明朝" w:hAnsi="ＭＳ 明朝"/>
        </w:rPr>
      </w:pPr>
      <w:r>
        <w:rPr>
          <w:rFonts w:ascii="ＭＳ 明朝" w:eastAsia="ＭＳ 明朝" w:hAnsi="ＭＳ 明朝"/>
        </w:rPr>
        <w:br w:type="page"/>
      </w:r>
    </w:p>
    <w:tbl>
      <w:tblPr>
        <w:tblStyle w:val="a9"/>
        <w:tblW w:w="9781" w:type="dxa"/>
        <w:tblInd w:w="108" w:type="dxa"/>
        <w:tblLayout w:type="fixed"/>
        <w:tblLook w:val="04A0" w:firstRow="1" w:lastRow="0" w:firstColumn="1" w:lastColumn="0" w:noHBand="0" w:noVBand="1"/>
      </w:tblPr>
      <w:tblGrid>
        <w:gridCol w:w="9781"/>
      </w:tblGrid>
      <w:tr w:rsidR="00C53806">
        <w:trPr>
          <w:trHeight w:val="416"/>
        </w:trPr>
        <w:tc>
          <w:tcPr>
            <w:tcW w:w="9781"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問22　今後、県が市町村等と協力して行う施策として、特に力を入れるべきものは何ですか。</w:t>
            </w:r>
          </w:p>
          <w:p w:rsidR="00C53806" w:rsidRDefault="009760D2">
            <w:pPr>
              <w:ind w:firstLineChars="4000" w:firstLine="8000"/>
              <w:rPr>
                <w:rFonts w:ascii="ＭＳ 明朝" w:hAnsi="ＭＳ 明朝"/>
              </w:rPr>
            </w:pPr>
            <w:r>
              <w:rPr>
                <w:rFonts w:ascii="ＭＳ ゴシック" w:eastAsia="ＭＳ ゴシック" w:hAnsi="ＭＳ ゴシック" w:hint="eastAsia"/>
              </w:rPr>
              <w:t>（３つまで○印）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「耐震診断士の無料派遣」が43.2％で１位になっている。</w:t>
      </w:r>
    </w:p>
    <w:p w:rsidR="00C53806" w:rsidRDefault="009760D2">
      <w:pPr>
        <w:rPr>
          <w:rFonts w:ascii="ＭＳ 明朝" w:eastAsia="ＭＳ 明朝" w:hAnsi="ＭＳ 明朝"/>
          <w:kern w:val="0"/>
        </w:rPr>
      </w:pPr>
      <w:r>
        <w:rPr>
          <w:rFonts w:ascii="ＭＳ 明朝" w:eastAsia="ＭＳ 明朝" w:hAnsi="ＭＳ 明朝" w:hint="eastAsia"/>
          <w:kern w:val="0"/>
        </w:rPr>
        <w:t xml:space="preserve">　次いで「耐震設計や耐震改修工事に対する補助金額の引き上げ」が39.7％、「相談窓口の設置など、気軽に相談できる環境の整備」が28.6％と続いている。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男女とも「総合」とほぼ同じ傾向になっている。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805930"/>
            <wp:effectExtent l="0" t="0" r="0" b="0"/>
            <wp:docPr id="111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10歳代、30歳代、50歳代、60歳代では「耐震診断士の無料派遣」が、20歳代、40歳代では「耐震設計や耐震改修工事に対する補助金額の引き上げ」が、70歳以上では「相談窓口の設置など、気軽に相談できる環境の整備」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1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53806" w:rsidRDefault="009760D2">
      <w:pPr>
        <w:widowControl/>
        <w:jc w:val="left"/>
        <w:rPr>
          <w:rFonts w:ascii="ＭＳ ゴシック" w:eastAsia="ＭＳ ゴシック" w:hAnsi="ＭＳ ゴシック"/>
        </w:rPr>
      </w:pPr>
      <w:r>
        <w:rPr>
          <w:noProof/>
        </w:rPr>
        <w:drawing>
          <wp:inline distT="0" distB="0" distL="0" distR="0">
            <wp:extent cx="5960745" cy="9221470"/>
            <wp:effectExtent l="0" t="0" r="0" b="0"/>
            <wp:docPr id="111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《職業別・広域市町村圏別・住まいの状況別》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10065" w:type="dxa"/>
        <w:tblInd w:w="-34" w:type="dxa"/>
        <w:tblLayout w:type="fixed"/>
        <w:tblLook w:val="04A0" w:firstRow="1" w:lastRow="0" w:firstColumn="1" w:lastColumn="0" w:noHBand="0" w:noVBand="1"/>
      </w:tblPr>
      <w:tblGrid>
        <w:gridCol w:w="661"/>
        <w:gridCol w:w="1466"/>
        <w:gridCol w:w="567"/>
        <w:gridCol w:w="709"/>
        <w:gridCol w:w="567"/>
        <w:gridCol w:w="567"/>
        <w:gridCol w:w="567"/>
        <w:gridCol w:w="708"/>
        <w:gridCol w:w="851"/>
        <w:gridCol w:w="567"/>
        <w:gridCol w:w="567"/>
        <w:gridCol w:w="567"/>
        <w:gridCol w:w="567"/>
        <w:gridCol w:w="567"/>
        <w:gridCol w:w="567"/>
      </w:tblGrid>
      <w:tr w:rsidR="00C53806">
        <w:trPr>
          <w:cantSplit/>
          <w:trHeight w:val="2551"/>
        </w:trPr>
        <w:tc>
          <w:tcPr>
            <w:tcW w:w="2127"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60" o:spid="_x0000_s2087" type="#_x0000_t202" style="position:absolute;left:0;text-align:left;margin-left:-4pt;margin-top:106.7pt;width:54pt;height:20.6pt;z-index:78"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61" o:spid="_x0000_s2086" type="#_x0000_t202" style="position:absolute;left:0;text-align:left;margin-left:56.75pt;margin-top:.75pt;width:54pt;height:20.25pt;z-index:77" filled="f" stroked="f">
                  <v:textbox>
                    <w:txbxContent>
                      <w:p w:rsidR="00B642E5" w:rsidRDefault="00B642E5">
                        <w:pPr>
                          <w:rPr>
                            <w:sz w:val="18"/>
                          </w:rPr>
                        </w:pPr>
                        <w:r>
                          <w:rPr>
                            <w:rFonts w:hint="eastAsia"/>
                            <w:sz w:val="18"/>
                          </w:rPr>
                          <w:t>項　目</w:t>
                        </w:r>
                      </w:p>
                    </w:txbxContent>
                  </v:textbox>
                </v:shape>
              </w:pic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相談窓口の設置など、気軽に相談できる環境の整備</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地区ごとの説明会、パンフレットの配布などによる、耐震化の必要性　の啓発や補助制度の周知</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戸別に訪問しての、耐震化の必要性や補助制度の丁寧な説明</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耐震診断士の無料派遣</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耐震設計や耐震改修工事に対する補助金額の引き上げ</w:t>
            </w:r>
          </w:p>
        </w:tc>
        <w:tc>
          <w:tcPr>
            <w:tcW w:w="70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一気に耐震改修工事できない場合に対応するための段階的な耐震改修工事への支援</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昭和５６年６月以降で平成１２年５月以前の住宅の耐震化（耐震診断、耐震工事、耐震改修工事）への費用の支援</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民間金融機関と連携した低金利による貸付制度による支援</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信頼できる設計事務所や工務店の紹介など、悪徳リフォーム予防対策</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現場見学会など、耐震改修工事の実例に触れる機会の提供</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オーナーに対する指導などによる、賃貸住宅の耐震化の促進</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行政には特に期待していない</w:t>
            </w:r>
          </w:p>
        </w:tc>
        <w:tc>
          <w:tcPr>
            <w:tcW w:w="56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5"/>
              </w:rPr>
            </w:pPr>
            <w:r>
              <w:rPr>
                <w:rFonts w:hint="eastAsia"/>
                <w:color w:val="000000"/>
                <w:sz w:val="15"/>
              </w:rPr>
              <w:t>その他</w:t>
            </w:r>
          </w:p>
        </w:tc>
      </w:tr>
      <w:tr w:rsidR="00C53806">
        <w:trPr>
          <w:cantSplit/>
          <w:trHeight w:val="283"/>
        </w:trPr>
        <w:tc>
          <w:tcPr>
            <w:tcW w:w="661"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農林業</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27.8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23.7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17.5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36.1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19.6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漁業</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44.4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44.4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11.1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商工サービス業自営</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36.2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18.8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33.3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23.2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事務職</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24.3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21.6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41.7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42.2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20.6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27.1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技術職</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26.2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16.0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16.3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41.8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16.0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労務職</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24.6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36.5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17.2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31.5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管理職</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23.4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35.9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43.8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51.6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9.4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自由業</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36.4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13.6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45.5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22.7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主婦・主夫</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30.2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18.1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14.1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50.3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38.9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19.5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26.8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3.4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学生</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25.0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20.7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12.9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46.6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44.0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18.1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33.6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0.0 </w:t>
            </w:r>
          </w:p>
        </w:tc>
      </w:tr>
      <w:tr w:rsidR="00C53806">
        <w:trPr>
          <w:trHeight w:val="283"/>
        </w:trPr>
        <w:tc>
          <w:tcPr>
            <w:tcW w:w="661" w:type="dxa"/>
            <w:vMerge/>
          </w:tcPr>
          <w:p w:rsidR="00C53806" w:rsidRDefault="00C53806">
            <w:pPr>
              <w:rPr>
                <w:rFonts w:ascii="ＭＳ 明朝" w:hAnsi="ＭＳ 明朝"/>
                <w:sz w:val="18"/>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無職</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36.5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21.2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16.9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31.7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17.5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 </w:t>
            </w:r>
          </w:p>
        </w:tc>
      </w:tr>
      <w:tr w:rsidR="00C53806">
        <w:trPr>
          <w:trHeight w:val="283"/>
        </w:trPr>
        <w:tc>
          <w:tcPr>
            <w:tcW w:w="661" w:type="dxa"/>
            <w:vMerge/>
            <w:tcBorders>
              <w:bottom w:val="double" w:sz="4" w:space="0" w:color="auto"/>
            </w:tcBorders>
          </w:tcPr>
          <w:p w:rsidR="00C53806" w:rsidRDefault="00C53806">
            <w:pPr>
              <w:rPr>
                <w:rFonts w:ascii="ＭＳ 明朝" w:hAnsi="ＭＳ 明朝"/>
                <w:sz w:val="18"/>
              </w:rPr>
            </w:pPr>
          </w:p>
        </w:tc>
        <w:tc>
          <w:tcPr>
            <w:tcW w:w="1466" w:type="dxa"/>
            <w:tcBorders>
              <w:bottom w:val="double" w:sz="4" w:space="0" w:color="auto"/>
            </w:tcBorders>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その他</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31.8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13.5 </w:t>
            </w:r>
          </w:p>
        </w:tc>
        <w:tc>
          <w:tcPr>
            <w:tcW w:w="567" w:type="dxa"/>
            <w:tcBorders>
              <w:bottom w:val="doub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10.0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41.8 </w:t>
            </w:r>
          </w:p>
        </w:tc>
        <w:tc>
          <w:tcPr>
            <w:tcW w:w="567"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45.3 </w:t>
            </w:r>
          </w:p>
        </w:tc>
        <w:tc>
          <w:tcPr>
            <w:tcW w:w="708"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19.4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24.1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17.1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25.9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12.9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11.2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 </w:t>
            </w:r>
          </w:p>
        </w:tc>
      </w:tr>
      <w:tr w:rsidR="00C53806">
        <w:trPr>
          <w:trHeight w:val="283"/>
        </w:trPr>
        <w:tc>
          <w:tcPr>
            <w:tcW w:w="661"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466" w:type="dxa"/>
            <w:tcBorders>
              <w:top w:val="double" w:sz="4" w:space="0" w:color="auto"/>
            </w:tcBorders>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高知市</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27.9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17.9 </w:t>
            </w:r>
          </w:p>
        </w:tc>
        <w:tc>
          <w:tcPr>
            <w:tcW w:w="567" w:type="dxa"/>
            <w:tcBorders>
              <w:top w:val="doub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11.7 </w:t>
            </w:r>
          </w:p>
        </w:tc>
        <w:tc>
          <w:tcPr>
            <w:tcW w:w="567"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44.5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42.4 </w:t>
            </w:r>
          </w:p>
        </w:tc>
        <w:tc>
          <w:tcPr>
            <w:tcW w:w="708"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17.0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27.7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13.1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29.6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9.3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12.8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 </w:t>
            </w:r>
          </w:p>
        </w:tc>
        <w:tc>
          <w:tcPr>
            <w:tcW w:w="567" w:type="dxa"/>
            <w:tcBorders>
              <w:top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 </w:t>
            </w:r>
          </w:p>
        </w:tc>
      </w:tr>
      <w:tr w:rsidR="00C53806">
        <w:trPr>
          <w:trHeight w:val="283"/>
        </w:trPr>
        <w:tc>
          <w:tcPr>
            <w:tcW w:w="661" w:type="dxa"/>
            <w:vMerge/>
            <w:vAlign w:val="center"/>
          </w:tcPr>
          <w:p w:rsidR="00C53806" w:rsidRDefault="00C53806">
            <w:pPr>
              <w:jc w:val="center"/>
              <w:rPr>
                <w:rFonts w:ascii="ＭＳ 明朝" w:hAnsi="ＭＳ 明朝"/>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安芸広域圏</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25.4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17.5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35.1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37.7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20.2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14.0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12.3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 </w:t>
            </w:r>
          </w:p>
        </w:tc>
      </w:tr>
      <w:tr w:rsidR="00C53806">
        <w:trPr>
          <w:trHeight w:val="283"/>
        </w:trPr>
        <w:tc>
          <w:tcPr>
            <w:tcW w:w="661" w:type="dxa"/>
            <w:vMerge/>
            <w:vAlign w:val="center"/>
          </w:tcPr>
          <w:p w:rsidR="00C53806" w:rsidRDefault="00C53806">
            <w:pPr>
              <w:jc w:val="center"/>
              <w:rPr>
                <w:rFonts w:ascii="ＭＳ 明朝" w:hAnsi="ＭＳ 明朝"/>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南国・香美広域圏</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28.4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20.5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16.6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36.7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21.8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6.6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 </w:t>
            </w:r>
          </w:p>
        </w:tc>
      </w:tr>
      <w:tr w:rsidR="00C53806">
        <w:trPr>
          <w:trHeight w:val="283"/>
        </w:trPr>
        <w:tc>
          <w:tcPr>
            <w:tcW w:w="661" w:type="dxa"/>
            <w:vMerge/>
            <w:vAlign w:val="center"/>
          </w:tcPr>
          <w:p w:rsidR="00C53806" w:rsidRDefault="00C53806">
            <w:pPr>
              <w:jc w:val="center"/>
              <w:rPr>
                <w:rFonts w:ascii="ＭＳ 明朝" w:hAnsi="ＭＳ 明朝"/>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嶺北広域圏</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44.1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17.6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38.2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29.4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23.5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11.8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 </w:t>
            </w:r>
          </w:p>
        </w:tc>
      </w:tr>
      <w:tr w:rsidR="00C53806">
        <w:trPr>
          <w:trHeight w:val="283"/>
        </w:trPr>
        <w:tc>
          <w:tcPr>
            <w:tcW w:w="661" w:type="dxa"/>
            <w:vMerge/>
            <w:vAlign w:val="center"/>
          </w:tcPr>
          <w:p w:rsidR="00C53806" w:rsidRDefault="00C53806">
            <w:pPr>
              <w:jc w:val="center"/>
              <w:rPr>
                <w:rFonts w:ascii="ＭＳ 明朝" w:hAnsi="ＭＳ 明朝"/>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仁淀川広域圏</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24.6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18.3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46.0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30.2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16.7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34.9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12.7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9.5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 </w:t>
            </w:r>
          </w:p>
        </w:tc>
      </w:tr>
      <w:tr w:rsidR="00C53806">
        <w:trPr>
          <w:trHeight w:val="283"/>
        </w:trPr>
        <w:tc>
          <w:tcPr>
            <w:tcW w:w="661" w:type="dxa"/>
            <w:vMerge/>
            <w:vAlign w:val="center"/>
          </w:tcPr>
          <w:p w:rsidR="00C53806" w:rsidRDefault="00C53806">
            <w:pPr>
              <w:jc w:val="center"/>
              <w:rPr>
                <w:rFonts w:ascii="ＭＳ 明朝" w:hAnsi="ＭＳ 明朝"/>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高吾北広域圏</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37.3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31.4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37.3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43.1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9.8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15.7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13.7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7.8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3.9 </w:t>
            </w:r>
          </w:p>
        </w:tc>
      </w:tr>
      <w:tr w:rsidR="00C53806">
        <w:trPr>
          <w:trHeight w:val="283"/>
        </w:trPr>
        <w:tc>
          <w:tcPr>
            <w:tcW w:w="661" w:type="dxa"/>
            <w:vMerge/>
            <w:vAlign w:val="center"/>
          </w:tcPr>
          <w:p w:rsidR="00C53806" w:rsidRDefault="00C53806">
            <w:pPr>
              <w:jc w:val="center"/>
              <w:rPr>
                <w:rFonts w:ascii="ＭＳ 明朝" w:hAnsi="ＭＳ 明朝"/>
              </w:rPr>
            </w:pPr>
          </w:p>
        </w:tc>
        <w:tc>
          <w:tcPr>
            <w:tcW w:w="1466" w:type="dxa"/>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高幡広域圏</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30.1 </w:t>
            </w:r>
          </w:p>
        </w:tc>
        <w:tc>
          <w:tcPr>
            <w:tcW w:w="709"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25.2 </w:t>
            </w:r>
          </w:p>
        </w:tc>
        <w:tc>
          <w:tcPr>
            <w:tcW w:w="567" w:type="dxa"/>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22.8 </w:t>
            </w:r>
          </w:p>
        </w:tc>
        <w:tc>
          <w:tcPr>
            <w:tcW w:w="567" w:type="dxa"/>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49.6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35.0 </w:t>
            </w:r>
          </w:p>
        </w:tc>
        <w:tc>
          <w:tcPr>
            <w:tcW w:w="708"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21.1 </w:t>
            </w:r>
          </w:p>
        </w:tc>
        <w:tc>
          <w:tcPr>
            <w:tcW w:w="851"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23.6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13.0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22.0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10.6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4.1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2.4 </w:t>
            </w:r>
          </w:p>
        </w:tc>
        <w:tc>
          <w:tcPr>
            <w:tcW w:w="567" w:type="dxa"/>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 </w:t>
            </w:r>
          </w:p>
        </w:tc>
      </w:tr>
      <w:tr w:rsidR="00C53806">
        <w:trPr>
          <w:trHeight w:val="283"/>
        </w:trPr>
        <w:tc>
          <w:tcPr>
            <w:tcW w:w="661" w:type="dxa"/>
            <w:vMerge/>
            <w:tcBorders>
              <w:bottom w:val="double" w:sz="4" w:space="0" w:color="auto"/>
            </w:tcBorders>
            <w:vAlign w:val="center"/>
          </w:tcPr>
          <w:p w:rsidR="00C53806" w:rsidRDefault="00C53806">
            <w:pPr>
              <w:jc w:val="center"/>
              <w:rPr>
                <w:rFonts w:ascii="ＭＳ 明朝" w:hAnsi="ＭＳ 明朝"/>
              </w:rPr>
            </w:pPr>
          </w:p>
        </w:tc>
        <w:tc>
          <w:tcPr>
            <w:tcW w:w="1466" w:type="dxa"/>
            <w:tcBorders>
              <w:bottom w:val="double" w:sz="4" w:space="0" w:color="auto"/>
            </w:tcBorders>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幡多広域圏</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29.9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18.4 </w:t>
            </w:r>
          </w:p>
        </w:tc>
        <w:tc>
          <w:tcPr>
            <w:tcW w:w="567" w:type="dxa"/>
            <w:tcBorders>
              <w:bottom w:val="double" w:sz="4" w:space="0" w:color="auto"/>
            </w:tcBorders>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16.4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37.3 </w:t>
            </w:r>
          </w:p>
        </w:tc>
        <w:tc>
          <w:tcPr>
            <w:tcW w:w="567"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45.8 </w:t>
            </w:r>
          </w:p>
        </w:tc>
        <w:tc>
          <w:tcPr>
            <w:tcW w:w="708"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17.4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19.9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16.9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26.4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9.5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8.0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5.5 </w:t>
            </w:r>
          </w:p>
        </w:tc>
        <w:tc>
          <w:tcPr>
            <w:tcW w:w="567" w:type="dxa"/>
            <w:tcBorders>
              <w:bottom w:val="double" w:sz="4" w:space="0" w:color="auto"/>
            </w:tcBorders>
            <w:shd w:val="clear" w:color="auto" w:fill="auto"/>
            <w:vAlign w:val="center"/>
          </w:tcPr>
          <w:p w:rsidR="00C53806" w:rsidRDefault="009760D2">
            <w:pPr>
              <w:jc w:val="right"/>
              <w:rPr>
                <w:rFonts w:ascii="ＭＳ 明朝" w:hAnsi="ＭＳ 明朝"/>
                <w:color w:val="000000"/>
                <w:sz w:val="16"/>
              </w:rPr>
            </w:pPr>
            <w:r>
              <w:rPr>
                <w:rFonts w:ascii="ＭＳ 明朝" w:hAnsi="ＭＳ 明朝"/>
                <w:color w:val="000000"/>
                <w:sz w:val="16"/>
              </w:rPr>
              <w:t xml:space="preserve">2.0 </w:t>
            </w:r>
          </w:p>
        </w:tc>
      </w:tr>
      <w:tr w:rsidR="00C53806">
        <w:trPr>
          <w:trHeight w:val="388"/>
        </w:trPr>
        <w:tc>
          <w:tcPr>
            <w:tcW w:w="661" w:type="dxa"/>
            <w:vMerge w:val="restart"/>
            <w:tcBorders>
              <w:top w:val="double" w:sz="4" w:space="0" w:color="auto"/>
            </w:tcBorders>
            <w:textDirection w:val="tbRlV"/>
            <w:vAlign w:val="center"/>
          </w:tcPr>
          <w:p w:rsidR="00C53806" w:rsidRDefault="009760D2">
            <w:pPr>
              <w:spacing w:line="0" w:lineRule="atLeast"/>
              <w:ind w:left="113" w:right="113"/>
              <w:jc w:val="center"/>
              <w:rPr>
                <w:rFonts w:ascii="ＭＳ 明朝" w:hAnsi="ＭＳ 明朝"/>
                <w:sz w:val="14"/>
              </w:rPr>
            </w:pPr>
            <w:r>
              <w:rPr>
                <w:rFonts w:ascii="ＭＳ 明朝" w:hAnsi="ＭＳ 明朝" w:hint="eastAsia"/>
                <w:sz w:val="14"/>
              </w:rPr>
              <w:t>住まいの状況別</w:t>
            </w:r>
          </w:p>
        </w:tc>
        <w:tc>
          <w:tcPr>
            <w:tcW w:w="1466" w:type="dxa"/>
            <w:tcBorders>
              <w:top w:val="double" w:sz="4" w:space="0" w:color="auto"/>
              <w:bottom w:val="single" w:sz="4" w:space="0" w:color="auto"/>
            </w:tcBorders>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持家</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29.1 </w:t>
            </w:r>
          </w:p>
        </w:tc>
        <w:tc>
          <w:tcPr>
            <w:tcW w:w="709"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20.0 </w:t>
            </w:r>
          </w:p>
        </w:tc>
        <w:tc>
          <w:tcPr>
            <w:tcW w:w="567" w:type="dxa"/>
            <w:tcBorders>
              <w:top w:val="double" w:sz="4" w:space="0" w:color="auto"/>
              <w:bottom w:val="single" w:sz="4" w:space="0" w:color="auto"/>
            </w:tcBorders>
            <w:vAlign w:val="center"/>
          </w:tcPr>
          <w:p w:rsidR="00C53806" w:rsidRDefault="009760D2">
            <w:pPr>
              <w:jc w:val="right"/>
              <w:rPr>
                <w:rFonts w:ascii="ＭＳ 明朝" w:hAnsi="ＭＳ 明朝"/>
                <w:sz w:val="15"/>
              </w:rPr>
            </w:pPr>
            <w:r>
              <w:rPr>
                <w:rFonts w:ascii="ＭＳ 明朝" w:hAnsi="ＭＳ 明朝" w:hint="eastAsia"/>
                <w:sz w:val="15"/>
              </w:rPr>
              <w:t xml:space="preserve">15.5 </w:t>
            </w:r>
          </w:p>
        </w:tc>
        <w:tc>
          <w:tcPr>
            <w:tcW w:w="567" w:type="dxa"/>
            <w:tcBorders>
              <w:top w:val="double" w:sz="4" w:space="0" w:color="auto"/>
              <w:bottom w:val="single" w:sz="4" w:space="0" w:color="auto"/>
            </w:tcBorders>
            <w:shd w:val="clear" w:color="auto" w:fill="D9D9D9" w:themeFill="background1" w:themeFillShade="D9"/>
            <w:vAlign w:val="center"/>
          </w:tcPr>
          <w:p w:rsidR="00C53806" w:rsidRDefault="009760D2">
            <w:pPr>
              <w:jc w:val="right"/>
              <w:rPr>
                <w:rFonts w:ascii="ＭＳ 明朝" w:hAnsi="ＭＳ 明朝"/>
                <w:sz w:val="15"/>
              </w:rPr>
            </w:pPr>
            <w:r>
              <w:rPr>
                <w:rFonts w:ascii="ＭＳ 明朝" w:hAnsi="ＭＳ 明朝" w:hint="eastAsia"/>
                <w:sz w:val="15"/>
              </w:rPr>
              <w:t xml:space="preserve">44.8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41.2 </w:t>
            </w:r>
          </w:p>
        </w:tc>
        <w:tc>
          <w:tcPr>
            <w:tcW w:w="708"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18.9 </w:t>
            </w:r>
          </w:p>
        </w:tc>
        <w:tc>
          <w:tcPr>
            <w:tcW w:w="851"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26.7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13.9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28.5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9.5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4.6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4.2 </w:t>
            </w:r>
          </w:p>
        </w:tc>
        <w:tc>
          <w:tcPr>
            <w:tcW w:w="567" w:type="dxa"/>
            <w:tcBorders>
              <w:top w:val="double" w:sz="4" w:space="0" w:color="auto"/>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1.7 </w:t>
            </w:r>
          </w:p>
        </w:tc>
      </w:tr>
      <w:tr w:rsidR="00C53806">
        <w:trPr>
          <w:trHeight w:val="388"/>
        </w:trPr>
        <w:tc>
          <w:tcPr>
            <w:tcW w:w="661" w:type="dxa"/>
            <w:vMerge/>
            <w:tcBorders>
              <w:bottom w:val="single" w:sz="4" w:space="0" w:color="auto"/>
            </w:tcBorders>
            <w:vAlign w:val="center"/>
          </w:tcPr>
          <w:p w:rsidR="00C53806" w:rsidRDefault="00C53806">
            <w:pPr>
              <w:jc w:val="center"/>
              <w:rPr>
                <w:rFonts w:ascii="ＭＳ 明朝" w:hAnsi="ＭＳ 明朝"/>
              </w:rPr>
            </w:pPr>
          </w:p>
        </w:tc>
        <w:tc>
          <w:tcPr>
            <w:tcW w:w="1466" w:type="dxa"/>
            <w:tcBorders>
              <w:bottom w:val="single" w:sz="4" w:space="0" w:color="auto"/>
            </w:tcBorders>
            <w:vAlign w:val="center"/>
          </w:tcPr>
          <w:p w:rsidR="00C53806" w:rsidRDefault="009760D2">
            <w:pPr>
              <w:spacing w:line="0" w:lineRule="atLeast"/>
              <w:rPr>
                <w:rFonts w:ascii="ＭＳ 明朝" w:hAnsi="ＭＳ 明朝"/>
                <w:color w:val="000000"/>
                <w:sz w:val="16"/>
              </w:rPr>
            </w:pPr>
            <w:r>
              <w:rPr>
                <w:rFonts w:ascii="ＭＳ 明朝" w:hAnsi="ＭＳ 明朝" w:hint="eastAsia"/>
                <w:color w:val="000000"/>
                <w:sz w:val="16"/>
              </w:rPr>
              <w:t>借家</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25.8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16.3 </w:t>
            </w:r>
          </w:p>
        </w:tc>
        <w:tc>
          <w:tcPr>
            <w:tcW w:w="567" w:type="dxa"/>
            <w:tcBorders>
              <w:bottom w:val="single" w:sz="4" w:space="0" w:color="auto"/>
            </w:tcBorders>
            <w:vAlign w:val="center"/>
          </w:tcPr>
          <w:p w:rsidR="00C53806" w:rsidRDefault="009760D2">
            <w:pPr>
              <w:jc w:val="right"/>
              <w:rPr>
                <w:rFonts w:ascii="ＭＳ 明朝" w:hAnsi="ＭＳ 明朝"/>
                <w:sz w:val="15"/>
              </w:rPr>
            </w:pPr>
            <w:r>
              <w:rPr>
                <w:rFonts w:ascii="ＭＳ 明朝" w:hAnsi="ＭＳ 明朝" w:hint="eastAsia"/>
                <w:sz w:val="15"/>
              </w:rPr>
              <w:t xml:space="preserve">13.2 </w:t>
            </w:r>
          </w:p>
        </w:tc>
        <w:tc>
          <w:tcPr>
            <w:tcW w:w="567"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sz w:val="15"/>
              </w:rPr>
            </w:pPr>
            <w:r>
              <w:rPr>
                <w:rFonts w:ascii="ＭＳ 明朝" w:hAnsi="ＭＳ 明朝" w:hint="eastAsia"/>
                <w:sz w:val="15"/>
              </w:rPr>
              <w:t xml:space="preserve">38.3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35.3 </w:t>
            </w:r>
          </w:p>
        </w:tc>
        <w:tc>
          <w:tcPr>
            <w:tcW w:w="708"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15.3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23.4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12.2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22.4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9.2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29.2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7.1 </w:t>
            </w:r>
          </w:p>
        </w:tc>
        <w:tc>
          <w:tcPr>
            <w:tcW w:w="567" w:type="dxa"/>
            <w:tcBorders>
              <w:bottom w:val="single" w:sz="4" w:space="0" w:color="auto"/>
            </w:tcBorders>
            <w:shd w:val="clear" w:color="auto" w:fill="auto"/>
            <w:vAlign w:val="center"/>
          </w:tcPr>
          <w:p w:rsidR="00C53806" w:rsidRDefault="009760D2">
            <w:pPr>
              <w:jc w:val="right"/>
              <w:rPr>
                <w:rFonts w:ascii="ＭＳ 明朝" w:hAnsi="ＭＳ 明朝"/>
                <w:sz w:val="15"/>
              </w:rPr>
            </w:pPr>
            <w:r>
              <w:rPr>
                <w:rFonts w:ascii="ＭＳ 明朝" w:hAnsi="ＭＳ 明朝" w:hint="eastAsia"/>
                <w:sz w:val="15"/>
              </w:rPr>
              <w:t xml:space="preserve">2.0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91"/>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Chars="16" w:left="34"/>
              <w:rPr>
                <w:rFonts w:ascii="ＭＳ ゴシック" w:eastAsia="ＭＳ ゴシック" w:hAnsi="ＭＳ ゴシック"/>
              </w:rPr>
            </w:pPr>
            <w:r>
              <w:rPr>
                <w:rFonts w:ascii="ＭＳ ゴシック" w:eastAsia="ＭＳ ゴシック" w:hAnsi="ＭＳ ゴシック" w:hint="eastAsia"/>
              </w:rPr>
              <w:t>問23　日ごろから診療を受けるだけでなく、病気や健康に関して相談することができる、かかりつ</w:t>
            </w:r>
          </w:p>
          <w:p w:rsidR="00C53806" w:rsidRDefault="009760D2">
            <w:pPr>
              <w:ind w:leftChars="16" w:left="34" w:firstLineChars="200" w:firstLine="420"/>
              <w:rPr>
                <w:rFonts w:ascii="ＭＳ ゴシック" w:eastAsia="ＭＳ ゴシック" w:hAnsi="ＭＳ ゴシック"/>
              </w:rPr>
            </w:pPr>
            <w:r>
              <w:rPr>
                <w:rFonts w:ascii="ＭＳ ゴシック" w:eastAsia="ＭＳ ゴシック" w:hAnsi="ＭＳ ゴシック" w:hint="eastAsia"/>
              </w:rPr>
              <w:t>け医としている医師がいますか。（１つだけ○印）</w:t>
            </w:r>
          </w:p>
        </w:tc>
      </w:tr>
    </w:tbl>
    <w:p w:rsidR="00C53806" w:rsidRPr="00711F4B" w:rsidRDefault="009760D2">
      <w:pPr>
        <w:rPr>
          <w:rFonts w:ascii="ＭＳ ゴシック" w:eastAsia="ＭＳ ゴシック" w:hAnsi="ＭＳ ゴシック"/>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「いない」が59.4％で、「いる」の39.2％を20.2ポイント上回っている。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高い年代ほど「いる」が高くなっている。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6262370"/>
            <wp:effectExtent l="0" t="0" r="0" b="0"/>
            <wp:docPr id="112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12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Chars="16" w:left="34"/>
              <w:rPr>
                <w:rFonts w:ascii="ＭＳ ゴシック" w:eastAsia="ＭＳ ゴシック" w:hAnsi="ＭＳ ゴシック"/>
              </w:rPr>
            </w:pPr>
            <w:r>
              <w:rPr>
                <w:rFonts w:ascii="ＭＳ ゴシック" w:eastAsia="ＭＳ ゴシック" w:hAnsi="ＭＳ ゴシック" w:hint="eastAsia"/>
              </w:rPr>
              <w:t>問24　仮にあなたが病気の急性期を過ぎて、その後遺症などで長期の治療が必要になった場合、ど</w:t>
            </w:r>
          </w:p>
          <w:p w:rsidR="00C53806" w:rsidRDefault="009760D2">
            <w:pPr>
              <w:ind w:leftChars="16" w:left="34" w:firstLineChars="200" w:firstLine="420"/>
              <w:rPr>
                <w:rFonts w:ascii="ＭＳ ゴシック" w:eastAsia="ＭＳ ゴシック" w:hAnsi="ＭＳ ゴシック"/>
              </w:rPr>
            </w:pPr>
            <w:r>
              <w:rPr>
                <w:rFonts w:ascii="ＭＳ ゴシック" w:eastAsia="ＭＳ ゴシック" w:hAnsi="ＭＳ ゴシック" w:hint="eastAsia"/>
              </w:rPr>
              <w:t>のような医療を選択しますか。（１つだけ○印）</w:t>
            </w:r>
          </w:p>
        </w:tc>
      </w:tr>
    </w:tbl>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「病院に入院して診療を受ける」が31.1％で１位になっている。</w:t>
      </w:r>
    </w:p>
    <w:p w:rsidR="00C53806" w:rsidRDefault="009760D2">
      <w:pPr>
        <w:rPr>
          <w:rFonts w:ascii="ＭＳ ゴシック" w:eastAsia="ＭＳ ゴシック" w:hAnsi="ＭＳ ゴシック"/>
        </w:rPr>
      </w:pPr>
      <w:r>
        <w:rPr>
          <w:rFonts w:ascii="ＭＳ 明朝" w:eastAsia="ＭＳ 明朝" w:hAnsi="ＭＳ 明朝" w:hint="eastAsia"/>
          <w:kern w:val="0"/>
        </w:rPr>
        <w:t xml:space="preserve">　次いで「自宅で暮らしながら、訪問診療や訪問看護などにより在宅医療を受ける」が27.9％、「わからない」が16.5％と続いている。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40歳代を除くすべての年代で「病院に入院して診療を受ける」が、40歳代では「自宅で暮らしながら、訪問診療や訪問看護などにより在宅医療を受ける」が１位になっている。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891530"/>
            <wp:effectExtent l="0" t="0" r="0" b="0"/>
            <wp:docPr id="112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53806" w:rsidRDefault="009760D2">
      <w:pPr>
        <w:tabs>
          <w:tab w:val="left" w:pos="1680"/>
        </w:tabs>
        <w:rPr>
          <w:rFonts w:ascii="ＭＳ 明朝" w:eastAsia="ＭＳ 明朝" w:hAnsi="ＭＳ 明朝"/>
        </w:rPr>
      </w:pPr>
      <w:r>
        <w:rPr>
          <w:rFonts w:ascii="ＭＳ 明朝" w:eastAsia="ＭＳ 明朝" w:hAnsi="ＭＳ 明朝"/>
        </w:rPr>
        <w:tab/>
      </w:r>
    </w:p>
    <w:p w:rsidR="00C53806" w:rsidRDefault="00C53806">
      <w:pPr>
        <w:tabs>
          <w:tab w:val="left" w:pos="1680"/>
        </w:tabs>
        <w:rPr>
          <w:rFonts w:ascii="ＭＳ 明朝" w:eastAsia="ＭＳ 明朝" w:hAnsi="ＭＳ 明朝"/>
        </w:rPr>
      </w:pPr>
    </w:p>
    <w:p w:rsidR="00C53806" w:rsidRDefault="00C53806">
      <w:pPr>
        <w:tabs>
          <w:tab w:val="left" w:pos="1680"/>
        </w:tabs>
        <w:rPr>
          <w:rFonts w:ascii="ＭＳ 明朝" w:eastAsia="ＭＳ 明朝" w:hAnsi="ＭＳ 明朝"/>
        </w:rPr>
      </w:pPr>
    </w:p>
    <w:p w:rsidR="00C53806" w:rsidRDefault="00C53806">
      <w:pPr>
        <w:tabs>
          <w:tab w:val="left" w:pos="1680"/>
        </w:tabs>
        <w:rPr>
          <w:rFonts w:ascii="ＭＳ 明朝" w:eastAsia="ＭＳ 明朝" w:hAnsi="ＭＳ 明朝"/>
        </w:rPr>
      </w:pPr>
    </w:p>
    <w:p w:rsidR="00C53806" w:rsidRDefault="00C53806">
      <w:pPr>
        <w:tabs>
          <w:tab w:val="left" w:pos="1680"/>
        </w:tabs>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090410"/>
            <wp:effectExtent l="0" t="0" r="0" b="0"/>
            <wp:docPr id="112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7" w:type="dxa"/>
        <w:tblInd w:w="108" w:type="dxa"/>
        <w:tblLayout w:type="fixed"/>
        <w:tblLook w:val="04A0" w:firstRow="1" w:lastRow="0" w:firstColumn="1" w:lastColumn="0" w:noHBand="0" w:noVBand="1"/>
      </w:tblPr>
      <w:tblGrid>
        <w:gridCol w:w="9637"/>
      </w:tblGrid>
      <w:tr w:rsidR="00C53806">
        <w:tc>
          <w:tcPr>
            <w:tcW w:w="9637" w:type="dxa"/>
          </w:tcPr>
          <w:p w:rsidR="00C53806" w:rsidRDefault="009760D2">
            <w:pPr>
              <w:rPr>
                <w:rFonts w:ascii="ＭＳ ゴシック" w:eastAsia="ＭＳ ゴシック" w:hAnsi="ＭＳ ゴシック"/>
              </w:rPr>
            </w:pPr>
            <w:r>
              <w:rPr>
                <w:rFonts w:ascii="ＭＳ ゴシック" w:eastAsia="ＭＳ ゴシック" w:hAnsi="ＭＳ ゴシック" w:hint="eastAsia"/>
              </w:rPr>
              <w:t>【問23×問24のクロス分析】</w:t>
            </w:r>
          </w:p>
        </w:tc>
      </w:tr>
    </w:tbl>
    <w:p w:rsidR="00C53806" w:rsidRDefault="00C53806">
      <w:pPr>
        <w:rPr>
          <w:rFonts w:ascii="ＭＳ 明朝" w:eastAsia="ＭＳ 明朝" w:hAnsi="ＭＳ 明朝"/>
        </w:rPr>
      </w:pPr>
    </w:p>
    <w:p w:rsidR="00C53806" w:rsidRDefault="009760D2">
      <w:pPr>
        <w:ind w:firstLineChars="100" w:firstLine="210"/>
        <w:rPr>
          <w:rFonts w:ascii="ＭＳ 明朝" w:eastAsia="ＭＳ 明朝" w:hAnsi="ＭＳ 明朝"/>
        </w:rPr>
      </w:pPr>
      <w:r>
        <w:rPr>
          <w:rFonts w:ascii="ＭＳ 明朝" w:eastAsia="ＭＳ 明朝" w:hAnsi="ＭＳ 明朝" w:hint="eastAsia"/>
        </w:rPr>
        <w:t>「かかりつけ医としている医師がいますか。」という質問へ回答に対し、「長期の治療が必要になった場合、どのような医療を選択しますか。」について見てみると、かかりつけ医師がいる、いないに関わらず、「病院に入院して診療を受ける」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《問23×問24のクロス分析》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3"/>
        <w:tblW w:w="9763" w:type="dxa"/>
        <w:tblLayout w:type="fixed"/>
        <w:tblLook w:val="04A0" w:firstRow="1" w:lastRow="0" w:firstColumn="1" w:lastColumn="0" w:noHBand="0" w:noVBand="1"/>
      </w:tblPr>
      <w:tblGrid>
        <w:gridCol w:w="530"/>
        <w:gridCol w:w="1901"/>
        <w:gridCol w:w="1223"/>
        <w:gridCol w:w="1223"/>
        <w:gridCol w:w="1220"/>
        <w:gridCol w:w="1223"/>
        <w:gridCol w:w="1220"/>
        <w:gridCol w:w="1223"/>
      </w:tblGrid>
      <w:tr w:rsidR="00C53806">
        <w:tc>
          <w:tcPr>
            <w:tcW w:w="2431" w:type="dxa"/>
            <w:gridSpan w:val="2"/>
            <w:vMerge w:val="restart"/>
            <w:tcBorders>
              <w:tl2br w:val="single" w:sz="4" w:space="0" w:color="auto"/>
            </w:tcBorders>
          </w:tcPr>
          <w:p w:rsidR="00C53806" w:rsidRDefault="00C53806">
            <w:pPr>
              <w:rPr>
                <w:rFonts w:ascii="ＭＳ 明朝" w:eastAsia="ＭＳ 明朝" w:hAnsi="ＭＳ 明朝"/>
              </w:rPr>
            </w:pPr>
          </w:p>
        </w:tc>
        <w:tc>
          <w:tcPr>
            <w:tcW w:w="7332" w:type="dxa"/>
            <w:gridSpan w:val="6"/>
            <w:vAlign w:val="center"/>
          </w:tcPr>
          <w:p w:rsidR="00C53806" w:rsidRDefault="009760D2">
            <w:pPr>
              <w:jc w:val="center"/>
              <w:rPr>
                <w:rFonts w:ascii="ＭＳ 明朝" w:eastAsia="ＭＳ 明朝" w:hAnsi="ＭＳ 明朝"/>
              </w:rPr>
            </w:pPr>
            <w:r>
              <w:rPr>
                <w:rFonts w:ascii="ＭＳ 明朝" w:eastAsia="ＭＳ 明朝" w:hAnsi="ＭＳ 明朝" w:hint="eastAsia"/>
              </w:rPr>
              <w:t>問24</w:t>
            </w:r>
          </w:p>
        </w:tc>
      </w:tr>
      <w:tr w:rsidR="00C53806">
        <w:trPr>
          <w:cantSplit/>
          <w:trHeight w:val="2324"/>
        </w:trPr>
        <w:tc>
          <w:tcPr>
            <w:tcW w:w="2431" w:type="dxa"/>
            <w:gridSpan w:val="2"/>
            <w:vMerge/>
          </w:tcPr>
          <w:p w:rsidR="00C53806" w:rsidRDefault="00C53806">
            <w:pPr>
              <w:rPr>
                <w:rFonts w:ascii="ＭＳ 明朝" w:eastAsia="ＭＳ 明朝" w:hAnsi="ＭＳ 明朝"/>
              </w:rPr>
            </w:pPr>
          </w:p>
        </w:tc>
        <w:tc>
          <w:tcPr>
            <w:tcW w:w="122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自宅で暮らしながら、訪問診療や訪問看護などにより在宅医療を受ける</w:t>
            </w:r>
          </w:p>
        </w:tc>
        <w:tc>
          <w:tcPr>
            <w:tcW w:w="122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家族などの介護を受けて病院に通院する</w:t>
            </w:r>
          </w:p>
        </w:tc>
        <w:tc>
          <w:tcPr>
            <w:tcW w:w="1220"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特別養護老人ホームなどの介護施設に入所して療養する</w:t>
            </w:r>
          </w:p>
        </w:tc>
        <w:tc>
          <w:tcPr>
            <w:tcW w:w="122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病院に入院して診療を受ける</w:t>
            </w:r>
          </w:p>
        </w:tc>
        <w:tc>
          <w:tcPr>
            <w:tcW w:w="1220"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その他</w:t>
            </w:r>
          </w:p>
        </w:tc>
        <w:tc>
          <w:tcPr>
            <w:tcW w:w="1223"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trHeight w:val="850"/>
        </w:trPr>
        <w:tc>
          <w:tcPr>
            <w:tcW w:w="530"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問23</w:t>
            </w:r>
          </w:p>
        </w:tc>
        <w:tc>
          <w:tcPr>
            <w:tcW w:w="190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いる</w:t>
            </w:r>
          </w:p>
        </w:tc>
        <w:tc>
          <w:tcPr>
            <w:tcW w:w="122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30.1 </w:t>
            </w:r>
          </w:p>
        </w:tc>
        <w:tc>
          <w:tcPr>
            <w:tcW w:w="122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12.8 </w:t>
            </w:r>
          </w:p>
        </w:tc>
        <w:tc>
          <w:tcPr>
            <w:tcW w:w="1220"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9.4 </w:t>
            </w:r>
          </w:p>
        </w:tc>
        <w:tc>
          <w:tcPr>
            <w:tcW w:w="1223"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33.1 </w:t>
            </w:r>
          </w:p>
        </w:tc>
        <w:tc>
          <w:tcPr>
            <w:tcW w:w="1220"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1.4 </w:t>
            </w:r>
          </w:p>
        </w:tc>
        <w:tc>
          <w:tcPr>
            <w:tcW w:w="122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13.0 </w:t>
            </w:r>
          </w:p>
        </w:tc>
      </w:tr>
      <w:tr w:rsidR="00C53806">
        <w:trPr>
          <w:trHeight w:val="850"/>
        </w:trPr>
        <w:tc>
          <w:tcPr>
            <w:tcW w:w="530" w:type="dxa"/>
            <w:vMerge/>
          </w:tcPr>
          <w:p w:rsidR="00C53806" w:rsidRDefault="00C53806">
            <w:pPr>
              <w:rPr>
                <w:rFonts w:ascii="ＭＳ 明朝" w:eastAsia="ＭＳ 明朝" w:hAnsi="ＭＳ 明朝"/>
              </w:rPr>
            </w:pPr>
          </w:p>
        </w:tc>
        <w:tc>
          <w:tcPr>
            <w:tcW w:w="190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いない</w:t>
            </w:r>
          </w:p>
        </w:tc>
        <w:tc>
          <w:tcPr>
            <w:tcW w:w="122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26.9 </w:t>
            </w:r>
          </w:p>
        </w:tc>
        <w:tc>
          <w:tcPr>
            <w:tcW w:w="122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14.8 </w:t>
            </w:r>
          </w:p>
        </w:tc>
        <w:tc>
          <w:tcPr>
            <w:tcW w:w="1220"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7.6 </w:t>
            </w:r>
          </w:p>
        </w:tc>
        <w:tc>
          <w:tcPr>
            <w:tcW w:w="1223"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30.4 </w:t>
            </w:r>
          </w:p>
        </w:tc>
        <w:tc>
          <w:tcPr>
            <w:tcW w:w="1220"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1.0 </w:t>
            </w:r>
          </w:p>
        </w:tc>
        <w:tc>
          <w:tcPr>
            <w:tcW w:w="122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19.2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widowControl/>
        <w:jc w:val="left"/>
        <w:rPr>
          <w:rFonts w:ascii="ＭＳ 明朝" w:eastAsia="ＭＳ 明朝" w:hAnsi="ＭＳ 明朝"/>
        </w:rPr>
      </w:pPr>
      <w:r>
        <w:rPr>
          <w:rFonts w:ascii="ＭＳ 明朝" w:eastAsia="ＭＳ 明朝" w:hAnsi="ＭＳ 明朝"/>
        </w:rPr>
        <w:br w:type="page"/>
      </w: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ind w:left="400" w:hangingChars="200" w:hanging="400"/>
              <w:rPr>
                <w:rFonts w:ascii="ＭＳ ゴシック" w:eastAsia="ＭＳ ゴシック" w:hAnsi="ＭＳ ゴシック"/>
              </w:rPr>
            </w:pPr>
            <w:r>
              <w:rPr>
                <w:rFonts w:ascii="ＭＳ ゴシック" w:eastAsia="ＭＳ ゴシック" w:hAnsi="ＭＳ ゴシック" w:hint="eastAsia"/>
              </w:rPr>
              <w:t>問25　あなたが長期の療養が必要になった場合、どのような条件や環境が整えば在宅医療を選択しますか。（２つまで○印）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「家族の身体的・時間的な負担が大きくならない」が46.5％で１位になっている。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次いで「経済的な負担が少ない」が44.4％、「急に病状が悪化した場合に、すぐに入院できる医療機関がある」が28.9％と続いている。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男性では「経済的な負担が少ない」が、女性では「家族の身体的・時間的な負担が大きくならない」が１位になっている。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711315"/>
            <wp:effectExtent l="0" t="0" r="0" b="0"/>
            <wp:docPr id="11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10歳代、20歳代、30歳代、50歳代では「家族の身体的・時間的な負担が大きくならない」が、40歳代、60歳代では「経済的な負担が少ない」が、70歳以上では「急に病状が悪化した場合に、すぐに入院できる医療機関がある」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2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787"/>
        <w:gridCol w:w="788"/>
        <w:gridCol w:w="1040"/>
        <w:gridCol w:w="709"/>
        <w:gridCol w:w="744"/>
        <w:gridCol w:w="744"/>
        <w:gridCol w:w="744"/>
        <w:gridCol w:w="744"/>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69" o:spid="_x0000_s2085" type="#_x0000_t202" style="position:absolute;left:0;text-align:left;margin-left:-4pt;margin-top:109.3pt;width:54pt;height:20.6pt;z-index:80"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70" o:spid="_x0000_s2084" type="#_x0000_t202" style="position:absolute;left:0;text-align:left;margin-left:78.5pt;margin-top:.75pt;width:54pt;height:20.25pt;z-index:79" filled="f" stroked="f">
                  <v:textbox>
                    <w:txbxContent>
                      <w:p w:rsidR="00B642E5" w:rsidRDefault="00B642E5">
                        <w:pPr>
                          <w:rPr>
                            <w:sz w:val="18"/>
                          </w:rPr>
                        </w:pPr>
                        <w:r>
                          <w:rPr>
                            <w:rFonts w:hint="eastAsia"/>
                            <w:sz w:val="18"/>
                          </w:rPr>
                          <w:t>項　目</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在宅での医療や介護について、いつでも相談できる先がある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急に病状が悪化した場合に、すぐに往診してくれる医師や看護師がいる</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急に病状が悪化した場合に、すぐに入院できる医療機関がある</w:t>
            </w:r>
          </w:p>
        </w:tc>
        <w:tc>
          <w:tcPr>
            <w:tcW w:w="104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家族が急な病気や用事で看護できなくなったときに、代わりに看護を引き受けてくれる施設がある</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家族の身体的・時間的な負担が大きくならない</w:t>
            </w:r>
          </w:p>
        </w:tc>
        <w:tc>
          <w:tcPr>
            <w:tcW w:w="7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経済的な負担が少ない</w:t>
            </w:r>
          </w:p>
        </w:tc>
        <w:tc>
          <w:tcPr>
            <w:tcW w:w="7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現状でも特に問題がなく、在宅医療を受けられる</w:t>
            </w:r>
          </w:p>
        </w:tc>
        <w:tc>
          <w:tcPr>
            <w:tcW w:w="7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7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34.0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47.8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22.5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13.1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53.5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45.8 </w:t>
            </w:r>
          </w:p>
        </w:tc>
        <w:tc>
          <w:tcPr>
            <w:tcW w:w="7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55.7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30.2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46.6 </w:t>
            </w:r>
          </w:p>
        </w:tc>
        <w:tc>
          <w:tcPr>
            <w:tcW w:w="7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47.4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24.9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35.4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104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744"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54.1 </w:t>
            </w:r>
          </w:p>
        </w:tc>
        <w:tc>
          <w:tcPr>
            <w:tcW w:w="7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7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7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104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16.6 </w:t>
            </w:r>
          </w:p>
        </w:tc>
        <w:tc>
          <w:tcPr>
            <w:tcW w:w="709"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51.7 </w:t>
            </w:r>
          </w:p>
        </w:tc>
        <w:tc>
          <w:tcPr>
            <w:tcW w:w="7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42.8 </w:t>
            </w:r>
          </w:p>
        </w:tc>
        <w:tc>
          <w:tcPr>
            <w:tcW w:w="7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46.7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45.9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7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19.8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48.4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46.8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104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12.2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7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13.9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1040"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744"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c>
          <w:tcPr>
            <w:tcW w:w="7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7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c>
          <w:tcPr>
            <w:tcW w:w="7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 </w:t>
            </w:r>
          </w:p>
        </w:tc>
      </w:tr>
    </w:tbl>
    <w:p w:rsidR="00C53806" w:rsidRDefault="00C53806">
      <w:pPr>
        <w:ind w:firstLineChars="100" w:firstLine="210"/>
      </w:pPr>
    </w:p>
    <w:p w:rsidR="00C53806" w:rsidRDefault="00C53806">
      <w:pPr>
        <w:ind w:firstLineChars="100" w:firstLine="210"/>
      </w:pPr>
    </w:p>
    <w:p w:rsidR="00C53806" w:rsidRDefault="00C53806">
      <w:pPr>
        <w:ind w:firstLineChars="100" w:firstLine="210"/>
      </w:pPr>
    </w:p>
    <w:p w:rsidR="00C53806" w:rsidRDefault="00C53806">
      <w:pPr>
        <w:ind w:firstLineChars="100" w:firstLine="210"/>
      </w:pPr>
    </w:p>
    <w:p w:rsidR="00C53806" w:rsidRDefault="00C53806">
      <w:pPr>
        <w:ind w:firstLineChars="100" w:firstLine="210"/>
      </w:pPr>
    </w:p>
    <w:p w:rsidR="00C53806" w:rsidRDefault="00C53806">
      <w:pPr>
        <w:ind w:firstLineChars="100" w:firstLine="210"/>
      </w:pPr>
    </w:p>
    <w:p w:rsidR="00C53806" w:rsidRDefault="00C53806">
      <w:pPr>
        <w:ind w:firstLineChars="100" w:firstLine="210"/>
      </w:pPr>
    </w:p>
    <w:p w:rsidR="00C53806" w:rsidRDefault="00C53806">
      <w:pPr>
        <w:ind w:firstLineChars="100" w:firstLine="210"/>
      </w:pPr>
    </w:p>
    <w:tbl>
      <w:tblPr>
        <w:tblStyle w:val="a9"/>
        <w:tblW w:w="9639" w:type="dxa"/>
        <w:tblInd w:w="108" w:type="dxa"/>
        <w:tblLayout w:type="fixed"/>
        <w:tblLook w:val="04A0" w:firstRow="1" w:lastRow="0" w:firstColumn="1" w:lastColumn="0" w:noHBand="0" w:noVBand="1"/>
      </w:tblPr>
      <w:tblGrid>
        <w:gridCol w:w="9639"/>
      </w:tblGrid>
      <w:tr w:rsidR="00C53806">
        <w:tc>
          <w:tcPr>
            <w:tcW w:w="9639" w:type="dxa"/>
          </w:tcPr>
          <w:p w:rsidR="00C53806" w:rsidRDefault="009760D2">
            <w:pPr>
              <w:rPr>
                <w:rFonts w:ascii="ＭＳ ゴシック" w:eastAsia="ＭＳ ゴシック" w:hAnsi="ＭＳ ゴシック"/>
              </w:rPr>
            </w:pPr>
            <w:r>
              <w:rPr>
                <w:rFonts w:ascii="ＭＳ ゴシック" w:eastAsia="ＭＳ ゴシック" w:hAnsi="ＭＳ ゴシック" w:hint="eastAsia"/>
                <w:sz w:val="21"/>
              </w:rPr>
              <w:t>【問24×問25のクロス分析】</w:t>
            </w:r>
          </w:p>
        </w:tc>
      </w:tr>
    </w:tbl>
    <w:p w:rsidR="00C53806" w:rsidRDefault="00C53806"/>
    <w:p w:rsidR="00C53806" w:rsidRDefault="009760D2">
      <w:pPr>
        <w:ind w:firstLineChars="100" w:firstLine="210"/>
      </w:pPr>
      <w:r>
        <w:rPr>
          <w:rFonts w:ascii="ＭＳ 明朝" w:eastAsia="ＭＳ 明朝" w:hAnsi="ＭＳ 明朝" w:hint="eastAsia"/>
        </w:rPr>
        <w:t>「長期の治療が必要になった場合、どのような医療を選択しますか。」という質問への回答に対し、「どのような条件や環境</w:t>
      </w:r>
      <w:r w:rsidR="00352F49">
        <w:rPr>
          <w:rFonts w:ascii="ＭＳ 明朝" w:eastAsia="ＭＳ 明朝" w:hAnsi="ＭＳ 明朝" w:hint="eastAsia"/>
        </w:rPr>
        <w:t>が整えば在宅医療を選択しますか。」について見てみると、どのような医療を選択するか</w:t>
      </w:r>
      <w:r>
        <w:rPr>
          <w:rFonts w:ascii="ＭＳ 明朝" w:eastAsia="ＭＳ 明朝" w:hAnsi="ＭＳ 明朝" w:hint="eastAsia"/>
        </w:rPr>
        <w:t>に関わらず、「家族の身体的・時間的な負担が大きくならない」が高く、「その他」、「わからない」では「経済的な負担が少ない」が高くなっている。</w:t>
      </w:r>
    </w:p>
    <w:p w:rsidR="00C53806" w:rsidRDefault="00C53806"/>
    <w:p w:rsidR="00C53806" w:rsidRDefault="00C53806"/>
    <w:p w:rsidR="00C53806" w:rsidRDefault="00C53806"/>
    <w:p w:rsidR="00C53806" w:rsidRDefault="009760D2">
      <w:pPr>
        <w:jc w:val="center"/>
        <w:rPr>
          <w:rFonts w:ascii="ＭＳ 明朝" w:eastAsia="ＭＳ 明朝" w:hAnsi="ＭＳ 明朝"/>
        </w:rPr>
      </w:pPr>
      <w:r>
        <w:rPr>
          <w:rFonts w:ascii="ＭＳ 明朝" w:eastAsia="ＭＳ 明朝" w:hAnsi="ＭＳ 明朝" w:hint="eastAsia"/>
        </w:rPr>
        <w:t>《問24×問25のクロス分析》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4"/>
        <w:tblW w:w="9763" w:type="dxa"/>
        <w:tblLayout w:type="fixed"/>
        <w:tblLook w:val="04A0" w:firstRow="1" w:lastRow="0" w:firstColumn="1" w:lastColumn="0" w:noHBand="0" w:noVBand="1"/>
      </w:tblPr>
      <w:tblGrid>
        <w:gridCol w:w="529"/>
        <w:gridCol w:w="2006"/>
        <w:gridCol w:w="803"/>
        <w:gridCol w:w="804"/>
        <w:gridCol w:w="804"/>
        <w:gridCol w:w="804"/>
        <w:gridCol w:w="803"/>
        <w:gridCol w:w="804"/>
        <w:gridCol w:w="798"/>
        <w:gridCol w:w="804"/>
        <w:gridCol w:w="804"/>
      </w:tblGrid>
      <w:tr w:rsidR="00C53806">
        <w:tc>
          <w:tcPr>
            <w:tcW w:w="2535" w:type="dxa"/>
            <w:gridSpan w:val="2"/>
            <w:vMerge w:val="restart"/>
            <w:tcBorders>
              <w:tl2br w:val="single" w:sz="4" w:space="0" w:color="auto"/>
            </w:tcBorders>
          </w:tcPr>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jc w:val="center"/>
              <w:rPr>
                <w:rFonts w:ascii="ＭＳ 明朝" w:eastAsia="ＭＳ 明朝" w:hAnsi="ＭＳ 明朝"/>
              </w:rPr>
            </w:pPr>
          </w:p>
        </w:tc>
        <w:tc>
          <w:tcPr>
            <w:tcW w:w="7228" w:type="dxa"/>
            <w:gridSpan w:val="9"/>
            <w:vAlign w:val="center"/>
          </w:tcPr>
          <w:p w:rsidR="00C53806" w:rsidRDefault="009760D2">
            <w:pPr>
              <w:jc w:val="center"/>
              <w:rPr>
                <w:rFonts w:ascii="ＭＳ 明朝" w:eastAsia="ＭＳ 明朝" w:hAnsi="ＭＳ 明朝"/>
              </w:rPr>
            </w:pPr>
            <w:r>
              <w:rPr>
                <w:rFonts w:ascii="ＭＳ 明朝" w:eastAsia="ＭＳ 明朝" w:hAnsi="ＭＳ 明朝" w:hint="eastAsia"/>
              </w:rPr>
              <w:t>問25</w:t>
            </w:r>
          </w:p>
        </w:tc>
      </w:tr>
      <w:tr w:rsidR="00C53806">
        <w:trPr>
          <w:cantSplit/>
          <w:trHeight w:val="3231"/>
        </w:trPr>
        <w:tc>
          <w:tcPr>
            <w:tcW w:w="2535" w:type="dxa"/>
            <w:gridSpan w:val="2"/>
            <w:vMerge/>
          </w:tcPr>
          <w:p w:rsidR="00C53806" w:rsidRDefault="00C53806">
            <w:pPr>
              <w:rPr>
                <w:rFonts w:ascii="ＭＳ 明朝" w:eastAsia="ＭＳ 明朝" w:hAnsi="ＭＳ 明朝"/>
              </w:rPr>
            </w:pPr>
          </w:p>
        </w:tc>
        <w:tc>
          <w:tcPr>
            <w:tcW w:w="80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在宅での医療や介護について、いつでも相談できる先がある</w:t>
            </w:r>
          </w:p>
        </w:tc>
        <w:tc>
          <w:tcPr>
            <w:tcW w:w="8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急に病状が悪化した場合に、すぐに往診してくれる医師や看護師がいる</w:t>
            </w:r>
          </w:p>
        </w:tc>
        <w:tc>
          <w:tcPr>
            <w:tcW w:w="8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急に病状が悪化した場合に、すぐに入院できる医療機関がある</w:t>
            </w:r>
          </w:p>
        </w:tc>
        <w:tc>
          <w:tcPr>
            <w:tcW w:w="8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家族が急な病気や用事で看護できなくなったときに、代わりに看護を引き受けてくれる施設がある</w:t>
            </w:r>
          </w:p>
        </w:tc>
        <w:tc>
          <w:tcPr>
            <w:tcW w:w="80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家族の身体的・時間的な負担が大きくならない</w:t>
            </w:r>
          </w:p>
        </w:tc>
        <w:tc>
          <w:tcPr>
            <w:tcW w:w="8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経済的な負担が少ない</w:t>
            </w:r>
          </w:p>
        </w:tc>
        <w:tc>
          <w:tcPr>
            <w:tcW w:w="7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現状でも特に問題がなく、在宅医療を受けられる</w:t>
            </w:r>
          </w:p>
        </w:tc>
        <w:tc>
          <w:tcPr>
            <w:tcW w:w="8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80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trHeight w:val="934"/>
        </w:trPr>
        <w:tc>
          <w:tcPr>
            <w:tcW w:w="529"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問24</w:t>
            </w:r>
          </w:p>
        </w:tc>
        <w:tc>
          <w:tcPr>
            <w:tcW w:w="2006"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自宅で暮らしながら、訪問診療や訪問看護などにより在宅医療を受ける</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20.5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35.0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29.7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16.3 </w:t>
            </w:r>
          </w:p>
        </w:tc>
        <w:tc>
          <w:tcPr>
            <w:tcW w:w="803"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43.1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41.5 </w:t>
            </w:r>
          </w:p>
        </w:tc>
        <w:tc>
          <w:tcPr>
            <w:tcW w:w="798"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1.6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0.4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2.7 </w:t>
            </w:r>
          </w:p>
        </w:tc>
      </w:tr>
      <w:tr w:rsidR="00C53806">
        <w:trPr>
          <w:trHeight w:val="934"/>
        </w:trPr>
        <w:tc>
          <w:tcPr>
            <w:tcW w:w="529" w:type="dxa"/>
            <w:vMerge/>
          </w:tcPr>
          <w:p w:rsidR="00C53806" w:rsidRDefault="00C53806">
            <w:pPr>
              <w:rPr>
                <w:rFonts w:ascii="ＭＳ 明朝" w:eastAsia="ＭＳ 明朝" w:hAnsi="ＭＳ 明朝"/>
              </w:rPr>
            </w:pPr>
          </w:p>
        </w:tc>
        <w:tc>
          <w:tcPr>
            <w:tcW w:w="2006"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家族などの介護を受けて病院に通院する</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13.9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36.8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31.4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12.6 </w:t>
            </w:r>
          </w:p>
        </w:tc>
        <w:tc>
          <w:tcPr>
            <w:tcW w:w="803"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44.8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42.6 </w:t>
            </w:r>
          </w:p>
        </w:tc>
        <w:tc>
          <w:tcPr>
            <w:tcW w:w="798"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1.3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0.4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4.0 </w:t>
            </w:r>
          </w:p>
        </w:tc>
      </w:tr>
      <w:tr w:rsidR="00C53806">
        <w:trPr>
          <w:trHeight w:val="934"/>
        </w:trPr>
        <w:tc>
          <w:tcPr>
            <w:tcW w:w="529" w:type="dxa"/>
            <w:vMerge/>
          </w:tcPr>
          <w:p w:rsidR="00C53806" w:rsidRDefault="00C53806">
            <w:pPr>
              <w:rPr>
                <w:rFonts w:ascii="ＭＳ 明朝" w:eastAsia="ＭＳ 明朝" w:hAnsi="ＭＳ 明朝"/>
              </w:rPr>
            </w:pPr>
          </w:p>
        </w:tc>
        <w:tc>
          <w:tcPr>
            <w:tcW w:w="2006"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特別養護老人ホームなどの介護施設に入所して療養する</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7.5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12.8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32.3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24.8 </w:t>
            </w:r>
          </w:p>
        </w:tc>
        <w:tc>
          <w:tcPr>
            <w:tcW w:w="803"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53.4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37.6 </w:t>
            </w:r>
          </w:p>
        </w:tc>
        <w:tc>
          <w:tcPr>
            <w:tcW w:w="798"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0.8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4.5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3.0 </w:t>
            </w:r>
          </w:p>
        </w:tc>
      </w:tr>
      <w:tr w:rsidR="00C53806">
        <w:trPr>
          <w:trHeight w:val="934"/>
        </w:trPr>
        <w:tc>
          <w:tcPr>
            <w:tcW w:w="529" w:type="dxa"/>
            <w:vMerge/>
          </w:tcPr>
          <w:p w:rsidR="00C53806" w:rsidRDefault="00C53806">
            <w:pPr>
              <w:rPr>
                <w:rFonts w:ascii="ＭＳ 明朝" w:eastAsia="ＭＳ 明朝" w:hAnsi="ＭＳ 明朝"/>
              </w:rPr>
            </w:pPr>
          </w:p>
        </w:tc>
        <w:tc>
          <w:tcPr>
            <w:tcW w:w="2006"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病院に入院して診療を受ける</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7.8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22.4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36.0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17.0 </w:t>
            </w:r>
          </w:p>
        </w:tc>
        <w:tc>
          <w:tcPr>
            <w:tcW w:w="803"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48.0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44.4 </w:t>
            </w:r>
          </w:p>
        </w:tc>
        <w:tc>
          <w:tcPr>
            <w:tcW w:w="798"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2.2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5.8 </w:t>
            </w:r>
          </w:p>
        </w:tc>
      </w:tr>
      <w:tr w:rsidR="00C53806">
        <w:trPr>
          <w:trHeight w:val="934"/>
        </w:trPr>
        <w:tc>
          <w:tcPr>
            <w:tcW w:w="529" w:type="dxa"/>
            <w:vMerge/>
          </w:tcPr>
          <w:p w:rsidR="00C53806" w:rsidRDefault="00C53806">
            <w:pPr>
              <w:rPr>
                <w:rFonts w:ascii="ＭＳ 明朝" w:eastAsia="ＭＳ 明朝" w:hAnsi="ＭＳ 明朝"/>
              </w:rPr>
            </w:pPr>
          </w:p>
        </w:tc>
        <w:tc>
          <w:tcPr>
            <w:tcW w:w="2006"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その他</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w:t>
            </w:r>
            <w:r>
              <w:rPr>
                <w:rFonts w:ascii="ＭＳ 明朝" w:eastAsia="ＭＳ 明朝" w:hAnsi="ＭＳ 明朝" w:hint="eastAsia"/>
                <w:color w:val="000000"/>
              </w:rPr>
              <w:t>0.0</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15.0 </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45.0 </w:t>
            </w:r>
          </w:p>
        </w:tc>
        <w:tc>
          <w:tcPr>
            <w:tcW w:w="804"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50.0 </w:t>
            </w:r>
          </w:p>
        </w:tc>
        <w:tc>
          <w:tcPr>
            <w:tcW w:w="798"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25.0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5.0 </w:t>
            </w:r>
          </w:p>
        </w:tc>
      </w:tr>
      <w:tr w:rsidR="00C53806">
        <w:trPr>
          <w:trHeight w:val="934"/>
        </w:trPr>
        <w:tc>
          <w:tcPr>
            <w:tcW w:w="529" w:type="dxa"/>
            <w:vMerge/>
          </w:tcPr>
          <w:p w:rsidR="00C53806" w:rsidRDefault="00C53806">
            <w:pPr>
              <w:rPr>
                <w:rFonts w:ascii="ＭＳ 明朝" w:eastAsia="ＭＳ 明朝" w:hAnsi="ＭＳ 明朝"/>
              </w:rPr>
            </w:pPr>
          </w:p>
        </w:tc>
        <w:tc>
          <w:tcPr>
            <w:tcW w:w="2006"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わからない</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8.6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13.9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10.9 </w:t>
            </w:r>
          </w:p>
        </w:tc>
        <w:tc>
          <w:tcPr>
            <w:tcW w:w="803"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50.8 </w:t>
            </w:r>
          </w:p>
        </w:tc>
        <w:tc>
          <w:tcPr>
            <w:tcW w:w="804" w:type="dxa"/>
            <w:shd w:val="clear" w:color="auto" w:fill="D9D9D9" w:themeFill="background1" w:themeFillShade="D9"/>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56.8 </w:t>
            </w:r>
          </w:p>
        </w:tc>
        <w:tc>
          <w:tcPr>
            <w:tcW w:w="798"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1.1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0.4 </w:t>
            </w:r>
          </w:p>
        </w:tc>
        <w:tc>
          <w:tcPr>
            <w:tcW w:w="804" w:type="dxa"/>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19.5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widowControl/>
        <w:jc w:val="left"/>
      </w:pPr>
      <w:r>
        <w:br w:type="page"/>
      </w: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問26　あなたや家族の方が在宅医療を選択する場合、どこに相談しますか。（２つまで○印）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「かかりつけ医、入院している病院の医療ソーシャルワーカーや主治医」が57.3％で１位になっている。</w:t>
      </w:r>
    </w:p>
    <w:p w:rsidR="00C53806" w:rsidRDefault="009760D2">
      <w:pPr>
        <w:rPr>
          <w:rFonts w:ascii="ＭＳ 明朝" w:eastAsia="ＭＳ 明朝" w:hAnsi="ＭＳ 明朝"/>
          <w:kern w:val="0"/>
        </w:rPr>
      </w:pPr>
      <w:r>
        <w:rPr>
          <w:rFonts w:ascii="ＭＳ 明朝" w:eastAsia="ＭＳ 明朝" w:hAnsi="ＭＳ 明朝" w:hint="eastAsia"/>
          <w:kern w:val="0"/>
        </w:rPr>
        <w:t xml:space="preserve">　次いで「市町村（地域包括支援センター）、福祉事務所、保健所、あったかふれあいセンターなどの公共窓口」が52.5％、「居宅介護支援事業所（ケアマネジャー）」が22.1％と続いている。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性では「市町村（地域包括支援センター）、福祉事務所、保健所、あったかふれあいセンターなどの公共窓口」が、女性では「かかりつけ医、入院している病院の医療ソーシャルワーカーや主治医」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245225"/>
            <wp:effectExtent l="0" t="0" r="0" b="0"/>
            <wp:docPr id="11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70歳以上を除くすべての年代で「かかりつけ医、入院している病院の医療ソーシャルワーカーや主治医」が、50歳代、70歳以上では「市町村（地域包括支援センター）、福祉事務所、保健所、あったかふれあいセンターなどの公共窓口」が１位になっている。（50歳代では複数の項目が同率で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3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1181"/>
        <w:gridCol w:w="1181"/>
        <w:gridCol w:w="1181"/>
        <w:gridCol w:w="1181"/>
        <w:gridCol w:w="1181"/>
        <w:gridCol w:w="1182"/>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75" o:spid="_x0000_s2083" type="#_x0000_t202" style="position:absolute;left:0;text-align:left;margin-left:74.5pt;margin-top:.75pt;width:54pt;height:20.25pt;z-index:81"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374" o:spid="_x0000_s2082" type="#_x0000_t202" style="position:absolute;left:0;text-align:left;margin-left:-4pt;margin-top:110.55pt;width:54pt;height:20.6pt;z-index:82" filled="f" stroked="f">
                  <v:textbox>
                    <w:txbxContent>
                      <w:p w:rsidR="00B642E5" w:rsidRDefault="00B642E5">
                        <w:pPr>
                          <w:rPr>
                            <w:sz w:val="18"/>
                          </w:rPr>
                        </w:pPr>
                        <w:r>
                          <w:rPr>
                            <w:rFonts w:hint="eastAsia"/>
                            <w:sz w:val="18"/>
                          </w:rPr>
                          <w:t>属　性</w:t>
                        </w:r>
                      </w:p>
                    </w:txbxContent>
                  </v:textbox>
                </v:shape>
              </w:pict>
            </w:r>
          </w:p>
        </w:tc>
        <w:tc>
          <w:tcPr>
            <w:tcW w:w="118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市町村（地域包括支援センター）、福祉事務所、保健所、あったかふれあいセンタ　　ーなどの公共窓口</w:t>
            </w:r>
          </w:p>
        </w:tc>
        <w:tc>
          <w:tcPr>
            <w:tcW w:w="118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かかりつけ医、入院している病院の医療ソーシャルワーカーや主治医</w:t>
            </w:r>
          </w:p>
        </w:tc>
        <w:tc>
          <w:tcPr>
            <w:tcW w:w="118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地域のお世話役（民生委員・児童委員、町内会長や地区長など）</w:t>
            </w:r>
          </w:p>
        </w:tc>
        <w:tc>
          <w:tcPr>
            <w:tcW w:w="118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居宅介護支援事業所（ケアマネージャー）</w:t>
            </w:r>
          </w:p>
        </w:tc>
        <w:tc>
          <w:tcPr>
            <w:tcW w:w="118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118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68.0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44.9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56.5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55.5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61.9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52.5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61.0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19.1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49.7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40.5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19.8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58.2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118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52.4 </w:t>
            </w:r>
          </w:p>
        </w:tc>
        <w:tc>
          <w:tcPr>
            <w:tcW w:w="1181"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118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118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118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118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118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46.9 </w:t>
            </w:r>
          </w:p>
        </w:tc>
        <w:tc>
          <w:tcPr>
            <w:tcW w:w="1181"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63.0 </w:t>
            </w:r>
          </w:p>
        </w:tc>
        <w:tc>
          <w:tcPr>
            <w:tcW w:w="118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c>
          <w:tcPr>
            <w:tcW w:w="118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118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118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16.3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64.9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50.7 </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12.7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56.9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49.0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1181"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60.2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49.6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118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118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18.7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1181"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55.7 </w:t>
            </w:r>
          </w:p>
        </w:tc>
        <w:tc>
          <w:tcPr>
            <w:tcW w:w="118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48.3 </w:t>
            </w:r>
          </w:p>
        </w:tc>
        <w:tc>
          <w:tcPr>
            <w:tcW w:w="118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 </w:t>
            </w:r>
          </w:p>
        </w:tc>
        <w:tc>
          <w:tcPr>
            <w:tcW w:w="118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118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118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r>
    </w:tbl>
    <w:p w:rsidR="00C53806" w:rsidRDefault="00C53806"/>
    <w:p w:rsidR="00C53806" w:rsidRDefault="00C53806"/>
    <w:p w:rsidR="00C53806" w:rsidRDefault="00C53806"/>
    <w:p w:rsidR="00C53806" w:rsidRDefault="00C53806"/>
    <w:p w:rsidR="00C53806" w:rsidRDefault="00C53806"/>
    <w:p w:rsidR="00C53806" w:rsidRDefault="00C53806"/>
    <w:p w:rsidR="00C53806" w:rsidRDefault="00C53806"/>
    <w:p w:rsidR="00C53806" w:rsidRDefault="00C53806"/>
    <w:tbl>
      <w:tblPr>
        <w:tblW w:w="960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00"/>
      </w:tblGrid>
      <w:tr w:rsidR="00C53806">
        <w:trPr>
          <w:trHeight w:val="524"/>
        </w:trPr>
        <w:tc>
          <w:tcPr>
            <w:tcW w:w="9600" w:type="dxa"/>
            <w:vAlign w:val="center"/>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問27　あなたは日頃お酒をどのくらいの頻度で飲みますか。（１つだけ○印）</w:t>
            </w:r>
          </w:p>
        </w:tc>
      </w:tr>
    </w:tbl>
    <w:p w:rsidR="00C53806" w:rsidRDefault="00C53806">
      <w:pPr>
        <w:rPr>
          <w:rFonts w:ascii="ＭＳ 明朝" w:eastAsia="ＭＳ 明朝" w:hAnsi="ＭＳ 明朝"/>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週に１回以上飲む人の割合が42.5％となっている。</w:t>
      </w:r>
    </w:p>
    <w:p w:rsidR="00C53806" w:rsidRDefault="009760D2">
      <w:pPr>
        <w:ind w:left="708" w:hangingChars="337" w:hanging="708"/>
        <w:rPr>
          <w:rFonts w:ascii="ＭＳ 明朝" w:eastAsia="ＭＳ 明朝" w:hAnsi="ＭＳ 明朝"/>
          <w:kern w:val="0"/>
        </w:rPr>
      </w:pPr>
      <w:r>
        <w:rPr>
          <w:rFonts w:ascii="ＭＳ 明朝" w:eastAsia="ＭＳ 明朝" w:hAnsi="ＭＳ 明朝" w:hint="eastAsia"/>
          <w:kern w:val="0"/>
        </w:rPr>
        <w:t xml:space="preserve">　そのうち「毎日飲む」が20.0％、「週に４～５回」が8.3％、「週に２～３回」が7.5％、「週に</w:t>
      </w:r>
    </w:p>
    <w:p w:rsidR="00C53806" w:rsidRDefault="009760D2">
      <w:pPr>
        <w:ind w:left="708" w:hangingChars="337" w:hanging="708"/>
        <w:rPr>
          <w:rFonts w:ascii="ＭＳ ゴシック" w:eastAsia="ＭＳ ゴシック" w:hAnsi="ＭＳ ゴシック"/>
        </w:rPr>
      </w:pPr>
      <w:r>
        <w:rPr>
          <w:rFonts w:ascii="ＭＳ 明朝" w:eastAsia="ＭＳ 明朝" w:hAnsi="ＭＳ 明朝" w:hint="eastAsia"/>
          <w:kern w:val="0"/>
        </w:rPr>
        <w:t>１回程度」が6.7％となっている。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男性では「毎日飲む」が、女性では「飲まない・飲めない」が最も高くなっている。「毎日飲む」では男性が女性よりも19.1ポイント高くなっている。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「毎日飲む」が50歳代では30.3％、60歳代では28.4</w:t>
      </w:r>
      <w:r w:rsidR="00352F49">
        <w:rPr>
          <w:rFonts w:ascii="ＭＳ 明朝" w:eastAsia="ＭＳ 明朝" w:hAnsi="ＭＳ 明朝" w:hint="eastAsia"/>
        </w:rPr>
        <w:t>％と、他の年代</w:t>
      </w:r>
      <w:r>
        <w:rPr>
          <w:rFonts w:ascii="ＭＳ 明朝" w:eastAsia="ＭＳ 明朝" w:hAnsi="ＭＳ 明朝" w:hint="eastAsia"/>
        </w:rPr>
        <w:t>よりも高くなっている。</w:t>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38850" cy="6181725"/>
            <wp:effectExtent l="0" t="0" r="0" b="0"/>
            <wp:docPr id="11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tabs>
          <w:tab w:val="left" w:pos="1890"/>
        </w:tabs>
        <w:rPr>
          <w:rFonts w:ascii="ＭＳ 明朝" w:eastAsia="ＭＳ 明朝" w:hAnsi="ＭＳ 明朝"/>
        </w:rPr>
      </w:pPr>
      <w:r>
        <w:rPr>
          <w:rFonts w:ascii="ＭＳ 明朝" w:eastAsia="ＭＳ 明朝" w:hAnsi="ＭＳ 明朝"/>
        </w:rPr>
        <w:tab/>
      </w:r>
    </w:p>
    <w:p w:rsidR="00C53806" w:rsidRDefault="00C53806">
      <w:pPr>
        <w:tabs>
          <w:tab w:val="left" w:pos="1890"/>
        </w:tabs>
        <w:rPr>
          <w:rFonts w:ascii="ＭＳ 明朝" w:eastAsia="ＭＳ 明朝" w:hAnsi="ＭＳ 明朝"/>
        </w:rPr>
      </w:pPr>
    </w:p>
    <w:p w:rsidR="00C53806" w:rsidRDefault="00C53806">
      <w:pPr>
        <w:tabs>
          <w:tab w:val="left" w:pos="1890"/>
        </w:tabs>
        <w:rPr>
          <w:rFonts w:ascii="ＭＳ 明朝" w:eastAsia="ＭＳ 明朝" w:hAnsi="ＭＳ 明朝"/>
        </w:rPr>
      </w:pPr>
    </w:p>
    <w:p w:rsidR="00C53806" w:rsidRDefault="00C53806">
      <w:pPr>
        <w:tabs>
          <w:tab w:val="left" w:pos="1890"/>
        </w:tabs>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582535"/>
            <wp:effectExtent l="0" t="0" r="0" b="0"/>
            <wp:docPr id="11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shd w:val="pct15" w:color="auto" w:fill="FFFFFF"/>
              </w:rPr>
            </w:pPr>
            <w:r>
              <w:rPr>
                <w:rFonts w:ascii="ＭＳ ゴシック" w:eastAsia="ＭＳ ゴシック" w:hAnsi="ＭＳ ゴシック" w:hint="eastAsia"/>
              </w:rPr>
              <w:t>問27　副問１（問27で「１・２・３・４・５・６・７」を選んだ方のみお答えください。）</w:t>
            </w:r>
          </w:p>
          <w:p w:rsidR="00C53806" w:rsidRDefault="009760D2">
            <w:pPr>
              <w:ind w:firstLineChars="200" w:firstLine="400"/>
              <w:rPr>
                <w:rFonts w:ascii="ＭＳ 明朝" w:hAnsi="ＭＳ 明朝"/>
              </w:rPr>
            </w:pPr>
            <w:r>
              <w:rPr>
                <w:rFonts w:ascii="ＭＳ ゴシック" w:eastAsia="ＭＳ ゴシック" w:hAnsi="ＭＳ ゴシック" w:hint="eastAsia"/>
              </w:rPr>
              <w:t>飲酒するときはどのような理由で飲酒することが多いですか。（当てはまるものすべてに○印）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「飲み会や宴会のため」が42.0％で１位になっている。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次いで「友人、仲間との関係を深めるため」が37.8％、「酒が好きだから」が37.4％と続いている。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男性では「酒が好きだから」が、女性では「飲み会や宴会のため」が１位になっている。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7030085"/>
            <wp:effectExtent l="0" t="0" r="0" b="0"/>
            <wp:docPr id="113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20歳代、30歳代、40歳代では「飲み会や宴会のため」が、10歳代ではこれと同率で「友人、仲間との関係を深めるため」が、50歳代、60歳代では「酒が好きだから」が、70歳以上では「ストレス解消になる気がするため」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3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08"/>
        <w:gridCol w:w="709"/>
        <w:gridCol w:w="709"/>
        <w:gridCol w:w="708"/>
        <w:gridCol w:w="709"/>
        <w:gridCol w:w="709"/>
        <w:gridCol w:w="708"/>
        <w:gridCol w:w="709"/>
        <w:gridCol w:w="709"/>
        <w:gridCol w:w="709"/>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81" o:spid="_x0000_s2081" type="#_x0000_t202" style="position:absolute;left:0;text-align:left;margin-left:-4pt;margin-top:110.55pt;width:54pt;height:20.6pt;z-index:84"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82" o:spid="_x0000_s2080" type="#_x0000_t202" style="position:absolute;left:0;text-align:left;margin-left:56.75pt;margin-top:.75pt;width:54pt;height:20.25pt;z-index:83" filled="f" stroked="f">
                  <v:textbox>
                    <w:txbxContent>
                      <w:p w:rsidR="00B642E5" w:rsidRDefault="00B642E5">
                        <w:pPr>
                          <w:rPr>
                            <w:sz w:val="18"/>
                          </w:rPr>
                        </w:pPr>
                        <w:r>
                          <w:rPr>
                            <w:rFonts w:hint="eastAsia"/>
                            <w:sz w:val="18"/>
                          </w:rPr>
                          <w:t>項　目</w:t>
                        </w:r>
                      </w:p>
                    </w:txbxContent>
                  </v:textbox>
                </v:shape>
              </w:pict>
            </w:r>
          </w:p>
        </w:tc>
        <w:tc>
          <w:tcPr>
            <w:tcW w:w="70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酒が好きだから</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飲み会や宴会のため</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友人、仲間との関係を深めるため</w:t>
            </w:r>
          </w:p>
        </w:tc>
        <w:tc>
          <w:tcPr>
            <w:tcW w:w="70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仕事上の付き合いのため</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習慣となっているため</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疲れがとれる気がするため</w:t>
            </w:r>
          </w:p>
        </w:tc>
        <w:tc>
          <w:tcPr>
            <w:tcW w:w="70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寝付きが良くなる気がするため</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ストレス解消になる気がするため</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不安やイライラを解消する気がするため</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38.4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42.5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42.5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27.4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36.8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42.5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65.9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70.7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0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709"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70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20.2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70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0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39.3 </w:t>
            </w:r>
          </w:p>
        </w:tc>
        <w:tc>
          <w:tcPr>
            <w:tcW w:w="709"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70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70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9.7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38.6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42.2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10.8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31.1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36.6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09"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45.2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39.8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08"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70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70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bl>
    <w:p w:rsidR="00C53806" w:rsidRDefault="00C53806"/>
    <w:p w:rsidR="00C53806" w:rsidRDefault="00C53806"/>
    <w:p w:rsidR="00C53806" w:rsidRDefault="00C53806"/>
    <w:p w:rsidR="00C53806" w:rsidRDefault="00C53806"/>
    <w:p w:rsidR="00C53806" w:rsidRDefault="00C53806"/>
    <w:p w:rsidR="00C53806" w:rsidRDefault="00C53806"/>
    <w:p w:rsidR="00C53806" w:rsidRDefault="009760D2">
      <w:pPr>
        <w:tabs>
          <w:tab w:val="left" w:pos="1680"/>
        </w:tabs>
      </w:pPr>
      <w:r>
        <w:tab/>
      </w:r>
    </w:p>
    <w:tbl>
      <w:tblPr>
        <w:tblStyle w:val="a9"/>
        <w:tblW w:w="9639" w:type="dxa"/>
        <w:tblInd w:w="108" w:type="dxa"/>
        <w:tblLayout w:type="fixed"/>
        <w:tblLook w:val="04A0" w:firstRow="1" w:lastRow="0" w:firstColumn="1" w:lastColumn="0" w:noHBand="0" w:noVBand="1"/>
      </w:tblPr>
      <w:tblGrid>
        <w:gridCol w:w="9639"/>
      </w:tblGrid>
      <w:tr w:rsidR="00C53806">
        <w:tc>
          <w:tcPr>
            <w:tcW w:w="9639" w:type="dxa"/>
          </w:tcPr>
          <w:p w:rsidR="00C53806" w:rsidRDefault="009760D2">
            <w:pPr>
              <w:rPr>
                <w:rFonts w:ascii="ＭＳ ゴシック" w:eastAsia="ＭＳ ゴシック" w:hAnsi="ＭＳ ゴシック"/>
              </w:rPr>
            </w:pPr>
            <w:r>
              <w:rPr>
                <w:rFonts w:ascii="ＭＳ ゴシック" w:eastAsia="ＭＳ ゴシック" w:hAnsi="ＭＳ ゴシック" w:hint="eastAsia"/>
                <w:sz w:val="21"/>
              </w:rPr>
              <w:t>【問27×問27　副問1のクロス分析】</w:t>
            </w:r>
          </w:p>
        </w:tc>
      </w:tr>
    </w:tbl>
    <w:p w:rsidR="00C53806" w:rsidRDefault="00C53806"/>
    <w:p w:rsidR="00C53806" w:rsidRDefault="009760D2">
      <w:pPr>
        <w:ind w:firstLineChars="100" w:firstLine="210"/>
      </w:pPr>
      <w:r>
        <w:rPr>
          <w:rFonts w:ascii="ＭＳ 明朝" w:eastAsia="ＭＳ 明朝" w:hAnsi="ＭＳ 明朝" w:hint="eastAsia"/>
        </w:rPr>
        <w:t>「日頃お酒をどのくらいの頻度で飲みますか。」という質問への回答に対し、「飲酒するときはどのような理由で飲酒することが多いですか。」について見てみると、「毎日飲む」、「週に４～５回」、「週に２～３回」では「酒が好きだから」が、「週に１回程度」では「友人、仲間との関係を深めるため」が、「月に２～４回」、「月に１回」、「年に数回」では「飲み会や宴会のため」が１位になっている。</w:t>
      </w:r>
    </w:p>
    <w:p w:rsidR="00C53806" w:rsidRDefault="00C53806"/>
    <w:p w:rsidR="00C53806" w:rsidRDefault="00C53806"/>
    <w:p w:rsidR="00C53806" w:rsidRDefault="00C53806"/>
    <w:p w:rsidR="00C53806" w:rsidRDefault="009760D2">
      <w:pPr>
        <w:jc w:val="center"/>
        <w:rPr>
          <w:rFonts w:ascii="ＭＳ 明朝" w:eastAsia="ＭＳ 明朝" w:hAnsi="ＭＳ 明朝"/>
        </w:rPr>
      </w:pPr>
      <w:r>
        <w:rPr>
          <w:rFonts w:ascii="ＭＳ 明朝" w:eastAsia="ＭＳ 明朝" w:hAnsi="ＭＳ 明朝" w:hint="eastAsia"/>
        </w:rPr>
        <w:t>《問27×問27　副問1のクロス分析》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5"/>
        <w:tblW w:w="9763" w:type="dxa"/>
        <w:tblLayout w:type="fixed"/>
        <w:tblLook w:val="04A0" w:firstRow="1" w:lastRow="0" w:firstColumn="1" w:lastColumn="0" w:noHBand="0" w:noVBand="1"/>
      </w:tblPr>
      <w:tblGrid>
        <w:gridCol w:w="525"/>
        <w:gridCol w:w="1731"/>
        <w:gridCol w:w="751"/>
        <w:gridCol w:w="752"/>
        <w:gridCol w:w="751"/>
        <w:gridCol w:w="752"/>
        <w:gridCol w:w="751"/>
        <w:gridCol w:w="752"/>
        <w:gridCol w:w="751"/>
        <w:gridCol w:w="752"/>
        <w:gridCol w:w="751"/>
        <w:gridCol w:w="744"/>
      </w:tblGrid>
      <w:tr w:rsidR="00C53806">
        <w:tc>
          <w:tcPr>
            <w:tcW w:w="2256" w:type="dxa"/>
            <w:gridSpan w:val="2"/>
            <w:vMerge w:val="restart"/>
            <w:tcBorders>
              <w:tl2br w:val="single" w:sz="4" w:space="0" w:color="auto"/>
            </w:tcBorders>
          </w:tcPr>
          <w:p w:rsidR="00C53806" w:rsidRDefault="00C53806">
            <w:pPr>
              <w:rPr>
                <w:rFonts w:ascii="ＭＳ 明朝" w:eastAsia="ＭＳ 明朝" w:hAnsi="ＭＳ 明朝"/>
              </w:rPr>
            </w:pPr>
          </w:p>
        </w:tc>
        <w:tc>
          <w:tcPr>
            <w:tcW w:w="7507" w:type="dxa"/>
            <w:gridSpan w:val="10"/>
            <w:vAlign w:val="center"/>
          </w:tcPr>
          <w:p w:rsidR="00C53806" w:rsidRDefault="009760D2">
            <w:pPr>
              <w:jc w:val="center"/>
              <w:rPr>
                <w:rFonts w:ascii="ＭＳ 明朝" w:eastAsia="ＭＳ 明朝" w:hAnsi="ＭＳ 明朝"/>
              </w:rPr>
            </w:pPr>
            <w:r>
              <w:rPr>
                <w:rFonts w:ascii="ＭＳ 明朝" w:eastAsia="ＭＳ 明朝" w:hAnsi="ＭＳ 明朝" w:hint="eastAsia"/>
              </w:rPr>
              <w:t>問27副問１</w:t>
            </w:r>
          </w:p>
        </w:tc>
      </w:tr>
      <w:tr w:rsidR="00C53806">
        <w:trPr>
          <w:cantSplit/>
          <w:trHeight w:val="2665"/>
        </w:trPr>
        <w:tc>
          <w:tcPr>
            <w:tcW w:w="2256" w:type="dxa"/>
            <w:gridSpan w:val="2"/>
            <w:vMerge/>
          </w:tcPr>
          <w:p w:rsidR="00C53806" w:rsidRDefault="00C53806">
            <w:pPr>
              <w:rPr>
                <w:rFonts w:ascii="ＭＳ 明朝" w:eastAsia="ＭＳ 明朝" w:hAnsi="ＭＳ 明朝"/>
              </w:rPr>
            </w:pPr>
          </w:p>
        </w:tc>
        <w:tc>
          <w:tcPr>
            <w:tcW w:w="7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酒が好きだから</w:t>
            </w:r>
          </w:p>
        </w:tc>
        <w:tc>
          <w:tcPr>
            <w:tcW w:w="75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飲み会や宴会のため</w:t>
            </w:r>
          </w:p>
        </w:tc>
        <w:tc>
          <w:tcPr>
            <w:tcW w:w="7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友人、仲間との関係を深めるため</w:t>
            </w:r>
          </w:p>
        </w:tc>
        <w:tc>
          <w:tcPr>
            <w:tcW w:w="75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仕事上の付き合いのため</w:t>
            </w:r>
          </w:p>
        </w:tc>
        <w:tc>
          <w:tcPr>
            <w:tcW w:w="7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習慣となっているため</w:t>
            </w:r>
          </w:p>
        </w:tc>
        <w:tc>
          <w:tcPr>
            <w:tcW w:w="75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疲れがとれる気がするため</w:t>
            </w:r>
          </w:p>
        </w:tc>
        <w:tc>
          <w:tcPr>
            <w:tcW w:w="7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寝付きが良くなる気がするため</w:t>
            </w:r>
          </w:p>
        </w:tc>
        <w:tc>
          <w:tcPr>
            <w:tcW w:w="75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ストレス解消になる気がするため</w:t>
            </w:r>
          </w:p>
        </w:tc>
        <w:tc>
          <w:tcPr>
            <w:tcW w:w="7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不安やイライラを解消する気がするため</w:t>
            </w:r>
          </w:p>
        </w:tc>
        <w:tc>
          <w:tcPr>
            <w:tcW w:w="7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trHeight w:val="720"/>
        </w:trPr>
        <w:tc>
          <w:tcPr>
            <w:tcW w:w="525"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問27</w:t>
            </w: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毎日飲む</w:t>
            </w:r>
          </w:p>
        </w:tc>
        <w:tc>
          <w:tcPr>
            <w:tcW w:w="751"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65.2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17.4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19.3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13.7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58.7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18.6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28.0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33.2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15.8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2.2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週に４～５回</w:t>
            </w:r>
          </w:p>
        </w:tc>
        <w:tc>
          <w:tcPr>
            <w:tcW w:w="751"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62.7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23.1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28.4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21.6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36.6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23.9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11.9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35.8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9.7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3.7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週に２～３回</w:t>
            </w:r>
          </w:p>
        </w:tc>
        <w:tc>
          <w:tcPr>
            <w:tcW w:w="751"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48.3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38.3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32.5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20.8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15.8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19.2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12.5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42.5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14.2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4.2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週に１回程度</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23.1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42.6 </w:t>
            </w:r>
          </w:p>
        </w:tc>
        <w:tc>
          <w:tcPr>
            <w:tcW w:w="751"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45.4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19.4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1.9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15.7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8.3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33.3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7.4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6.5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月に２～４回</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22.7 </w:t>
            </w:r>
          </w:p>
        </w:tc>
        <w:tc>
          <w:tcPr>
            <w:tcW w:w="752"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58.6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53.9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0.8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10.9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6.3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23.4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7.8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4.7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月に１回</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11.4 </w:t>
            </w:r>
          </w:p>
        </w:tc>
        <w:tc>
          <w:tcPr>
            <w:tcW w:w="752"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72.2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55.7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35.4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1.3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6.3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13.9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年に数回</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5.2 </w:t>
            </w:r>
          </w:p>
        </w:tc>
        <w:tc>
          <w:tcPr>
            <w:tcW w:w="752"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67.1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52.0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2.0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3.2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9.9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飲まない・飲めない</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r>
      <w:tr w:rsidR="00C53806">
        <w:trPr>
          <w:trHeight w:val="720"/>
        </w:trPr>
        <w:tc>
          <w:tcPr>
            <w:tcW w:w="525" w:type="dxa"/>
            <w:vMerge/>
          </w:tcPr>
          <w:p w:rsidR="00C53806" w:rsidRDefault="00C53806">
            <w:pPr>
              <w:rPr>
                <w:rFonts w:ascii="ＭＳ 明朝" w:eastAsia="ＭＳ 明朝" w:hAnsi="ＭＳ 明朝"/>
              </w:rPr>
            </w:pPr>
          </w:p>
        </w:tc>
        <w:tc>
          <w:tcPr>
            <w:tcW w:w="1731"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未成年なので飲めない</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2"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51"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44"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問27　副問２　（副問１を答えた方のみお答えください。）</w:t>
            </w:r>
          </w:p>
          <w:p w:rsidR="00C53806" w:rsidRDefault="009760D2">
            <w:pPr>
              <w:ind w:firstLineChars="200" w:firstLine="400"/>
              <w:rPr>
                <w:rFonts w:ascii="ＭＳ 明朝" w:hAnsi="ＭＳ 明朝"/>
              </w:rPr>
            </w:pPr>
            <w:r>
              <w:rPr>
                <w:rFonts w:ascii="ＭＳ ゴシック" w:eastAsia="ＭＳ ゴシック" w:hAnsi="ＭＳ ゴシック" w:hint="eastAsia"/>
              </w:rPr>
              <w:t>飲酒について、心がけていることはありますか。（当てはまるものすべてに○印）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「飲酒運転をしない、させない」が60.5％で１位になっている。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次いで「食べ物も一緒に摂取している」が53.6％、「他人に飲酒を強要しない」が39.3％と続いている。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男女とも「総合」とほぼ同じ傾向になっている。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823075"/>
            <wp:effectExtent l="0" t="0" r="0" b="0"/>
            <wp:docPr id="11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20歳代、30歳代、40歳代、50歳代では「飲酒運転をしない、させない」が、60歳代、70歳以上では「食べ物も一緒に摂取している」が１位になっている。</w:t>
      </w:r>
    </w:p>
    <w:p w:rsidR="00C53806" w:rsidRDefault="009760D2">
      <w:pPr>
        <w:rPr>
          <w:rFonts w:ascii="ＭＳ ゴシック" w:eastAsia="ＭＳ ゴシック" w:hAnsi="ＭＳ ゴシック"/>
        </w:rPr>
      </w:pPr>
      <w:r>
        <w:rPr>
          <w:rFonts w:ascii="ＭＳ ゴシック" w:eastAsia="ＭＳ ゴシック" w:hAnsi="ＭＳ ゴシック" w:hint="eastAsia"/>
        </w:rPr>
        <w:t xml:space="preserve">　</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4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644"/>
        <w:gridCol w:w="644"/>
        <w:gridCol w:w="644"/>
        <w:gridCol w:w="645"/>
        <w:gridCol w:w="644"/>
        <w:gridCol w:w="644"/>
        <w:gridCol w:w="644"/>
        <w:gridCol w:w="645"/>
        <w:gridCol w:w="644"/>
        <w:gridCol w:w="644"/>
        <w:gridCol w:w="645"/>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86" o:spid="_x0000_s2079" type="#_x0000_t202" style="position:absolute;left:0;text-align:left;margin-left:-4pt;margin-top:110.55pt;width:54pt;height:20.6pt;z-index:86"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87" o:spid="_x0000_s2078" type="#_x0000_t202" style="position:absolute;left:0;text-align:left;margin-left:56.75pt;margin-top:.75pt;width:54pt;height:20.25pt;z-index:85" filled="f" stroked="f">
                  <v:textbox>
                    <w:txbxContent>
                      <w:p w:rsidR="00B642E5" w:rsidRDefault="00B642E5">
                        <w:pPr>
                          <w:rPr>
                            <w:sz w:val="18"/>
                          </w:rPr>
                        </w:pPr>
                        <w:r>
                          <w:rPr>
                            <w:rFonts w:hint="eastAsia"/>
                            <w:sz w:val="18"/>
                          </w:rPr>
                          <w:t>項　目</w:t>
                        </w:r>
                      </w:p>
                    </w:txbxContent>
                  </v:textbox>
                </v:shape>
              </w:pic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特になし</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休肝日を設けている</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適正量を守っている</w:t>
            </w:r>
          </w:p>
        </w:tc>
        <w:tc>
          <w:tcPr>
            <w:tcW w:w="6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一日の飲酒量を決めている</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食べ物も一緒に摂取している</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定期的に検診を受けている</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他人に飲酒を強要しない</w:t>
            </w:r>
          </w:p>
        </w:tc>
        <w:tc>
          <w:tcPr>
            <w:tcW w:w="6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未成年に飲酒をさせない</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イッキ飲みをしない、させない</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飲酒運転をしない、させない</w:t>
            </w:r>
          </w:p>
        </w:tc>
        <w:tc>
          <w:tcPr>
            <w:tcW w:w="6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97"/>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31.5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38.5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31.5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43.3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58.5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64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57.0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29.8 </w:t>
            </w:r>
          </w:p>
        </w:tc>
        <w:tc>
          <w:tcPr>
            <w:tcW w:w="64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34.2 </w:t>
            </w:r>
          </w:p>
        </w:tc>
        <w:tc>
          <w:tcPr>
            <w:tcW w:w="644"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60.5 </w:t>
            </w:r>
          </w:p>
        </w:tc>
        <w:tc>
          <w:tcPr>
            <w:tcW w:w="64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97"/>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17.7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15.2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64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56.6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42.6 </w:t>
            </w:r>
          </w:p>
        </w:tc>
        <w:tc>
          <w:tcPr>
            <w:tcW w:w="64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644"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61.7 </w:t>
            </w:r>
          </w:p>
        </w:tc>
        <w:tc>
          <w:tcPr>
            <w:tcW w:w="64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20.5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33.5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41.9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64.5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35.5 </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645"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56.3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12.7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42.1 </w:t>
            </w:r>
          </w:p>
        </w:tc>
        <w:tc>
          <w:tcPr>
            <w:tcW w:w="645"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644"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57.9 </w:t>
            </w:r>
          </w:p>
        </w:tc>
        <w:tc>
          <w:tcPr>
            <w:tcW w:w="645"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bl>
    <w:p w:rsidR="00C53806" w:rsidRDefault="00C53806"/>
    <w:p w:rsidR="00C53806" w:rsidRDefault="00C53806"/>
    <w:p w:rsidR="00C53806" w:rsidRDefault="00C53806"/>
    <w:p w:rsidR="00C53806" w:rsidRDefault="00C53806"/>
    <w:p w:rsidR="00C53806" w:rsidRDefault="00C53806"/>
    <w:tbl>
      <w:tblPr>
        <w:tblStyle w:val="a9"/>
        <w:tblW w:w="9639" w:type="dxa"/>
        <w:tblInd w:w="108" w:type="dxa"/>
        <w:tblLayout w:type="fixed"/>
        <w:tblLook w:val="04A0" w:firstRow="1" w:lastRow="0" w:firstColumn="1" w:lastColumn="0" w:noHBand="0" w:noVBand="1"/>
      </w:tblPr>
      <w:tblGrid>
        <w:gridCol w:w="9639"/>
      </w:tblGrid>
      <w:tr w:rsidR="00C53806">
        <w:trPr>
          <w:trHeight w:val="417"/>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【問27×問27　副問2のクロス分析】</w:t>
            </w:r>
          </w:p>
        </w:tc>
      </w:tr>
    </w:tbl>
    <w:p w:rsidR="00C53806" w:rsidRDefault="00C53806">
      <w:pP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hint="eastAsia"/>
        </w:rPr>
        <w:t xml:space="preserve">　「日頃お酒をどのくらいの頻度で飲みますか。」という質問への回答に対し、「飲酒について、心がけていることはありますか。」について見てみると、お酒を飲む頻度に関わらず、「飲酒運転をしない、させない」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《問27×問27　副問２のクロス分析》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6"/>
        <w:tblW w:w="9763" w:type="dxa"/>
        <w:tblLayout w:type="fixed"/>
        <w:tblLook w:val="04A0" w:firstRow="1" w:lastRow="0" w:firstColumn="1" w:lastColumn="0" w:noHBand="0" w:noVBand="1"/>
      </w:tblPr>
      <w:tblGrid>
        <w:gridCol w:w="525"/>
        <w:gridCol w:w="1336"/>
        <w:gridCol w:w="719"/>
        <w:gridCol w:w="719"/>
        <w:gridCol w:w="719"/>
        <w:gridCol w:w="720"/>
        <w:gridCol w:w="719"/>
        <w:gridCol w:w="719"/>
        <w:gridCol w:w="719"/>
        <w:gridCol w:w="720"/>
        <w:gridCol w:w="719"/>
        <w:gridCol w:w="719"/>
        <w:gridCol w:w="710"/>
      </w:tblGrid>
      <w:tr w:rsidR="00C53806">
        <w:tc>
          <w:tcPr>
            <w:tcW w:w="1861" w:type="dxa"/>
            <w:gridSpan w:val="2"/>
            <w:vMerge w:val="restart"/>
            <w:tcBorders>
              <w:tl2br w:val="single" w:sz="4" w:space="0" w:color="auto"/>
            </w:tcBorders>
          </w:tcPr>
          <w:p w:rsidR="00C53806" w:rsidRDefault="00C53806">
            <w:pPr>
              <w:rPr>
                <w:rFonts w:ascii="ＭＳ 明朝" w:eastAsia="ＭＳ 明朝" w:hAnsi="ＭＳ 明朝"/>
              </w:rPr>
            </w:pPr>
          </w:p>
        </w:tc>
        <w:tc>
          <w:tcPr>
            <w:tcW w:w="7902" w:type="dxa"/>
            <w:gridSpan w:val="11"/>
            <w:vAlign w:val="center"/>
          </w:tcPr>
          <w:p w:rsidR="00C53806" w:rsidRDefault="009760D2">
            <w:pPr>
              <w:jc w:val="center"/>
              <w:rPr>
                <w:rFonts w:ascii="ＭＳ 明朝" w:eastAsia="ＭＳ 明朝" w:hAnsi="ＭＳ 明朝"/>
              </w:rPr>
            </w:pPr>
            <w:r>
              <w:rPr>
                <w:rFonts w:ascii="ＭＳ 明朝" w:eastAsia="ＭＳ 明朝" w:hAnsi="ＭＳ 明朝" w:hint="eastAsia"/>
              </w:rPr>
              <w:t>問27副問２</w:t>
            </w:r>
          </w:p>
        </w:tc>
      </w:tr>
      <w:tr w:rsidR="00C53806">
        <w:trPr>
          <w:cantSplit/>
          <w:trHeight w:val="2665"/>
        </w:trPr>
        <w:tc>
          <w:tcPr>
            <w:tcW w:w="1861" w:type="dxa"/>
            <w:gridSpan w:val="2"/>
            <w:vMerge/>
          </w:tcPr>
          <w:p w:rsidR="00C53806" w:rsidRDefault="00C53806">
            <w:pPr>
              <w:rPr>
                <w:rFonts w:ascii="ＭＳ 明朝" w:eastAsia="ＭＳ 明朝" w:hAnsi="ＭＳ 明朝"/>
              </w:rPr>
            </w:pP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特になし</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休肝日を設けている</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適正量を守っている</w:t>
            </w:r>
          </w:p>
        </w:tc>
        <w:tc>
          <w:tcPr>
            <w:tcW w:w="720"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一日の飲酒量を決めている</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食べ物も一緒に摂取している</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定期的に検診を受けている</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他人に飲酒を強要しない</w:t>
            </w:r>
          </w:p>
        </w:tc>
        <w:tc>
          <w:tcPr>
            <w:tcW w:w="720"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未成年に飲酒をさせない</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イッキ飲みをしない、させない</w:t>
            </w:r>
          </w:p>
        </w:tc>
        <w:tc>
          <w:tcPr>
            <w:tcW w:w="719"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飲酒運転をしない、させない</w:t>
            </w:r>
          </w:p>
        </w:tc>
        <w:tc>
          <w:tcPr>
            <w:tcW w:w="710"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trHeight w:val="720"/>
        </w:trPr>
        <w:tc>
          <w:tcPr>
            <w:tcW w:w="525"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問27</w:t>
            </w: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毎日飲む</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22.7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9.9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22.0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56.8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26.4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41.3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36.0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38.8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63.4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週に４～５回</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14.2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42.5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28.4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33.6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61.2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26.1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43.3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43.3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39.6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65.7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0.7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週に２～３回</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39.2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22.5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18.3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58.3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20.0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35.0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35.0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29.2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63.3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週に１回程度</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13.0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20.4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50.9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38.9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36.1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29.6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55.6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0.9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月に２～４回</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13.3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3.1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21.1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11.7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54.7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10.2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35.9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28.1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34.4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64.8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0.8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月に１回</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13.9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10.1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21.5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7.6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57.0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11.4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45.6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41.8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46.8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68.4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年に数回</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24.2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16.7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4.4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42.9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5.2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36.5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29.0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31.0 </w:t>
            </w:r>
          </w:p>
        </w:tc>
        <w:tc>
          <w:tcPr>
            <w:tcW w:w="719"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50.0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0.8 </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飲まない・飲めない</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p>
        </w:tc>
      </w:tr>
      <w:tr w:rsidR="00C53806">
        <w:trPr>
          <w:trHeight w:val="720"/>
        </w:trPr>
        <w:tc>
          <w:tcPr>
            <w:tcW w:w="525" w:type="dxa"/>
            <w:vMerge/>
          </w:tcPr>
          <w:p w:rsidR="00C53806" w:rsidRDefault="00C53806">
            <w:pPr>
              <w:rPr>
                <w:rFonts w:ascii="ＭＳ 明朝" w:eastAsia="ＭＳ 明朝" w:hAnsi="ＭＳ 明朝"/>
              </w:rPr>
            </w:pPr>
          </w:p>
        </w:tc>
        <w:tc>
          <w:tcPr>
            <w:tcW w:w="1336"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未成年なので飲めない</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2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r>
              <w:rPr>
                <w:rFonts w:ascii="ＭＳ 明朝" w:eastAsia="ＭＳ 明朝" w:hAnsi="ＭＳ 明朝"/>
                <w:color w:val="000000"/>
                <w:sz w:val="18"/>
              </w:rPr>
              <w:t xml:space="preserve"> </w:t>
            </w:r>
          </w:p>
        </w:tc>
        <w:tc>
          <w:tcPr>
            <w:tcW w:w="710"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hint="eastAsia"/>
                <w:color w:val="000000"/>
                <w:sz w:val="18"/>
              </w:rPr>
              <w:t>－</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問28　アルコールが体に及ぼす影響について、次のことを知っていますか。</w:t>
            </w:r>
          </w:p>
          <w:p w:rsidR="00C53806" w:rsidRDefault="009760D2">
            <w:pPr>
              <w:ind w:firstLineChars="3200" w:firstLine="6400"/>
              <w:rPr>
                <w:rFonts w:ascii="ＭＳ 明朝" w:hAnsi="ＭＳ 明朝"/>
              </w:rPr>
            </w:pPr>
            <w:r>
              <w:rPr>
                <w:rFonts w:ascii="ＭＳ ゴシック" w:eastAsia="ＭＳ ゴシック" w:hAnsi="ＭＳ ゴシック" w:hint="eastAsia"/>
              </w:rPr>
              <w:t>（当てはまるものすべてに○印）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「アルコールが原因で不眠症やうつ病、認知症になることがある」が30.3％で認知度が最も</w:t>
      </w:r>
      <w:r w:rsidR="00511136">
        <w:rPr>
          <w:rFonts w:ascii="ＭＳ ゴシック" w:eastAsia="ＭＳ ゴシック" w:hAnsi="ＭＳ ゴシック" w:hint="eastAsia"/>
          <w:b/>
          <w:u w:val="single"/>
        </w:rPr>
        <w:t>低くなっている</w:t>
      </w:r>
      <w:r>
        <w:rPr>
          <w:rFonts w:ascii="ＭＳ ゴシック" w:eastAsia="ＭＳ ゴシック" w:hAnsi="ＭＳ ゴシック" w:hint="eastAsia"/>
          <w:b/>
          <w:u w:val="single"/>
        </w:rPr>
        <w:t>。</w:t>
      </w:r>
    </w:p>
    <w:p w:rsidR="00C53806" w:rsidRDefault="009760D2">
      <w:pPr>
        <w:rPr>
          <w:rFonts w:ascii="ＭＳ 明朝" w:eastAsia="ＭＳ 明朝" w:hAnsi="ＭＳ 明朝"/>
        </w:rPr>
      </w:pPr>
      <w:r>
        <w:rPr>
          <w:rFonts w:ascii="ＭＳ 明朝" w:eastAsia="ＭＳ 明朝" w:hAnsi="ＭＳ 明朝" w:hint="eastAsia"/>
          <w:kern w:val="0"/>
        </w:rPr>
        <w:t xml:space="preserve">　次いで「未成年の飲酒は性ホルモンの成長に悪影響がある」が34.0％、「アルコールの飲み過ぎは脳に影響を及ぼす」が49.6％と認知度が低くなっている。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sidR="00352F49">
        <w:rPr>
          <w:rFonts w:ascii="ＭＳ 明朝" w:eastAsia="ＭＳ 明朝" w:hAnsi="ＭＳ 明朝" w:hint="eastAsia"/>
        </w:rPr>
        <w:t xml:space="preserve">　ほぼすべての項目で、女性より男性の認知度が低くなっている。</w:t>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668135"/>
            <wp:effectExtent l="0" t="0" r="0" b="0"/>
            <wp:docPr id="114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70歳以上を除くすべての年代で「急性アルコール中毒は死に至ることがある」が、70歳以上では「アルコールの飲みすぎは肝臓病だけでなく全身に様々な障害を起こす」が１位になっている。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8160385"/>
            <wp:effectExtent l="0" t="0" r="0" b="0"/>
            <wp:docPr id="114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787"/>
        <w:gridCol w:w="788"/>
        <w:gridCol w:w="787"/>
        <w:gridCol w:w="788"/>
        <w:gridCol w:w="787"/>
        <w:gridCol w:w="788"/>
        <w:gridCol w:w="787"/>
        <w:gridCol w:w="788"/>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92" o:spid="_x0000_s2077" type="#_x0000_t202" style="position:absolute;left:0;text-align:left;margin-left:66.25pt;margin-top:.75pt;width:54pt;height:20.25pt;z-index:87"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391" o:spid="_x0000_s2076" type="#_x0000_t202" style="position:absolute;left:0;text-align:left;margin-left:-4pt;margin-top:110.55pt;width:54pt;height:20.6pt;z-index:88" filled="f" stroked="f">
                  <v:textbox>
                    <w:txbxContent>
                      <w:p w:rsidR="00B642E5" w:rsidRDefault="00B642E5">
                        <w:pPr>
                          <w:rPr>
                            <w:sz w:val="18"/>
                          </w:rPr>
                        </w:pPr>
                        <w:r>
                          <w:rPr>
                            <w:rFonts w:hint="eastAsia"/>
                            <w:sz w:val="18"/>
                          </w:rPr>
                          <w:t>属　性</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未成年者の飲酒は脳の発達に悪影響がある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未成年者の飲酒は性ホルモンの成長に悪影響がある</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妊婦の飲酒は脳障害や発育障害など胎児の発育に悪影響がある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アルコールの飲みすぎは肝臓病だけでなく全身に様々な障害を起こす</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アルコールの飲み過ぎは高血圧や糖尿病の合併症が引き起こされる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アルコールの飲み過ぎは脳に影響を及ぼす</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アルコールが原因で不眠症やうつ病、認知症になることがある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急性アルコール中毒は死に至ることがある</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知らない</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81.4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30.7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39.4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25.6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93.8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32.9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30.2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62.9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80.0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72.9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55.9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87"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86.5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67.7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35.2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84.1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78.6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66.3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50.6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32.1 </w:t>
            </w:r>
          </w:p>
        </w:tc>
        <w:tc>
          <w:tcPr>
            <w:tcW w:w="787"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88.3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84.3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66.2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34.3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79.1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75.1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55.7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87"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86.6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ind w:firstLineChars="100" w:firstLine="210"/>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7"/>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【問27×問28のクロス分析】</w:t>
            </w:r>
          </w:p>
        </w:tc>
      </w:tr>
    </w:tbl>
    <w:p w:rsidR="00C53806" w:rsidRDefault="00C53806">
      <w:pPr>
        <w:rPr>
          <w:rFonts w:ascii="ＭＳ 明朝" w:eastAsia="ＭＳ 明朝" w:hAnsi="ＭＳ 明朝"/>
        </w:rPr>
      </w:pPr>
    </w:p>
    <w:p w:rsidR="00C53806" w:rsidRDefault="009760D2">
      <w:pPr>
        <w:ind w:firstLineChars="100" w:firstLine="210"/>
        <w:rPr>
          <w:rFonts w:ascii="ＭＳ 明朝" w:eastAsia="ＭＳ 明朝" w:hAnsi="ＭＳ 明朝"/>
        </w:rPr>
      </w:pPr>
      <w:r>
        <w:rPr>
          <w:rFonts w:ascii="ＭＳ 明朝" w:eastAsia="ＭＳ 明朝" w:hAnsi="ＭＳ 明朝" w:hint="eastAsia"/>
        </w:rPr>
        <w:t>「日頃お酒をどのくらいの頻度で飲みますか。」という質問への回答に対し、「アルコールが体に及ぼす影響について、知っていますか。」について見てみると、お酒を飲む頻度に関わらず、「急性アルコール中毒は死に至ることがある」が、「週に４～５回」ではこれと同率で「妊婦の飲酒は脳障害や発育障害など胎児の発育に悪影響があ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《問27×問28のクロス分析》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7"/>
        <w:tblW w:w="9763" w:type="dxa"/>
        <w:tblLayout w:type="fixed"/>
        <w:tblLook w:val="04A0" w:firstRow="1" w:lastRow="0" w:firstColumn="1" w:lastColumn="0" w:noHBand="0" w:noVBand="1"/>
      </w:tblPr>
      <w:tblGrid>
        <w:gridCol w:w="527"/>
        <w:gridCol w:w="1633"/>
        <w:gridCol w:w="845"/>
        <w:gridCol w:w="846"/>
        <w:gridCol w:w="845"/>
        <w:gridCol w:w="846"/>
        <w:gridCol w:w="845"/>
        <w:gridCol w:w="846"/>
        <w:gridCol w:w="845"/>
        <w:gridCol w:w="846"/>
        <w:gridCol w:w="839"/>
      </w:tblGrid>
      <w:tr w:rsidR="00C53806">
        <w:tc>
          <w:tcPr>
            <w:tcW w:w="2160" w:type="dxa"/>
            <w:gridSpan w:val="2"/>
            <w:vMerge w:val="restart"/>
            <w:tcBorders>
              <w:tl2br w:val="single" w:sz="4" w:space="0" w:color="auto"/>
            </w:tcBorders>
          </w:tcPr>
          <w:p w:rsidR="00C53806" w:rsidRDefault="00C53806">
            <w:pPr>
              <w:rPr>
                <w:rFonts w:ascii="ＭＳ 明朝" w:eastAsia="ＭＳ 明朝" w:hAnsi="ＭＳ 明朝"/>
              </w:rPr>
            </w:pPr>
          </w:p>
        </w:tc>
        <w:tc>
          <w:tcPr>
            <w:tcW w:w="7603" w:type="dxa"/>
            <w:gridSpan w:val="9"/>
            <w:vAlign w:val="center"/>
          </w:tcPr>
          <w:p w:rsidR="00C53806" w:rsidRDefault="009760D2">
            <w:pPr>
              <w:jc w:val="center"/>
              <w:rPr>
                <w:rFonts w:ascii="ＭＳ 明朝" w:eastAsia="ＭＳ 明朝" w:hAnsi="ＭＳ 明朝"/>
              </w:rPr>
            </w:pPr>
            <w:r>
              <w:rPr>
                <w:rFonts w:ascii="ＭＳ 明朝" w:eastAsia="ＭＳ 明朝" w:hAnsi="ＭＳ 明朝" w:hint="eastAsia"/>
              </w:rPr>
              <w:t>問28</w:t>
            </w:r>
          </w:p>
        </w:tc>
      </w:tr>
      <w:tr w:rsidR="00C53806">
        <w:trPr>
          <w:cantSplit/>
          <w:trHeight w:val="3175"/>
        </w:trPr>
        <w:tc>
          <w:tcPr>
            <w:tcW w:w="2160" w:type="dxa"/>
            <w:gridSpan w:val="2"/>
            <w:vMerge/>
          </w:tcPr>
          <w:p w:rsidR="00C53806" w:rsidRDefault="00C53806">
            <w:pPr>
              <w:rPr>
                <w:rFonts w:ascii="ＭＳ 明朝" w:eastAsia="ＭＳ 明朝" w:hAnsi="ＭＳ 明朝"/>
              </w:rPr>
            </w:pPr>
          </w:p>
        </w:tc>
        <w:tc>
          <w:tcPr>
            <w:tcW w:w="8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未成年者の飲酒は脳の発達に悪影響がある</w:t>
            </w:r>
          </w:p>
        </w:tc>
        <w:tc>
          <w:tcPr>
            <w:tcW w:w="84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未成年者の飲酒は性ホルモンの成長に悪影響がある</w:t>
            </w:r>
          </w:p>
        </w:tc>
        <w:tc>
          <w:tcPr>
            <w:tcW w:w="8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妊婦の飲酒は脳障害や発育障害など胎児の発育に悪影響がある</w:t>
            </w:r>
          </w:p>
        </w:tc>
        <w:tc>
          <w:tcPr>
            <w:tcW w:w="84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アルコールの飲みすぎは肝臓病だけでなく全身に様々な障害を起こす</w:t>
            </w:r>
          </w:p>
        </w:tc>
        <w:tc>
          <w:tcPr>
            <w:tcW w:w="8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アルコールの飲み過ぎは高血圧や糖尿病の合併症が引き起こされる</w:t>
            </w:r>
          </w:p>
        </w:tc>
        <w:tc>
          <w:tcPr>
            <w:tcW w:w="84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アルコールの飲み過ぎは脳に影響を及ぼす</w:t>
            </w:r>
          </w:p>
        </w:tc>
        <w:tc>
          <w:tcPr>
            <w:tcW w:w="8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アルコールが原因で不眠症やうつ病、認知症になることがある</w:t>
            </w:r>
          </w:p>
        </w:tc>
        <w:tc>
          <w:tcPr>
            <w:tcW w:w="84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急性アルコール中毒は死に至ることがある</w:t>
            </w:r>
          </w:p>
        </w:tc>
        <w:tc>
          <w:tcPr>
            <w:tcW w:w="83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知らない</w:t>
            </w:r>
          </w:p>
        </w:tc>
      </w:tr>
      <w:tr w:rsidR="00C53806">
        <w:trPr>
          <w:trHeight w:val="720"/>
        </w:trPr>
        <w:tc>
          <w:tcPr>
            <w:tcW w:w="527"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問27</w:t>
            </w: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毎日飲む</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63.0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32.6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77.3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79.2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66.5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53.1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33.2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82.0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3.4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週に４～５回</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72.4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35.8 </w:t>
            </w:r>
          </w:p>
        </w:tc>
        <w:tc>
          <w:tcPr>
            <w:tcW w:w="845"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88.8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81.3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67.2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59.7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35.8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88.8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週に２～３回</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69.2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36.7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80.8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76.7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61.7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50.8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23.3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86.7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0.8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週に１回程度</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69.4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37.0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86.1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82.4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68.5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45.4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28.7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92.6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月に２～４回</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66.4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43.0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86.7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77.3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64.8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45.3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27.3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91.4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月に１回</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72.2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38.0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88.6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79.7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64.6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62.0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34.2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92.4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3.8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年に数回</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65.9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34.1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83.3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73.8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66.3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45.6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28.2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84.1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1.6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飲まない・飲めない</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56.1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25.9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74.9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73.2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59.4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41.7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29.3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85.1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3.9 </w:t>
            </w:r>
          </w:p>
        </w:tc>
      </w:tr>
      <w:tr w:rsidR="00C53806">
        <w:trPr>
          <w:trHeight w:val="720"/>
        </w:trPr>
        <w:tc>
          <w:tcPr>
            <w:tcW w:w="527" w:type="dxa"/>
            <w:vMerge/>
          </w:tcPr>
          <w:p w:rsidR="00C53806" w:rsidRDefault="00C53806">
            <w:pPr>
              <w:rPr>
                <w:rFonts w:ascii="ＭＳ 明朝" w:eastAsia="ＭＳ 明朝" w:hAnsi="ＭＳ 明朝"/>
              </w:rPr>
            </w:pPr>
          </w:p>
        </w:tc>
        <w:tc>
          <w:tcPr>
            <w:tcW w:w="1633" w:type="dxa"/>
            <w:vAlign w:val="center"/>
          </w:tcPr>
          <w:p w:rsidR="00C53806" w:rsidRDefault="009760D2">
            <w:pPr>
              <w:rPr>
                <w:rFonts w:ascii="ＭＳ Ｐゴシック" w:eastAsia="ＭＳ Ｐゴシック" w:hAnsi="ＭＳ Ｐゴシック"/>
                <w:color w:val="000000"/>
                <w:sz w:val="18"/>
              </w:rPr>
            </w:pPr>
            <w:r>
              <w:rPr>
                <w:rFonts w:hint="eastAsia"/>
                <w:color w:val="000000"/>
                <w:sz w:val="18"/>
              </w:rPr>
              <w:t>未成年なので飲めない</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84.3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47.0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85.5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77.1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59.0 </w:t>
            </w:r>
          </w:p>
        </w:tc>
        <w:tc>
          <w:tcPr>
            <w:tcW w:w="846"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68.7 </w:t>
            </w:r>
          </w:p>
        </w:tc>
        <w:tc>
          <w:tcPr>
            <w:tcW w:w="845"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34.9 </w:t>
            </w:r>
          </w:p>
        </w:tc>
        <w:tc>
          <w:tcPr>
            <w:tcW w:w="846" w:type="dxa"/>
            <w:shd w:val="clear" w:color="auto" w:fill="D9D9D9" w:themeFill="background1" w:themeFillShade="D9"/>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89.2 </w:t>
            </w:r>
          </w:p>
        </w:tc>
        <w:tc>
          <w:tcPr>
            <w:tcW w:w="839" w:type="dxa"/>
            <w:vAlign w:val="center"/>
          </w:tcPr>
          <w:p w:rsidR="00C53806" w:rsidRDefault="009760D2">
            <w:pPr>
              <w:jc w:val="right"/>
              <w:rPr>
                <w:rFonts w:ascii="ＭＳ 明朝" w:eastAsia="ＭＳ 明朝" w:hAnsi="ＭＳ 明朝"/>
                <w:color w:val="000000"/>
                <w:sz w:val="18"/>
              </w:rPr>
            </w:pPr>
            <w:r>
              <w:rPr>
                <w:rFonts w:ascii="ＭＳ 明朝" w:eastAsia="ＭＳ 明朝" w:hAnsi="ＭＳ 明朝"/>
                <w:color w:val="000000"/>
                <w:sz w:val="18"/>
              </w:rPr>
              <w:t xml:space="preserve">0.0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問29　不適切な飲酒によって引き起こされる次のもので、あなたやご家族、ご友人、知人などが経験した</w:t>
            </w:r>
          </w:p>
          <w:p w:rsidR="00C53806" w:rsidRDefault="009760D2">
            <w:pPr>
              <w:ind w:firstLineChars="200" w:firstLine="400"/>
              <w:rPr>
                <w:rFonts w:ascii="ＭＳ 明朝" w:hAnsi="ＭＳ 明朝"/>
              </w:rPr>
            </w:pPr>
            <w:r>
              <w:rPr>
                <w:rFonts w:ascii="ＭＳ ゴシック" w:eastAsia="ＭＳ ゴシック" w:hAnsi="ＭＳ ゴシック" w:hint="eastAsia"/>
              </w:rPr>
              <w:t>ことがあるものはどれですか。（当てはまるものすべてに○印）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「特になし」が52.1％で１位になっている。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次いで「家族関係の悪化」が21.6％、「飲酒運転や飲酒による交通事故」が21.5％と続いている。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男女とも「特になし」が最も高く、次いで男性では「飲酒運転や飲酒による交通事故」が、女性では「家族関係の悪化」が続いている。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805930"/>
            <wp:effectExtent l="0" t="0" r="0" b="0"/>
            <wp:docPr id="114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すべての年代で「特になし」が１位になっている。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8100060"/>
            <wp:effectExtent l="0" t="0" r="0" b="0"/>
            <wp:docPr id="114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644"/>
        <w:gridCol w:w="644"/>
        <w:gridCol w:w="644"/>
        <w:gridCol w:w="645"/>
        <w:gridCol w:w="644"/>
        <w:gridCol w:w="644"/>
        <w:gridCol w:w="644"/>
        <w:gridCol w:w="645"/>
        <w:gridCol w:w="644"/>
        <w:gridCol w:w="644"/>
        <w:gridCol w:w="645"/>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396" o:spid="_x0000_s2075" type="#_x0000_t202" style="position:absolute;left:0;text-align:left;margin-left:-4pt;margin-top:110.55pt;width:54pt;height:20.6pt;z-index:90"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397" o:spid="_x0000_s2074" type="#_x0000_t202" style="position:absolute;left:0;text-align:left;margin-left:56.75pt;margin-top:.75pt;width:54pt;height:20.25pt;z-index:89" filled="f" stroked="f">
                  <v:textbox>
                    <w:txbxContent>
                      <w:p w:rsidR="00B642E5" w:rsidRDefault="00B642E5">
                        <w:pPr>
                          <w:rPr>
                            <w:sz w:val="18"/>
                          </w:rPr>
                        </w:pPr>
                        <w:r>
                          <w:rPr>
                            <w:rFonts w:hint="eastAsia"/>
                            <w:sz w:val="18"/>
                          </w:rPr>
                          <w:t>項　目</w:t>
                        </w:r>
                      </w:p>
                    </w:txbxContent>
                  </v:textbox>
                </v:shape>
              </w:pic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飲酒代の家計への負担や失業による経済的困窮</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配偶者（内縁も含む）や親などへの暴言、暴力</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育児放棄や暴力などの子どもへの虐待</w:t>
            </w:r>
          </w:p>
        </w:tc>
        <w:tc>
          <w:tcPr>
            <w:tcW w:w="6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飲酒運転や飲酒による交通事故</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万引きなどの窃盗</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他人への傷害、暴力</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家族関係の悪化</w:t>
            </w:r>
          </w:p>
        </w:tc>
        <w:tc>
          <w:tcPr>
            <w:tcW w:w="6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友人や社会的信用の喪失</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自殺または自殺未遂</w: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64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特になし</w:t>
            </w:r>
          </w:p>
        </w:tc>
      </w:tr>
      <w:tr w:rsidR="00C53806">
        <w:trPr>
          <w:cantSplit/>
          <w:trHeight w:val="397"/>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43.5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56.4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54.3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50.7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42.2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44.3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76.7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52.4 </w:t>
            </w:r>
          </w:p>
        </w:tc>
      </w:tr>
      <w:tr w:rsidR="00C53806">
        <w:trPr>
          <w:trHeight w:val="397"/>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15.3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c>
          <w:tcPr>
            <w:tcW w:w="64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4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c>
          <w:tcPr>
            <w:tcW w:w="64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c>
          <w:tcPr>
            <w:tcW w:w="645"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50.6 </w:t>
            </w:r>
          </w:p>
        </w:tc>
      </w:tr>
      <w:tr w:rsidR="00C53806">
        <w:trPr>
          <w:trHeight w:val="397"/>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 </w:t>
            </w:r>
          </w:p>
        </w:tc>
        <w:tc>
          <w:tcPr>
            <w:tcW w:w="64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64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12.7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c>
          <w:tcPr>
            <w:tcW w:w="64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c>
          <w:tcPr>
            <w:tcW w:w="645"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53.1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52.4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56.9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64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12.2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 </w:t>
            </w:r>
          </w:p>
        </w:tc>
        <w:tc>
          <w:tcPr>
            <w:tcW w:w="64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c>
          <w:tcPr>
            <w:tcW w:w="64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r>
      <w:tr w:rsidR="00C53806">
        <w:trPr>
          <w:trHeight w:val="397"/>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24.9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9.0 </w:t>
            </w:r>
          </w:p>
        </w:tc>
        <w:tc>
          <w:tcPr>
            <w:tcW w:w="645"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11.9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23.9 </w:t>
            </w:r>
          </w:p>
        </w:tc>
        <w:tc>
          <w:tcPr>
            <w:tcW w:w="645"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13.9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64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645"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r>
    </w:tbl>
    <w:p w:rsidR="00C53806" w:rsidRDefault="00C53806"/>
    <w:p w:rsidR="00C53806" w:rsidRDefault="00C53806"/>
    <w:p w:rsidR="00C53806" w:rsidRDefault="00C53806"/>
    <w:p w:rsidR="00C53806" w:rsidRDefault="00C53806"/>
    <w:p w:rsidR="00C53806" w:rsidRDefault="00C53806"/>
    <w:p w:rsidR="00C53806" w:rsidRDefault="00C53806"/>
    <w:p w:rsidR="00C53806" w:rsidRDefault="00C53806"/>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問30　アルコール依存症について、次のことを知っていますか。（当てはまるものすべてに○印）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Pr>
          <w:rFonts w:ascii="ＭＳ 明朝" w:eastAsia="ＭＳ 明朝" w:hAnsi="ＭＳ 明朝" w:hint="eastAsia"/>
        </w:rPr>
        <w:t xml:space="preserve">　</w:t>
      </w:r>
      <w:r>
        <w:rPr>
          <w:rFonts w:ascii="ＭＳ ゴシック" w:eastAsia="ＭＳ ゴシック" w:hAnsi="ＭＳ ゴシック" w:hint="eastAsia"/>
          <w:b/>
          <w:u w:val="single"/>
        </w:rPr>
        <w:t>「お酒に強い人ほどなりやすい」が13.4％で認知度が最も低くなっている。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次いで「一度依存症になると治らない」が16.5％、「女性の方が短期間で発症する傾向がある」が20.3％と認知度が低くなっている。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すべての項目で、女性より男性の認知度が低くなっている。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779895"/>
            <wp:effectExtent l="0" t="0" r="0" b="0"/>
            <wp:docPr id="115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Style w:val="10"/>
          <w:rFonts w:asciiTheme="minorEastAsia" w:eastAsiaTheme="minorEastAsia" w:hAnsiTheme="minorEastAsia"/>
        </w:rPr>
      </w:pPr>
      <w:r>
        <w:rPr>
          <w:rFonts w:ascii="ＭＳ ゴシック" w:eastAsia="ＭＳ ゴシック" w:hAnsi="ＭＳ ゴシック" w:hint="eastAsia"/>
        </w:rPr>
        <w:t xml:space="preserve">　</w:t>
      </w:r>
      <w:r>
        <w:rPr>
          <w:rFonts w:asciiTheme="minorEastAsia" w:hAnsiTheme="minorEastAsia" w:hint="eastAsia"/>
        </w:rPr>
        <w:t>10歳代と20歳代で「女性の方が短期間で発症する傾向がある」が、10歳代、20歳代を除くすべての年代では「お酒に強い人ほどなりやすい」の認知度が低くなっている。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8125460"/>
            <wp:effectExtent l="0" t="0" r="0" b="0"/>
            <wp:docPr id="11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644"/>
        <w:gridCol w:w="1057"/>
        <w:gridCol w:w="598"/>
        <w:gridCol w:w="598"/>
        <w:gridCol w:w="599"/>
        <w:gridCol w:w="598"/>
        <w:gridCol w:w="599"/>
        <w:gridCol w:w="598"/>
        <w:gridCol w:w="599"/>
        <w:gridCol w:w="598"/>
        <w:gridCol w:w="599"/>
      </w:tblGrid>
      <w:tr w:rsidR="00C53806">
        <w:trPr>
          <w:cantSplit/>
          <w:trHeight w:val="2835"/>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01" o:spid="_x0000_s2073" type="#_x0000_t202" style="position:absolute;left:0;text-align:left;margin-left:-4pt;margin-top:110.55pt;width:54pt;height:20.6pt;z-index:92"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402" o:spid="_x0000_s2072" type="#_x0000_t202" style="position:absolute;left:0;text-align:left;margin-left:56.75pt;margin-top:.75pt;width:54pt;height:20.25pt;z-index:91" filled="f" stroked="f">
                  <v:textbox>
                    <w:txbxContent>
                      <w:p w:rsidR="00B642E5" w:rsidRDefault="00B642E5">
                        <w:pPr>
                          <w:rPr>
                            <w:sz w:val="18"/>
                          </w:rPr>
                        </w:pPr>
                        <w:r>
                          <w:rPr>
                            <w:rFonts w:hint="eastAsia"/>
                            <w:sz w:val="18"/>
                          </w:rPr>
                          <w:t>項　目</w:t>
                        </w:r>
                      </w:p>
                    </w:txbxContent>
                  </v:textbox>
                </v:shape>
              </w:pict>
            </w:r>
          </w:p>
        </w:tc>
        <w:tc>
          <w:tcPr>
            <w:tcW w:w="64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飲酒をコントロールすることができない精神疾患である</w:t>
            </w:r>
          </w:p>
        </w:tc>
        <w:tc>
          <w:tcPr>
            <w:tcW w:w="105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アルコール依存症はゆっくり進行していくため、飲酒をしていても、依存が作られている途中では自分では気付かない</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飲酒をしていれば、誰もが依存症になる可能性がある</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一度依存症になると治らない</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断酒を続けることにより、依存状態から回復する</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専門的な治療が必要となる</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お酒に強い人ほどなりやすい</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女性の方が短期間で発症する傾向がある</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相談できる機関・団体がある</w:t>
            </w:r>
          </w:p>
        </w:tc>
        <w:tc>
          <w:tcPr>
            <w:tcW w:w="59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59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特になし</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81.4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76.8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84.4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85.5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75.2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68.5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81.3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77.3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83.2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83.6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74.1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60.3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44"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78.8 </w:t>
            </w:r>
          </w:p>
        </w:tc>
        <w:tc>
          <w:tcPr>
            <w:tcW w:w="105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71.8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22.9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59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59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44"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80.7 </w:t>
            </w:r>
          </w:p>
        </w:tc>
        <w:tc>
          <w:tcPr>
            <w:tcW w:w="105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46.6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37.7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69.0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40.8 </w:t>
            </w:r>
          </w:p>
        </w:tc>
        <w:tc>
          <w:tcPr>
            <w:tcW w:w="59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78.9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77.3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59.4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73.5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80.2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70.6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62.7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4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83.7 </w:t>
            </w:r>
          </w:p>
        </w:tc>
        <w:tc>
          <w:tcPr>
            <w:tcW w:w="105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50.4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40.7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71.5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14.6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39.8 </w:t>
            </w:r>
          </w:p>
        </w:tc>
        <w:tc>
          <w:tcPr>
            <w:tcW w:w="59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59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44"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79.1 </w:t>
            </w:r>
          </w:p>
        </w:tc>
        <w:tc>
          <w:tcPr>
            <w:tcW w:w="105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33.8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48.3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18.9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61.2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18.9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59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59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r>
    </w:tbl>
    <w:p w:rsidR="00C53806" w:rsidRDefault="00C53806">
      <w:pPr>
        <w:ind w:left="708" w:hangingChars="337" w:hanging="708"/>
        <w:rPr>
          <w:rFonts w:ascii="ＭＳ ゴシック" w:eastAsia="ＭＳ ゴシック" w:hAnsi="ＭＳ ゴシック"/>
        </w:rPr>
      </w:pPr>
    </w:p>
    <w:p w:rsidR="00C53806" w:rsidRDefault="00C53806">
      <w:pPr>
        <w:ind w:left="708" w:hangingChars="337" w:hanging="708"/>
        <w:rPr>
          <w:rFonts w:ascii="ＭＳ ゴシック" w:eastAsia="ＭＳ ゴシック" w:hAnsi="ＭＳ ゴシック"/>
        </w:rPr>
      </w:pPr>
    </w:p>
    <w:p w:rsidR="00C53806" w:rsidRDefault="00C53806">
      <w:pPr>
        <w:ind w:left="708" w:hangingChars="337" w:hanging="708"/>
        <w:rPr>
          <w:rFonts w:ascii="ＭＳ ゴシック" w:eastAsia="ＭＳ ゴシック" w:hAnsi="ＭＳ ゴシック"/>
        </w:rPr>
      </w:pPr>
    </w:p>
    <w:p w:rsidR="00C53806" w:rsidRDefault="00C53806">
      <w:pPr>
        <w:ind w:left="708" w:hangingChars="337" w:hanging="708"/>
        <w:rPr>
          <w:rFonts w:ascii="ＭＳ ゴシック" w:eastAsia="ＭＳ ゴシック" w:hAnsi="ＭＳ ゴシック"/>
        </w:rPr>
      </w:pPr>
    </w:p>
    <w:p w:rsidR="00C53806" w:rsidRDefault="00C53806">
      <w:pPr>
        <w:ind w:left="708" w:hangingChars="337" w:hanging="708"/>
        <w:rPr>
          <w:rFonts w:ascii="ＭＳ ゴシック" w:eastAsia="ＭＳ ゴシック" w:hAnsi="ＭＳ ゴシック"/>
        </w:rPr>
      </w:pPr>
    </w:p>
    <w:p w:rsidR="00C53806" w:rsidRDefault="00C53806">
      <w:pPr>
        <w:ind w:left="708" w:hangingChars="337" w:hanging="708"/>
        <w:rPr>
          <w:rFonts w:ascii="ＭＳ ゴシック" w:eastAsia="ＭＳ ゴシック" w:hAnsi="ＭＳ ゴシック"/>
        </w:rPr>
      </w:pPr>
    </w:p>
    <w:p w:rsidR="00C53806" w:rsidRDefault="00C53806">
      <w:pPr>
        <w:ind w:left="708" w:hangingChars="337" w:hanging="708"/>
        <w:rPr>
          <w:rFonts w:ascii="ＭＳ ゴシック" w:eastAsia="ＭＳ ゴシック" w:hAnsi="ＭＳ ゴシック"/>
        </w:rPr>
      </w:pPr>
    </w:p>
    <w:tbl>
      <w:tblPr>
        <w:tblpPr w:leftFromText="142" w:rightFromText="142" w:vertAnchor="page" w:horzAnchor="margin" w:tblpX="99" w:tblpY="99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問31　あなたやあなたの家族にアルコール依存症が疑われる場合、相談窓口を知っていれば、相談し</w:t>
            </w:r>
          </w:p>
          <w:p w:rsidR="00C53806" w:rsidRDefault="009760D2">
            <w:pPr>
              <w:ind w:leftChars="200" w:left="7770" w:hangingChars="3500" w:hanging="7350"/>
              <w:rPr>
                <w:rFonts w:ascii="ＭＳ ゴシック" w:eastAsia="ＭＳ ゴシック" w:hAnsi="ＭＳ ゴシック"/>
              </w:rPr>
            </w:pPr>
            <w:r>
              <w:rPr>
                <w:rFonts w:ascii="ＭＳ ゴシック" w:eastAsia="ＭＳ ゴシック" w:hAnsi="ＭＳ ゴシック" w:hint="eastAsia"/>
              </w:rPr>
              <w:t>ますか。（１つだけ○印）</w:t>
            </w:r>
          </w:p>
        </w:tc>
      </w:tr>
    </w:tbl>
    <w:p w:rsidR="00C53806" w:rsidRDefault="00C53806">
      <w:pPr>
        <w:rPr>
          <w:rFonts w:ascii="ＭＳ ゴシック" w:eastAsia="ＭＳ ゴシック" w:hAnsi="ＭＳ ゴシック"/>
        </w:rPr>
      </w:pPr>
    </w:p>
    <w:p w:rsidR="00C53806" w:rsidRPr="009760D2" w:rsidRDefault="009760D2" w:rsidP="009760D2">
      <w:pPr>
        <w:ind w:left="708" w:hangingChars="337" w:hanging="708"/>
        <w:rPr>
          <w:rFonts w:ascii="ＭＳ ゴシック" w:eastAsia="ＭＳ ゴシック" w:hAnsi="ＭＳ ゴシック"/>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「する」が84.6％</w:t>
      </w:r>
      <w:r w:rsidR="00352F49">
        <w:rPr>
          <w:rFonts w:ascii="ＭＳ ゴシック" w:eastAsia="ＭＳ ゴシック" w:hAnsi="ＭＳ ゴシック" w:hint="eastAsia"/>
          <w:b/>
          <w:u w:val="single"/>
        </w:rPr>
        <w:t>で</w:t>
      </w:r>
      <w:r>
        <w:rPr>
          <w:rFonts w:ascii="ＭＳ ゴシック" w:eastAsia="ＭＳ ゴシック" w:hAnsi="ＭＳ ゴシック" w:hint="eastAsia"/>
          <w:b/>
          <w:u w:val="single"/>
        </w:rPr>
        <w:t>、「しない」の13.6％を71.0ポイント上回っている。</w:t>
      </w:r>
    </w:p>
    <w:p w:rsidR="00C53806" w:rsidRDefault="009760D2">
      <w:pPr>
        <w:rPr>
          <w:rFonts w:ascii="ＭＳ 明朝" w:eastAsia="ＭＳ 明朝" w:hAnsi="ＭＳ 明朝"/>
          <w:kern w:val="0"/>
        </w:rPr>
      </w:pPr>
      <w:r>
        <w:rPr>
          <w:rFonts w:ascii="ＭＳ 明朝" w:eastAsia="ＭＳ 明朝" w:hAnsi="ＭＳ 明朝" w:hint="eastAsia"/>
          <w:kern w:val="0"/>
        </w:rPr>
        <w:t xml:space="preserve">　</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すべての年代で「する」が「しない」を上回っている。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6228080"/>
            <wp:effectExtent l="0" t="0" r="0" b="0"/>
            <wp:docPr id="115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7607935"/>
            <wp:effectExtent l="0" t="0" r="0" b="0"/>
            <wp:docPr id="115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7" w:type="dxa"/>
        <w:tblInd w:w="108" w:type="dxa"/>
        <w:tblLayout w:type="fixed"/>
        <w:tblLook w:val="04A0" w:firstRow="1" w:lastRow="0" w:firstColumn="1" w:lastColumn="0" w:noHBand="0" w:noVBand="1"/>
      </w:tblPr>
      <w:tblGrid>
        <w:gridCol w:w="9637"/>
      </w:tblGrid>
      <w:tr w:rsidR="00C53806">
        <w:trPr>
          <w:trHeight w:val="417"/>
        </w:trPr>
        <w:tc>
          <w:tcPr>
            <w:tcW w:w="9637"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【問30×問31のクロス分析】</w:t>
            </w:r>
          </w:p>
        </w:tc>
      </w:tr>
    </w:tbl>
    <w:p w:rsidR="00C53806" w:rsidRDefault="00C53806">
      <w:pPr>
        <w:rPr>
          <w:rFonts w:ascii="ＭＳ 明朝" w:eastAsia="ＭＳ 明朝" w:hAnsi="ＭＳ 明朝"/>
        </w:rPr>
      </w:pPr>
    </w:p>
    <w:p w:rsidR="00C53806" w:rsidRDefault="009760D2">
      <w:pPr>
        <w:ind w:firstLineChars="100" w:firstLine="210"/>
        <w:rPr>
          <w:rFonts w:ascii="ＭＳ 明朝" w:eastAsia="ＭＳ 明朝" w:hAnsi="ＭＳ 明朝"/>
        </w:rPr>
      </w:pPr>
      <w:r>
        <w:rPr>
          <w:rFonts w:ascii="ＭＳ 明朝" w:eastAsia="ＭＳ 明朝" w:hAnsi="ＭＳ 明朝" w:hint="eastAsia"/>
        </w:rPr>
        <w:t>「アルコール依存症について知っていますか。」という質問への回答に対し、「あなたやあなたの家族にアルコール依存症が疑われる場合、相談窓口で相談しますか。」について見てみると、「特になし」と回答した人では「しない」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《問30×問31のクロス分析》</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8"/>
        <w:tblW w:w="9763" w:type="dxa"/>
        <w:tblLayout w:type="fixed"/>
        <w:tblLook w:val="04A0" w:firstRow="1" w:lastRow="0" w:firstColumn="1" w:lastColumn="0" w:noHBand="0" w:noVBand="1"/>
      </w:tblPr>
      <w:tblGrid>
        <w:gridCol w:w="528"/>
        <w:gridCol w:w="4353"/>
        <w:gridCol w:w="2441"/>
        <w:gridCol w:w="2441"/>
      </w:tblGrid>
      <w:tr w:rsidR="00C53806">
        <w:tc>
          <w:tcPr>
            <w:tcW w:w="4972" w:type="dxa"/>
            <w:gridSpan w:val="2"/>
            <w:vMerge w:val="restart"/>
            <w:tcBorders>
              <w:tl2br w:val="single" w:sz="4" w:space="0" w:color="auto"/>
            </w:tcBorders>
          </w:tcPr>
          <w:p w:rsidR="00C53806" w:rsidRDefault="00C53806">
            <w:pPr>
              <w:rPr>
                <w:rFonts w:ascii="ＭＳ 明朝" w:eastAsia="ＭＳ 明朝" w:hAnsi="ＭＳ 明朝"/>
              </w:rPr>
            </w:pPr>
          </w:p>
        </w:tc>
        <w:tc>
          <w:tcPr>
            <w:tcW w:w="4972" w:type="dxa"/>
            <w:gridSpan w:val="2"/>
            <w:vAlign w:val="center"/>
          </w:tcPr>
          <w:p w:rsidR="00C53806" w:rsidRDefault="009760D2">
            <w:pPr>
              <w:jc w:val="center"/>
              <w:rPr>
                <w:rFonts w:ascii="ＭＳ 明朝" w:eastAsia="ＭＳ 明朝" w:hAnsi="ＭＳ 明朝"/>
              </w:rPr>
            </w:pPr>
            <w:r>
              <w:rPr>
                <w:rFonts w:ascii="ＭＳ 明朝" w:eastAsia="ＭＳ 明朝" w:hAnsi="ＭＳ 明朝" w:hint="eastAsia"/>
              </w:rPr>
              <w:t>問31</w:t>
            </w:r>
          </w:p>
        </w:tc>
      </w:tr>
      <w:tr w:rsidR="00C53806">
        <w:trPr>
          <w:cantSplit/>
          <w:trHeight w:val="1587"/>
        </w:trPr>
        <w:tc>
          <w:tcPr>
            <w:tcW w:w="4972" w:type="dxa"/>
            <w:gridSpan w:val="2"/>
            <w:vMerge/>
          </w:tcPr>
          <w:p w:rsidR="00C53806" w:rsidRDefault="00C53806">
            <w:pPr>
              <w:rPr>
                <w:rFonts w:ascii="ＭＳ 明朝" w:eastAsia="ＭＳ 明朝" w:hAnsi="ＭＳ 明朝"/>
              </w:rPr>
            </w:pPr>
          </w:p>
        </w:tc>
        <w:tc>
          <w:tcPr>
            <w:tcW w:w="24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する</w:t>
            </w:r>
          </w:p>
        </w:tc>
        <w:tc>
          <w:tcPr>
            <w:tcW w:w="2486"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しない</w:t>
            </w:r>
          </w:p>
        </w:tc>
      </w:tr>
      <w:tr w:rsidR="00C53806">
        <w:trPr>
          <w:trHeight w:val="700"/>
        </w:trPr>
        <w:tc>
          <w:tcPr>
            <w:tcW w:w="534" w:type="dxa"/>
            <w:vMerge w:val="restart"/>
            <w:vAlign w:val="center"/>
          </w:tcPr>
          <w:p w:rsidR="00C53806" w:rsidRDefault="009760D2">
            <w:pPr>
              <w:jc w:val="center"/>
              <w:rPr>
                <w:rFonts w:ascii="ＭＳ 明朝" w:eastAsia="ＭＳ 明朝" w:hAnsi="ＭＳ 明朝"/>
              </w:rPr>
            </w:pPr>
            <w:r>
              <w:rPr>
                <w:rFonts w:ascii="ＭＳ 明朝" w:eastAsia="ＭＳ 明朝" w:hAnsi="ＭＳ 明朝" w:hint="eastAsia"/>
              </w:rPr>
              <w:t>問30</w:t>
            </w: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飲酒をコントロールすることができない精神疾患である</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87.9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11.3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アルコール依存症はゆっくり進行していくため、飲酒をしていても、依存が作られている途中では自分では気付かない</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86.1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12.8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飲酒をしていれば、誰もが依存症になる可能性がある</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87.1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12.2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一度依存症になると治らない</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84.2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14.7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断酒を続けることにより、依存状態から回復する</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89.5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9.7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専門的な治療が必要となる</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90.6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8.8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お酒に強い人ほどなりやすい</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82.4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17.1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女性の方が短期間で発症する傾向がある</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87.4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12.3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相談できる機関・団体がある</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89.5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9.8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その他</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80.0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20.0 </w:t>
            </w:r>
          </w:p>
        </w:tc>
      </w:tr>
      <w:tr w:rsidR="00C53806">
        <w:trPr>
          <w:trHeight w:val="700"/>
        </w:trPr>
        <w:tc>
          <w:tcPr>
            <w:tcW w:w="534" w:type="dxa"/>
            <w:vMerge/>
          </w:tcPr>
          <w:p w:rsidR="00C53806" w:rsidRDefault="00C53806">
            <w:pPr>
              <w:rPr>
                <w:rFonts w:ascii="ＭＳ 明朝" w:eastAsia="ＭＳ 明朝" w:hAnsi="ＭＳ 明朝"/>
              </w:rPr>
            </w:pPr>
          </w:p>
        </w:tc>
        <w:tc>
          <w:tcPr>
            <w:tcW w:w="4438"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特になし</w:t>
            </w:r>
          </w:p>
        </w:tc>
        <w:tc>
          <w:tcPr>
            <w:tcW w:w="2486" w:type="dxa"/>
            <w:shd w:val="clear" w:color="auto" w:fill="D9D9D9" w:themeFill="background1" w:themeFillShade="D9"/>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66.2 </w:t>
            </w:r>
          </w:p>
        </w:tc>
        <w:tc>
          <w:tcPr>
            <w:tcW w:w="2486" w:type="dxa"/>
            <w:vAlign w:val="center"/>
          </w:tcPr>
          <w:p w:rsidR="00C53806" w:rsidRDefault="009760D2">
            <w:pPr>
              <w:jc w:val="right"/>
              <w:rPr>
                <w:rFonts w:ascii="ＭＳ 明朝" w:eastAsia="ＭＳ 明朝" w:hAnsi="ＭＳ 明朝"/>
                <w:color w:val="000000"/>
              </w:rPr>
            </w:pPr>
            <w:r>
              <w:rPr>
                <w:rFonts w:ascii="ＭＳ 明朝" w:eastAsia="ＭＳ 明朝" w:hAnsi="ＭＳ 明朝"/>
                <w:color w:val="000000"/>
              </w:rPr>
              <w:t xml:space="preserve">             32.5 </w:t>
            </w:r>
          </w:p>
        </w:tc>
      </w:tr>
    </w:tbl>
    <w:p w:rsidR="00C53806" w:rsidRDefault="00C53806">
      <w:pPr>
        <w:rPr>
          <w:rFonts w:ascii="ＭＳ 明朝" w:eastAsia="ＭＳ 明朝" w:hAnsi="ＭＳ 明朝"/>
        </w:rPr>
      </w:pPr>
    </w:p>
    <w:p w:rsidR="00C53806" w:rsidRDefault="009760D2">
      <w:pPr>
        <w:widowControl/>
        <w:jc w:val="left"/>
        <w:rPr>
          <w:rFonts w:ascii="ＭＳ 明朝" w:eastAsia="ＭＳ 明朝" w:hAnsi="ＭＳ 明朝"/>
        </w:rPr>
      </w:pPr>
      <w:r>
        <w:rPr>
          <w:rFonts w:ascii="ＭＳ 明朝" w:eastAsia="ＭＳ 明朝" w:hAnsi="ＭＳ 明朝"/>
        </w:rPr>
        <w:br w:type="page"/>
      </w: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問31　副問１（問31で「２」を選んだ方のみお答えください。）</w:t>
            </w:r>
          </w:p>
          <w:p w:rsidR="00C53806" w:rsidRDefault="009760D2">
            <w:pPr>
              <w:rPr>
                <w:rFonts w:ascii="ＭＳ 明朝" w:hAnsi="ＭＳ 明朝"/>
              </w:rPr>
            </w:pPr>
            <w:r>
              <w:rPr>
                <w:rFonts w:ascii="ＭＳ ゴシック" w:eastAsia="ＭＳ ゴシック" w:hAnsi="ＭＳ ゴシック" w:hint="eastAsia"/>
              </w:rPr>
              <w:t xml:space="preserve">　　相談しない理由はなんですか。（当てはまるものすべてに○印）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Pr>
          <w:rFonts w:ascii="ＭＳ 明朝" w:eastAsia="ＭＳ 明朝" w:hAnsi="ＭＳ 明朝" w:hint="eastAsia"/>
        </w:rPr>
        <w:t xml:space="preserve">　</w:t>
      </w:r>
      <w:r>
        <w:rPr>
          <w:rFonts w:ascii="ＭＳ ゴシック" w:eastAsia="ＭＳ ゴシック" w:hAnsi="ＭＳ ゴシック" w:hint="eastAsia"/>
          <w:b/>
          <w:u w:val="single"/>
        </w:rPr>
        <w:t>「相談しても解決すると思えないから」が44.0％で１位になっている。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次いで「どのような対応をしてもらえるか不安だから」、「相談する必要を感じないから」が同率で19.7％と続いている。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男女とも「相談しても解決すると思えないから」が最も高く、女性では男性よりも13.6ポイント高くなっている。</w:t>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521450"/>
            <wp:effectExtent l="0" t="0" r="0" b="0"/>
            <wp:docPr id="115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70歳以上を除くすべての年代で「相談しても解決すると思えないから」が、10歳代ではこれと同率で「どのような対応をしてもらえるか不安だから」が、70歳以上では「特になし」が１位になっている。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5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787"/>
        <w:gridCol w:w="788"/>
        <w:gridCol w:w="787"/>
        <w:gridCol w:w="788"/>
        <w:gridCol w:w="787"/>
        <w:gridCol w:w="788"/>
        <w:gridCol w:w="787"/>
        <w:gridCol w:w="788"/>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09" o:spid="_x0000_s2071" type="#_x0000_t202" style="position:absolute;left:0;text-align:left;margin-left:75.25pt;margin-top:1.55pt;width:54pt;height:20.25pt;z-index:93"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408" o:spid="_x0000_s2070" type="#_x0000_t202" style="position:absolute;left:0;text-align:left;margin-left:-4pt;margin-top:110.55pt;width:54pt;height:20.6pt;z-index:94" filled="f" stroked="f">
                  <v:textbox>
                    <w:txbxContent>
                      <w:p w:rsidR="00B642E5" w:rsidRDefault="00B642E5">
                        <w:pPr>
                          <w:rPr>
                            <w:sz w:val="18"/>
                          </w:rPr>
                        </w:pPr>
                        <w:r>
                          <w:rPr>
                            <w:rFonts w:hint="eastAsia"/>
                            <w:sz w:val="18"/>
                          </w:rPr>
                          <w:t>属　性</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相談に行く時間がないから</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どのような対応をしてもらえるか不安だから</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アルコール依存症の相談をすることが恥ずかしいから</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相談する必要を感じないから</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相談しても解決すると思えないから</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アルコール依存症と認めたくないから</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お金がかかるから</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特になし</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c>
          <w:tcPr>
            <w:tcW w:w="788"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19.0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8"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48.9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788"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55.2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vAlign w:val="center"/>
          </w:tcPr>
          <w:p w:rsidR="00C53806" w:rsidRDefault="009760D2">
            <w:pPr>
              <w:ind w:leftChars="10" w:left="21"/>
              <w:rPr>
                <w:rFonts w:ascii="ＭＳ ゴシック" w:eastAsia="ＭＳ ゴシック" w:hAnsi="ＭＳ ゴシック"/>
              </w:rPr>
            </w:pPr>
            <w:r>
              <w:rPr>
                <w:rFonts w:ascii="ＭＳ ゴシック" w:eastAsia="ＭＳ ゴシック" w:hAnsi="ＭＳ ゴシック" w:hint="eastAsia"/>
              </w:rPr>
              <w:t>問32　あなたがスポーツに取り組むことになったきっかけは何ですか。（１つだけ○印）</w:t>
            </w:r>
          </w:p>
        </w:tc>
      </w:tr>
    </w:tbl>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「スポーツはやっていない」が57.1％で１位になっている。</w:t>
      </w:r>
    </w:p>
    <w:p w:rsidR="00C53806" w:rsidRDefault="009760D2">
      <w:pPr>
        <w:rPr>
          <w:rFonts w:ascii="ＭＳ ゴシック" w:eastAsia="ＭＳ ゴシック" w:hAnsi="ＭＳ ゴシック"/>
        </w:rPr>
      </w:pPr>
      <w:r>
        <w:rPr>
          <w:rFonts w:ascii="ＭＳ 明朝" w:eastAsia="ＭＳ 明朝" w:hAnsi="ＭＳ 明朝" w:hint="eastAsia"/>
          <w:kern w:val="0"/>
        </w:rPr>
        <w:t xml:space="preserve">　次いで「家族や友達など周りの人が取り組んでいるのを見て」が14.4％、「美容や健康増進のため」が11.4％と続いている。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「スポーツはやっていない」では、女性が男性より10.7ポイント高くなっている。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低い年代ほど「家族や友達などの周りの人が取り組んでいるのを見て」が高くなっている。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796915"/>
            <wp:effectExtent l="0" t="0" r="0" b="0"/>
            <wp:docPr id="116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16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page" w:horzAnchor="margin" w:tblpX="99" w:tblpY="95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C53806">
        <w:trPr>
          <w:trHeight w:val="524"/>
        </w:trPr>
        <w:tc>
          <w:tcPr>
            <w:tcW w:w="9597" w:type="dxa"/>
            <w:vAlign w:val="center"/>
          </w:tcPr>
          <w:p w:rsidR="00C53806" w:rsidRDefault="009760D2">
            <w:pPr>
              <w:ind w:leftChars="10" w:left="21"/>
              <w:rPr>
                <w:rFonts w:ascii="ＭＳ ゴシック" w:eastAsia="ＭＳ ゴシック" w:hAnsi="ＭＳ ゴシック"/>
              </w:rPr>
            </w:pPr>
            <w:r>
              <w:rPr>
                <w:rFonts w:ascii="ＭＳ ゴシック" w:eastAsia="ＭＳ ゴシック" w:hAnsi="ＭＳ ゴシック" w:hint="eastAsia"/>
              </w:rPr>
              <w:t>問33　子どもたちがスポーツに親しむために有効な取り組みは何だと思いますか。（１つだけ○印）</w:t>
            </w:r>
          </w:p>
        </w:tc>
      </w:tr>
    </w:tbl>
    <w:p w:rsidR="00C53806" w:rsidRDefault="00C53806">
      <w:pPr>
        <w:ind w:left="708" w:hangingChars="337" w:hanging="708"/>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「学校の体育施設や運動公園など子どもが自由に利用できる場の提供」が30.0％で１位になっている。</w:t>
      </w:r>
    </w:p>
    <w:p w:rsidR="00C53806" w:rsidRDefault="009760D2">
      <w:pPr>
        <w:rPr>
          <w:rFonts w:ascii="ＭＳ ゴシック" w:eastAsia="ＭＳ ゴシック" w:hAnsi="ＭＳ ゴシック"/>
        </w:rPr>
      </w:pPr>
      <w:r>
        <w:rPr>
          <w:rFonts w:ascii="ＭＳ 明朝" w:eastAsia="ＭＳ 明朝" w:hAnsi="ＭＳ 明朝" w:hint="eastAsia"/>
          <w:kern w:val="0"/>
        </w:rPr>
        <w:t xml:space="preserve">　次いで「スポーツクラブやスポーツイベントなど日常的にスポーツができる機会の充実」が24.6％、「スポーツに興味・関心を抱かせる体育の授業や幼児教育の充実」が21.4％と続いている。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70歳以上を除くすべての年代で「学校の体育施設や運動公園など子どもが自由に利用できる場の提供」が、70歳以上では「スポーツへの興味・関心がわくような指導ができる人材の育成」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382260"/>
            <wp:effectExtent l="0" t="0" r="0" b="0"/>
            <wp:docPr id="116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8865" cy="6986905"/>
            <wp:effectExtent l="0" t="0" r="0" b="0"/>
            <wp:docPr id="116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問34　平成31年度の人口の社会増減を均衡させるという目標を実現するためには、多くの若者に県内で</w:t>
            </w:r>
          </w:p>
          <w:p w:rsidR="00C53806" w:rsidRDefault="009760D2">
            <w:pPr>
              <w:ind w:firstLineChars="200" w:firstLine="400"/>
              <w:rPr>
                <w:rFonts w:ascii="ＭＳ ゴシック" w:eastAsia="ＭＳ ゴシック" w:hAnsi="ＭＳ ゴシック"/>
              </w:rPr>
            </w:pPr>
            <w:r>
              <w:rPr>
                <w:rFonts w:ascii="ＭＳ ゴシック" w:eastAsia="ＭＳ ゴシック" w:hAnsi="ＭＳ ゴシック" w:hint="eastAsia"/>
              </w:rPr>
              <w:t>就職していただけるようになることが重要です。そのために、県として何に力を入れる必要があると</w:t>
            </w:r>
          </w:p>
          <w:p w:rsidR="00C53806" w:rsidRDefault="009760D2">
            <w:pPr>
              <w:ind w:firstLineChars="200" w:firstLine="400"/>
              <w:rPr>
                <w:rFonts w:ascii="ＭＳ 明朝" w:hAnsi="ＭＳ 明朝"/>
              </w:rPr>
            </w:pPr>
            <w:r>
              <w:rPr>
                <w:rFonts w:ascii="ＭＳ ゴシック" w:eastAsia="ＭＳ ゴシック" w:hAnsi="ＭＳ ゴシック" w:hint="eastAsia"/>
              </w:rPr>
              <w:t>思いますか。（２つまで○印）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「企業に給料、福利厚生等を改善するよう働きかける」が51.2％で１位になっている。</w:t>
      </w:r>
    </w:p>
    <w:p w:rsidR="00C53806" w:rsidRDefault="009760D2">
      <w:pPr>
        <w:rPr>
          <w:rFonts w:ascii="ＭＳ 明朝" w:eastAsia="ＭＳ 明朝" w:hAnsi="ＭＳ 明朝"/>
          <w:kern w:val="0"/>
        </w:rPr>
      </w:pPr>
      <w:r>
        <w:rPr>
          <w:rFonts w:ascii="ＭＳ 明朝" w:eastAsia="ＭＳ 明朝" w:hAnsi="ＭＳ 明朝" w:hint="eastAsia"/>
          <w:kern w:val="0"/>
        </w:rPr>
        <w:t xml:space="preserve">　次いで「多種多様な職場を数多くつくる」が37.3％、「小さい頃から県内企業の職場体験や企業訪問などを通して、仕事への理解を深める取り組みを行う」が29.9％と続いている。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男女とも「総合」とほぼ同じ傾向になっている。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521450"/>
            <wp:effectExtent l="0" t="0" r="0" b="0"/>
            <wp:docPr id="116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70歳以上を除くすべての年代で「企業に給料、福利厚生等を改善するよう働きかける」が、70歳以上では「県内で頑張っている企業の情報を全国に発信する」が１位になっている。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6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1012"/>
        <w:gridCol w:w="1012"/>
        <w:gridCol w:w="1013"/>
        <w:gridCol w:w="1012"/>
        <w:gridCol w:w="1013"/>
        <w:gridCol w:w="1012"/>
        <w:gridCol w:w="1013"/>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18" o:spid="_x0000_s2069" type="#_x0000_t202" style="position:absolute;left:0;text-align:left;margin-left:75.25pt;margin-top:.75pt;width:54pt;height:20.25pt;z-index:95"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417" o:spid="_x0000_s2068" type="#_x0000_t202" style="position:absolute;left:0;text-align:left;margin-left:-4pt;margin-top:110.55pt;width:54pt;height:20.6pt;z-index:96" filled="f" stroked="f">
                  <v:textbox>
                    <w:txbxContent>
                      <w:p w:rsidR="00B642E5" w:rsidRDefault="00B642E5">
                        <w:pPr>
                          <w:rPr>
                            <w:sz w:val="18"/>
                          </w:rPr>
                        </w:pPr>
                        <w:r>
                          <w:rPr>
                            <w:rFonts w:hint="eastAsia"/>
                            <w:sz w:val="18"/>
                          </w:rPr>
                          <w:t>属　性</w:t>
                        </w:r>
                      </w:p>
                    </w:txbxContent>
                  </v:textbox>
                </v:shape>
              </w:pic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多種多様な職場を数多くつくる</w: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県内で頑張っている企業の情報を全国に発信する</w:t>
            </w:r>
          </w:p>
        </w:tc>
        <w:tc>
          <w:tcPr>
            <w:tcW w:w="101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新しい事業を起こしやすい環境を整備する</w: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企業に給料、福利厚生等を改善するよう働きかける</w:t>
            </w:r>
          </w:p>
        </w:tc>
        <w:tc>
          <w:tcPr>
            <w:tcW w:w="101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県内か県外への進路を決める高校生等に対する、県内企業の紹介を強化する</w: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小さい頃から県内企業の職場体験や企業訪問などを通して、仕事への理解を深める取り組みを行う</w:t>
            </w:r>
          </w:p>
        </w:tc>
        <w:tc>
          <w:tcPr>
            <w:tcW w:w="101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69"/>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11.5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11.2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r>
      <w:tr w:rsidR="00C53806">
        <w:trPr>
          <w:trHeight w:val="369"/>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69"/>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101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55.3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69"/>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36.9 </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24.9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11.3 </w:t>
            </w:r>
          </w:p>
        </w:tc>
        <w:tc>
          <w:tcPr>
            <w:tcW w:w="1012"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55.9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21.3 </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69"/>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51.2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r>
      <w:tr w:rsidR="00C53806">
        <w:trPr>
          <w:trHeight w:val="369"/>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36.8 </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1012"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42.8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30.8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問35  県では、平成31年度に移住者を1,000組にするという目標を達成するために、今年の秋を目</w:t>
            </w:r>
          </w:p>
          <w:p w:rsidR="00C53806" w:rsidRDefault="009760D2">
            <w:pPr>
              <w:ind w:firstLineChars="150" w:firstLine="315"/>
              <w:rPr>
                <w:rFonts w:ascii="ＭＳ ゴシック" w:eastAsia="ＭＳ ゴシック" w:hAnsi="ＭＳ ゴシック"/>
                <w:sz w:val="21"/>
              </w:rPr>
            </w:pPr>
            <w:r>
              <w:rPr>
                <w:rFonts w:ascii="ＭＳ ゴシック" w:eastAsia="ＭＳ ゴシック" w:hAnsi="ＭＳ ゴシック" w:hint="eastAsia"/>
                <w:sz w:val="21"/>
              </w:rPr>
              <w:t>途に、移住促進と人材確保を一体的に担う新組織を立ち上げ、各産業分野の人材ニーズを掘り起</w:t>
            </w:r>
          </w:p>
          <w:p w:rsidR="00C53806" w:rsidRDefault="009760D2">
            <w:pPr>
              <w:ind w:firstLineChars="150" w:firstLine="315"/>
              <w:rPr>
                <w:rFonts w:ascii="ＭＳ ゴシック" w:eastAsia="ＭＳ ゴシック" w:hAnsi="ＭＳ ゴシック"/>
                <w:sz w:val="21"/>
              </w:rPr>
            </w:pPr>
            <w:r>
              <w:rPr>
                <w:rFonts w:ascii="ＭＳ ゴシック" w:eastAsia="ＭＳ ゴシック" w:hAnsi="ＭＳ ゴシック" w:hint="eastAsia"/>
                <w:sz w:val="21"/>
              </w:rPr>
              <w:t>こした上で一元的に集約し、相談者のニーズに応じた提案をしていきます。今後どのような取り</w:t>
            </w:r>
          </w:p>
          <w:p w:rsidR="00C53806" w:rsidRDefault="009760D2">
            <w:pPr>
              <w:ind w:firstLineChars="150" w:firstLine="315"/>
              <w:rPr>
                <w:rFonts w:ascii="ＭＳ 明朝" w:hAnsi="ＭＳ 明朝"/>
              </w:rPr>
            </w:pPr>
            <w:r>
              <w:rPr>
                <w:rFonts w:ascii="ＭＳ ゴシック" w:eastAsia="ＭＳ ゴシック" w:hAnsi="ＭＳ ゴシック" w:hint="eastAsia"/>
                <w:sz w:val="21"/>
              </w:rPr>
              <w:t>組みに力を入れていくべきだと思いますか。（３つまで○印）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「移住者の住宅の確保に向けて、空き家の活用等の取り組みを強化する」が52.3％で１位になっている。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農業と他の仕事を組み合わせた、いわゆる「半農半Ｘ」といった都会にはない多様な働き方を発信する」が43.6％、「移住者が地域にスムーズに溶け込めるように、地域で気軽に相談ができる体制を整える（ＮＰＯや地域住民による声掛け等のサポートなど）」が38.7％と続い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6000" cy="6019800"/>
            <wp:effectExtent l="0" t="0" r="0" b="0"/>
            <wp:docPr id="117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10歳代では「子育て世代やアウトドア関心層など、より幅広いターゲットへのアプローチを強化する」が、20歳代、30歳代、40歳代、50歳代、60歳代では「移住者の住宅の確保に向けて、空き家の活用等の取り組みを強化する」が、70歳以上では「農業と他の仕事を組み合わせた、いわゆる「半農半Ｘ」といった都会にはない多様な働き方を発信する」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7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53806" w:rsidRDefault="00C53806">
      <w:pPr>
        <w:rPr>
          <w:rFonts w:ascii="ＭＳ ゴシック" w:eastAsia="ＭＳ ゴシック" w:hAnsi="ＭＳ ゴシック"/>
        </w:rPr>
      </w:pP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1012"/>
        <w:gridCol w:w="1012"/>
        <w:gridCol w:w="1013"/>
        <w:gridCol w:w="1012"/>
        <w:gridCol w:w="912"/>
        <w:gridCol w:w="1276"/>
        <w:gridCol w:w="850"/>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22" o:spid="_x0000_s2067" type="#_x0000_t202" style="position:absolute;left:0;text-align:left;margin-left:-4pt;margin-top:110.55pt;width:54pt;height:20.6pt;z-index:98"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423" o:spid="_x0000_s2066" type="#_x0000_t202" style="position:absolute;left:0;text-align:left;margin-left:56.75pt;margin-top:.75pt;width:54pt;height:20.25pt;z-index:97" filled="f" stroked="f">
                  <v:textbox>
                    <w:txbxContent>
                      <w:p w:rsidR="00B642E5" w:rsidRDefault="00B642E5">
                        <w:pPr>
                          <w:rPr>
                            <w:sz w:val="18"/>
                          </w:rPr>
                        </w:pPr>
                        <w:r>
                          <w:rPr>
                            <w:rFonts w:hint="eastAsia"/>
                            <w:sz w:val="18"/>
                          </w:rPr>
                          <w:t>項　目</w:t>
                        </w:r>
                      </w:p>
                    </w:txbxContent>
                  </v:textbox>
                </v:shape>
              </w:pic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子育て世代やアウトドア関心層など、より幅広いターゲットへのアプローチを強化する</w: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農業と他の仕事を組み合わせた、いわゆる「半農半Ｘ」といった都会にはない多様な働き方を発信する</w:t>
            </w:r>
          </w:p>
        </w:tc>
        <w:tc>
          <w:tcPr>
            <w:tcW w:w="101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移住希望者の様々なニーズに対応できるように、相談対応を行うスタッフのスキルアップなどにより提案力を高める</w:t>
            </w:r>
          </w:p>
        </w:tc>
        <w:tc>
          <w:tcPr>
            <w:tcW w:w="10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都市部で実施している移住フェア・相談会や、高知県へのお試し移住体験ツアーなどの回数を増やす</w:t>
            </w:r>
          </w:p>
        </w:tc>
        <w:tc>
          <w:tcPr>
            <w:tcW w:w="91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移住者の住宅の確保に向けて、空き家の活用等の取り組みを強化する</w:t>
            </w:r>
          </w:p>
        </w:tc>
        <w:tc>
          <w:tcPr>
            <w:tcW w:w="127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移住者が地域にスムーズに溶け込めるように、地域で気軽に相談ができる体制を整える（ＮＰＯや地域住民による声掛け等のサポートなど）</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57.7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29.9 </w:t>
            </w:r>
          </w:p>
        </w:tc>
        <w:tc>
          <w:tcPr>
            <w:tcW w:w="9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50.5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36.1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8.2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53.6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27.5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68.1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33.9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48.6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32.6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51.4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35.1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56.2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62.5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54.5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912" w:type="dxa"/>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32.9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47.7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912" w:type="dxa"/>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50.9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40.7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340"/>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39.4 </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34.7 </w:t>
            </w:r>
          </w:p>
        </w:tc>
        <w:tc>
          <w:tcPr>
            <w:tcW w:w="101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34.7 </w:t>
            </w:r>
          </w:p>
        </w:tc>
        <w:tc>
          <w:tcPr>
            <w:tcW w:w="101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912"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51.8 </w:t>
            </w:r>
          </w:p>
        </w:tc>
        <w:tc>
          <w:tcPr>
            <w:tcW w:w="127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39.4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r>
      <w:tr w:rsidR="00C53806">
        <w:trPr>
          <w:trHeight w:val="340"/>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40.1 </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43.4 </w:t>
            </w:r>
          </w:p>
        </w:tc>
        <w:tc>
          <w:tcPr>
            <w:tcW w:w="101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33.1 </w:t>
            </w:r>
          </w:p>
        </w:tc>
        <w:tc>
          <w:tcPr>
            <w:tcW w:w="101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35.9 </w:t>
            </w:r>
          </w:p>
        </w:tc>
        <w:tc>
          <w:tcPr>
            <w:tcW w:w="912"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51.5 </w:t>
            </w:r>
          </w:p>
        </w:tc>
        <w:tc>
          <w:tcPr>
            <w:tcW w:w="127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38.7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38.6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55.3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27.9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52.0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10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58.8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9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31.0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38.9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58.7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37.3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9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127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101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101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912"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56.9 </w:t>
            </w:r>
          </w:p>
        </w:tc>
        <w:tc>
          <w:tcPr>
            <w:tcW w:w="127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r>
      <w:tr w:rsidR="00C53806">
        <w:trPr>
          <w:trHeight w:val="340"/>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37.8 </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101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101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26.9 </w:t>
            </w:r>
          </w:p>
        </w:tc>
        <w:tc>
          <w:tcPr>
            <w:tcW w:w="912"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56.7 </w:t>
            </w:r>
          </w:p>
        </w:tc>
        <w:tc>
          <w:tcPr>
            <w:tcW w:w="127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850"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問36　県が行っている次の広報活動で、ご覧になったり、お聴きになったりしたことがあるものはどれで</w:t>
            </w:r>
          </w:p>
          <w:p w:rsidR="00C53806" w:rsidRDefault="009760D2">
            <w:pPr>
              <w:ind w:firstLineChars="200" w:firstLine="400"/>
              <w:rPr>
                <w:rFonts w:ascii="ＭＳ 明朝" w:hAnsi="ＭＳ 明朝"/>
              </w:rPr>
            </w:pPr>
            <w:r>
              <w:rPr>
                <w:rFonts w:ascii="ＭＳ ゴシック" w:eastAsia="ＭＳ ゴシック" w:hAnsi="ＭＳ ゴシック" w:hint="eastAsia"/>
              </w:rPr>
              <w:t>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「県広報紙「さんＳＵＮ高知」（毎月１日発行）」が60.0％で１位になっている。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次いで「テレビ番組「おはようこうち」」が46.9％、「テレビ番組「県民ニュース」」が38.7％と続いている。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男女とも「総合」とほぼ同じ傾向になっている。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7660005" cy="6633210"/>
            <wp:effectExtent l="0" t="0" r="0" b="0"/>
            <wp:docPr id="117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10歳代、20歳代では「テレビ番組「おはようこうち」」が、30歳代、40歳代、50歳代、60歳代、70歳以上では「県広報紙「さんＳＵＮ高知」（毎月１日発行）」が１位になっている。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7970520"/>
            <wp:effectExtent l="0" t="0" r="0" b="0"/>
            <wp:docPr id="117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08"/>
        <w:gridCol w:w="851"/>
        <w:gridCol w:w="637"/>
        <w:gridCol w:w="638"/>
        <w:gridCol w:w="709"/>
        <w:gridCol w:w="851"/>
        <w:gridCol w:w="673"/>
        <w:gridCol w:w="673"/>
        <w:gridCol w:w="673"/>
        <w:gridCol w:w="674"/>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27" o:spid="_x0000_s2065" type="#_x0000_t202" style="position:absolute;left:0;text-align:left;margin-left:-4pt;margin-top:110.55pt;width:54pt;height:20.6pt;z-index:100"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428" o:spid="_x0000_s2064" type="#_x0000_t202" style="position:absolute;left:0;text-align:left;margin-left:56.75pt;margin-top:.75pt;width:54pt;height:20.25pt;z-index:99" filled="f" stroked="f">
                  <v:textbox>
                    <w:txbxContent>
                      <w:p w:rsidR="00B642E5" w:rsidRDefault="00B642E5">
                        <w:pPr>
                          <w:rPr>
                            <w:sz w:val="18"/>
                          </w:rPr>
                        </w:pPr>
                        <w:r>
                          <w:rPr>
                            <w:rFonts w:hint="eastAsia"/>
                            <w:sz w:val="18"/>
                          </w:rPr>
                          <w:t>項　目</w:t>
                        </w:r>
                      </w:p>
                    </w:txbxContent>
                  </v:textbox>
                </v:shape>
              </w:pict>
            </w:r>
          </w:p>
        </w:tc>
        <w:tc>
          <w:tcPr>
            <w:tcW w:w="70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県広報紙「さんＳＵＮ高知」（毎月１日発行）</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新聞広告「高知県からのお知らせ」など（高知新聞の広告欄に掲載）</w:t>
            </w:r>
          </w:p>
        </w:tc>
        <w:tc>
          <w:tcPr>
            <w:tcW w:w="63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テレビ番組「おはようこうち」</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テレビ番組「県民ニュース」</w:t>
            </w:r>
          </w:p>
        </w:tc>
        <w:tc>
          <w:tcPr>
            <w:tcW w:w="709"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テレビ番組「知っとく高知県」</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ラジオ番組「聞かせて高知県」、「ラジオ県庁ナビ」、「高知県からのお知らせ」</w:t>
            </w:r>
          </w:p>
        </w:tc>
        <w:tc>
          <w:tcPr>
            <w:tcW w:w="67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県のホームページ</w:t>
            </w:r>
          </w:p>
        </w:tc>
        <w:tc>
          <w:tcPr>
            <w:tcW w:w="67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県の動画サイト「こうちインターネット放送局」</w:t>
            </w:r>
          </w:p>
        </w:tc>
        <w:tc>
          <w:tcPr>
            <w:tcW w:w="67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県のツイッター、フェイスブック</w:t>
            </w:r>
          </w:p>
        </w:tc>
        <w:tc>
          <w:tcPr>
            <w:tcW w:w="67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見たり、聴いたりしていない</w:t>
            </w:r>
          </w:p>
        </w:tc>
      </w:tr>
      <w:tr w:rsidR="00C53806">
        <w:trPr>
          <w:cantSplit/>
          <w:trHeight w:val="397"/>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23.7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3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62.3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28.4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25.7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14.5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56.2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13.3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77.2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9.5 </w:t>
            </w:r>
          </w:p>
        </w:tc>
        <w:tc>
          <w:tcPr>
            <w:tcW w:w="63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36.2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60.8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9.5 </w:t>
            </w:r>
          </w:p>
        </w:tc>
      </w:tr>
      <w:tr w:rsidR="00C53806">
        <w:trPr>
          <w:trHeight w:val="397"/>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08"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63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43.5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709"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 </w:t>
            </w:r>
          </w:p>
        </w:tc>
        <w:tc>
          <w:tcPr>
            <w:tcW w:w="67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67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 </w:t>
            </w:r>
          </w:p>
        </w:tc>
        <w:tc>
          <w:tcPr>
            <w:tcW w:w="67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12.4 </w:t>
            </w:r>
          </w:p>
        </w:tc>
      </w:tr>
      <w:tr w:rsidR="00C53806">
        <w:trPr>
          <w:trHeight w:val="397"/>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08"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65.5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3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44.5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709"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17.3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67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7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c>
          <w:tcPr>
            <w:tcW w:w="67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c>
          <w:tcPr>
            <w:tcW w:w="67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58.8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25.3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13.1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0.4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3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70.6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27.8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42.1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11.9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0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3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35.8 </w:t>
            </w:r>
          </w:p>
        </w:tc>
        <w:tc>
          <w:tcPr>
            <w:tcW w:w="709"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10.6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7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c>
          <w:tcPr>
            <w:tcW w:w="67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r>
      <w:tr w:rsidR="00C53806">
        <w:trPr>
          <w:trHeight w:val="397"/>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08"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52.2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63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43.3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39.3 </w:t>
            </w:r>
          </w:p>
        </w:tc>
        <w:tc>
          <w:tcPr>
            <w:tcW w:w="709"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 </w:t>
            </w:r>
          </w:p>
        </w:tc>
        <w:tc>
          <w:tcPr>
            <w:tcW w:w="67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67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67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67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pPr w:leftFromText="142" w:rightFromText="142" w:vertAnchor="text" w:horzAnchor="margin" w:tblpY="40"/>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00"/>
      </w:tblGrid>
      <w:tr w:rsidR="00C53806">
        <w:trPr>
          <w:trHeight w:val="524"/>
        </w:trPr>
        <w:tc>
          <w:tcPr>
            <w:tcW w:w="9600" w:type="dxa"/>
            <w:vAlign w:val="center"/>
          </w:tcPr>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問36　副問１　（問36で「１」を選んだ方のみお答えください。）</w:t>
            </w:r>
          </w:p>
          <w:p w:rsidR="00C53806" w:rsidRDefault="009760D2">
            <w:pPr>
              <w:ind w:left="7770" w:hangingChars="3700" w:hanging="7770"/>
              <w:rPr>
                <w:rFonts w:ascii="ＭＳ ゴシック" w:eastAsia="ＭＳ ゴシック" w:hAnsi="ＭＳ ゴシック"/>
              </w:rPr>
            </w:pPr>
            <w:r>
              <w:rPr>
                <w:rFonts w:ascii="ＭＳ ゴシック" w:eastAsia="ＭＳ ゴシック" w:hAnsi="ＭＳ ゴシック" w:hint="eastAsia"/>
              </w:rPr>
              <w:t xml:space="preserve">　　県広報紙「さんSUN高知」の記事を、どの程度読んでいますか。（１つだけ○印）</w:t>
            </w:r>
          </w:p>
        </w:tc>
      </w:tr>
    </w:tbl>
    <w:p w:rsidR="00C53806" w:rsidRDefault="00C53806">
      <w:pPr>
        <w:rPr>
          <w:rFonts w:ascii="ＭＳ 明朝" w:eastAsia="ＭＳ 明朝" w:hAnsi="ＭＳ 明朝"/>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「一部の記事だけ読んでいる」が40.9％で１位になっている。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次いで「ほとんどの記事を読んでいる」が23.7％、「見出しだけで見ている」が12.0％と続いている。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男女とも「総合」とほぼ同じ傾向になっている。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すべての年代で「一部の記事だけ読んでいる」が１位になっている。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924550"/>
            <wp:effectExtent l="0" t="0" r="0" b="0"/>
            <wp:docPr id="117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17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tabs>
          <w:tab w:val="left" w:pos="1260"/>
        </w:tabs>
        <w:rPr>
          <w:rFonts w:ascii="ＭＳ 明朝" w:eastAsia="ＭＳ 明朝" w:hAnsi="ＭＳ 明朝"/>
        </w:rPr>
      </w:pPr>
      <w:r>
        <w:rPr>
          <w:rFonts w:ascii="ＭＳ 明朝" w:eastAsia="ＭＳ 明朝" w:hAnsi="ＭＳ 明朝"/>
        </w:rPr>
        <w:tab/>
      </w: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問36　副問２　（副問１で「２・３・４・５・６」を選んだ方のみお答えください。）</w:t>
            </w:r>
          </w:p>
          <w:p w:rsidR="00C53806" w:rsidRDefault="009760D2">
            <w:pPr>
              <w:ind w:firstLineChars="200" w:firstLine="420"/>
              <w:rPr>
                <w:rFonts w:ascii="ＭＳ ゴシック" w:eastAsia="ＭＳ ゴシック" w:hAnsi="ＭＳ ゴシック"/>
                <w:sz w:val="21"/>
              </w:rPr>
            </w:pPr>
            <w:r>
              <w:rPr>
                <w:rFonts w:ascii="ＭＳ ゴシック" w:eastAsia="ＭＳ ゴシック" w:hAnsi="ＭＳ ゴシック" w:hint="eastAsia"/>
                <w:sz w:val="21"/>
              </w:rPr>
              <w:t>県広報紙「さんSUN高知」の紙面について、必ず読んでいる記事は次のうちどれですか。</w:t>
            </w:r>
          </w:p>
          <w:p w:rsidR="00C53806" w:rsidRDefault="009760D2">
            <w:pPr>
              <w:ind w:firstLineChars="3000" w:firstLine="6300"/>
              <w:rPr>
                <w:rFonts w:ascii="ＭＳ 明朝" w:hAnsi="ＭＳ 明朝"/>
                <w:sz w:val="21"/>
              </w:rPr>
            </w:pPr>
            <w:r>
              <w:rPr>
                <w:rFonts w:ascii="ＭＳ ゴシック" w:eastAsia="ＭＳ ゴシック" w:hAnsi="ＭＳ ゴシック" w:hint="eastAsia"/>
                <w:sz w:val="21"/>
              </w:rPr>
              <w:t>（当てはまるものすべてに○印）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「情報ひろば」が55.6％で１位になっている。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次いで「表紙」が44.3％、「特集」が41.8％と続いている。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「県立施設のご案内」では、女性が男性より10.8ポイント高くなっている。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89650" cy="6314440"/>
            <wp:effectExtent l="0" t="0" r="0" b="0"/>
            <wp:docPr id="118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10歳代、20歳代では「表紙」が、30歳代、40歳代、50歳代、60歳代、70歳以上では「情報ひろば」が１位になっている。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8004810"/>
            <wp:effectExtent l="0" t="0" r="0" b="0"/>
            <wp:docPr id="118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787"/>
        <w:gridCol w:w="788"/>
        <w:gridCol w:w="787"/>
        <w:gridCol w:w="788"/>
        <w:gridCol w:w="787"/>
        <w:gridCol w:w="788"/>
        <w:gridCol w:w="787"/>
        <w:gridCol w:w="788"/>
      </w:tblGrid>
      <w:tr w:rsidR="00C53806">
        <w:trPr>
          <w:cantSplit/>
          <w:trHeight w:val="2608"/>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35" o:spid="_x0000_s2063" type="#_x0000_t202" style="position:absolute;left:0;text-align:left;margin-left:73.7pt;margin-top:.75pt;width:54pt;height:20.25pt;z-index:101"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434" o:spid="_x0000_s2062" type="#_x0000_t202" style="position:absolute;left:0;text-align:left;margin-left:-4pt;margin-top:110.55pt;width:54pt;height:20.6pt;z-index:102" filled="f" stroked="f">
                  <v:textbox>
                    <w:txbxContent>
                      <w:p w:rsidR="00B642E5" w:rsidRDefault="00B642E5">
                        <w:pPr>
                          <w:rPr>
                            <w:sz w:val="18"/>
                          </w:rPr>
                        </w:pPr>
                        <w:r>
                          <w:rPr>
                            <w:rFonts w:hint="eastAsia"/>
                            <w:sz w:val="18"/>
                          </w:rPr>
                          <w:t>属　性</w:t>
                        </w:r>
                      </w:p>
                    </w:txbxContent>
                  </v:textbox>
                </v:shape>
              </w:pict>
            </w:r>
          </w:p>
        </w:tc>
        <w:tc>
          <w:tcPr>
            <w:tcW w:w="78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表紙</w:t>
            </w:r>
          </w:p>
        </w:tc>
        <w:tc>
          <w:tcPr>
            <w:tcW w:w="78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県政ピックアップ</w:t>
            </w:r>
          </w:p>
        </w:tc>
        <w:tc>
          <w:tcPr>
            <w:tcW w:w="788"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特集</w:t>
            </w:r>
          </w:p>
        </w:tc>
        <w:tc>
          <w:tcPr>
            <w:tcW w:w="78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土佐の維新人</w:t>
            </w:r>
          </w:p>
        </w:tc>
        <w:tc>
          <w:tcPr>
            <w:tcW w:w="788"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情報ひろば</w:t>
            </w:r>
          </w:p>
        </w:tc>
        <w:tc>
          <w:tcPr>
            <w:tcW w:w="78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県立施設のご案内</w:t>
            </w:r>
          </w:p>
        </w:tc>
        <w:tc>
          <w:tcPr>
            <w:tcW w:w="788"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その他</w:t>
            </w:r>
          </w:p>
        </w:tc>
        <w:tc>
          <w:tcPr>
            <w:tcW w:w="787"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特にない</w:t>
            </w:r>
          </w:p>
        </w:tc>
        <w:tc>
          <w:tcPr>
            <w:tcW w:w="788" w:type="dxa"/>
            <w:textDirection w:val="tbRlV"/>
            <w:vAlign w:val="center"/>
          </w:tcPr>
          <w:p w:rsidR="00C53806" w:rsidRDefault="009760D2">
            <w:pPr>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cantSplit/>
          <w:trHeight w:val="397"/>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29.6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20.5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r w:rsidR="00C53806">
        <w:trPr>
          <w:trHeight w:val="397"/>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18.9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12.2 </w:t>
            </w:r>
          </w:p>
        </w:tc>
        <w:tc>
          <w:tcPr>
            <w:tcW w:w="788"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53.3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 </w:t>
            </w:r>
          </w:p>
        </w:tc>
      </w:tr>
      <w:tr w:rsidR="00C53806">
        <w:trPr>
          <w:trHeight w:val="397"/>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42.4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26.3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46.4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788"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61.3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38.5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 </w:t>
            </w:r>
          </w:p>
        </w:tc>
      </w:tr>
      <w:tr w:rsidR="00C53806">
        <w:trPr>
          <w:trHeight w:val="397"/>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43.5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23.9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40.2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22.8 </w:t>
            </w:r>
          </w:p>
        </w:tc>
        <w:tc>
          <w:tcPr>
            <w:tcW w:w="788"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28.3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r>
    </w:tbl>
    <w:p w:rsidR="00C53806" w:rsidRDefault="00C53806">
      <w:pPr>
        <w:rPr>
          <w:rFonts w:ascii="ＭＳ ゴシック" w:eastAsia="ＭＳ ゴシック" w:hAnsi="ＭＳ ゴシック"/>
          <w:color w:val="FF0000"/>
        </w:rPr>
      </w:pPr>
    </w:p>
    <w:p w:rsidR="00C53806" w:rsidRDefault="00C53806">
      <w:pPr>
        <w:rPr>
          <w:rFonts w:ascii="ＭＳ ゴシック" w:eastAsia="ＭＳ ゴシック" w:hAnsi="ＭＳ ゴシック"/>
          <w:color w:val="FF0000"/>
        </w:rPr>
      </w:pPr>
    </w:p>
    <w:p w:rsidR="00C53806" w:rsidRDefault="00C53806">
      <w:pPr>
        <w:rPr>
          <w:rFonts w:ascii="ＭＳ ゴシック" w:eastAsia="ＭＳ ゴシック" w:hAnsi="ＭＳ ゴシック"/>
          <w:color w:val="FF0000"/>
        </w:rPr>
      </w:pPr>
    </w:p>
    <w:p w:rsidR="00C53806" w:rsidRDefault="00C53806">
      <w:pPr>
        <w:rPr>
          <w:rFonts w:ascii="ＭＳ ゴシック" w:eastAsia="ＭＳ ゴシック" w:hAnsi="ＭＳ ゴシック"/>
          <w:color w:val="FF0000"/>
        </w:rPr>
      </w:pPr>
    </w:p>
    <w:p w:rsidR="00C53806" w:rsidRDefault="00C53806">
      <w:pPr>
        <w:rPr>
          <w:rFonts w:ascii="ＭＳ ゴシック" w:eastAsia="ＭＳ ゴシック" w:hAnsi="ＭＳ ゴシック"/>
          <w:color w:val="FF0000"/>
        </w:rPr>
      </w:pPr>
    </w:p>
    <w:p w:rsidR="00C53806" w:rsidRDefault="00C53806">
      <w:pPr>
        <w:rPr>
          <w:rFonts w:ascii="ＭＳ ゴシック" w:eastAsia="ＭＳ ゴシック" w:hAnsi="ＭＳ ゴシック"/>
          <w:color w:val="FF0000"/>
        </w:rPr>
      </w:pPr>
    </w:p>
    <w:p w:rsidR="00C53806" w:rsidRDefault="00C53806">
      <w:pPr>
        <w:rPr>
          <w:rFonts w:ascii="ＭＳ ゴシック" w:eastAsia="ＭＳ ゴシック" w:hAnsi="ＭＳ ゴシック"/>
          <w:color w:val="FF0000"/>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問36　副問３　（副問３へ誘導された方のみお答えください。）</w:t>
            </w:r>
          </w:p>
          <w:p w:rsidR="00C53806" w:rsidRDefault="009760D2">
            <w:pPr>
              <w:ind w:firstLineChars="200" w:firstLine="420"/>
              <w:rPr>
                <w:rFonts w:ascii="ＭＳ ゴシック" w:eastAsia="ＭＳ ゴシック" w:hAnsi="ＭＳ ゴシック"/>
                <w:sz w:val="21"/>
              </w:rPr>
            </w:pPr>
            <w:r>
              <w:rPr>
                <w:rFonts w:ascii="ＭＳ ゴシック" w:eastAsia="ＭＳ ゴシック" w:hAnsi="ＭＳ ゴシック" w:hint="eastAsia"/>
                <w:sz w:val="21"/>
              </w:rPr>
              <w:t>県広報紙「さんSUN高知」の紙面について、魅力的で分かりやすくするには、どのようにすべき</w:t>
            </w:r>
          </w:p>
          <w:p w:rsidR="00C53806" w:rsidRDefault="009760D2">
            <w:pPr>
              <w:ind w:firstLineChars="200" w:firstLine="420"/>
              <w:rPr>
                <w:rFonts w:ascii="ＭＳ ゴシック" w:eastAsia="ＭＳ ゴシック" w:hAnsi="ＭＳ ゴシック"/>
                <w:sz w:val="21"/>
              </w:rPr>
            </w:pPr>
            <w:r>
              <w:rPr>
                <w:rFonts w:ascii="ＭＳ ゴシック" w:eastAsia="ＭＳ ゴシック" w:hAnsi="ＭＳ ゴシック" w:hint="eastAsia"/>
                <w:sz w:val="21"/>
              </w:rPr>
              <w:t>だと思いますか。（当てはまるものすべてに○印）</w:t>
            </w:r>
          </w:p>
        </w:tc>
      </w:tr>
    </w:tbl>
    <w:p w:rsidR="00C53806" w:rsidRDefault="00C53806">
      <w:pPr>
        <w:rPr>
          <w:rFonts w:ascii="ＭＳ ゴシック" w:eastAsia="ＭＳ ゴシック" w:hAnsi="ＭＳ ゴシック"/>
          <w:color w:val="FF0000"/>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「県民に伝えたいことや協力してほしいことなどメッセージ性がある分かりやすい文章とする」が33.4％で１位になっている。</w:t>
      </w:r>
    </w:p>
    <w:p w:rsidR="00C53806" w:rsidRDefault="009760D2">
      <w:pPr>
        <w:rPr>
          <w:rFonts w:ascii="ＭＳ 明朝" w:eastAsia="ＭＳ 明朝" w:hAnsi="ＭＳ 明朝"/>
          <w:kern w:val="0"/>
        </w:rPr>
      </w:pPr>
      <w:r>
        <w:rPr>
          <w:rFonts w:ascii="ＭＳ 明朝" w:eastAsia="ＭＳ 明朝" w:hAnsi="ＭＳ 明朝" w:hint="eastAsia"/>
          <w:kern w:val="0"/>
        </w:rPr>
        <w:t xml:space="preserve">　次いで「文章の内容が分かるような見出しを多く用いる」が27.3％、「専門用語など分かりづらい表現は、言い方を変えたり解説をつける」が26.2％と続いている。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男女とも「総合」とほぼ同じ傾向になっている。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6000" cy="6019800"/>
            <wp:effectExtent l="0" t="0" r="0" b="0"/>
            <wp:docPr id="118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53806" w:rsidRDefault="00C53806">
      <w:pPr>
        <w:rPr>
          <w:rFonts w:ascii="ＭＳ ゴシック" w:eastAsia="ＭＳ ゴシック" w:hAnsi="ＭＳ ゴシック"/>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では「専門用語など分かりづらい表現は、言い方を変えたり解説をつける」が、20歳代、30歳代、40歳代、50歳代、60歳代では「県民に伝えたいことや協力してほしいことなどメッセージ性がある分かりやすい文章とする」が、70歳以上では「文字を大きくする」、「文章の内容が分かるような見出しを多く用いる」が同率で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8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10189" w:type="dxa"/>
        <w:tblInd w:w="-158" w:type="dxa"/>
        <w:tblLayout w:type="fixed"/>
        <w:tblLook w:val="04A0" w:firstRow="1" w:lastRow="0" w:firstColumn="1" w:lastColumn="0" w:noHBand="0" w:noVBand="1"/>
      </w:tblPr>
      <w:tblGrid>
        <w:gridCol w:w="563"/>
        <w:gridCol w:w="1989"/>
        <w:gridCol w:w="694"/>
        <w:gridCol w:w="694"/>
        <w:gridCol w:w="694"/>
        <w:gridCol w:w="695"/>
        <w:gridCol w:w="694"/>
        <w:gridCol w:w="764"/>
        <w:gridCol w:w="850"/>
        <w:gridCol w:w="638"/>
        <w:gridCol w:w="638"/>
        <w:gridCol w:w="638"/>
        <w:gridCol w:w="638"/>
      </w:tblGrid>
      <w:tr w:rsidR="00C53806">
        <w:trPr>
          <w:cantSplit/>
          <w:trHeight w:val="2891"/>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39" o:spid="_x0000_s2061" type="#_x0000_t202" style="position:absolute;left:0;text-align:left;margin-left:-4pt;margin-top:110.55pt;width:54pt;height:20.6pt;z-index:104" filled="f" stroked="f">
                  <v:textbox>
                    <w:txbxContent>
                      <w:p w:rsidR="00B642E5" w:rsidRDefault="00B642E5">
                        <w:pPr>
                          <w:rPr>
                            <w:sz w:val="18"/>
                          </w:rPr>
                        </w:pPr>
                        <w:r>
                          <w:rPr>
                            <w:rFonts w:hint="eastAsia"/>
                            <w:sz w:val="18"/>
                          </w:rPr>
                          <w:t>属　性</w:t>
                        </w:r>
                      </w:p>
                    </w:txbxContent>
                  </v:textbox>
                </v:shape>
              </w:pict>
            </w:r>
            <w:r>
              <w:rPr>
                <w:rFonts w:ascii="ＭＳ 明朝" w:hAnsi="ＭＳ 明朝"/>
                <w:sz w:val="18"/>
              </w:rPr>
              <w:pict>
                <v:shape id="テキスト ボックス 440" o:spid="_x0000_s2060" type="#_x0000_t202" style="position:absolute;left:0;text-align:left;margin-left:56.75pt;margin-top:.75pt;width:54pt;height:20.25pt;z-index:103" filled="f" stroked="f">
                  <v:textbox>
                    <w:txbxContent>
                      <w:p w:rsidR="00B642E5" w:rsidRDefault="00B642E5">
                        <w:pPr>
                          <w:rPr>
                            <w:sz w:val="18"/>
                          </w:rPr>
                        </w:pPr>
                        <w:r>
                          <w:rPr>
                            <w:rFonts w:hint="eastAsia"/>
                            <w:sz w:val="18"/>
                          </w:rPr>
                          <w:t>項　目</w:t>
                        </w:r>
                      </w:p>
                    </w:txbxContent>
                  </v:textbox>
                </v:shape>
              </w:pict>
            </w:r>
          </w:p>
        </w:tc>
        <w:tc>
          <w:tcPr>
            <w:tcW w:w="69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文字を大きくする</w:t>
            </w:r>
          </w:p>
        </w:tc>
        <w:tc>
          <w:tcPr>
            <w:tcW w:w="69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写真やイラストを多くする</w:t>
            </w:r>
          </w:p>
        </w:tc>
        <w:tc>
          <w:tcPr>
            <w:tcW w:w="69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文字数を少なくする</w:t>
            </w:r>
          </w:p>
        </w:tc>
        <w:tc>
          <w:tcPr>
            <w:tcW w:w="695"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文章の内容が分かるような見出しを多く用いる</w:t>
            </w:r>
          </w:p>
        </w:tc>
        <w:tc>
          <w:tcPr>
            <w:tcW w:w="69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目を引くようなデザインやレイアウトなど、見やすさを工夫する</w:t>
            </w:r>
          </w:p>
        </w:tc>
        <w:tc>
          <w:tcPr>
            <w:tcW w:w="76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専門用語など分かりづらい表現は、言い方を変えたり解説をつける</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県民に伝えたいことや協力してほしいことなどメッセージ性がある分かりやすい文章とする</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ページ数を増やすことで、より多くの情報を掲載する</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特にない</w:t>
            </w:r>
          </w:p>
        </w:tc>
        <w:tc>
          <w:tcPr>
            <w:tcW w:w="63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cantSplit/>
          <w:trHeight w:val="283"/>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16.1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c>
          <w:tcPr>
            <w:tcW w:w="69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27.4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69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80.0 </w:t>
            </w:r>
          </w:p>
        </w:tc>
        <w:tc>
          <w:tcPr>
            <w:tcW w:w="764" w:type="dxa"/>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19.5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14.6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14.6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20.4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10.5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20.4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27.2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25.5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28.2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23.1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69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695"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46.2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23.1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29.5 </w:t>
            </w:r>
          </w:p>
        </w:tc>
        <w:tc>
          <w:tcPr>
            <w:tcW w:w="76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283"/>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69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32.7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22.1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r>
      <w:tr w:rsidR="00C53806">
        <w:trPr>
          <w:trHeight w:val="283"/>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69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69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28.3 </w:t>
            </w:r>
          </w:p>
        </w:tc>
        <w:tc>
          <w:tcPr>
            <w:tcW w:w="69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 </w:t>
            </w:r>
          </w:p>
        </w:tc>
        <w:tc>
          <w:tcPr>
            <w:tcW w:w="695"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30.3 </w:t>
            </w:r>
          </w:p>
        </w:tc>
        <w:tc>
          <w:tcPr>
            <w:tcW w:w="69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764"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34.3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3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r>
      <w:tr w:rsidR="00C53806">
        <w:trPr>
          <w:trHeight w:val="283"/>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69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69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69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 </w:t>
            </w:r>
          </w:p>
        </w:tc>
        <w:tc>
          <w:tcPr>
            <w:tcW w:w="695"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69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76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850"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33.5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10.7 </w:t>
            </w:r>
          </w:p>
        </w:tc>
        <w:tc>
          <w:tcPr>
            <w:tcW w:w="63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 </w:t>
            </w:r>
          </w:p>
        </w:tc>
      </w:tr>
      <w:tr w:rsidR="00C53806">
        <w:trPr>
          <w:trHeight w:val="283"/>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21.2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r>
      <w:tr w:rsidR="00C53806">
        <w:trPr>
          <w:trHeight w:val="283"/>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69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32.8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30.2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 </w:t>
            </w:r>
          </w:p>
        </w:tc>
      </w:tr>
      <w:tr w:rsidR="00C53806">
        <w:trPr>
          <w:trHeight w:val="283"/>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30.4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43.5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283"/>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15.5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19.7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33.8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r>
      <w:tr w:rsidR="00C53806">
        <w:trPr>
          <w:trHeight w:val="283"/>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10.7 </w:t>
            </w:r>
          </w:p>
        </w:tc>
        <w:tc>
          <w:tcPr>
            <w:tcW w:w="76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35.7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r>
      <w:tr w:rsidR="00C53806">
        <w:trPr>
          <w:trHeight w:val="283"/>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695"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25.7 </w:t>
            </w:r>
          </w:p>
        </w:tc>
        <w:tc>
          <w:tcPr>
            <w:tcW w:w="69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14.3 </w:t>
            </w:r>
          </w:p>
        </w:tc>
        <w:tc>
          <w:tcPr>
            <w:tcW w:w="764"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850" w:type="dxa"/>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c>
          <w:tcPr>
            <w:tcW w:w="63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r w:rsidR="00C53806">
        <w:trPr>
          <w:trHeight w:val="283"/>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69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69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25.7 </w:t>
            </w:r>
          </w:p>
        </w:tc>
        <w:tc>
          <w:tcPr>
            <w:tcW w:w="69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 </w:t>
            </w:r>
          </w:p>
        </w:tc>
        <w:tc>
          <w:tcPr>
            <w:tcW w:w="695"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32.7 </w:t>
            </w:r>
          </w:p>
        </w:tc>
        <w:tc>
          <w:tcPr>
            <w:tcW w:w="69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23.8 </w:t>
            </w:r>
          </w:p>
        </w:tc>
        <w:tc>
          <w:tcPr>
            <w:tcW w:w="76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26.7 </w:t>
            </w:r>
          </w:p>
        </w:tc>
        <w:tc>
          <w:tcPr>
            <w:tcW w:w="850"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34.7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8.9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63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Style w:val="a9"/>
        <w:tblW w:w="9764" w:type="dxa"/>
        <w:tblInd w:w="-158" w:type="dxa"/>
        <w:tblLayout w:type="fixed"/>
        <w:tblLook w:val="04A0" w:firstRow="1" w:lastRow="0" w:firstColumn="1" w:lastColumn="0" w:noHBand="0" w:noVBand="1"/>
      </w:tblPr>
      <w:tblGrid>
        <w:gridCol w:w="9764"/>
      </w:tblGrid>
      <w:tr w:rsidR="00C53806">
        <w:trPr>
          <w:trHeight w:val="416"/>
        </w:trPr>
        <w:tc>
          <w:tcPr>
            <w:tcW w:w="9764"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問37　県広報紙「さんSUN高知」を充実するために、どのようなことを中心に取り上げるべきだと思</w:t>
            </w:r>
          </w:p>
          <w:p w:rsidR="00C53806" w:rsidRDefault="009760D2">
            <w:pPr>
              <w:ind w:firstLineChars="200" w:firstLine="420"/>
              <w:rPr>
                <w:rFonts w:ascii="ＭＳ 明朝" w:hAnsi="ＭＳ 明朝"/>
                <w:sz w:val="21"/>
              </w:rPr>
            </w:pPr>
            <w:r>
              <w:rPr>
                <w:rFonts w:ascii="ＭＳ ゴシック" w:eastAsia="ＭＳ ゴシック" w:hAnsi="ＭＳ ゴシック" w:hint="eastAsia"/>
                <w:sz w:val="21"/>
              </w:rPr>
              <w:t>いますか。（当てはまるものすべてに○印）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「日常生活で役立つ情報を優先的に紹介する」が47.5％で１位になっている。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次いで「県民が参加できるイベントや講座等の情報を多く掲載する」が39.4％、「県全体の政策・取り組みをバランスよく紹介する」が26.7％と続いている。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男女とも「日常生活で役立つ情報を優先的に紹介する」、「県民が参加できるイベントや講座等の情報を多く掲載する」が続いており、次いで男性では「県の重要な政策・取り組みをより詳しく紹介する」</w:t>
      </w:r>
      <w:r w:rsidR="00352F49">
        <w:rPr>
          <w:rFonts w:ascii="ＭＳ 明朝" w:eastAsia="ＭＳ 明朝" w:hAnsi="ＭＳ 明朝" w:hint="eastAsia"/>
        </w:rPr>
        <w:t>が</w:t>
      </w:r>
      <w:r>
        <w:rPr>
          <w:rFonts w:ascii="ＭＳ 明朝" w:eastAsia="ＭＳ 明朝" w:hAnsi="ＭＳ 明朝" w:hint="eastAsia"/>
        </w:rPr>
        <w:t>、女性では「県全体の政策・取り組みをバランスよく紹介する」が続いている。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331585"/>
            <wp:effectExtent l="0" t="0" r="0" b="0"/>
            <wp:docPr id="118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30歳代を除くすべての年代で「日常生活で役立つ情報を優先的に紹介する」が、30歳代では「県民が参加できるイベントや講座等の情報を多く掲載する」が１位になっている。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8004810"/>
            <wp:effectExtent l="0" t="0" r="0" b="0"/>
            <wp:docPr id="118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787"/>
        <w:gridCol w:w="788"/>
        <w:gridCol w:w="787"/>
        <w:gridCol w:w="788"/>
        <w:gridCol w:w="787"/>
        <w:gridCol w:w="788"/>
        <w:gridCol w:w="787"/>
        <w:gridCol w:w="788"/>
      </w:tblGrid>
      <w:tr w:rsidR="00C53806">
        <w:trPr>
          <w:cantSplit/>
          <w:trHeight w:val="2665"/>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45" o:spid="_x0000_s2059" type="#_x0000_t202" style="position:absolute;left:0;text-align:left;margin-left:72.9pt;margin-top:.75pt;width:54pt;height:20.25pt;z-index:105"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444" o:spid="_x0000_s2058" type="#_x0000_t202" style="position:absolute;left:0;text-align:left;margin-left:-4pt;margin-top:110.55pt;width:54pt;height:20.6pt;z-index:106" filled="f" stroked="f">
                  <v:textbox>
                    <w:txbxContent>
                      <w:p w:rsidR="00B642E5" w:rsidRDefault="00B642E5">
                        <w:pPr>
                          <w:rPr>
                            <w:sz w:val="18"/>
                          </w:rPr>
                        </w:pPr>
                        <w:r>
                          <w:rPr>
                            <w:rFonts w:hint="eastAsia"/>
                            <w:sz w:val="18"/>
                          </w:rPr>
                          <w:t>属　性</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県の重要な政策・取り組みをより詳しく紹介する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県全体の政策・取り組みをバランスよく紹介する</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県の新しい政策・取り組みなど最新情報を優先的に紹介する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県の取り組みの動きや成果を節目ごとに紹介する</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日常生活で役立つ情報を優先的に紹介する</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県民が参加できるイベントや講座等の情報を多く掲載する</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特にない</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cantSplit/>
          <w:trHeight w:val="397"/>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11.6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12.8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24.8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21.6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16.4 </w:t>
            </w:r>
          </w:p>
        </w:tc>
      </w:tr>
      <w:tr w:rsidR="00C53806">
        <w:trPr>
          <w:trHeight w:val="397"/>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25.9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9.0 </w:t>
            </w:r>
          </w:p>
        </w:tc>
      </w:tr>
      <w:tr w:rsidR="00C53806">
        <w:trPr>
          <w:trHeight w:val="397"/>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23.5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788"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48.2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41.8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r>
      <w:tr w:rsidR="00C53806">
        <w:trPr>
          <w:trHeight w:val="397"/>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22.4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27.6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22.3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24.4 </w:t>
            </w:r>
          </w:p>
        </w:tc>
        <w:tc>
          <w:tcPr>
            <w:tcW w:w="788"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52.3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44.6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15.8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26.5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27.0 </w:t>
            </w:r>
          </w:p>
        </w:tc>
        <w:tc>
          <w:tcPr>
            <w:tcW w:w="788" w:type="dxa"/>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11.8 </w:t>
            </w:r>
          </w:p>
        </w:tc>
      </w:tr>
      <w:tr w:rsidR="00C53806">
        <w:trPr>
          <w:trHeight w:val="397"/>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9.8 </w:t>
            </w:r>
          </w:p>
        </w:tc>
      </w:tr>
      <w:tr w:rsidR="00C53806">
        <w:trPr>
          <w:trHeight w:val="397"/>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24.4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25.4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20.9 </w:t>
            </w:r>
          </w:p>
        </w:tc>
        <w:tc>
          <w:tcPr>
            <w:tcW w:w="788"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40.8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30.8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10.4 </w:t>
            </w:r>
          </w:p>
        </w:tc>
      </w:tr>
    </w:tbl>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sz w:val="21"/>
              </w:rPr>
            </w:pPr>
            <w:r>
              <w:rPr>
                <w:rFonts w:ascii="ＭＳ ゴシック" w:eastAsia="ＭＳ ゴシック" w:hAnsi="ＭＳ ゴシック" w:hint="eastAsia"/>
                <w:sz w:val="21"/>
              </w:rPr>
              <w:t>問38　幼児教育について、どのようなことに力を入れて取り組むべきだと思いますか。</w:t>
            </w:r>
          </w:p>
          <w:p w:rsidR="00C53806" w:rsidRDefault="009760D2">
            <w:pPr>
              <w:ind w:firstLineChars="3700" w:firstLine="7770"/>
              <w:rPr>
                <w:rFonts w:ascii="ＭＳ 明朝" w:hAnsi="ＭＳ 明朝"/>
                <w:sz w:val="21"/>
              </w:rPr>
            </w:pPr>
            <w:r>
              <w:rPr>
                <w:rFonts w:ascii="ＭＳ ゴシック" w:eastAsia="ＭＳ ゴシック" w:hAnsi="ＭＳ ゴシック" w:hint="eastAsia"/>
                <w:sz w:val="21"/>
              </w:rPr>
              <w:t>（３つまで○印）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「基本的な生活習慣（生活時間、食事、健康管理など）を身につけさせること」が38.1％で１位になっている。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次いで「友だちと一緒に遊ぶこと」が37.4％、「自然とふれあうこと」が34.8％と続いている。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性では「友だちと一緒に遊ぶこと」が、女性では「基本的な生活習慣（生活時間、食事、健康管理など）を身につけさせること」が１位で、次いで男性では「社会のマナーやルールを身につけること」、「自然とふれあうこと」</w:t>
      </w:r>
      <w:r w:rsidR="00352F49">
        <w:rPr>
          <w:rFonts w:ascii="ＭＳ 明朝" w:eastAsia="ＭＳ 明朝" w:hAnsi="ＭＳ 明朝" w:hint="eastAsia"/>
        </w:rPr>
        <w:t>が</w:t>
      </w:r>
      <w:r>
        <w:rPr>
          <w:rFonts w:ascii="ＭＳ 明朝" w:eastAsia="ＭＳ 明朝" w:hAnsi="ＭＳ 明朝" w:hint="eastAsia"/>
        </w:rPr>
        <w:t>、女性では「自然とふれあうこと」、「友だちと一緒に遊ぶこと」が続いている。</w:t>
      </w:r>
    </w:p>
    <w:p w:rsidR="00C53806" w:rsidRDefault="00C53806">
      <w:pPr>
        <w:rPr>
          <w:rFonts w:ascii="ＭＳ 明朝" w:eastAsia="ＭＳ 明朝" w:hAnsi="ＭＳ 明朝"/>
        </w:rPr>
      </w:pP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312535" cy="6022340"/>
            <wp:effectExtent l="0" t="0" r="0" b="0"/>
            <wp:docPr id="119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10歳代、40歳代、50歳代、60歳代、70歳以上では「基本的な生活習慣（生活時間、食事、健康管理など）を身につけさせること」が、20歳代、30歳代では「自然とふれあうこと」が１位</w:t>
      </w:r>
      <w:r w:rsidR="009B4884">
        <w:rPr>
          <w:rFonts w:ascii="ＭＳ 明朝" w:eastAsia="ＭＳ 明朝" w:hAnsi="ＭＳ 明朝" w:hint="eastAsia"/>
        </w:rPr>
        <w:t>に</w:t>
      </w:r>
      <w:r>
        <w:rPr>
          <w:rFonts w:ascii="ＭＳ 明朝" w:eastAsia="ＭＳ 明朝" w:hAnsi="ＭＳ 明朝" w:hint="eastAsia"/>
        </w:rPr>
        <w:t>なっている。</w:t>
      </w:r>
    </w:p>
    <w:p w:rsidR="00C53806" w:rsidRDefault="00C53806">
      <w:pPr>
        <w:rPr>
          <w:rFonts w:ascii="ＭＳ 明朝" w:eastAsia="ＭＳ 明朝" w:hAnsi="ＭＳ 明朝"/>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19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53806" w:rsidRDefault="009760D2">
      <w:pPr>
        <w:rPr>
          <w:rFonts w:ascii="ＭＳ ゴシック" w:eastAsia="ＭＳ ゴシック" w:hAnsi="ＭＳ ゴシック"/>
        </w:rPr>
      </w:pPr>
      <w:r>
        <w:rPr>
          <w:noProof/>
        </w:rPr>
        <w:drawing>
          <wp:inline distT="0" distB="0" distL="0" distR="0">
            <wp:extent cx="5960745" cy="9152255"/>
            <wp:effectExtent l="0" t="0" r="0" b="0"/>
            <wp:docPr id="119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53806" w:rsidRDefault="009760D2">
      <w:pPr>
        <w:widowControl/>
        <w:jc w:val="left"/>
        <w:rPr>
          <w:rFonts w:ascii="ＭＳ ゴシック" w:eastAsia="ＭＳ ゴシック" w:hAnsi="ＭＳ ゴシック"/>
        </w:rPr>
      </w:pPr>
      <w:r>
        <w:rPr>
          <w:rFonts w:ascii="ＭＳ ゴシック" w:eastAsia="ＭＳ ゴシック" w:hAnsi="ＭＳ ゴシック"/>
        </w:rPr>
        <w:br w:type="page"/>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tbl>
      <w:tblPr>
        <w:tblStyle w:val="a9"/>
        <w:tblpPr w:leftFromText="142" w:rightFromText="142" w:vertAnchor="text" w:horzAnchor="margin" w:tblpXSpec="center" w:tblpY="344"/>
        <w:tblW w:w="10173" w:type="dxa"/>
        <w:tblLayout w:type="fixed"/>
        <w:tblLook w:val="04A0" w:firstRow="1" w:lastRow="0" w:firstColumn="1" w:lastColumn="0" w:noHBand="0" w:noVBand="1"/>
      </w:tblPr>
      <w:tblGrid>
        <w:gridCol w:w="519"/>
        <w:gridCol w:w="1325"/>
        <w:gridCol w:w="496"/>
        <w:gridCol w:w="496"/>
        <w:gridCol w:w="496"/>
        <w:gridCol w:w="496"/>
        <w:gridCol w:w="496"/>
        <w:gridCol w:w="496"/>
        <w:gridCol w:w="496"/>
        <w:gridCol w:w="496"/>
        <w:gridCol w:w="496"/>
        <w:gridCol w:w="496"/>
        <w:gridCol w:w="496"/>
        <w:gridCol w:w="470"/>
        <w:gridCol w:w="496"/>
        <w:gridCol w:w="470"/>
        <w:gridCol w:w="496"/>
        <w:gridCol w:w="470"/>
        <w:gridCol w:w="471"/>
      </w:tblGrid>
      <w:tr w:rsidR="00C53806">
        <w:trPr>
          <w:cantSplit/>
          <w:trHeight w:val="2948"/>
        </w:trPr>
        <w:tc>
          <w:tcPr>
            <w:tcW w:w="1844" w:type="dxa"/>
            <w:gridSpan w:val="2"/>
            <w:tcBorders>
              <w:tl2br w:val="single" w:sz="4" w:space="0" w:color="auto"/>
            </w:tcBorders>
          </w:tcPr>
          <w:p w:rsidR="00C53806" w:rsidRDefault="00F940FB">
            <w:r>
              <w:pict>
                <v:shape id="テキスト ボックス 233" o:spid="_x0000_s2057" type="#_x0000_t202" style="position:absolute;left:0;text-align:left;margin-left:42.5pt;margin-top:-.25pt;width:63pt;height:25.5pt;z-index:108" filled="f" stroked="f">
                  <v:textbox>
                    <w:txbxContent>
                      <w:p w:rsidR="00B642E5" w:rsidRDefault="00B642E5">
                        <w:pPr>
                          <w:rPr>
                            <w:sz w:val="18"/>
                          </w:rPr>
                        </w:pPr>
                        <w:r>
                          <w:rPr>
                            <w:rFonts w:hint="eastAsia"/>
                            <w:sz w:val="18"/>
                          </w:rPr>
                          <w:t>項　目</w:t>
                        </w:r>
                      </w:p>
                    </w:txbxContent>
                  </v:textbox>
                </v:shape>
              </w:pict>
            </w:r>
            <w:r>
              <w:pict>
                <v:shape id="テキスト ボックス 234" o:spid="_x0000_s2056" type="#_x0000_t202" style="position:absolute;left:0;text-align:left;margin-left:-4.75pt;margin-top:123.15pt;width:63pt;height:25.5pt;z-index:107" filled="f" stroked="f">
                  <v:textbox>
                    <w:txbxContent>
                      <w:p w:rsidR="00B642E5" w:rsidRDefault="00B642E5">
                        <w:pPr>
                          <w:rPr>
                            <w:sz w:val="18"/>
                          </w:rPr>
                        </w:pPr>
                        <w:r>
                          <w:rPr>
                            <w:rFonts w:hint="eastAsia"/>
                            <w:sz w:val="18"/>
                          </w:rPr>
                          <w:t>属　性</w:t>
                        </w:r>
                      </w:p>
                    </w:txbxContent>
                  </v:textbox>
                </v:shape>
              </w:pict>
            </w:r>
          </w:p>
        </w:tc>
        <w:tc>
          <w:tcPr>
            <w:tcW w:w="4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屋外で遊ぶこと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友だちと一緒に遊ぶこと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自然とふれあうこと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親子でふれあうこと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身体を丈夫にすること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基本的な生活習慣（生活時間、食事、健康管理など）を身につけさせること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他者への思いやりをもつこと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自分の気持ちや考えを人に伝えること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自分でできることは自分ですること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社会のマナーやルールを身につけること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伝統や文化を大切にすること</w:t>
            </w:r>
          </w:p>
        </w:tc>
        <w:tc>
          <w:tcPr>
            <w:tcW w:w="470"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数や文字を学ぶこと</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外国語を学ぶこと</w:t>
            </w:r>
          </w:p>
        </w:tc>
        <w:tc>
          <w:tcPr>
            <w:tcW w:w="470"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芸術的な才能を伸ばすこと</w:t>
            </w:r>
            <w:r>
              <w:rPr>
                <w:rFonts w:hint="eastAsia"/>
                <w:color w:val="000000"/>
                <w:sz w:val="16"/>
              </w:rPr>
              <w:t>(</w:t>
            </w:r>
            <w:r>
              <w:rPr>
                <w:rFonts w:hint="eastAsia"/>
                <w:color w:val="000000"/>
                <w:sz w:val="16"/>
              </w:rPr>
              <w:t>音楽や絵画など</w:t>
            </w:r>
            <w:r>
              <w:rPr>
                <w:rFonts w:hint="eastAsia"/>
                <w:color w:val="000000"/>
                <w:sz w:val="16"/>
              </w:rPr>
              <w:t xml:space="preserve">) </w:t>
            </w:r>
          </w:p>
        </w:tc>
        <w:tc>
          <w:tcPr>
            <w:tcW w:w="496"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興味や関心を広げること</w:t>
            </w:r>
          </w:p>
        </w:tc>
        <w:tc>
          <w:tcPr>
            <w:tcW w:w="470"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その他</w:t>
            </w:r>
          </w:p>
        </w:tc>
        <w:tc>
          <w:tcPr>
            <w:tcW w:w="471" w:type="dxa"/>
            <w:tcBorders>
              <w:top w:val="single" w:sz="4" w:space="0" w:color="auto"/>
              <w:left w:val="nil"/>
              <w:bottom w:val="single" w:sz="4" w:space="0" w:color="auto"/>
              <w:right w:val="single" w:sz="4" w:space="0" w:color="auto"/>
            </w:tcBorders>
            <w:shd w:val="clear" w:color="auto" w:fill="auto"/>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6"/>
              </w:rPr>
            </w:pPr>
            <w:r>
              <w:rPr>
                <w:rFonts w:hint="eastAsia"/>
                <w:color w:val="000000"/>
                <w:sz w:val="16"/>
              </w:rPr>
              <w:t>わからない</w:t>
            </w:r>
          </w:p>
        </w:tc>
      </w:tr>
      <w:tr w:rsidR="00C53806">
        <w:trPr>
          <w:cantSplit/>
          <w:trHeight w:val="340"/>
        </w:trPr>
        <w:tc>
          <w:tcPr>
            <w:tcW w:w="519" w:type="dxa"/>
            <w:vMerge w:val="restart"/>
            <w:textDirection w:val="tbRlV"/>
            <w:vAlign w:val="center"/>
          </w:tcPr>
          <w:p w:rsidR="00C53806" w:rsidRDefault="009760D2">
            <w:pPr>
              <w:ind w:left="113" w:right="113"/>
              <w:jc w:val="center"/>
              <w:rPr>
                <w:sz w:val="18"/>
              </w:rPr>
            </w:pPr>
            <w:r>
              <w:rPr>
                <w:rFonts w:hint="eastAsia"/>
                <w:sz w:val="18"/>
              </w:rPr>
              <w:t>職業別</w:t>
            </w: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農林業</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27.8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33.0 </w:t>
            </w:r>
          </w:p>
        </w:tc>
        <w:tc>
          <w:tcPr>
            <w:tcW w:w="4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37.1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19.6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17.5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35.1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27.8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13.4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14.4 </w:t>
            </w:r>
          </w:p>
        </w:tc>
        <w:tc>
          <w:tcPr>
            <w:tcW w:w="4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37.1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2.1 </w:t>
            </w:r>
          </w:p>
        </w:tc>
        <w:tc>
          <w:tcPr>
            <w:tcW w:w="470"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2.1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6.2 </w:t>
            </w:r>
          </w:p>
        </w:tc>
        <w:tc>
          <w:tcPr>
            <w:tcW w:w="470"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 </w:t>
            </w:r>
          </w:p>
        </w:tc>
        <w:tc>
          <w:tcPr>
            <w:tcW w:w="496"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10.3 </w:t>
            </w:r>
          </w:p>
        </w:tc>
        <w:tc>
          <w:tcPr>
            <w:tcW w:w="470"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sing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漁業</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22.2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44.4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44.4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33.3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33.3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33.3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22.2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22.2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6"/>
              </w:rPr>
            </w:pPr>
            <w:r>
              <w:rPr>
                <w:rFonts w:hint="eastAsia"/>
                <w:color w:val="000000"/>
                <w:sz w:val="16"/>
              </w:rPr>
              <w:t>商工サービス業自営</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24.6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40.6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29.0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2.9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2.9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18.8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事務職</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7.3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41.3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8.3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5.0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24.3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0.5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技術職</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38.7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26.6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5.7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41.1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0.4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0.4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労務職</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22.7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9.4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13.8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2.5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23.2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0.5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管理職</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32.8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26.6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6.3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4.7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12.5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自由業</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18.2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59.1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45.5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36.4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4.5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9.1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4.5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主婦・主夫</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36.9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12.1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48.3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学生</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22.4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34.5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37.9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6.9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36.2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5.2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7.8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0.9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 </w:t>
            </w:r>
          </w:p>
        </w:tc>
      </w:tr>
      <w:tr w:rsidR="00C53806">
        <w:trPr>
          <w:cantSplit/>
          <w:trHeight w:val="340"/>
        </w:trPr>
        <w:tc>
          <w:tcPr>
            <w:tcW w:w="519" w:type="dxa"/>
            <w:vMerge/>
          </w:tcPr>
          <w:p w:rsidR="00C53806" w:rsidRDefault="00C53806">
            <w:pPr>
              <w:rPr>
                <w:sz w:val="18"/>
              </w:rPr>
            </w:pPr>
          </w:p>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無職</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21.2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41.3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30.7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25.4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40.2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9.5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15.3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0.5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2.1 </w:t>
            </w:r>
          </w:p>
        </w:tc>
      </w:tr>
      <w:tr w:rsidR="00C53806">
        <w:trPr>
          <w:cantSplit/>
          <w:trHeight w:val="340"/>
        </w:trPr>
        <w:tc>
          <w:tcPr>
            <w:tcW w:w="519" w:type="dxa"/>
            <w:vMerge/>
            <w:tcBorders>
              <w:bottom w:val="double" w:sz="4" w:space="0" w:color="auto"/>
            </w:tcBorders>
          </w:tcPr>
          <w:p w:rsidR="00C53806" w:rsidRDefault="00C53806">
            <w:pPr>
              <w:rPr>
                <w:sz w:val="18"/>
              </w:rPr>
            </w:pPr>
          </w:p>
        </w:tc>
        <w:tc>
          <w:tcPr>
            <w:tcW w:w="1325" w:type="dxa"/>
            <w:tcBorders>
              <w:bottom w:val="double" w:sz="4" w:space="0" w:color="auto"/>
            </w:tcBorders>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その他</w:t>
            </w:r>
          </w:p>
        </w:tc>
        <w:tc>
          <w:tcPr>
            <w:tcW w:w="496" w:type="dxa"/>
            <w:tcBorders>
              <w:top w:val="nil"/>
              <w:left w:val="single" w:sz="4" w:space="0" w:color="auto"/>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23.5 </w:t>
            </w:r>
          </w:p>
        </w:tc>
        <w:tc>
          <w:tcPr>
            <w:tcW w:w="496" w:type="dxa"/>
            <w:tcBorders>
              <w:top w:val="nil"/>
              <w:left w:val="nil"/>
              <w:bottom w:val="doub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42.4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35.9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27.6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9.4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32.9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28.8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17.1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12.9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32.4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 </w:t>
            </w:r>
          </w:p>
        </w:tc>
        <w:tc>
          <w:tcPr>
            <w:tcW w:w="470"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 </w:t>
            </w:r>
          </w:p>
        </w:tc>
        <w:tc>
          <w:tcPr>
            <w:tcW w:w="470"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 </w:t>
            </w:r>
          </w:p>
        </w:tc>
        <w:tc>
          <w:tcPr>
            <w:tcW w:w="496"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17.6 </w:t>
            </w:r>
          </w:p>
        </w:tc>
        <w:tc>
          <w:tcPr>
            <w:tcW w:w="470"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 </w:t>
            </w:r>
          </w:p>
        </w:tc>
        <w:tc>
          <w:tcPr>
            <w:tcW w:w="471" w:type="dxa"/>
            <w:tcBorders>
              <w:top w:val="nil"/>
              <w:left w:val="nil"/>
              <w:bottom w:val="doub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1.2 </w:t>
            </w:r>
          </w:p>
        </w:tc>
      </w:tr>
      <w:tr w:rsidR="00C53806">
        <w:trPr>
          <w:cantSplit/>
          <w:trHeight w:val="340"/>
        </w:trPr>
        <w:tc>
          <w:tcPr>
            <w:tcW w:w="519" w:type="dxa"/>
            <w:vMerge w:val="restart"/>
            <w:tcBorders>
              <w:top w:val="double" w:sz="4" w:space="0" w:color="auto"/>
              <w:bottom w:val="nil"/>
            </w:tcBorders>
            <w:textDirection w:val="tbRlV"/>
            <w:vAlign w:val="center"/>
          </w:tcPr>
          <w:p w:rsidR="00C53806" w:rsidRDefault="009760D2">
            <w:pPr>
              <w:ind w:left="113" w:right="113"/>
              <w:jc w:val="center"/>
              <w:rPr>
                <w:sz w:val="18"/>
              </w:rPr>
            </w:pPr>
            <w:r>
              <w:rPr>
                <w:rFonts w:hint="eastAsia"/>
                <w:sz w:val="18"/>
              </w:rPr>
              <w:t>広域市町村圏別</w:t>
            </w:r>
          </w:p>
        </w:tc>
        <w:tc>
          <w:tcPr>
            <w:tcW w:w="1325" w:type="dxa"/>
            <w:tcBorders>
              <w:top w:val="double" w:sz="4" w:space="0" w:color="auto"/>
            </w:tcBorders>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高知市</w:t>
            </w:r>
          </w:p>
        </w:tc>
        <w:tc>
          <w:tcPr>
            <w:tcW w:w="496" w:type="dxa"/>
            <w:tcBorders>
              <w:top w:val="double" w:sz="4" w:space="0" w:color="auto"/>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23.0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37.9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32.4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25.5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9.3 </w:t>
            </w:r>
          </w:p>
        </w:tc>
        <w:tc>
          <w:tcPr>
            <w:tcW w:w="496" w:type="dxa"/>
            <w:tcBorders>
              <w:top w:val="double" w:sz="4" w:space="0" w:color="auto"/>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39.9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32.1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13.4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12.1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36.2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 </w:t>
            </w:r>
          </w:p>
        </w:tc>
        <w:tc>
          <w:tcPr>
            <w:tcW w:w="470"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3.8 </w:t>
            </w:r>
          </w:p>
        </w:tc>
        <w:tc>
          <w:tcPr>
            <w:tcW w:w="470"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 </w:t>
            </w:r>
          </w:p>
        </w:tc>
        <w:tc>
          <w:tcPr>
            <w:tcW w:w="496"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19.2 </w:t>
            </w:r>
          </w:p>
        </w:tc>
        <w:tc>
          <w:tcPr>
            <w:tcW w:w="470"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0.7 </w:t>
            </w:r>
          </w:p>
        </w:tc>
        <w:tc>
          <w:tcPr>
            <w:tcW w:w="471" w:type="dxa"/>
            <w:tcBorders>
              <w:top w:val="double" w:sz="4" w:space="0" w:color="auto"/>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0.7 </w:t>
            </w:r>
          </w:p>
        </w:tc>
      </w:tr>
      <w:tr w:rsidR="00C53806">
        <w:trPr>
          <w:cantSplit/>
          <w:trHeight w:val="340"/>
        </w:trPr>
        <w:tc>
          <w:tcPr>
            <w:tcW w:w="519" w:type="dxa"/>
            <w:vMerge/>
            <w:tcBorders>
              <w:bottom w:val="nil"/>
            </w:tcBorders>
          </w:tcPr>
          <w:p w:rsidR="00C53806" w:rsidRDefault="00C53806"/>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安芸広域圏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36.8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16.7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36.0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2.6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1.8 </w:t>
            </w:r>
          </w:p>
        </w:tc>
      </w:tr>
      <w:tr w:rsidR="00C53806">
        <w:trPr>
          <w:cantSplit/>
          <w:trHeight w:val="340"/>
        </w:trPr>
        <w:tc>
          <w:tcPr>
            <w:tcW w:w="519" w:type="dxa"/>
            <w:vMerge/>
            <w:tcBorders>
              <w:bottom w:val="nil"/>
            </w:tcBorders>
          </w:tcPr>
          <w:p w:rsidR="00C53806" w:rsidRDefault="00C53806"/>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南国・香美広域圏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17.5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38.4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37.6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5.2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19.2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0.4 </w:t>
            </w:r>
          </w:p>
        </w:tc>
      </w:tr>
      <w:tr w:rsidR="00C53806">
        <w:trPr>
          <w:cantSplit/>
          <w:trHeight w:val="340"/>
        </w:trPr>
        <w:tc>
          <w:tcPr>
            <w:tcW w:w="519" w:type="dxa"/>
            <w:vMerge/>
            <w:tcBorders>
              <w:bottom w:val="nil"/>
            </w:tcBorders>
          </w:tcPr>
          <w:p w:rsidR="00C53806" w:rsidRDefault="00C53806"/>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嶺北広域圏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20.6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44.1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26.5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8.8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14.7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32.4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2.9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5.9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23.5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5.9 </w:t>
            </w:r>
          </w:p>
        </w:tc>
      </w:tr>
      <w:tr w:rsidR="00C53806">
        <w:trPr>
          <w:cantSplit/>
          <w:trHeight w:val="340"/>
        </w:trPr>
        <w:tc>
          <w:tcPr>
            <w:tcW w:w="519" w:type="dxa"/>
            <w:vMerge/>
            <w:tcBorders>
              <w:bottom w:val="nil"/>
            </w:tcBorders>
          </w:tcPr>
          <w:p w:rsidR="00C53806" w:rsidRDefault="00C53806"/>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仁淀川広域圏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25.4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38.1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40.5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25.4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38.9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27.8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14.3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38.9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4.0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16.7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0.8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Borders>
              <w:bottom w:val="nil"/>
            </w:tcBorders>
          </w:tcPr>
          <w:p w:rsidR="00C53806" w:rsidRDefault="00C53806"/>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高吾北広域圏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43.1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11.8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51.0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21.6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9.8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7.8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33.3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3.9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15.7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r>
      <w:tr w:rsidR="00C53806">
        <w:trPr>
          <w:cantSplit/>
          <w:trHeight w:val="340"/>
        </w:trPr>
        <w:tc>
          <w:tcPr>
            <w:tcW w:w="519" w:type="dxa"/>
            <w:vMerge/>
            <w:tcBorders>
              <w:bottom w:val="nil"/>
            </w:tcBorders>
          </w:tcPr>
          <w:p w:rsidR="00C53806" w:rsidRDefault="00C53806"/>
        </w:tc>
        <w:tc>
          <w:tcPr>
            <w:tcW w:w="1325" w:type="dxa"/>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高幡広域圏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25.2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37.4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30.1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6.5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41.5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33.3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15.4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28.5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5.7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1.6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17.9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0.8 </w:t>
            </w:r>
          </w:p>
        </w:tc>
      </w:tr>
      <w:tr w:rsidR="00C53806">
        <w:trPr>
          <w:cantSplit/>
          <w:trHeight w:val="340"/>
        </w:trPr>
        <w:tc>
          <w:tcPr>
            <w:tcW w:w="519" w:type="dxa"/>
            <w:vMerge/>
            <w:tcBorders>
              <w:bottom w:val="single" w:sz="4" w:space="0" w:color="auto"/>
            </w:tcBorders>
          </w:tcPr>
          <w:p w:rsidR="00C53806" w:rsidRDefault="00C53806"/>
        </w:tc>
        <w:tc>
          <w:tcPr>
            <w:tcW w:w="1325" w:type="dxa"/>
            <w:tcBorders>
              <w:bottom w:val="single" w:sz="4" w:space="0" w:color="auto"/>
            </w:tcBorders>
            <w:vAlign w:val="center"/>
          </w:tcPr>
          <w:p w:rsidR="00C53806" w:rsidRDefault="009760D2">
            <w:pPr>
              <w:spacing w:line="0" w:lineRule="atLeast"/>
              <w:rPr>
                <w:rFonts w:ascii="ＭＳ Ｐゴシック" w:eastAsia="ＭＳ Ｐゴシック" w:hAnsi="ＭＳ Ｐゴシック"/>
                <w:color w:val="000000"/>
                <w:sz w:val="18"/>
              </w:rPr>
            </w:pPr>
            <w:r>
              <w:rPr>
                <w:rFonts w:hint="eastAsia"/>
                <w:color w:val="000000"/>
                <w:sz w:val="18"/>
              </w:rPr>
              <w:t>幡多広域圏</w:t>
            </w:r>
          </w:p>
        </w:tc>
        <w:tc>
          <w:tcPr>
            <w:tcW w:w="496" w:type="dxa"/>
            <w:tcBorders>
              <w:top w:val="nil"/>
              <w:left w:val="single" w:sz="4" w:space="0" w:color="auto"/>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23.4 </w:t>
            </w:r>
          </w:p>
        </w:tc>
        <w:tc>
          <w:tcPr>
            <w:tcW w:w="496" w:type="dxa"/>
            <w:tcBorders>
              <w:top w:val="nil"/>
              <w:left w:val="nil"/>
              <w:bottom w:val="single" w:sz="4" w:space="0" w:color="auto"/>
              <w:right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40.8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10.0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34.3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35.3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19.9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13.9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31.8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2.0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3.0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1.5 </w:t>
            </w:r>
          </w:p>
        </w:tc>
        <w:tc>
          <w:tcPr>
            <w:tcW w:w="496"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17.4 </w:t>
            </w:r>
          </w:p>
        </w:tc>
        <w:tc>
          <w:tcPr>
            <w:tcW w:w="470"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 </w:t>
            </w:r>
          </w:p>
        </w:tc>
        <w:tc>
          <w:tcPr>
            <w:tcW w:w="471" w:type="dxa"/>
            <w:tcBorders>
              <w:top w:val="nil"/>
              <w:left w:val="nil"/>
              <w:bottom w:val="single" w:sz="4" w:space="0" w:color="auto"/>
              <w:right w:val="single" w:sz="4" w:space="0" w:color="auto"/>
            </w:tcBorders>
            <w:shd w:val="clear" w:color="auto" w:fill="auto"/>
            <w:vAlign w:val="center"/>
          </w:tcPr>
          <w:p w:rsidR="00C53806" w:rsidRDefault="009760D2">
            <w:pPr>
              <w:jc w:val="right"/>
              <w:rPr>
                <w:rFonts w:ascii="ＭＳ 明朝" w:hAnsi="ＭＳ 明朝"/>
                <w:color w:val="000000"/>
                <w:sz w:val="14"/>
              </w:rPr>
            </w:pPr>
            <w:r>
              <w:rPr>
                <w:rFonts w:ascii="ＭＳ 明朝" w:hAnsi="ＭＳ 明朝"/>
                <w:color w:val="000000"/>
                <w:sz w:val="14"/>
              </w:rPr>
              <w:t xml:space="preserve">1.0 </w:t>
            </w:r>
          </w:p>
        </w:tc>
      </w:tr>
    </w:tbl>
    <w:p w:rsidR="00C53806" w:rsidRDefault="009760D2">
      <w:pPr>
        <w:jc w:val="right"/>
        <w:rPr>
          <w:rFonts w:ascii="ＭＳ 明朝" w:eastAsia="ＭＳ 明朝" w:hAnsi="ＭＳ 明朝"/>
        </w:rPr>
      </w:pPr>
      <w:r>
        <w:rPr>
          <w:rFonts w:ascii="ＭＳ 明朝" w:eastAsia="ＭＳ 明朝" w:hAnsi="ＭＳ 明朝" w:hint="eastAsia"/>
        </w:rPr>
        <w:t>（単位：％）</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F940FB">
      <w:pPr>
        <w:rPr>
          <w:rFonts w:ascii="ＭＳ ゴシック" w:eastAsia="ＭＳ ゴシック" w:hAnsi="ＭＳ ゴシック"/>
        </w:rPr>
      </w:pPr>
      <w:r>
        <w:rPr>
          <w:rFonts w:ascii="ＭＳ ゴシック" w:eastAsia="ＭＳ ゴシック" w:hAnsi="ＭＳ ゴシック"/>
        </w:rPr>
        <w:pict>
          <v:rect id="_x0000_s2055" style="position:absolute;left:0;text-align:left;margin-left:-4.25pt;margin-top:-.9pt;width:483.85pt;height:34.5pt;z-index:177" filled="f">
            <v:textbox inset="5.85pt,.7pt,5.85pt,.7pt"/>
          </v:rect>
        </w:pict>
      </w:r>
      <w:r w:rsidR="009760D2">
        <w:rPr>
          <w:rFonts w:ascii="ＭＳ ゴシック" w:eastAsia="ＭＳ ゴシック" w:hAnsi="ＭＳ ゴシック" w:hint="eastAsia"/>
        </w:rPr>
        <w:t>問39　幼児教育において、家庭の果たす役割として、どのようなことが重要だと思いますか。</w:t>
      </w:r>
    </w:p>
    <w:p w:rsidR="00C53806" w:rsidRDefault="009760D2">
      <w:pPr>
        <w:rPr>
          <w:rFonts w:ascii="ＭＳ ゴシック" w:eastAsia="ＭＳ ゴシック" w:hAnsi="ＭＳ ゴシック"/>
        </w:rPr>
      </w:pPr>
      <w:r>
        <w:rPr>
          <w:rFonts w:ascii="ＭＳ ゴシック" w:eastAsia="ＭＳ ゴシック" w:hAnsi="ＭＳ ゴシック" w:hint="eastAsia"/>
        </w:rPr>
        <w:t xml:space="preserve"> 　　　　　　　　　　　　　　　　　　　　　　　　　　　　　　　　　　　　　（３つまで○印）</w:t>
      </w:r>
    </w:p>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「日ごろから子どもと会話するなど、家族のふれあいを大切にする」が76.3％で１位になっている。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間違った行いは、何がいけないのか理由をきちんと伝えて、𠮟る」が65.9％、「子どもが自信を持って生きることができるよう、子どもの個性と成長を認め、良いところを褒めながら育てる」が51.4％と続い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明朝" w:eastAsia="ＭＳ 明朝" w:hAnsi="ＭＳ 明朝" w:hint="eastAsia"/>
        </w:rPr>
        <w:t>「基本的な生活習慣（生活時間、食事、健康管理など）を身につけさせる」では、女性が男性より13.8ポイント高くなっている。</w:t>
      </w:r>
    </w:p>
    <w:p w:rsidR="00C53806" w:rsidRDefault="00C53806">
      <w:pPr>
        <w:rPr>
          <w:rFonts w:ascii="ＭＳ ゴシック" w:eastAsia="ＭＳ ゴシック" w:hAnsi="ＭＳ ゴシック"/>
        </w:rPr>
      </w:pPr>
    </w:p>
    <w:p w:rsidR="00C53806" w:rsidRDefault="009760D2">
      <w:pPr>
        <w:rPr>
          <w:rFonts w:ascii="ＭＳ 明朝" w:eastAsia="ＭＳ 明朝" w:hAnsi="ＭＳ 明朝"/>
        </w:rPr>
      </w:pPr>
      <w:r>
        <w:rPr>
          <w:rFonts w:ascii="ＭＳ 明朝" w:eastAsia="ＭＳ 明朝" w:hAnsi="ＭＳ 明朝" w:hint="eastAsia"/>
        </w:rPr>
        <w:t xml:space="preserve">　</w:t>
      </w: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8540" cy="6461125"/>
            <wp:effectExtent l="0" t="0" r="0" b="0"/>
            <wp:docPr id="119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すべての年代で「日ごろから子どもと会話するなど、家族のふれあいを大切にする」が１位になっている。</w:t>
      </w: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0745" cy="8030845"/>
            <wp:effectExtent l="0" t="0" r="0" b="0"/>
            <wp:docPr id="119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1056"/>
        <w:gridCol w:w="850"/>
        <w:gridCol w:w="851"/>
        <w:gridCol w:w="850"/>
        <w:gridCol w:w="851"/>
        <w:gridCol w:w="614"/>
        <w:gridCol w:w="614"/>
        <w:gridCol w:w="614"/>
      </w:tblGrid>
      <w:tr w:rsidR="00C53806">
        <w:trPr>
          <w:cantSplit/>
          <w:trHeight w:val="2665"/>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55" o:spid="_x0000_s2054" type="#_x0000_t202" style="position:absolute;left:0;text-align:left;margin-left:76.65pt;margin-top:1.85pt;width:54pt;height:20.25pt;z-index:109"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454" o:spid="_x0000_s2053" type="#_x0000_t202" style="position:absolute;left:0;text-align:left;margin-left:-4pt;margin-top:110.55pt;width:54pt;height:20.6pt;z-index:110" filled="f" stroked="f">
                  <v:textbox>
                    <w:txbxContent>
                      <w:p w:rsidR="00B642E5" w:rsidRDefault="00B642E5">
                        <w:pPr>
                          <w:rPr>
                            <w:sz w:val="18"/>
                          </w:rPr>
                        </w:pPr>
                        <w:r>
                          <w:rPr>
                            <w:rFonts w:hint="eastAsia"/>
                            <w:sz w:val="18"/>
                          </w:rPr>
                          <w:t>属　性</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日ごろから子どもと会話するなど、家族のふれあいを大切にする</w:t>
            </w:r>
          </w:p>
        </w:tc>
        <w:tc>
          <w:tcPr>
            <w:tcW w:w="1056"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子どもが自信を持って生きることができるよう、子どもの個性と成長を認め、良いところを褒めながら育てる</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間違った行いは、何がいけないのか理由をきちんと伝えて、叱る</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基本的な生活習慣（生活時間、食事、健康管理など）を身につけさせる</w:t>
            </w:r>
          </w:p>
        </w:tc>
        <w:tc>
          <w:tcPr>
            <w:tcW w:w="850"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スポーツ活動や自然体験、ボランティア活動など多様な体験を家族などと一緒に経験する</w:t>
            </w:r>
          </w:p>
        </w:tc>
        <w:tc>
          <w:tcPr>
            <w:tcW w:w="851"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家庭や地域の文化・伝統行事を通して、地域とのつながりの大切さを実感させる</w:t>
            </w:r>
          </w:p>
        </w:tc>
        <w:tc>
          <w:tcPr>
            <w:tcW w:w="61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習い事や学習塾に通わせ、早期教育の機会を与える</w:t>
            </w:r>
          </w:p>
        </w:tc>
        <w:tc>
          <w:tcPr>
            <w:tcW w:w="61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c>
          <w:tcPr>
            <w:tcW w:w="614"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わからない</w:t>
            </w:r>
          </w:p>
        </w:tc>
      </w:tr>
      <w:tr w:rsidR="00C53806">
        <w:trPr>
          <w:cantSplit/>
          <w:trHeight w:val="340"/>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78.4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38.1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25.8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100.0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11.1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72.5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49.3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13.0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26.1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79.4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17.4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77.0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68.1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74.9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71.9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19.2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75.0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54.7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15.6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FFFFFF" w:themeFill="background1"/>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72.7 </w:t>
            </w:r>
          </w:p>
        </w:tc>
        <w:tc>
          <w:tcPr>
            <w:tcW w:w="1056"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81.8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77.3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77.2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51.7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61.1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63.1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14.8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13.4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85.3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12.1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0.9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56.6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44.4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 </w:t>
            </w:r>
          </w:p>
        </w:tc>
      </w:tr>
      <w:tr w:rsidR="00C53806">
        <w:trPr>
          <w:trHeight w:val="340"/>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80.0 </w:t>
            </w:r>
          </w:p>
        </w:tc>
        <w:tc>
          <w:tcPr>
            <w:tcW w:w="1056"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50.6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66.5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41.2 </w:t>
            </w:r>
          </w:p>
        </w:tc>
        <w:tc>
          <w:tcPr>
            <w:tcW w:w="850"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15.9 </w:t>
            </w:r>
          </w:p>
        </w:tc>
        <w:tc>
          <w:tcPr>
            <w:tcW w:w="851"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18.8 </w:t>
            </w:r>
          </w:p>
        </w:tc>
        <w:tc>
          <w:tcPr>
            <w:tcW w:w="61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61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614"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r>
      <w:tr w:rsidR="00C53806">
        <w:trPr>
          <w:trHeight w:val="340"/>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77.5 </w:t>
            </w:r>
          </w:p>
        </w:tc>
        <w:tc>
          <w:tcPr>
            <w:tcW w:w="1056"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52.3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67.7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51.1 </w:t>
            </w:r>
          </w:p>
        </w:tc>
        <w:tc>
          <w:tcPr>
            <w:tcW w:w="850"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16.2 </w:t>
            </w:r>
          </w:p>
        </w:tc>
        <w:tc>
          <w:tcPr>
            <w:tcW w:w="851"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61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c>
          <w:tcPr>
            <w:tcW w:w="61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0.6 </w:t>
            </w:r>
          </w:p>
        </w:tc>
        <w:tc>
          <w:tcPr>
            <w:tcW w:w="614"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0.7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66.7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46.5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69.3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76.9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61.6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46.3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55.9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58.8 </w:t>
            </w:r>
          </w:p>
        </w:tc>
        <w:tc>
          <w:tcPr>
            <w:tcW w:w="850"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64.7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38.2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29.4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77.8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51.6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62.7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42.9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24.6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80.4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74.5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39.2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13.7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19.6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78.9 </w:t>
            </w:r>
          </w:p>
        </w:tc>
        <w:tc>
          <w:tcPr>
            <w:tcW w:w="1056"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65.9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52.0 </w:t>
            </w:r>
          </w:p>
        </w:tc>
        <w:tc>
          <w:tcPr>
            <w:tcW w:w="850"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13.8 </w:t>
            </w:r>
          </w:p>
        </w:tc>
        <w:tc>
          <w:tcPr>
            <w:tcW w:w="851"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18.7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c>
          <w:tcPr>
            <w:tcW w:w="614"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80.1 </w:t>
            </w:r>
          </w:p>
        </w:tc>
        <w:tc>
          <w:tcPr>
            <w:tcW w:w="1056"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50.7 </w:t>
            </w:r>
          </w:p>
        </w:tc>
        <w:tc>
          <w:tcPr>
            <w:tcW w:w="850"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63.7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44.8 </w:t>
            </w:r>
          </w:p>
        </w:tc>
        <w:tc>
          <w:tcPr>
            <w:tcW w:w="850"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851"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20.4 </w:t>
            </w:r>
          </w:p>
        </w:tc>
        <w:tc>
          <w:tcPr>
            <w:tcW w:w="61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 </w:t>
            </w:r>
          </w:p>
        </w:tc>
        <w:tc>
          <w:tcPr>
            <w:tcW w:w="61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c>
          <w:tcPr>
            <w:tcW w:w="614"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0.5 </w:t>
            </w:r>
          </w:p>
        </w:tc>
      </w:tr>
    </w:tbl>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F940FB">
      <w:pPr>
        <w:ind w:left="7770" w:hangingChars="3700" w:hanging="7770"/>
        <w:rPr>
          <w:rFonts w:ascii="ＭＳ ゴシック" w:eastAsia="ＭＳ ゴシック" w:hAnsi="ＭＳ ゴシック"/>
        </w:rPr>
      </w:pPr>
      <w:r>
        <w:rPr>
          <w:rFonts w:ascii="ＭＳ ゴシック" w:eastAsia="ＭＳ ゴシック" w:hAnsi="ＭＳ ゴシック"/>
        </w:rPr>
        <w:pict>
          <v:rect id="_x0000_s2052" style="position:absolute;left:0;text-align:left;margin-left:-5.95pt;margin-top:.2pt;width:483.25pt;height:31.1pt;z-index:180" filled="f">
            <v:textbox inset="5.85pt,.7pt,5.85pt,.7pt"/>
          </v:rect>
        </w:pict>
      </w:r>
      <w:r w:rsidR="009760D2">
        <w:rPr>
          <w:rFonts w:ascii="ＭＳ ゴシック" w:eastAsia="ＭＳ ゴシック" w:hAnsi="ＭＳ ゴシック" w:hint="eastAsia"/>
        </w:rPr>
        <w:t>問40　問39で重要と答えた家庭の役割は、現在の社会において十分にできていると思いますか。</w:t>
      </w:r>
    </w:p>
    <w:p w:rsidR="00C53806" w:rsidRDefault="009760D2">
      <w:pPr>
        <w:rPr>
          <w:rFonts w:ascii="ＭＳ 明朝" w:eastAsia="ＭＳ 明朝" w:hAnsi="ＭＳ 明朝"/>
        </w:rPr>
      </w:pPr>
      <w:r>
        <w:rPr>
          <w:rFonts w:ascii="ＭＳ ゴシック" w:eastAsia="ＭＳ ゴシック" w:hAnsi="ＭＳ ゴシック" w:hint="eastAsia"/>
        </w:rPr>
        <w:t xml:space="preserve">　　　　　　　　　　　　　　　　　　　　　　　　　　　　　　　　　　　　　　（１つだけ○印）</w:t>
      </w:r>
    </w:p>
    <w:p w:rsidR="00C53806" w:rsidRDefault="00C53806">
      <w:pPr>
        <w:rPr>
          <w:rFonts w:ascii="ＭＳ 明朝" w:eastAsia="ＭＳ 明朝" w:hAnsi="ＭＳ 明朝"/>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Pr>
          <w:rFonts w:ascii="ＭＳ ゴシック" w:eastAsia="ＭＳ ゴシック" w:hAnsi="ＭＳ ゴシック" w:hint="eastAsia"/>
          <w:b/>
          <w:u w:val="single"/>
        </w:rPr>
        <w:t>「不十分である」と「全くできていない」を合わせた割合が57.2％となっており、「十分できている」と「概ねできている」を合わせた割合の24.7％を32.5ポイント上回っている。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明朝" w:eastAsia="ＭＳ 明朝" w:hAnsi="ＭＳ 明朝" w:hint="eastAsia"/>
        </w:rPr>
        <w:t xml:space="preserve">　男女とも「総合」と同じ傾向になっている。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明朝" w:eastAsia="ＭＳ 明朝" w:hAnsi="ＭＳ 明朝" w:hint="eastAsia"/>
        </w:rPr>
        <w:t xml:space="preserve">　すべての年代で「不十分である」が１位になっている。</w:t>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《総合・性別・年代別》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5943600" cy="5924550"/>
            <wp:effectExtent l="0" t="0" r="0" b="0"/>
            <wp:docPr id="120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157595" cy="7237095"/>
            <wp:effectExtent l="0" t="0" r="0" b="0"/>
            <wp:docPr id="120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p w:rsidR="00C53806" w:rsidRDefault="00C53806">
      <w:pPr>
        <w:rPr>
          <w:rFonts w:ascii="ＭＳ 明朝" w:eastAsia="ＭＳ 明朝" w:hAnsi="ＭＳ 明朝"/>
        </w:rPr>
      </w:pPr>
    </w:p>
    <w:tbl>
      <w:tblPr>
        <w:tblStyle w:val="a9"/>
        <w:tblW w:w="9639" w:type="dxa"/>
        <w:tblInd w:w="108" w:type="dxa"/>
        <w:tblLayout w:type="fixed"/>
        <w:tblLook w:val="04A0" w:firstRow="1" w:lastRow="0" w:firstColumn="1" w:lastColumn="0" w:noHBand="0" w:noVBand="1"/>
      </w:tblPr>
      <w:tblGrid>
        <w:gridCol w:w="9639"/>
      </w:tblGrid>
      <w:tr w:rsidR="00C53806">
        <w:trPr>
          <w:trHeight w:val="416"/>
        </w:trPr>
        <w:tc>
          <w:tcPr>
            <w:tcW w:w="9639" w:type="dxa"/>
            <w:vAlign w:val="center"/>
          </w:tcPr>
          <w:p w:rsidR="00C53806" w:rsidRDefault="009760D2">
            <w:pPr>
              <w:rPr>
                <w:rFonts w:ascii="ＭＳ ゴシック" w:eastAsia="ＭＳ ゴシック" w:hAnsi="ＭＳ ゴシック"/>
              </w:rPr>
            </w:pPr>
            <w:r>
              <w:rPr>
                <w:rFonts w:ascii="ＭＳ ゴシック" w:eastAsia="ＭＳ ゴシック" w:hAnsi="ＭＳ ゴシック" w:hint="eastAsia"/>
              </w:rPr>
              <w:t>問40　副問１　（問40で「３・４」を選んだ方のみお答えください。）</w:t>
            </w:r>
          </w:p>
          <w:p w:rsidR="00C53806" w:rsidRDefault="009760D2">
            <w:pPr>
              <w:ind w:firstLineChars="200" w:firstLine="400"/>
              <w:rPr>
                <w:rFonts w:ascii="ＭＳ 明朝" w:hAnsi="ＭＳ 明朝"/>
              </w:rPr>
            </w:pPr>
            <w:r>
              <w:rPr>
                <w:rFonts w:ascii="ＭＳ ゴシック" w:eastAsia="ＭＳ ゴシック" w:hAnsi="ＭＳ ゴシック" w:hint="eastAsia"/>
              </w:rPr>
              <w:t>現在の社会において、家庭の役割ができていないと思う要因は何だと思いますか。（３つまで○印）</w:t>
            </w:r>
          </w:p>
        </w:tc>
      </w:tr>
    </w:tbl>
    <w:p w:rsidR="00C53806" w:rsidRDefault="00C53806">
      <w:pPr>
        <w:rPr>
          <w:rFonts w:ascii="ＭＳ ゴシック" w:eastAsia="ＭＳ ゴシック" w:hAnsi="ＭＳ ゴシック"/>
        </w:rPr>
      </w:pPr>
    </w:p>
    <w:p w:rsidR="00C53806"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Pr>
          <w:rFonts w:ascii="ＭＳ 明朝" w:eastAsia="ＭＳ 明朝" w:hAnsi="ＭＳ 明朝" w:hint="eastAsia"/>
        </w:rPr>
        <w:t xml:space="preserve">　</w:t>
      </w:r>
      <w:r>
        <w:rPr>
          <w:rFonts w:ascii="ＭＳ ゴシック" w:eastAsia="ＭＳ ゴシック" w:hAnsi="ＭＳ ゴシック" w:hint="eastAsia"/>
          <w:b/>
          <w:u w:val="single"/>
        </w:rPr>
        <w:t>「共働きや長時間労働等により、多忙な保護者が増えたこと」が50.9％で１位になっている。</w:t>
      </w:r>
    </w:p>
    <w:p w:rsidR="00C53806" w:rsidRDefault="009760D2">
      <w:pPr>
        <w:rPr>
          <w:rFonts w:ascii="ＭＳ 明朝" w:eastAsia="ＭＳ 明朝" w:hAnsi="ＭＳ 明朝"/>
        </w:rPr>
      </w:pPr>
      <w:r>
        <w:rPr>
          <w:rFonts w:ascii="ＭＳ 明朝" w:eastAsia="ＭＳ 明朝" w:hAnsi="ＭＳ 明朝" w:hint="eastAsia"/>
          <w:kern w:val="0"/>
        </w:rPr>
        <w:t xml:space="preserve">　次いで「しつけや教育の仕方が分からない保護者が増えたこと」が44.7％、「子どもにスマートフォンや携帯ゲーム機などを与え、親子のふれあいの時間を取らない保護者が増えたこと」が43.3％と続いている。</w:t>
      </w:r>
    </w:p>
    <w:p w:rsidR="00C53806" w:rsidRDefault="00C53806">
      <w:pPr>
        <w:rPr>
          <w:rFonts w:ascii="ＭＳ 明朝" w:eastAsia="ＭＳ 明朝" w:hAnsi="ＭＳ 明朝"/>
        </w:rPr>
      </w:pPr>
    </w:p>
    <w:p w:rsidR="00C53806" w:rsidRDefault="009760D2">
      <w:pPr>
        <w:rPr>
          <w:rFonts w:ascii="ＭＳ ゴシック" w:eastAsia="ＭＳ ゴシック" w:hAnsi="ＭＳ ゴシック"/>
        </w:rPr>
      </w:pPr>
      <w:r>
        <w:rPr>
          <w:rFonts w:ascii="ＭＳ ゴシック" w:eastAsia="ＭＳ ゴシック" w:hAnsi="ＭＳ ゴシック" w:hint="eastAsia"/>
        </w:rPr>
        <w:t>【性別】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男性では「しつけや教育の仕方が分からない保護者が増えたこと」が、女性では「共働きや長時間労働等により、多忙な保護者が増えたこと」が１位で、次いで男性では「共働きや長時間労働等により、多忙な保護者が増えたこと」、「過保護や甘やかし・過干渉の保護者が増えたこと」</w:t>
      </w:r>
      <w:r w:rsidR="00352F49">
        <w:rPr>
          <w:rFonts w:ascii="ＭＳ 明朝" w:eastAsia="ＭＳ 明朝" w:hAnsi="ＭＳ 明朝" w:hint="eastAsia"/>
        </w:rPr>
        <w:t>が</w:t>
      </w:r>
      <w:r>
        <w:rPr>
          <w:rFonts w:ascii="ＭＳ 明朝" w:eastAsia="ＭＳ 明朝" w:hAnsi="ＭＳ 明朝" w:hint="eastAsia"/>
        </w:rPr>
        <w:t>、女性では「子どもにスマートフォンや携帯ゲーム機などを与え、親子のふれあいの時間を取らない保護者が増えたこと」、「しつけや教育の仕方が分からない保護者が増えたこと」が続いている。</w:t>
      </w: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《総合・性別》</w:t>
      </w:r>
    </w:p>
    <w:p w:rsidR="00C53806" w:rsidRDefault="009760D2">
      <w:pPr>
        <w:rPr>
          <w:rFonts w:ascii="ＭＳ 明朝" w:eastAsia="ＭＳ 明朝" w:hAnsi="ＭＳ 明朝"/>
        </w:rPr>
      </w:pPr>
      <w:r>
        <w:rPr>
          <w:rFonts w:ascii="ＭＳ 明朝" w:eastAsia="ＭＳ 明朝" w:hAnsi="ＭＳ 明朝"/>
          <w:noProof/>
        </w:rPr>
        <w:drawing>
          <wp:inline distT="0" distB="0" distL="0" distR="0">
            <wp:extent cx="6096000" cy="6019800"/>
            <wp:effectExtent l="0" t="0" r="0" b="0"/>
            <wp:docPr id="120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rsidR="00C53806" w:rsidRDefault="009760D2">
      <w:pPr>
        <w:rPr>
          <w:rFonts w:ascii="ＭＳ 明朝" w:eastAsia="ＭＳ 明朝" w:hAnsi="ＭＳ 明朝"/>
        </w:rPr>
      </w:pPr>
      <w:r>
        <w:rPr>
          <w:rFonts w:ascii="ＭＳ ゴシック" w:eastAsia="ＭＳ ゴシック" w:hAnsi="ＭＳ ゴシック" w:hint="eastAsia"/>
        </w:rPr>
        <w:t xml:space="preserve">　</w:t>
      </w:r>
      <w:r>
        <w:rPr>
          <w:rFonts w:ascii="ＭＳ 明朝" w:eastAsia="ＭＳ 明朝" w:hAnsi="ＭＳ 明朝" w:hint="eastAsia"/>
        </w:rPr>
        <w:t>10歳代、70歳以上では「子どもにスマートフォンや携帯ゲーム機などを与え、親子のふれあいの時間を取らない保護者が増えたこと」が、20歳代、30歳代、40歳代、60歳代では「共働きや長時間労働等により、多忙な保護者が増えたこと」が、50歳代では「しつけや教育の仕方が分からない保護者が増えたこと」が１位になっている。70歳以上では「過保護や甘やかし・過干渉の保護者が増えたこと」も同率で１位になっている。</w:t>
      </w:r>
    </w:p>
    <w:p w:rsidR="00C53806" w:rsidRDefault="00C53806">
      <w:pPr>
        <w:rPr>
          <w:rFonts w:ascii="ＭＳ ゴシック" w:eastAsia="ＭＳ ゴシック" w:hAnsi="ＭＳ ゴシック"/>
        </w:rPr>
      </w:pPr>
    </w:p>
    <w:p w:rsidR="00C53806" w:rsidRDefault="009760D2">
      <w:pPr>
        <w:jc w:val="center"/>
        <w:rPr>
          <w:rFonts w:ascii="ＭＳ 明朝" w:eastAsia="ＭＳ 明朝" w:hAnsi="ＭＳ 明朝"/>
        </w:rPr>
      </w:pPr>
      <w:r>
        <w:rPr>
          <w:rFonts w:ascii="ＭＳ 明朝" w:eastAsia="ＭＳ 明朝" w:hAnsi="ＭＳ 明朝" w:hint="eastAsia"/>
        </w:rPr>
        <w:t>《　年　代　別　》</w:t>
      </w:r>
    </w:p>
    <w:p w:rsidR="00C53806" w:rsidRDefault="009760D2">
      <w:pPr>
        <w:rPr>
          <w:rFonts w:ascii="ＭＳ ゴシック" w:eastAsia="ＭＳ ゴシック" w:hAnsi="ＭＳ ゴシック"/>
        </w:rPr>
      </w:pPr>
      <w:r>
        <w:rPr>
          <w:noProof/>
        </w:rPr>
        <w:drawing>
          <wp:inline distT="0" distB="0" distL="0" distR="0">
            <wp:extent cx="5963285" cy="7747000"/>
            <wp:effectExtent l="0" t="0" r="0" b="0"/>
            <wp:docPr id="120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53806" w:rsidRDefault="00C53806">
      <w:pPr>
        <w:rPr>
          <w:rFonts w:ascii="ＭＳ ゴシック" w:eastAsia="ＭＳ ゴシック" w:hAnsi="ＭＳ ゴシック"/>
        </w:rPr>
      </w:pPr>
    </w:p>
    <w:p w:rsidR="00C53806" w:rsidRDefault="00C53806">
      <w:pPr>
        <w:rPr>
          <w:rFonts w:ascii="ＭＳ 明朝" w:eastAsia="ＭＳ 明朝" w:hAnsi="ＭＳ 明朝"/>
        </w:rPr>
      </w:pPr>
    </w:p>
    <w:p w:rsidR="00C53806" w:rsidRDefault="009760D2">
      <w:pPr>
        <w:jc w:val="center"/>
        <w:rPr>
          <w:rFonts w:ascii="ＭＳ 明朝" w:eastAsia="ＭＳ 明朝" w:hAnsi="ＭＳ 明朝"/>
        </w:rPr>
      </w:pPr>
      <w:r>
        <w:rPr>
          <w:rFonts w:ascii="ＭＳ 明朝" w:eastAsia="ＭＳ 明朝" w:hAnsi="ＭＳ 明朝" w:hint="eastAsia"/>
        </w:rPr>
        <w:t>《職業別・広域市町村圏別》</w:t>
      </w:r>
    </w:p>
    <w:p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a9"/>
        <w:tblW w:w="9639" w:type="dxa"/>
        <w:tblInd w:w="108" w:type="dxa"/>
        <w:tblLayout w:type="fixed"/>
        <w:tblLook w:val="04A0" w:firstRow="1" w:lastRow="0" w:firstColumn="1" w:lastColumn="0" w:noHBand="0" w:noVBand="1"/>
      </w:tblPr>
      <w:tblGrid>
        <w:gridCol w:w="563"/>
        <w:gridCol w:w="1989"/>
        <w:gridCol w:w="787"/>
        <w:gridCol w:w="787"/>
        <w:gridCol w:w="788"/>
        <w:gridCol w:w="787"/>
        <w:gridCol w:w="788"/>
        <w:gridCol w:w="787"/>
        <w:gridCol w:w="662"/>
        <w:gridCol w:w="993"/>
        <w:gridCol w:w="708"/>
      </w:tblGrid>
      <w:tr w:rsidR="00C53806">
        <w:trPr>
          <w:cantSplit/>
          <w:trHeight w:val="2721"/>
        </w:trPr>
        <w:tc>
          <w:tcPr>
            <w:tcW w:w="2552" w:type="dxa"/>
            <w:gridSpan w:val="2"/>
            <w:tcBorders>
              <w:tl2br w:val="single" w:sz="4" w:space="0" w:color="auto"/>
            </w:tcBorders>
          </w:tcPr>
          <w:p w:rsidR="00C53806" w:rsidRDefault="00F940FB">
            <w:pPr>
              <w:rPr>
                <w:rFonts w:ascii="ＭＳ 明朝" w:hAnsi="ＭＳ 明朝"/>
                <w:sz w:val="18"/>
              </w:rPr>
            </w:pPr>
            <w:r>
              <w:rPr>
                <w:rFonts w:ascii="ＭＳ 明朝" w:hAnsi="ＭＳ 明朝"/>
                <w:sz w:val="18"/>
              </w:rPr>
              <w:pict>
                <v:shape id="テキスト ボックス 460" o:spid="_x0000_s2051" type="#_x0000_t202" style="position:absolute;left:0;text-align:left;margin-left:71.75pt;margin-top:1pt;width:47.1pt;height:20.25pt;z-index:111" filled="f" stroked="f">
                  <v:textbox>
                    <w:txbxContent>
                      <w:p w:rsidR="00B642E5" w:rsidRDefault="00B642E5">
                        <w:pPr>
                          <w:rPr>
                            <w:sz w:val="18"/>
                          </w:rPr>
                        </w:pPr>
                        <w:r>
                          <w:rPr>
                            <w:rFonts w:hint="eastAsia"/>
                            <w:sz w:val="18"/>
                          </w:rPr>
                          <w:t>項　目</w:t>
                        </w:r>
                      </w:p>
                    </w:txbxContent>
                  </v:textbox>
                </v:shape>
              </w:pict>
            </w:r>
            <w:r>
              <w:rPr>
                <w:rFonts w:ascii="ＭＳ 明朝" w:hAnsi="ＭＳ 明朝"/>
                <w:sz w:val="18"/>
              </w:rPr>
              <w:pict>
                <v:shape id="テキスト ボックス 459" o:spid="_x0000_s2050" type="#_x0000_t202" style="position:absolute;left:0;text-align:left;margin-left:-4pt;margin-top:110.55pt;width:54pt;height:20.6pt;z-index:112" filled="f" stroked="f">
                  <v:textbox>
                    <w:txbxContent>
                      <w:p w:rsidR="00B642E5" w:rsidRDefault="00B642E5">
                        <w:pPr>
                          <w:rPr>
                            <w:sz w:val="18"/>
                          </w:rPr>
                        </w:pPr>
                        <w:r>
                          <w:rPr>
                            <w:rFonts w:hint="eastAsia"/>
                            <w:sz w:val="18"/>
                          </w:rPr>
                          <w:t>属　性</w:t>
                        </w:r>
                      </w:p>
                    </w:txbxContent>
                  </v:textbox>
                </v:shape>
              </w:pic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しつけや教育の仕方が分からない保護者が増えたこと</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過保護や甘やかし・過干渉の保護者が増えたこと</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しつけや教育に無関心な保護者が増えたこと</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しつけや教育を保育所・幼稚園などに任せきりにする保護者が増えたこと</w:t>
            </w:r>
          </w:p>
        </w:tc>
        <w:tc>
          <w:tcPr>
            <w:tcW w:w="78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共働きや長時間労働等により、多忙な保護者が増えたこと</w:t>
            </w:r>
          </w:p>
        </w:tc>
        <w:tc>
          <w:tcPr>
            <w:tcW w:w="787"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子どもとの関わり方が分からない保護者が増えたこと</w:t>
            </w:r>
          </w:p>
        </w:tc>
        <w:tc>
          <w:tcPr>
            <w:tcW w:w="662"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子どもが家庭以外の大人とふれあう機会が減ったこと</w:t>
            </w:r>
          </w:p>
        </w:tc>
        <w:tc>
          <w:tcPr>
            <w:tcW w:w="993"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子どもにスマートフォンや携帯ゲーム機などを与え、親子のふれあいの時間を取らない保護者が増えたこと</w:t>
            </w:r>
          </w:p>
        </w:tc>
        <w:tc>
          <w:tcPr>
            <w:tcW w:w="708" w:type="dxa"/>
            <w:textDirection w:val="tbRlV"/>
            <w:vAlign w:val="center"/>
          </w:tcPr>
          <w:p w:rsidR="00C53806" w:rsidRDefault="009760D2">
            <w:pPr>
              <w:spacing w:line="0" w:lineRule="atLeast"/>
              <w:ind w:left="113" w:right="113"/>
              <w:rPr>
                <w:rFonts w:ascii="ＭＳ Ｐゴシック" w:eastAsia="ＭＳ Ｐゴシック" w:hAnsi="ＭＳ Ｐゴシック"/>
                <w:color w:val="000000"/>
                <w:sz w:val="18"/>
              </w:rPr>
            </w:pPr>
            <w:r>
              <w:rPr>
                <w:rFonts w:hint="eastAsia"/>
                <w:color w:val="000000"/>
                <w:sz w:val="18"/>
              </w:rPr>
              <w:t>その他</w:t>
            </w:r>
          </w:p>
        </w:tc>
      </w:tr>
      <w:tr w:rsidR="00C53806">
        <w:trPr>
          <w:cantSplit/>
          <w:trHeight w:val="340"/>
        </w:trPr>
        <w:tc>
          <w:tcPr>
            <w:tcW w:w="563" w:type="dxa"/>
            <w:vMerge w:val="restart"/>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職業別</w:t>
            </w: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農林業</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44.2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40.4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漁業</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75.0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商工サービス業自営</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18.2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事務職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46.7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37.2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24.1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42.3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33.6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7.3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技術職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34.1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58.2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45.1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労務職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37.2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52.9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10.7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25.6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47.9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0.8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管理職</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35.0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自由業</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主婦・主夫</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51.6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8.6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18.3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47.3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3.2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学生</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33.3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10.4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 </w:t>
            </w:r>
          </w:p>
        </w:tc>
      </w:tr>
      <w:tr w:rsidR="00C53806">
        <w:trPr>
          <w:trHeight w:val="340"/>
        </w:trPr>
        <w:tc>
          <w:tcPr>
            <w:tcW w:w="563" w:type="dxa"/>
            <w:vMerge/>
          </w:tcPr>
          <w:p w:rsidR="00C53806" w:rsidRDefault="00C53806">
            <w:pPr>
              <w:rPr>
                <w:rFonts w:ascii="ＭＳ 明朝" w:hAnsi="ＭＳ 明朝"/>
                <w:sz w:val="18"/>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無職</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40.6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41.5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14.2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23.6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48.1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2.8 </w:t>
            </w:r>
          </w:p>
        </w:tc>
      </w:tr>
      <w:tr w:rsidR="00C53806">
        <w:trPr>
          <w:trHeight w:val="340"/>
        </w:trPr>
        <w:tc>
          <w:tcPr>
            <w:tcW w:w="563" w:type="dxa"/>
            <w:vMerge/>
            <w:tcBorders>
              <w:bottom w:val="double" w:sz="4" w:space="0" w:color="auto"/>
            </w:tcBorders>
          </w:tcPr>
          <w:p w:rsidR="00C53806" w:rsidRDefault="00C53806">
            <w:pPr>
              <w:rPr>
                <w:rFonts w:ascii="ＭＳ 明朝" w:hAnsi="ＭＳ 明朝"/>
                <w:sz w:val="18"/>
              </w:rPr>
            </w:pPr>
          </w:p>
        </w:tc>
        <w:tc>
          <w:tcPr>
            <w:tcW w:w="1989" w:type="dxa"/>
            <w:tcBorders>
              <w:bottom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その他</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35.2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48.9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29.5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42.0 </w:t>
            </w:r>
          </w:p>
        </w:tc>
        <w:tc>
          <w:tcPr>
            <w:tcW w:w="78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46.6 </w:t>
            </w:r>
          </w:p>
        </w:tc>
        <w:tc>
          <w:tcPr>
            <w:tcW w:w="787"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10.2 </w:t>
            </w:r>
          </w:p>
        </w:tc>
        <w:tc>
          <w:tcPr>
            <w:tcW w:w="662"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993" w:type="dxa"/>
            <w:tcBorders>
              <w:bottom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08" w:type="dxa"/>
            <w:tcBorders>
              <w:bottom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5.7 </w:t>
            </w:r>
          </w:p>
        </w:tc>
      </w:tr>
      <w:tr w:rsidR="00C53806">
        <w:trPr>
          <w:trHeight w:val="340"/>
        </w:trPr>
        <w:tc>
          <w:tcPr>
            <w:tcW w:w="563" w:type="dxa"/>
            <w:vMerge w:val="restart"/>
            <w:tcBorders>
              <w:top w:val="double" w:sz="4" w:space="0" w:color="auto"/>
            </w:tcBorders>
            <w:textDirection w:val="tbRlV"/>
            <w:vAlign w:val="center"/>
          </w:tcPr>
          <w:p w:rsidR="00C53806" w:rsidRDefault="009760D2">
            <w:pPr>
              <w:ind w:left="113" w:right="113"/>
              <w:jc w:val="center"/>
              <w:rPr>
                <w:rFonts w:ascii="ＭＳ 明朝" w:hAnsi="ＭＳ 明朝"/>
                <w:sz w:val="18"/>
              </w:rPr>
            </w:pPr>
            <w:r>
              <w:rPr>
                <w:rFonts w:ascii="ＭＳ 明朝" w:hAnsi="ＭＳ 明朝" w:hint="eastAsia"/>
                <w:sz w:val="18"/>
              </w:rPr>
              <w:t>広域市町村圏別</w:t>
            </w:r>
          </w:p>
        </w:tc>
        <w:tc>
          <w:tcPr>
            <w:tcW w:w="1989" w:type="dxa"/>
            <w:tcBorders>
              <w:top w:val="doub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高知市</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44.6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37.6 </w:t>
            </w:r>
          </w:p>
        </w:tc>
        <w:tc>
          <w:tcPr>
            <w:tcW w:w="78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26.4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37.4 </w:t>
            </w:r>
          </w:p>
        </w:tc>
        <w:tc>
          <w:tcPr>
            <w:tcW w:w="788" w:type="dxa"/>
            <w:tcBorders>
              <w:top w:val="doub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55.1 </w:t>
            </w:r>
          </w:p>
        </w:tc>
        <w:tc>
          <w:tcPr>
            <w:tcW w:w="787"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11.2 </w:t>
            </w:r>
          </w:p>
        </w:tc>
        <w:tc>
          <w:tcPr>
            <w:tcW w:w="662"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23.4 </w:t>
            </w:r>
          </w:p>
        </w:tc>
        <w:tc>
          <w:tcPr>
            <w:tcW w:w="993"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45.3 </w:t>
            </w:r>
          </w:p>
        </w:tc>
        <w:tc>
          <w:tcPr>
            <w:tcW w:w="708" w:type="dxa"/>
            <w:tcBorders>
              <w:top w:val="doub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2.3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安芸広域圏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39.4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30.3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34.8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53.0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13.6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南国・香美広域圏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41.4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17.9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36.4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52.1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11.4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21.4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42.9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嶺北広域圏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31.8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40.9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27.3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9.1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22.7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45.5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仁淀川広域圏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46.2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50.8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43.1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15.4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16.9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47.7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3.1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高吾北広域圏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29.2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37.5 </w:t>
            </w:r>
          </w:p>
        </w:tc>
        <w:tc>
          <w:tcPr>
            <w:tcW w:w="788"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12.5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20.8 </w:t>
            </w:r>
          </w:p>
        </w:tc>
        <w:tc>
          <w:tcPr>
            <w:tcW w:w="993"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0.0 </w:t>
            </w:r>
          </w:p>
        </w:tc>
      </w:tr>
      <w:tr w:rsidR="00C53806">
        <w:trPr>
          <w:trHeight w:val="340"/>
        </w:trPr>
        <w:tc>
          <w:tcPr>
            <w:tcW w:w="563" w:type="dxa"/>
            <w:vMerge/>
            <w:vAlign w:val="center"/>
          </w:tcPr>
          <w:p w:rsidR="00C53806" w:rsidRDefault="00C53806">
            <w:pPr>
              <w:jc w:val="center"/>
              <w:rPr>
                <w:rFonts w:ascii="ＭＳ 明朝" w:hAnsi="ＭＳ 明朝"/>
              </w:rPr>
            </w:pPr>
          </w:p>
        </w:tc>
        <w:tc>
          <w:tcPr>
            <w:tcW w:w="1989" w:type="dxa"/>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高幡広域圏</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38.3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50.0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787" w:type="dxa"/>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51.7 </w:t>
            </w:r>
          </w:p>
        </w:tc>
        <w:tc>
          <w:tcPr>
            <w:tcW w:w="78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45.0 </w:t>
            </w:r>
          </w:p>
        </w:tc>
        <w:tc>
          <w:tcPr>
            <w:tcW w:w="787"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10.0 </w:t>
            </w:r>
          </w:p>
        </w:tc>
        <w:tc>
          <w:tcPr>
            <w:tcW w:w="662"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20.0 </w:t>
            </w:r>
          </w:p>
        </w:tc>
        <w:tc>
          <w:tcPr>
            <w:tcW w:w="993"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41.7 </w:t>
            </w:r>
          </w:p>
        </w:tc>
        <w:tc>
          <w:tcPr>
            <w:tcW w:w="708" w:type="dxa"/>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6.7 </w:t>
            </w:r>
          </w:p>
        </w:tc>
      </w:tr>
      <w:tr w:rsidR="00C53806">
        <w:trPr>
          <w:trHeight w:val="340"/>
        </w:trPr>
        <w:tc>
          <w:tcPr>
            <w:tcW w:w="563" w:type="dxa"/>
            <w:vMerge/>
            <w:tcBorders>
              <w:bottom w:val="single" w:sz="4" w:space="0" w:color="auto"/>
            </w:tcBorders>
            <w:vAlign w:val="center"/>
          </w:tcPr>
          <w:p w:rsidR="00C53806" w:rsidRDefault="00C53806">
            <w:pPr>
              <w:jc w:val="center"/>
              <w:rPr>
                <w:rFonts w:ascii="ＭＳ 明朝" w:hAnsi="ＭＳ 明朝"/>
              </w:rPr>
            </w:pPr>
          </w:p>
        </w:tc>
        <w:tc>
          <w:tcPr>
            <w:tcW w:w="1989" w:type="dxa"/>
            <w:tcBorders>
              <w:bottom w:val="single" w:sz="4" w:space="0" w:color="auto"/>
            </w:tcBorders>
            <w:vAlign w:val="center"/>
          </w:tcPr>
          <w:p w:rsidR="00C53806" w:rsidRDefault="009760D2">
            <w:pPr>
              <w:spacing w:line="0" w:lineRule="atLeast"/>
              <w:rPr>
                <w:rFonts w:ascii="ＭＳ 明朝" w:hAnsi="ＭＳ 明朝"/>
                <w:color w:val="000000"/>
                <w:sz w:val="18"/>
              </w:rPr>
            </w:pPr>
            <w:r>
              <w:rPr>
                <w:rFonts w:ascii="ＭＳ 明朝" w:hAnsi="ＭＳ 明朝" w:hint="eastAsia"/>
                <w:color w:val="000000"/>
                <w:sz w:val="18"/>
              </w:rPr>
              <w:t>幡多広域圏</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44.2 </w:t>
            </w:r>
          </w:p>
        </w:tc>
        <w:tc>
          <w:tcPr>
            <w:tcW w:w="787" w:type="dxa"/>
            <w:tcBorders>
              <w:bottom w:val="single" w:sz="4" w:space="0" w:color="auto"/>
            </w:tcBorders>
            <w:shd w:val="clear" w:color="auto" w:fill="D9D9D9" w:themeFill="background1" w:themeFillShade="D9"/>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45.2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19.2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78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41.3 </w:t>
            </w:r>
          </w:p>
        </w:tc>
        <w:tc>
          <w:tcPr>
            <w:tcW w:w="787"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14.4 </w:t>
            </w:r>
          </w:p>
        </w:tc>
        <w:tc>
          <w:tcPr>
            <w:tcW w:w="662"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26.0 </w:t>
            </w:r>
          </w:p>
        </w:tc>
        <w:tc>
          <w:tcPr>
            <w:tcW w:w="993"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36.5 </w:t>
            </w:r>
          </w:p>
        </w:tc>
        <w:tc>
          <w:tcPr>
            <w:tcW w:w="708" w:type="dxa"/>
            <w:tcBorders>
              <w:bottom w:val="single" w:sz="4" w:space="0" w:color="auto"/>
            </w:tcBorders>
            <w:shd w:val="clear" w:color="auto" w:fill="auto"/>
            <w:vAlign w:val="center"/>
          </w:tcPr>
          <w:p w:rsidR="00C53806" w:rsidRDefault="009760D2">
            <w:pPr>
              <w:jc w:val="right"/>
              <w:rPr>
                <w:rFonts w:ascii="ＭＳ 明朝" w:hAnsi="ＭＳ 明朝"/>
                <w:color w:val="000000"/>
                <w:sz w:val="18"/>
              </w:rPr>
            </w:pPr>
            <w:r>
              <w:rPr>
                <w:rFonts w:ascii="ＭＳ 明朝" w:hAnsi="ＭＳ 明朝"/>
                <w:color w:val="000000"/>
                <w:sz w:val="18"/>
              </w:rPr>
              <w:t xml:space="preserve">2.9 </w:t>
            </w:r>
          </w:p>
        </w:tc>
      </w:tr>
    </w:tbl>
    <w:p w:rsidR="00C53806" w:rsidRDefault="00C53806">
      <w:pPr>
        <w:rPr>
          <w:rFonts w:ascii="ＭＳ 明朝" w:eastAsia="ＭＳ 明朝" w:hAnsi="ＭＳ 明朝"/>
        </w:rPr>
      </w:pPr>
    </w:p>
    <w:sectPr w:rsidR="00C53806" w:rsidSect="00F940FB">
      <w:footerReference w:type="default" r:id="rId127"/>
      <w:pgSz w:w="11906" w:h="16838"/>
      <w:pgMar w:top="964" w:right="1134" w:bottom="1021" w:left="1225" w:header="227" w:footer="454" w:gutter="0"/>
      <w:pgNumType w:fmt="numberInDash" w:start="15"/>
      <w:cols w:space="720"/>
      <w:titlePg/>
      <w:docGrid w:type="linesAndChars" w:linePitch="297"/>
    </w:sectPr>
  </w:body>
</w:document>
</file>

<file path=word/commentsExtended.xml><?xml version="1.0" encoding="utf-8"?>
<w15:commentsEx xmlns:w15="http://schemas.microsoft.com/office/word/2012/wordml" xmlns:mc="http://schemas.openxmlformats.org/markup-compatibility/2006"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14C" w:rsidRDefault="00D4414C" w:rsidP="00C53806">
      <w:r>
        <w:separator/>
      </w:r>
    </w:p>
  </w:endnote>
  <w:endnote w:type="continuationSeparator" w:id="0">
    <w:p w:rsidR="00D4414C" w:rsidRDefault="00D4414C" w:rsidP="00C5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516340"/>
      <w:docPartObj>
        <w:docPartGallery w:val="Page Numbers (Bottom of Page)"/>
        <w:docPartUnique/>
      </w:docPartObj>
    </w:sdtPr>
    <w:sdtEndPr>
      <w:rPr>
        <w:rFonts w:ascii="ＭＳ 明朝" w:eastAsia="ＭＳ 明朝" w:hAnsi="ＭＳ 明朝"/>
        <w:sz w:val="18"/>
      </w:rPr>
    </w:sdtEndPr>
    <w:sdtContent>
      <w:p w:rsidR="00F940FB" w:rsidRPr="00F940FB" w:rsidRDefault="00F940FB">
        <w:pPr>
          <w:pStyle w:val="a7"/>
          <w:jc w:val="center"/>
          <w:rPr>
            <w:rFonts w:ascii="ＭＳ 明朝" w:eastAsia="ＭＳ 明朝" w:hAnsi="ＭＳ 明朝"/>
            <w:sz w:val="18"/>
          </w:rPr>
        </w:pPr>
        <w:r w:rsidRPr="00F940FB">
          <w:rPr>
            <w:rFonts w:ascii="ＭＳ 明朝" w:eastAsia="ＭＳ 明朝" w:hAnsi="ＭＳ 明朝"/>
            <w:sz w:val="18"/>
          </w:rPr>
          <w:fldChar w:fldCharType="begin"/>
        </w:r>
        <w:r w:rsidRPr="00F940FB">
          <w:rPr>
            <w:rFonts w:ascii="ＭＳ 明朝" w:eastAsia="ＭＳ 明朝" w:hAnsi="ＭＳ 明朝"/>
            <w:sz w:val="18"/>
          </w:rPr>
          <w:instrText>PAGE   \* MERGEFORMAT</w:instrText>
        </w:r>
        <w:r w:rsidRPr="00F940FB">
          <w:rPr>
            <w:rFonts w:ascii="ＭＳ 明朝" w:eastAsia="ＭＳ 明朝" w:hAnsi="ＭＳ 明朝"/>
            <w:sz w:val="18"/>
          </w:rPr>
          <w:fldChar w:fldCharType="separate"/>
        </w:r>
        <w:r w:rsidRPr="00F940FB">
          <w:rPr>
            <w:rFonts w:ascii="ＭＳ 明朝" w:eastAsia="ＭＳ 明朝" w:hAnsi="ＭＳ 明朝"/>
            <w:noProof/>
            <w:sz w:val="18"/>
            <w:lang w:val="ja-JP"/>
          </w:rPr>
          <w:t>-</w:t>
        </w:r>
        <w:r>
          <w:rPr>
            <w:rFonts w:ascii="ＭＳ 明朝" w:eastAsia="ＭＳ 明朝" w:hAnsi="ＭＳ 明朝"/>
            <w:noProof/>
            <w:sz w:val="18"/>
          </w:rPr>
          <w:t xml:space="preserve"> 166 -</w:t>
        </w:r>
        <w:r w:rsidRPr="00F940FB">
          <w:rPr>
            <w:rFonts w:ascii="ＭＳ 明朝" w:eastAsia="ＭＳ 明朝" w:hAnsi="ＭＳ 明朝"/>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14C" w:rsidRDefault="00D4414C" w:rsidP="00C53806">
      <w:r>
        <w:separator/>
      </w:r>
    </w:p>
  </w:footnote>
  <w:footnote w:type="continuationSeparator" w:id="0">
    <w:p w:rsidR="00D4414C" w:rsidRDefault="00D4414C" w:rsidP="00C538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05"/>
  <w:drawingGridVerticalSpacing w:val="297"/>
  <w:displayHorizontalDrawingGridEvery w:val="0"/>
  <w:characterSpacingControl w:val="compressPunctuation"/>
  <w:hdrShapeDefaults>
    <o:shapedefaults v:ext="edit" spidmax="211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53806"/>
    <w:rsid w:val="0009185E"/>
    <w:rsid w:val="00181272"/>
    <w:rsid w:val="00352F49"/>
    <w:rsid w:val="00394FD7"/>
    <w:rsid w:val="00511136"/>
    <w:rsid w:val="00604F45"/>
    <w:rsid w:val="006F7878"/>
    <w:rsid w:val="00711F4B"/>
    <w:rsid w:val="009760D2"/>
    <w:rsid w:val="009B4884"/>
    <w:rsid w:val="009B6B00"/>
    <w:rsid w:val="00A03C9F"/>
    <w:rsid w:val="00B642E5"/>
    <w:rsid w:val="00C53806"/>
    <w:rsid w:val="00D4414C"/>
    <w:rsid w:val="00DE5038"/>
    <w:rsid w:val="00E15B6F"/>
    <w:rsid w:val="00F94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15">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806"/>
    <w:pPr>
      <w:widowControl w:val="0"/>
      <w:jc w:val="both"/>
    </w:pPr>
  </w:style>
  <w:style w:type="paragraph" w:styleId="1">
    <w:name w:val="heading 1"/>
    <w:basedOn w:val="a"/>
    <w:next w:val="a"/>
    <w:link w:val="10"/>
    <w:qFormat/>
    <w:rsid w:val="00C53806"/>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C53806"/>
    <w:rPr>
      <w:rFonts w:asciiTheme="majorHAnsi" w:eastAsiaTheme="majorEastAsia" w:hAnsiTheme="majorHAnsi"/>
      <w:sz w:val="18"/>
    </w:rPr>
  </w:style>
  <w:style w:type="character" w:customStyle="1" w:styleId="a4">
    <w:name w:val="吹き出し (文字)"/>
    <w:basedOn w:val="a0"/>
    <w:link w:val="a3"/>
    <w:rsid w:val="00C53806"/>
    <w:rPr>
      <w:rFonts w:asciiTheme="majorHAnsi" w:eastAsiaTheme="majorEastAsia" w:hAnsiTheme="majorHAnsi"/>
      <w:sz w:val="18"/>
    </w:rPr>
  </w:style>
  <w:style w:type="paragraph" w:styleId="a5">
    <w:name w:val="header"/>
    <w:basedOn w:val="a"/>
    <w:link w:val="a6"/>
    <w:rsid w:val="00C53806"/>
    <w:pPr>
      <w:tabs>
        <w:tab w:val="center" w:pos="4252"/>
        <w:tab w:val="right" w:pos="8504"/>
      </w:tabs>
      <w:snapToGrid w:val="0"/>
    </w:pPr>
  </w:style>
  <w:style w:type="character" w:customStyle="1" w:styleId="a6">
    <w:name w:val="ヘッダー (文字)"/>
    <w:basedOn w:val="a0"/>
    <w:link w:val="a5"/>
    <w:rsid w:val="00C53806"/>
  </w:style>
  <w:style w:type="paragraph" w:styleId="a7">
    <w:name w:val="footer"/>
    <w:basedOn w:val="a"/>
    <w:link w:val="a8"/>
    <w:uiPriority w:val="99"/>
    <w:rsid w:val="00C53806"/>
    <w:pPr>
      <w:tabs>
        <w:tab w:val="center" w:pos="4252"/>
        <w:tab w:val="right" w:pos="8504"/>
      </w:tabs>
      <w:snapToGrid w:val="0"/>
    </w:pPr>
  </w:style>
  <w:style w:type="character" w:customStyle="1" w:styleId="a8">
    <w:name w:val="フッター (文字)"/>
    <w:basedOn w:val="a0"/>
    <w:link w:val="a7"/>
    <w:uiPriority w:val="99"/>
    <w:rsid w:val="00C53806"/>
  </w:style>
  <w:style w:type="character" w:customStyle="1" w:styleId="10">
    <w:name w:val="見出し 1 (文字)"/>
    <w:basedOn w:val="a0"/>
    <w:link w:val="1"/>
    <w:rsid w:val="00C53806"/>
    <w:rPr>
      <w:rFonts w:asciiTheme="majorHAnsi" w:eastAsiaTheme="majorEastAsia" w:hAnsiTheme="majorHAnsi"/>
      <w:sz w:val="24"/>
    </w:rPr>
  </w:style>
  <w:style w:type="table" w:styleId="a9">
    <w:name w:val="Table Grid"/>
    <w:basedOn w:val="a1"/>
    <w:rsid w:val="00C53806"/>
    <w:rPr>
      <w:rFonts w:ascii="Century" w:eastAsia="ＭＳ 明朝" w:hAnsi="Century"/>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110.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chart" Target="charts/chart82.xml"/><Relationship Id="rId112" Type="http://schemas.openxmlformats.org/officeDocument/2006/relationships/chart" Target="charts/chart105.xml"/><Relationship Id="rId16" Type="http://schemas.openxmlformats.org/officeDocument/2006/relationships/chart" Target="charts/chart9.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chart" Target="charts/chart116.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13" Type="http://schemas.openxmlformats.org/officeDocument/2006/relationships/chart" Target="charts/chart106.xml"/><Relationship Id="rId118" Type="http://schemas.openxmlformats.org/officeDocument/2006/relationships/chart" Target="charts/chart111.xml"/><Relationship Id="rId126" Type="http://schemas.openxmlformats.org/officeDocument/2006/relationships/chart" Target="charts/chart119.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80" Type="http://schemas.openxmlformats.org/officeDocument/2006/relationships/chart" Target="charts/chart73.xml"/><Relationship Id="rId85" Type="http://schemas.openxmlformats.org/officeDocument/2006/relationships/chart" Target="charts/chart78.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chart" Target="charts/chart114.xm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103" Type="http://schemas.openxmlformats.org/officeDocument/2006/relationships/chart" Target="charts/chart96.xml"/><Relationship Id="rId108" Type="http://schemas.openxmlformats.org/officeDocument/2006/relationships/chart" Target="charts/chart101.xml"/><Relationship Id="rId116" Type="http://schemas.openxmlformats.org/officeDocument/2006/relationships/chart" Target="charts/chart109.xml"/><Relationship Id="rId124" Type="http://schemas.openxmlformats.org/officeDocument/2006/relationships/chart" Target="charts/chart117.xml"/><Relationship Id="rId129" Type="http://schemas.openxmlformats.org/officeDocument/2006/relationships/theme" Target="theme/theme1.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chart" Target="charts/chart76.xml"/><Relationship Id="rId88" Type="http://schemas.openxmlformats.org/officeDocument/2006/relationships/chart" Target="charts/chart81.xml"/><Relationship Id="rId91" Type="http://schemas.openxmlformats.org/officeDocument/2006/relationships/chart" Target="charts/chart84.xml"/><Relationship Id="rId96" Type="http://schemas.openxmlformats.org/officeDocument/2006/relationships/chart" Target="charts/chart89.xml"/><Relationship Id="rId111" Type="http://schemas.openxmlformats.org/officeDocument/2006/relationships/chart" Target="charts/chart10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99.xml"/><Relationship Id="rId114" Type="http://schemas.openxmlformats.org/officeDocument/2006/relationships/chart" Target="charts/chart107.xml"/><Relationship Id="rId119" Type="http://schemas.openxmlformats.org/officeDocument/2006/relationships/chart" Target="charts/chart112.xml"/><Relationship Id="rId127"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chart" Target="charts/chart115.xml"/><Relationship Id="rId13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chart" Target="charts/chart113.xml"/><Relationship Id="rId125" Type="http://schemas.openxmlformats.org/officeDocument/2006/relationships/chart" Target="charts/chart118.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2" Type="http://schemas.openxmlformats.org/officeDocument/2006/relationships/styles" Target="styles.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chart" Target="charts/chart108.xml"/><Relationship Id="rId61" Type="http://schemas.openxmlformats.org/officeDocument/2006/relationships/chart" Target="charts/chart54.xml"/><Relationship Id="rId82" Type="http://schemas.openxmlformats.org/officeDocument/2006/relationships/chart" Target="charts/chart7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93.xml"/><Relationship Id="rId2" Type="http://schemas.openxmlformats.org/officeDocument/2006/relationships/package" Target="../embeddings/Microsoft_Excel_Worksheet100.xlsx"/><Relationship Id="rId1" Type="http://schemas.openxmlformats.org/officeDocument/2006/relationships/themeOverride" Target="../theme/themeOverride99.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94.xml"/><Relationship Id="rId2" Type="http://schemas.openxmlformats.org/officeDocument/2006/relationships/package" Target="../embeddings/Microsoft_Excel_Worksheet101.xlsx"/><Relationship Id="rId1" Type="http://schemas.openxmlformats.org/officeDocument/2006/relationships/themeOverride" Target="../theme/themeOverride100.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95.xml"/><Relationship Id="rId2" Type="http://schemas.openxmlformats.org/officeDocument/2006/relationships/package" Target="../embeddings/Microsoft_Excel_Worksheet102.xlsx"/><Relationship Id="rId1" Type="http://schemas.openxmlformats.org/officeDocument/2006/relationships/themeOverride" Target="../theme/themeOverride101.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96.xml"/><Relationship Id="rId2" Type="http://schemas.openxmlformats.org/officeDocument/2006/relationships/package" Target="../embeddings/Microsoft_Excel_Worksheet103.xlsx"/><Relationship Id="rId1" Type="http://schemas.openxmlformats.org/officeDocument/2006/relationships/themeOverride" Target="../theme/themeOverride102.xml"/></Relationships>
</file>

<file path=word/charts/_rels/chart104.xml.rels><?xml version="1.0" encoding="UTF-8" standalone="yes"?>
<Relationships xmlns="http://schemas.openxmlformats.org/package/2006/relationships"><Relationship Id="rId3" Type="http://schemas.openxmlformats.org/officeDocument/2006/relationships/chartUserShapes" Target="../drawings/drawing97.xml"/><Relationship Id="rId2" Type="http://schemas.openxmlformats.org/officeDocument/2006/relationships/package" Target="../embeddings/Microsoft_Excel_Worksheet104.xlsx"/><Relationship Id="rId1" Type="http://schemas.openxmlformats.org/officeDocument/2006/relationships/themeOverride" Target="../theme/themeOverride103.xml"/></Relationships>
</file>

<file path=word/charts/_rels/chart105.xml.rels><?xml version="1.0" encoding="UTF-8" standalone="yes"?>
<Relationships xmlns="http://schemas.openxmlformats.org/package/2006/relationships"><Relationship Id="rId3" Type="http://schemas.openxmlformats.org/officeDocument/2006/relationships/chartUserShapes" Target="../drawings/drawing98.xml"/><Relationship Id="rId2" Type="http://schemas.openxmlformats.org/officeDocument/2006/relationships/package" Target="../embeddings/Microsoft_Excel_Worksheet105.xlsx"/><Relationship Id="rId1" Type="http://schemas.openxmlformats.org/officeDocument/2006/relationships/themeOverride" Target="../theme/themeOverride104.xml"/></Relationships>
</file>

<file path=word/charts/_rels/chart106.xml.rels><?xml version="1.0" encoding="UTF-8" standalone="yes"?>
<Relationships xmlns="http://schemas.openxmlformats.org/package/2006/relationships"><Relationship Id="rId3" Type="http://schemas.openxmlformats.org/officeDocument/2006/relationships/chartUserShapes" Target="../drawings/drawing99.xml"/><Relationship Id="rId2" Type="http://schemas.openxmlformats.org/officeDocument/2006/relationships/package" Target="../embeddings/Microsoft_Excel_Worksheet106.xlsx"/><Relationship Id="rId1" Type="http://schemas.openxmlformats.org/officeDocument/2006/relationships/themeOverride" Target="../theme/themeOverride105.xml"/></Relationships>
</file>

<file path=word/charts/_rels/chart107.xml.rels><?xml version="1.0" encoding="UTF-8" standalone="yes"?>
<Relationships xmlns="http://schemas.openxmlformats.org/package/2006/relationships"><Relationship Id="rId3" Type="http://schemas.openxmlformats.org/officeDocument/2006/relationships/chartUserShapes" Target="../drawings/drawing100.xml"/><Relationship Id="rId2" Type="http://schemas.openxmlformats.org/officeDocument/2006/relationships/package" Target="../embeddings/Microsoft_Excel_Worksheet107.xlsx"/><Relationship Id="rId1" Type="http://schemas.openxmlformats.org/officeDocument/2006/relationships/themeOverride" Target="../theme/themeOverride106.xml"/></Relationships>
</file>

<file path=word/charts/_rels/chart108.xml.rels><?xml version="1.0" encoding="UTF-8" standalone="yes"?>
<Relationships xmlns="http://schemas.openxmlformats.org/package/2006/relationships"><Relationship Id="rId3" Type="http://schemas.openxmlformats.org/officeDocument/2006/relationships/chartUserShapes" Target="../drawings/drawing101.xml"/><Relationship Id="rId2" Type="http://schemas.openxmlformats.org/officeDocument/2006/relationships/package" Target="../embeddings/Microsoft_Excel_Worksheet108.xlsx"/><Relationship Id="rId1" Type="http://schemas.openxmlformats.org/officeDocument/2006/relationships/themeOverride" Target="../theme/themeOverride107.xml"/></Relationships>
</file>

<file path=word/charts/_rels/chart109.xml.rels><?xml version="1.0" encoding="UTF-8" standalone="yes"?>
<Relationships xmlns="http://schemas.openxmlformats.org/package/2006/relationships"><Relationship Id="rId3" Type="http://schemas.openxmlformats.org/officeDocument/2006/relationships/chartUserShapes" Target="../drawings/drawing102.xml"/><Relationship Id="rId2" Type="http://schemas.openxmlformats.org/officeDocument/2006/relationships/package" Target="../embeddings/Microsoft_Excel_Worksheet109.xlsx"/><Relationship Id="rId1" Type="http://schemas.openxmlformats.org/officeDocument/2006/relationships/themeOverride" Target="../theme/themeOverride10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3" Type="http://schemas.openxmlformats.org/officeDocument/2006/relationships/chartUserShapes" Target="../drawings/drawing103.xml"/><Relationship Id="rId2" Type="http://schemas.openxmlformats.org/officeDocument/2006/relationships/package" Target="../embeddings/Microsoft_Excel_Worksheet110.xlsx"/><Relationship Id="rId1" Type="http://schemas.openxmlformats.org/officeDocument/2006/relationships/themeOverride" Target="../theme/themeOverride109.xml"/></Relationships>
</file>

<file path=word/charts/_rels/chart111.xml.rels><?xml version="1.0" encoding="UTF-8" standalone="yes"?>
<Relationships xmlns="http://schemas.openxmlformats.org/package/2006/relationships"><Relationship Id="rId3" Type="http://schemas.openxmlformats.org/officeDocument/2006/relationships/chartUserShapes" Target="../drawings/drawing104.xml"/><Relationship Id="rId2" Type="http://schemas.openxmlformats.org/officeDocument/2006/relationships/package" Target="../embeddings/Microsoft_Excel_Worksheet111.xlsx"/><Relationship Id="rId1" Type="http://schemas.openxmlformats.org/officeDocument/2006/relationships/themeOverride" Target="../theme/themeOverride110.xml"/></Relationships>
</file>

<file path=word/charts/_rels/chart112.xml.rels><?xml version="1.0" encoding="UTF-8" standalone="yes"?>
<Relationships xmlns="http://schemas.openxmlformats.org/package/2006/relationships"><Relationship Id="rId3" Type="http://schemas.openxmlformats.org/officeDocument/2006/relationships/chartUserShapes" Target="../drawings/drawing105.xml"/><Relationship Id="rId2" Type="http://schemas.openxmlformats.org/officeDocument/2006/relationships/package" Target="../embeddings/Microsoft_Excel_Worksheet112.xlsx"/><Relationship Id="rId1" Type="http://schemas.openxmlformats.org/officeDocument/2006/relationships/themeOverride" Target="../theme/themeOverride111.xml"/></Relationships>
</file>

<file path=word/charts/_rels/chart113.xml.rels><?xml version="1.0" encoding="UTF-8" standalone="yes"?>
<Relationships xmlns="http://schemas.openxmlformats.org/package/2006/relationships"><Relationship Id="rId3" Type="http://schemas.openxmlformats.org/officeDocument/2006/relationships/chartUserShapes" Target="../drawings/drawing106.xml"/><Relationship Id="rId2" Type="http://schemas.openxmlformats.org/officeDocument/2006/relationships/package" Target="../embeddings/Microsoft_Excel_Worksheet113.xlsx"/><Relationship Id="rId1" Type="http://schemas.openxmlformats.org/officeDocument/2006/relationships/themeOverride" Target="../theme/themeOverride112.xml"/></Relationships>
</file>

<file path=word/charts/_rels/chart114.xml.rels><?xml version="1.0" encoding="UTF-8" standalone="yes"?>
<Relationships xmlns="http://schemas.openxmlformats.org/package/2006/relationships"><Relationship Id="rId3" Type="http://schemas.openxmlformats.org/officeDocument/2006/relationships/chartUserShapes" Target="../drawings/drawing107.xml"/><Relationship Id="rId2" Type="http://schemas.openxmlformats.org/officeDocument/2006/relationships/package" Target="../embeddings/Microsoft_Excel_Worksheet114.xlsx"/><Relationship Id="rId1" Type="http://schemas.openxmlformats.org/officeDocument/2006/relationships/themeOverride" Target="../theme/themeOverride113.xml"/></Relationships>
</file>

<file path=word/charts/_rels/chart115.xml.rels><?xml version="1.0" encoding="UTF-8" standalone="yes"?>
<Relationships xmlns="http://schemas.openxmlformats.org/package/2006/relationships"><Relationship Id="rId3" Type="http://schemas.openxmlformats.org/officeDocument/2006/relationships/chartUserShapes" Target="../drawings/drawing108.xml"/><Relationship Id="rId2" Type="http://schemas.openxmlformats.org/officeDocument/2006/relationships/package" Target="../embeddings/Microsoft_Excel_Worksheet115.xlsx"/><Relationship Id="rId1" Type="http://schemas.openxmlformats.org/officeDocument/2006/relationships/themeOverride" Target="../theme/themeOverride114.xml"/></Relationships>
</file>

<file path=word/charts/_rels/chart116.xml.rels><?xml version="1.0" encoding="UTF-8" standalone="yes"?>
<Relationships xmlns="http://schemas.openxmlformats.org/package/2006/relationships"><Relationship Id="rId3" Type="http://schemas.openxmlformats.org/officeDocument/2006/relationships/chartUserShapes" Target="../drawings/drawing109.xml"/><Relationship Id="rId2" Type="http://schemas.openxmlformats.org/officeDocument/2006/relationships/package" Target="../embeddings/Microsoft_Excel_Worksheet116.xlsx"/><Relationship Id="rId1" Type="http://schemas.openxmlformats.org/officeDocument/2006/relationships/themeOverride" Target="../theme/themeOverride115.xml"/></Relationships>
</file>

<file path=word/charts/_rels/chart117.xml.rels><?xml version="1.0" encoding="UTF-8" standalone="yes"?>
<Relationships xmlns="http://schemas.openxmlformats.org/package/2006/relationships"><Relationship Id="rId3" Type="http://schemas.openxmlformats.org/officeDocument/2006/relationships/chartUserShapes" Target="../drawings/drawing110.xml"/><Relationship Id="rId2" Type="http://schemas.openxmlformats.org/officeDocument/2006/relationships/package" Target="../embeddings/Microsoft_Excel_Worksheet117.xlsx"/><Relationship Id="rId1" Type="http://schemas.openxmlformats.org/officeDocument/2006/relationships/themeOverride" Target="../theme/themeOverride116.xml"/></Relationships>
</file>

<file path=word/charts/_rels/chart118.xml.rels><?xml version="1.0" encoding="UTF-8" standalone="yes"?>
<Relationships xmlns="http://schemas.openxmlformats.org/package/2006/relationships"><Relationship Id="rId3" Type="http://schemas.openxmlformats.org/officeDocument/2006/relationships/chartUserShapes" Target="../drawings/drawing111.xml"/><Relationship Id="rId2" Type="http://schemas.openxmlformats.org/officeDocument/2006/relationships/package" Target="../embeddings/Microsoft_Excel_Worksheet118.xlsx"/><Relationship Id="rId1" Type="http://schemas.openxmlformats.org/officeDocument/2006/relationships/themeOverride" Target="../theme/themeOverride117.xml"/></Relationships>
</file>

<file path=word/charts/_rels/chart119.xml.rels><?xml version="1.0" encoding="UTF-8" standalone="yes"?>
<Relationships xmlns="http://schemas.openxmlformats.org/package/2006/relationships"><Relationship Id="rId3" Type="http://schemas.openxmlformats.org/officeDocument/2006/relationships/chartUserShapes" Target="../drawings/drawing112.xml"/><Relationship Id="rId2" Type="http://schemas.openxmlformats.org/officeDocument/2006/relationships/package" Target="../embeddings/Microsoft_Excel_Worksheet119.xlsx"/><Relationship Id="rId1" Type="http://schemas.openxmlformats.org/officeDocument/2006/relationships/themeOverride" Target="../theme/themeOverride11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48.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49.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Microsoft_Excel_Worksheet54.xlsx"/><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package" Target="../embeddings/Microsoft_Excel_Worksheet55.xlsx"/><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package" Target="../embeddings/Microsoft_Excel_Worksheet56.xlsx"/><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package" Target="../embeddings/Microsoft_Excel_Worksheet57.xlsx"/><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package" Target="../embeddings/Microsoft_Excel_Worksheet58.xlsx"/><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package" Target="../embeddings/Microsoft_Excel_Worksheet59.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Microsoft_Excel_Worksheet60.xlsx"/><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package" Target="../embeddings/Microsoft_Excel_Worksheet61.xlsx"/><Relationship Id="rId1" Type="http://schemas.openxmlformats.org/officeDocument/2006/relationships/themeOverride" Target="../theme/themeOverride60.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package" Target="../embeddings/Microsoft_Excel_Worksheet62.xlsx"/><Relationship Id="rId1" Type="http://schemas.openxmlformats.org/officeDocument/2006/relationships/themeOverride" Target="../theme/themeOverride61.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package" Target="../embeddings/Microsoft_Excel_Worksheet63.xlsx"/><Relationship Id="rId1" Type="http://schemas.openxmlformats.org/officeDocument/2006/relationships/themeOverride" Target="../theme/themeOverride62.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package" Target="../embeddings/Microsoft_Excel_Worksheet64.xlsx"/><Relationship Id="rId1" Type="http://schemas.openxmlformats.org/officeDocument/2006/relationships/themeOverride" Target="../theme/themeOverride63.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package" Target="../embeddings/Microsoft_Excel_Worksheet65.xlsx"/><Relationship Id="rId1" Type="http://schemas.openxmlformats.org/officeDocument/2006/relationships/themeOverride" Target="../theme/themeOverride64.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59.xml"/><Relationship Id="rId2" Type="http://schemas.openxmlformats.org/officeDocument/2006/relationships/package" Target="../embeddings/Microsoft_Excel_Worksheet66.xlsx"/><Relationship Id="rId1" Type="http://schemas.openxmlformats.org/officeDocument/2006/relationships/themeOverride" Target="../theme/themeOverride65.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package" Target="../embeddings/Microsoft_Excel_Worksheet67.xlsx"/><Relationship Id="rId1" Type="http://schemas.openxmlformats.org/officeDocument/2006/relationships/themeOverride" Target="../theme/themeOverride66.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package" Target="../embeddings/Microsoft_Excel_Worksheet68.xlsx"/><Relationship Id="rId1" Type="http://schemas.openxmlformats.org/officeDocument/2006/relationships/themeOverride" Target="../theme/themeOverride67.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package" Target="../embeddings/Microsoft_Excel_Worksheet69.xlsx"/><Relationship Id="rId1" Type="http://schemas.openxmlformats.org/officeDocument/2006/relationships/themeOverride" Target="../theme/themeOverride68.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63.xml"/><Relationship Id="rId2" Type="http://schemas.openxmlformats.org/officeDocument/2006/relationships/package" Target="../embeddings/Microsoft_Excel_Worksheet70.xlsx"/><Relationship Id="rId1" Type="http://schemas.openxmlformats.org/officeDocument/2006/relationships/themeOverride" Target="../theme/themeOverride69.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64.xml"/><Relationship Id="rId2" Type="http://schemas.openxmlformats.org/officeDocument/2006/relationships/package" Target="../embeddings/Microsoft_Excel_Worksheet71.xlsx"/><Relationship Id="rId1" Type="http://schemas.openxmlformats.org/officeDocument/2006/relationships/themeOverride" Target="../theme/themeOverride70.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65.xml"/><Relationship Id="rId2" Type="http://schemas.openxmlformats.org/officeDocument/2006/relationships/package" Target="../embeddings/Microsoft_Excel_Worksheet72.xlsx"/><Relationship Id="rId1" Type="http://schemas.openxmlformats.org/officeDocument/2006/relationships/themeOverride" Target="../theme/themeOverride71.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66.xml"/><Relationship Id="rId2" Type="http://schemas.openxmlformats.org/officeDocument/2006/relationships/package" Target="../embeddings/Microsoft_Excel_Worksheet73.xlsx"/><Relationship Id="rId1" Type="http://schemas.openxmlformats.org/officeDocument/2006/relationships/themeOverride" Target="../theme/themeOverride72.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67.xml"/><Relationship Id="rId2" Type="http://schemas.openxmlformats.org/officeDocument/2006/relationships/package" Target="../embeddings/Microsoft_Excel_Worksheet74.xlsx"/><Relationship Id="rId1" Type="http://schemas.openxmlformats.org/officeDocument/2006/relationships/themeOverride" Target="../theme/themeOverride73.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68.xml"/><Relationship Id="rId2" Type="http://schemas.openxmlformats.org/officeDocument/2006/relationships/package" Target="../embeddings/Microsoft_Excel_Worksheet75.xlsx"/><Relationship Id="rId1" Type="http://schemas.openxmlformats.org/officeDocument/2006/relationships/themeOverride" Target="../theme/themeOverride74.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69.xml"/><Relationship Id="rId2" Type="http://schemas.openxmlformats.org/officeDocument/2006/relationships/package" Target="../embeddings/Microsoft_Excel_Worksheet76.xlsx"/><Relationship Id="rId1" Type="http://schemas.openxmlformats.org/officeDocument/2006/relationships/themeOverride" Target="../theme/themeOverride75.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70.xml"/><Relationship Id="rId2" Type="http://schemas.openxmlformats.org/officeDocument/2006/relationships/package" Target="../embeddings/Microsoft_Excel_Worksheet77.xlsx"/><Relationship Id="rId1" Type="http://schemas.openxmlformats.org/officeDocument/2006/relationships/themeOverride" Target="../theme/themeOverride76.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71.xml"/><Relationship Id="rId2" Type="http://schemas.openxmlformats.org/officeDocument/2006/relationships/package" Target="../embeddings/Microsoft_Excel_Worksheet78.xlsx"/><Relationship Id="rId1" Type="http://schemas.openxmlformats.org/officeDocument/2006/relationships/themeOverride" Target="../theme/themeOverride77.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72.xml"/><Relationship Id="rId2" Type="http://schemas.openxmlformats.org/officeDocument/2006/relationships/package" Target="../embeddings/Microsoft_Excel_Worksheet79.xlsx"/><Relationship Id="rId1" Type="http://schemas.openxmlformats.org/officeDocument/2006/relationships/themeOverride" Target="../theme/themeOverride78.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73.xml"/><Relationship Id="rId2" Type="http://schemas.openxmlformats.org/officeDocument/2006/relationships/package" Target="../embeddings/Microsoft_Excel_Worksheet80.xlsx"/><Relationship Id="rId1" Type="http://schemas.openxmlformats.org/officeDocument/2006/relationships/themeOverride" Target="../theme/themeOverride79.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74.xml"/><Relationship Id="rId2" Type="http://schemas.openxmlformats.org/officeDocument/2006/relationships/package" Target="../embeddings/Microsoft_Excel_Worksheet81.xlsx"/><Relationship Id="rId1" Type="http://schemas.openxmlformats.org/officeDocument/2006/relationships/themeOverride" Target="../theme/themeOverride80.xml"/></Relationships>
</file>

<file path=word/charts/_rels/chart82.xml.rels><?xml version="1.0" encoding="UTF-8" standalone="yes"?>
<Relationships xmlns="http://schemas.openxmlformats.org/package/2006/relationships"><Relationship Id="rId3" Type="http://schemas.openxmlformats.org/officeDocument/2006/relationships/chartUserShapes" Target="../drawings/drawing75.xml"/><Relationship Id="rId2" Type="http://schemas.openxmlformats.org/officeDocument/2006/relationships/package" Target="../embeddings/Microsoft_Excel_Worksheet82.xlsx"/><Relationship Id="rId1" Type="http://schemas.openxmlformats.org/officeDocument/2006/relationships/themeOverride" Target="../theme/themeOverride81.xml"/></Relationships>
</file>

<file path=word/charts/_rels/chart83.xml.rels><?xml version="1.0" encoding="UTF-8" standalone="yes"?>
<Relationships xmlns="http://schemas.openxmlformats.org/package/2006/relationships"><Relationship Id="rId3" Type="http://schemas.openxmlformats.org/officeDocument/2006/relationships/chartUserShapes" Target="../drawings/drawing76.xml"/><Relationship Id="rId2" Type="http://schemas.openxmlformats.org/officeDocument/2006/relationships/package" Target="../embeddings/Microsoft_Excel_Worksheet83.xlsx"/><Relationship Id="rId1" Type="http://schemas.openxmlformats.org/officeDocument/2006/relationships/themeOverride" Target="../theme/themeOverride82.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77.xml"/><Relationship Id="rId2" Type="http://schemas.openxmlformats.org/officeDocument/2006/relationships/package" Target="../embeddings/Microsoft_Excel_Worksheet84.xlsx"/><Relationship Id="rId1" Type="http://schemas.openxmlformats.org/officeDocument/2006/relationships/themeOverride" Target="../theme/themeOverride83.xml"/></Relationships>
</file>

<file path=word/charts/_rels/chart85.xml.rels><?xml version="1.0" encoding="UTF-8" standalone="yes"?>
<Relationships xmlns="http://schemas.openxmlformats.org/package/2006/relationships"><Relationship Id="rId3" Type="http://schemas.openxmlformats.org/officeDocument/2006/relationships/chartUserShapes" Target="../drawings/drawing78.xml"/><Relationship Id="rId2" Type="http://schemas.openxmlformats.org/officeDocument/2006/relationships/package" Target="../embeddings/Microsoft_Excel_Worksheet85.xlsx"/><Relationship Id="rId1" Type="http://schemas.openxmlformats.org/officeDocument/2006/relationships/themeOverride" Target="../theme/themeOverride84.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79.xml"/><Relationship Id="rId2" Type="http://schemas.openxmlformats.org/officeDocument/2006/relationships/package" Target="../embeddings/Microsoft_Excel_Worksheet86.xlsx"/><Relationship Id="rId1" Type="http://schemas.openxmlformats.org/officeDocument/2006/relationships/themeOverride" Target="../theme/themeOverride85.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80.xml"/><Relationship Id="rId2" Type="http://schemas.openxmlformats.org/officeDocument/2006/relationships/package" Target="../embeddings/Microsoft_Excel_Worksheet87.xlsx"/><Relationship Id="rId1" Type="http://schemas.openxmlformats.org/officeDocument/2006/relationships/themeOverride" Target="../theme/themeOverride86.xml"/></Relationships>
</file>

<file path=word/charts/_rels/chart88.xml.rels><?xml version="1.0" encoding="UTF-8" standalone="yes"?>
<Relationships xmlns="http://schemas.openxmlformats.org/package/2006/relationships"><Relationship Id="rId3" Type="http://schemas.openxmlformats.org/officeDocument/2006/relationships/chartUserShapes" Target="../drawings/drawing81.xml"/><Relationship Id="rId2" Type="http://schemas.openxmlformats.org/officeDocument/2006/relationships/package" Target="../embeddings/Microsoft_Excel_Worksheet88.xlsx"/><Relationship Id="rId1" Type="http://schemas.openxmlformats.org/officeDocument/2006/relationships/themeOverride" Target="../theme/themeOverride87.xml"/></Relationships>
</file>

<file path=word/charts/_rels/chart89.xml.rels><?xml version="1.0" encoding="UTF-8" standalone="yes"?>
<Relationships xmlns="http://schemas.openxmlformats.org/package/2006/relationships"><Relationship Id="rId3" Type="http://schemas.openxmlformats.org/officeDocument/2006/relationships/chartUserShapes" Target="../drawings/drawing82.xml"/><Relationship Id="rId2" Type="http://schemas.openxmlformats.org/officeDocument/2006/relationships/package" Target="../embeddings/Microsoft_Excel_Worksheet89.xlsx"/><Relationship Id="rId1" Type="http://schemas.openxmlformats.org/officeDocument/2006/relationships/themeOverride" Target="../theme/themeOverride8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83.xml"/><Relationship Id="rId2" Type="http://schemas.openxmlformats.org/officeDocument/2006/relationships/package" Target="../embeddings/Microsoft_Excel_Worksheet90.xlsx"/><Relationship Id="rId1" Type="http://schemas.openxmlformats.org/officeDocument/2006/relationships/themeOverride" Target="../theme/themeOverride89.xml"/></Relationships>
</file>

<file path=word/charts/_rels/chart91.xml.rels><?xml version="1.0" encoding="UTF-8" standalone="yes"?>
<Relationships xmlns="http://schemas.openxmlformats.org/package/2006/relationships"><Relationship Id="rId3" Type="http://schemas.openxmlformats.org/officeDocument/2006/relationships/chartUserShapes" Target="../drawings/drawing84.xml"/><Relationship Id="rId2" Type="http://schemas.openxmlformats.org/officeDocument/2006/relationships/package" Target="../embeddings/Microsoft_Excel_Worksheet91.xlsx"/><Relationship Id="rId1" Type="http://schemas.openxmlformats.org/officeDocument/2006/relationships/themeOverride" Target="../theme/themeOverride90.xml"/></Relationships>
</file>

<file path=word/charts/_rels/chart92.xml.rels><?xml version="1.0" encoding="UTF-8" standalone="yes"?>
<Relationships xmlns="http://schemas.openxmlformats.org/package/2006/relationships"><Relationship Id="rId3" Type="http://schemas.openxmlformats.org/officeDocument/2006/relationships/chartUserShapes" Target="../drawings/drawing85.xml"/><Relationship Id="rId2" Type="http://schemas.openxmlformats.org/officeDocument/2006/relationships/package" Target="../embeddings/Microsoft_Excel_Worksheet92.xlsx"/><Relationship Id="rId1" Type="http://schemas.openxmlformats.org/officeDocument/2006/relationships/themeOverride" Target="../theme/themeOverride91.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86.xml"/><Relationship Id="rId2" Type="http://schemas.openxmlformats.org/officeDocument/2006/relationships/package" Target="../embeddings/Microsoft_Excel_Worksheet93.xlsx"/><Relationship Id="rId1" Type="http://schemas.openxmlformats.org/officeDocument/2006/relationships/themeOverride" Target="../theme/themeOverride92.xml"/></Relationships>
</file>

<file path=word/charts/_rels/chart94.xml.rels><?xml version="1.0" encoding="UTF-8" standalone="yes"?>
<Relationships xmlns="http://schemas.openxmlformats.org/package/2006/relationships"><Relationship Id="rId3" Type="http://schemas.openxmlformats.org/officeDocument/2006/relationships/chartUserShapes" Target="../drawings/drawing87.xml"/><Relationship Id="rId2" Type="http://schemas.openxmlformats.org/officeDocument/2006/relationships/package" Target="../embeddings/Microsoft_Excel_Worksheet94.xlsx"/><Relationship Id="rId1" Type="http://schemas.openxmlformats.org/officeDocument/2006/relationships/themeOverride" Target="../theme/themeOverride93.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88.xml"/><Relationship Id="rId2" Type="http://schemas.openxmlformats.org/officeDocument/2006/relationships/package" Target="../embeddings/Microsoft_Excel_Worksheet95.xlsx"/><Relationship Id="rId1" Type="http://schemas.openxmlformats.org/officeDocument/2006/relationships/themeOverride" Target="../theme/themeOverride94.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89.xml"/><Relationship Id="rId2" Type="http://schemas.openxmlformats.org/officeDocument/2006/relationships/package" Target="../embeddings/Microsoft_Excel_Worksheet96.xlsx"/><Relationship Id="rId1" Type="http://schemas.openxmlformats.org/officeDocument/2006/relationships/themeOverride" Target="../theme/themeOverride95.xml"/></Relationships>
</file>

<file path=word/charts/_rels/chart97.xml.rels><?xml version="1.0" encoding="UTF-8" standalone="yes"?>
<Relationships xmlns="http://schemas.openxmlformats.org/package/2006/relationships"><Relationship Id="rId3" Type="http://schemas.openxmlformats.org/officeDocument/2006/relationships/chartUserShapes" Target="../drawings/drawing90.xml"/><Relationship Id="rId2" Type="http://schemas.openxmlformats.org/officeDocument/2006/relationships/package" Target="../embeddings/Microsoft_Excel_Worksheet97.xlsx"/><Relationship Id="rId1" Type="http://schemas.openxmlformats.org/officeDocument/2006/relationships/themeOverride" Target="../theme/themeOverride96.xm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91.xml"/><Relationship Id="rId2" Type="http://schemas.openxmlformats.org/officeDocument/2006/relationships/package" Target="../embeddings/Microsoft_Excel_Worksheet98.xlsx"/><Relationship Id="rId1" Type="http://schemas.openxmlformats.org/officeDocument/2006/relationships/themeOverride" Target="../theme/themeOverride97.xml"/></Relationships>
</file>

<file path=word/charts/_rels/chart99.xml.rels><?xml version="1.0" encoding="UTF-8" standalone="yes"?>
<Relationships xmlns="http://schemas.openxmlformats.org/package/2006/relationships"><Relationship Id="rId3" Type="http://schemas.openxmlformats.org/officeDocument/2006/relationships/chartUserShapes" Target="../drawings/drawing92.xml"/><Relationship Id="rId2" Type="http://schemas.openxmlformats.org/officeDocument/2006/relationships/package" Target="../embeddings/Microsoft_Excel_Worksheet99.xlsx"/><Relationship Id="rId1" Type="http://schemas.openxmlformats.org/officeDocument/2006/relationships/themeOverride" Target="../theme/themeOverride9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lstStyle/>
          <a:p>
            <a:pPr algn="ctr" rtl="0">
              <a:defRPr sz="900" b="0" i="0" u="none" strike="noStrike" baseline="0">
                <a:solidFill>
                  <a:schemeClr val="tx1"/>
                </a:solidFill>
              </a:defRPr>
            </a:pPr>
            <a:r>
              <a:rPr lang="ja-JP" altLang="en-US" sz="900" b="0" i="0" u="none" strike="noStrike" baseline="0">
                <a:solidFill>
                  <a:schemeClr val="tx1"/>
                </a:solidFill>
                <a:latin typeface="ＭＳ 明朝"/>
                <a:ea typeface="ＭＳ 明朝"/>
              </a:rPr>
              <a:t>平成</a:t>
            </a:r>
            <a:r>
              <a:rPr lang="en-US" altLang="ja-JP" sz="900" b="0" i="0" u="none" strike="noStrike" baseline="0">
                <a:solidFill>
                  <a:schemeClr val="tx1"/>
                </a:solidFill>
                <a:latin typeface="ＭＳ 明朝"/>
                <a:ea typeface="ＭＳ 明朝"/>
              </a:rPr>
              <a:t>29</a:t>
            </a:r>
            <a:r>
              <a:rPr lang="ja-JP" altLang="en-US" sz="900" b="0" i="0" u="none" strike="noStrike" baseline="0">
                <a:solidFill>
                  <a:schemeClr val="tx1"/>
                </a:solidFill>
                <a:latin typeface="ＭＳ 明朝"/>
                <a:ea typeface="ＭＳ 明朝"/>
              </a:rPr>
              <a:t>年度</a:t>
            </a:r>
          </a:p>
        </c:rich>
      </c:tx>
      <c:layout>
        <c:manualLayout>
          <c:xMode val="edge"/>
          <c:yMode val="edge"/>
          <c:x val="0.70250730598973499"/>
          <c:y val="0.83306144619042855"/>
        </c:manualLayout>
      </c:layout>
      <c:overlay val="0"/>
      <c:spPr>
        <a:ln>
          <a:solidFill>
            <a:sysClr val="windowText" lastClr="000000"/>
          </a:solidFill>
        </a:ln>
      </c:spPr>
    </c:title>
    <c:autoTitleDeleted val="0"/>
    <c:plotArea>
      <c:layout>
        <c:manualLayout>
          <c:layoutTarget val="inner"/>
          <c:xMode val="edge"/>
          <c:yMode val="edge"/>
          <c:x val="0.41708120813256588"/>
          <c:y val="3.6424368806287091E-2"/>
          <c:w val="0.53217252321071806"/>
          <c:h val="0.95311629461657565"/>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layout>
                <c:manualLayout>
                  <c:x val="-1.5920398009950532E-2"/>
                  <c:y val="8.9212270304379614E-18"/>
                </c:manualLayout>
              </c:layout>
              <c:spPr>
                <a:noFill/>
                <a:ln>
                  <a:noFill/>
                </a:ln>
                <a:effectLst/>
              </c:spPr>
              <c:txPr>
                <a:bodyPr horzOverflow="overflow"/>
                <a:lstStyle/>
                <a:p>
                  <a:pPr>
                    <a:defRPr sz="90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anchor="ctr"/>
              <a:lstStyle/>
              <a:p>
                <a:pPr algn="ctr" rtl="0">
                  <a:defRPr sz="900">
                    <a:solidFill>
                      <a:schemeClr val="tx1"/>
                    </a:solidFill>
                  </a:defRPr>
                </a:pPr>
                <a:endParaRPr lang="ja-JP"/>
              </a:p>
            </c:txPr>
            <c:dLblPos val="outEnd"/>
            <c:showLegendKey val="0"/>
            <c:showVal val="1"/>
            <c:showCatName val="0"/>
            <c:showSerName val="0"/>
            <c:showPercent val="0"/>
            <c:showBubbleSize val="0"/>
            <c:showLeaderLines val="0"/>
          </c:dLbls>
          <c:cat>
            <c:strRef>
              <c:f>Sheet1!$B$1:$M$1</c:f>
              <c:strCache>
                <c:ptCount val="12"/>
                <c:pt idx="0">
                  <c:v>産業の担い手の育成・ 
確保  </c:v>
                </c:pt>
                <c:pt idx="1">
                  <c:v>農林漁業の生産地の強 
化 </c:v>
                </c:pt>
                <c:pt idx="2">
                  <c:v>観光の振興　　　 　   </c:v>
                </c:pt>
                <c:pt idx="3">
                  <c:v>地域の商店街等の活性 
化  </c:v>
                </c:pt>
                <c:pt idx="4">
                  <c:v>第一次産業などを核とし
た産業集積（地域産業ク
ラスター）</c:v>
                </c:pt>
                <c:pt idx="5">
                  <c:v>企業の誘致　　　　　　</c:v>
                </c:pt>
                <c:pt idx="6">
                  <c:v>県産品等の県外・海外 
での販売促進支援    </c:v>
                </c:pt>
                <c:pt idx="7">
                  <c:v>加工食品や機械などの
ものづくり産業の振興  </c:v>
                </c:pt>
                <c:pt idx="8">
                  <c:v>県外からの移住の促進　</c:v>
                </c:pt>
                <c:pt idx="9">
                  <c:v>防災関連産業、コンテン
ツ関連産業、IoT関連産
業などの新たな産業の
創出</c:v>
                </c:pt>
                <c:pt idx="10">
                  <c:v>起業や新たな事業展開 
を志す方への支援  </c:v>
                </c:pt>
                <c:pt idx="11">
                  <c:v>その他　　　　　　　　</c:v>
                </c:pt>
              </c:strCache>
            </c:strRef>
          </c:cat>
          <c:val>
            <c:numRef>
              <c:f>Sheet1!$B$2:$M$2</c:f>
              <c:numCache>
                <c:formatCode>0.0</c:formatCode>
                <c:ptCount val="12"/>
                <c:pt idx="0">
                  <c:v>43.2</c:v>
                </c:pt>
                <c:pt idx="1">
                  <c:v>38.5</c:v>
                </c:pt>
                <c:pt idx="2">
                  <c:v>34.9</c:v>
                </c:pt>
                <c:pt idx="3">
                  <c:v>31</c:v>
                </c:pt>
                <c:pt idx="4">
                  <c:v>26</c:v>
                </c:pt>
                <c:pt idx="5">
                  <c:v>25.4</c:v>
                </c:pt>
                <c:pt idx="6">
                  <c:v>18.5</c:v>
                </c:pt>
                <c:pt idx="7">
                  <c:v>16.600000000000001</c:v>
                </c:pt>
                <c:pt idx="8">
                  <c:v>16.600000000000001</c:v>
                </c:pt>
                <c:pt idx="9">
                  <c:v>15.4</c:v>
                </c:pt>
                <c:pt idx="10">
                  <c:v>14.7</c:v>
                </c:pt>
                <c:pt idx="11">
                  <c:v>1.3</c:v>
                </c:pt>
              </c:numCache>
            </c:numRef>
          </c:val>
        </c:ser>
        <c:dLbls>
          <c:showLegendKey val="0"/>
          <c:showVal val="1"/>
          <c:showCatName val="0"/>
          <c:showSerName val="0"/>
          <c:showPercent val="0"/>
          <c:showBubbleSize val="0"/>
        </c:dLbls>
        <c:gapWidth val="75"/>
        <c:axId val="209078528"/>
        <c:axId val="209088512"/>
      </c:barChart>
      <c:catAx>
        <c:axId val="209078528"/>
        <c:scaling>
          <c:orientation val="maxMin"/>
        </c:scaling>
        <c:delete val="0"/>
        <c:axPos val="l"/>
        <c:numFmt formatCode="0.0" sourceLinked="1"/>
        <c:majorTickMark val="in"/>
        <c:minorTickMark val="none"/>
        <c:tickLblPos val="nextTo"/>
        <c:spPr>
          <a:ln>
            <a:solidFill>
              <a:schemeClr val="tx1"/>
            </a:solidFill>
          </a:ln>
        </c:spPr>
        <c:txPr>
          <a:bodyPr horzOverflow="overflow" anchor="ctr"/>
          <a:lstStyle/>
          <a:p>
            <a:pPr algn="just" rtl="0">
              <a:defRPr sz="800">
                <a:solidFill>
                  <a:schemeClr val="tx1"/>
                </a:solidFill>
              </a:defRPr>
            </a:pPr>
            <a:endParaRPr lang="ja-JP"/>
          </a:p>
        </c:txPr>
        <c:crossAx val="209088512"/>
        <c:crosses val="autoZero"/>
        <c:auto val="1"/>
        <c:lblAlgn val="ctr"/>
        <c:lblOffset val="100"/>
        <c:noMultiLvlLbl val="0"/>
      </c:catAx>
      <c:valAx>
        <c:axId val="209088512"/>
        <c:scaling>
          <c:orientation val="minMax"/>
          <c:max val="50"/>
        </c:scaling>
        <c:delete val="0"/>
        <c:axPos val="t"/>
        <c:numFmt formatCode="#&quot;%&quot;;;&quot;0%&quot;;" sourceLinked="0"/>
        <c:majorTickMark val="in"/>
        <c:minorTickMark val="none"/>
        <c:tickLblPos val="nextTo"/>
        <c:spPr>
          <a:ln>
            <a:solidFill>
              <a:schemeClr val="tx1"/>
            </a:solidFill>
          </a:ln>
        </c:spPr>
        <c:txPr>
          <a:bodyPr anchor="ctr"/>
          <a:lstStyle/>
          <a:p>
            <a:pPr algn="ctr" rtl="0">
              <a:defRPr sz="900">
                <a:solidFill>
                  <a:schemeClr val="tx1"/>
                </a:solidFill>
              </a:defRPr>
            </a:pPr>
            <a:endParaRPr lang="ja-JP"/>
          </a:p>
        </c:txPr>
        <c:crossAx val="209078528"/>
        <c:crosses val="autoZero"/>
        <c:crossBetween val="between"/>
        <c:majorUnit val="10"/>
      </c:valAx>
      <c:spPr>
        <a:ln>
          <a:noFill/>
        </a:ln>
      </c:spPr>
    </c:plotArea>
    <c:plotVisOnly val="1"/>
    <c:dispBlanksAs val="gap"/>
    <c:showDLblsOverMax val="0"/>
  </c:chart>
  <c:spPr>
    <a:ln>
      <a:noFill/>
    </a:ln>
  </c:spPr>
  <c:txPr>
    <a:bodyPr horzOverflow="overflow" anchor="ctr"/>
    <a:lstStyle/>
    <a:p>
      <a:pPr algn="ctr" rtl="0">
        <a:defRPr lang="ja-JP" altLang="en-US" sz="900">
          <a:solidFill>
            <a:schemeClr val="tx1"/>
          </a:solidFill>
          <a:latin typeface="ＭＳ 明朝"/>
          <a:ea typeface="ＭＳ 明朝"/>
        </a:defRPr>
      </a:pPr>
      <a:endParaRPr lang="ja-JP"/>
    </a:p>
  </c:txPr>
  <c:externalData r:id="rId2">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ja-JP" altLang="en-US"/>
              <a:t>平成</a:t>
            </a:r>
            <a:r>
              <a:rPr lang="en-US" altLang="ja-JP"/>
              <a:t>29</a:t>
            </a:r>
            <a:r>
              <a:rPr lang="ja-JP" altLang="en-US"/>
              <a:t>年度</a:t>
            </a:r>
          </a:p>
        </c:rich>
      </c:tx>
      <c:layout>
        <c:manualLayout>
          <c:xMode val="edge"/>
          <c:yMode val="edge"/>
          <c:x val="0.70250730598971856"/>
          <c:y val="0.83306144643830671"/>
        </c:manualLayout>
      </c:layout>
      <c:overlay val="0"/>
      <c:spPr>
        <a:ln>
          <a:solidFill>
            <a:sysClr val="windowText" lastClr="000000"/>
          </a:solidFill>
        </a:ln>
      </c:spPr>
    </c:title>
    <c:autoTitleDeleted val="0"/>
    <c:plotArea>
      <c:layout>
        <c:manualLayout>
          <c:layoutTarget val="inner"/>
          <c:xMode val="edge"/>
          <c:yMode val="edge"/>
          <c:x val="0.38922051161515914"/>
          <c:y val="4.9931381895650023E-2"/>
          <c:w val="0.54012565808099033"/>
          <c:h val="0.94032560615238903"/>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layout>
                <c:manualLayout>
                  <c:x val="-1.5920398009950303E-2"/>
                  <c:y val="8.9212270304379352E-18"/>
                </c:manualLayout>
              </c:layout>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Sheet1!$B$2:$L$2</c:f>
              <c:numCache>
                <c:formatCode>0.0</c:formatCode>
                <c:ptCount val="11"/>
                <c:pt idx="0">
                  <c:v>43.6</c:v>
                </c:pt>
                <c:pt idx="1">
                  <c:v>41.5</c:v>
                </c:pt>
                <c:pt idx="2">
                  <c:v>32.200000000000003</c:v>
                </c:pt>
                <c:pt idx="3">
                  <c:v>28.5</c:v>
                </c:pt>
                <c:pt idx="4">
                  <c:v>27.1</c:v>
                </c:pt>
                <c:pt idx="5">
                  <c:v>23.2</c:v>
                </c:pt>
                <c:pt idx="6">
                  <c:v>20.7</c:v>
                </c:pt>
                <c:pt idx="7">
                  <c:v>20.100000000000001</c:v>
                </c:pt>
                <c:pt idx="8">
                  <c:v>19.899999999999999</c:v>
                </c:pt>
                <c:pt idx="9">
                  <c:v>19.2</c:v>
                </c:pt>
                <c:pt idx="10">
                  <c:v>1.2</c:v>
                </c:pt>
              </c:numCache>
            </c:numRef>
          </c:val>
        </c:ser>
        <c:dLbls>
          <c:showLegendKey val="0"/>
          <c:showVal val="1"/>
          <c:showCatName val="0"/>
          <c:showSerName val="0"/>
          <c:showPercent val="0"/>
          <c:showBubbleSize val="0"/>
        </c:dLbls>
        <c:gapWidth val="75"/>
        <c:axId val="221978624"/>
        <c:axId val="221980160"/>
      </c:barChart>
      <c:catAx>
        <c:axId val="221978624"/>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1980160"/>
        <c:crosses val="autoZero"/>
        <c:auto val="1"/>
        <c:lblAlgn val="ctr"/>
        <c:lblOffset val="100"/>
        <c:noMultiLvlLbl val="0"/>
      </c:catAx>
      <c:valAx>
        <c:axId val="221980160"/>
        <c:scaling>
          <c:orientation val="minMax"/>
          <c:max val="50"/>
        </c:scaling>
        <c:delete val="0"/>
        <c:axPos val="t"/>
        <c:numFmt formatCode="#&quot;%&quot;;;&quot;0%&quot;;" sourceLinked="0"/>
        <c:majorTickMark val="in"/>
        <c:minorTickMark val="none"/>
        <c:tickLblPos val="nextTo"/>
        <c:spPr>
          <a:ln>
            <a:solidFill>
              <a:schemeClr val="tx1"/>
            </a:solidFill>
          </a:ln>
        </c:spPr>
        <c:crossAx val="221978624"/>
        <c:crosses val="autoZero"/>
        <c:crossBetween val="between"/>
        <c:majorUnit val="10"/>
      </c:valAx>
      <c:spPr>
        <a:ln>
          <a:noFill/>
        </a:ln>
      </c:spPr>
    </c:plotArea>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152115728668041"/>
          <c:y val="4.5945260968926364E-2"/>
          <c:w val="0.71033683615659282"/>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Sheet1!$B$2:$B$8</c:f>
              <c:numCache>
                <c:formatCode>0.0_);[Red]\(0.0\)</c:formatCode>
                <c:ptCount val="7"/>
                <c:pt idx="0">
                  <c:v>50.6</c:v>
                </c:pt>
                <c:pt idx="1">
                  <c:v>36.800000000000004</c:v>
                </c:pt>
                <c:pt idx="2">
                  <c:v>32.200000000000003</c:v>
                </c:pt>
                <c:pt idx="3">
                  <c:v>60.9</c:v>
                </c:pt>
                <c:pt idx="4">
                  <c:v>34.5</c:v>
                </c:pt>
                <c:pt idx="5">
                  <c:v>28.7</c:v>
                </c:pt>
                <c:pt idx="6">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Sheet1!$C$2:$C$8</c:f>
              <c:numCache>
                <c:formatCode>0.0_);[Red]\(0.0\)</c:formatCode>
                <c:ptCount val="7"/>
                <c:pt idx="0">
                  <c:v>50.5</c:v>
                </c:pt>
                <c:pt idx="1">
                  <c:v>38.1</c:v>
                </c:pt>
                <c:pt idx="2">
                  <c:v>32.200000000000003</c:v>
                </c:pt>
                <c:pt idx="3">
                  <c:v>48</c:v>
                </c:pt>
                <c:pt idx="4">
                  <c:v>36.1</c:v>
                </c:pt>
                <c:pt idx="5">
                  <c:v>31.7</c:v>
                </c:pt>
                <c:pt idx="6">
                  <c:v>4</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Sheet1!$D$2:$D$8</c:f>
              <c:numCache>
                <c:formatCode>0.0_);[Red]\(0.0\)</c:formatCode>
                <c:ptCount val="7"/>
                <c:pt idx="0">
                  <c:v>54.2</c:v>
                </c:pt>
                <c:pt idx="1">
                  <c:v>38.700000000000003</c:v>
                </c:pt>
                <c:pt idx="2">
                  <c:v>28.9</c:v>
                </c:pt>
                <c:pt idx="3">
                  <c:v>46.6</c:v>
                </c:pt>
                <c:pt idx="4">
                  <c:v>30.8</c:v>
                </c:pt>
                <c:pt idx="5">
                  <c:v>26.1</c:v>
                </c:pt>
                <c:pt idx="6">
                  <c:v>7.1</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Sheet1!$E$2:$E$8</c:f>
              <c:numCache>
                <c:formatCode>0.0_);[Red]\(0.0\)</c:formatCode>
                <c:ptCount val="7"/>
                <c:pt idx="0">
                  <c:v>57.1</c:v>
                </c:pt>
                <c:pt idx="1">
                  <c:v>43.1</c:v>
                </c:pt>
                <c:pt idx="2">
                  <c:v>35.4</c:v>
                </c:pt>
                <c:pt idx="3">
                  <c:v>37.700000000000003</c:v>
                </c:pt>
                <c:pt idx="4">
                  <c:v>34</c:v>
                </c:pt>
                <c:pt idx="5">
                  <c:v>27.4</c:v>
                </c:pt>
                <c:pt idx="6">
                  <c:v>5.4</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Sheet1!$F$2:$F$8</c:f>
              <c:numCache>
                <c:formatCode>0.0_);[Red]\(0.0\)</c:formatCode>
                <c:ptCount val="7"/>
                <c:pt idx="0">
                  <c:v>50.1</c:v>
                </c:pt>
                <c:pt idx="1">
                  <c:v>44.3</c:v>
                </c:pt>
                <c:pt idx="2">
                  <c:v>46.9</c:v>
                </c:pt>
                <c:pt idx="3">
                  <c:v>32.1</c:v>
                </c:pt>
                <c:pt idx="4">
                  <c:v>31.8</c:v>
                </c:pt>
                <c:pt idx="5">
                  <c:v>36.700000000000003</c:v>
                </c:pt>
                <c:pt idx="6">
                  <c:v>4.7</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71066555977773E-7"/>
                  <c:y val="1.64182429225866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Sheet1!$G$2:$G$8</c:f>
              <c:numCache>
                <c:formatCode>0.0_);[Red]\(0.0\)</c:formatCode>
                <c:ptCount val="7"/>
                <c:pt idx="0">
                  <c:v>50.6</c:v>
                </c:pt>
                <c:pt idx="1">
                  <c:v>49.8</c:v>
                </c:pt>
                <c:pt idx="2">
                  <c:v>45.2</c:v>
                </c:pt>
                <c:pt idx="3">
                  <c:v>29.9</c:v>
                </c:pt>
                <c:pt idx="4">
                  <c:v>33.300000000000004</c:v>
                </c:pt>
                <c:pt idx="5">
                  <c:v>37.5</c:v>
                </c:pt>
                <c:pt idx="6">
                  <c:v>6.5</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移住者の住宅の確保に向け
て、空き家の活用等の取り
組みを強化する</c:v>
                </c:pt>
                <c:pt idx="1">
                  <c:v>農業と他の仕事を組み合わ
せた、いわゆる「半農半
Ｘ」といった都会にはない
多様な働き方を発信する</c:v>
                </c:pt>
                <c:pt idx="2">
                  <c:v>移住者が地域にスムーズに
溶け込めるように、地域で
気軽に相談ができる体制を
整える（ＮＰＯや地域住民
による声掛け等のサポート
など）</c:v>
                </c:pt>
                <c:pt idx="3">
                  <c:v>子育て世代やアウトドア関
心層など、より幅広いター
ゲットへのアプローチを強
化する</c:v>
                </c:pt>
                <c:pt idx="4">
                  <c:v>都市部で実施している移住
フェア・相談会や、高知県
へのお試し移住体験ツアー
などの回数を増やす</c:v>
                </c:pt>
                <c:pt idx="5">
                  <c:v>移住希望者の様々なニーズ
に対応できるように、相談
対応を行うスタッフのスキ
ルアップなどにより提案力
を高める</c:v>
                </c:pt>
                <c:pt idx="6">
                  <c:v>その他　　　　　　　　　</c:v>
                </c:pt>
              </c:strCache>
            </c:strRef>
          </c:cat>
          <c:val>
            <c:numRef>
              <c:f>Sheet1!$H$2:$H$8</c:f>
              <c:numCache>
                <c:formatCode>0.0_);[Red]\(0.0\)</c:formatCode>
                <c:ptCount val="7"/>
                <c:pt idx="0">
                  <c:v>53.1</c:v>
                </c:pt>
                <c:pt idx="1">
                  <c:v>60.2</c:v>
                </c:pt>
                <c:pt idx="2">
                  <c:v>50</c:v>
                </c:pt>
                <c:pt idx="3">
                  <c:v>20.399999999999999</c:v>
                </c:pt>
                <c:pt idx="4">
                  <c:v>27.6</c:v>
                </c:pt>
                <c:pt idx="5">
                  <c:v>36.700000000000003</c:v>
                </c:pt>
                <c:pt idx="6">
                  <c:v>4.0999999999999996</c:v>
                </c:pt>
              </c:numCache>
            </c:numRef>
          </c:val>
        </c:ser>
        <c:dLbls>
          <c:showLegendKey val="0"/>
          <c:showVal val="1"/>
          <c:showCatName val="0"/>
          <c:showSerName val="0"/>
          <c:showPercent val="0"/>
          <c:showBubbleSize val="0"/>
        </c:dLbls>
        <c:gapWidth val="100"/>
        <c:axId val="159123712"/>
        <c:axId val="159129600"/>
      </c:barChart>
      <c:catAx>
        <c:axId val="159123712"/>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59129600"/>
        <c:crosses val="autoZero"/>
        <c:auto val="1"/>
        <c:lblAlgn val="ctr"/>
        <c:lblOffset val="100"/>
        <c:noMultiLvlLbl val="0"/>
      </c:catAx>
      <c:valAx>
        <c:axId val="159129600"/>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59123712"/>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53865695910127E-2"/>
          <c:y val="4.5945326621650746E-2"/>
          <c:w val="0.68981104973818574"/>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7"/>
              <c:layout>
                <c:manualLayout>
                  <c:x val="-1.6844909311709354E-5"/>
                  <c:y val="8.5658196510925225E-2"/>
                </c:manualLayout>
              </c:layout>
              <c:dLblPos val="outEnd"/>
              <c:showLegendKey val="0"/>
              <c:showVal val="1"/>
              <c:showCatName val="0"/>
              <c:showSerName val="0"/>
              <c:showPercent val="0"/>
              <c:showBubbleSize val="0"/>
            </c:dLbl>
            <c:dLbl>
              <c:idx val="8"/>
              <c:layout>
                <c:manualLayout>
                  <c:x val="3.316749585406302E-2"/>
                  <c:y val="3.0643748395804096E-2"/>
                </c:manualLayout>
              </c:layout>
              <c:dLblPos val="outEnd"/>
              <c:showLegendKey val="0"/>
              <c:showVal val="1"/>
              <c:showCatName val="0"/>
              <c:showSerName val="0"/>
              <c:showPercent val="0"/>
              <c:showBubbleSize val="0"/>
            </c:dLbl>
            <c:dLbl>
              <c:idx val="9"/>
              <c:layout>
                <c:manualLayout>
                  <c:x val="3.6484245439469667E-2"/>
                  <c:y val="1.6653998691803982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Sheet1!$B$1:$K$1</c:f>
              <c:strCache>
                <c:ptCount val="10"/>
                <c:pt idx="0">
                  <c:v>県広報紙「さんＳＵＮ高知」（毎月１日発行）</c:v>
                </c:pt>
                <c:pt idx="1">
                  <c:v>テレビ番組「おはようこうち」</c:v>
                </c:pt>
                <c:pt idx="2">
                  <c:v>テレビ番組「県民ニュース」</c:v>
                </c:pt>
                <c:pt idx="3">
                  <c:v>新聞広告「高知県からのお知らせ」など（高知新聞の広告欄に掲載）</c:v>
                </c:pt>
                <c:pt idx="4">
                  <c:v>テレビ番組「知っとく高知県」</c:v>
                </c:pt>
                <c:pt idx="5">
                  <c:v>県のホームページ</c:v>
                </c:pt>
                <c:pt idx="6">
                  <c:v>見たり、聴いたりしていない</c:v>
                </c:pt>
                <c:pt idx="7">
                  <c:v>ラジオ番組「聞かせて高知県」、「ラジオ県庁ナビ」、「高知県からのお知らせ」</c:v>
                </c:pt>
                <c:pt idx="8">
                  <c:v>県のツイッター、フェイスブック</c:v>
                </c:pt>
                <c:pt idx="9">
                  <c:v>県の動画サイト「こうちインターネット放送局」</c:v>
                </c:pt>
              </c:strCache>
            </c:strRef>
          </c:cat>
          <c:val>
            <c:numRef>
              <c:f>Sheet1!$B$2:$K$2</c:f>
              <c:numCache>
                <c:formatCode>0.0</c:formatCode>
                <c:ptCount val="10"/>
                <c:pt idx="0">
                  <c:v>60</c:v>
                </c:pt>
                <c:pt idx="1">
                  <c:v>46.9</c:v>
                </c:pt>
                <c:pt idx="2">
                  <c:v>38.700000000000003</c:v>
                </c:pt>
                <c:pt idx="3">
                  <c:v>27.4</c:v>
                </c:pt>
                <c:pt idx="4">
                  <c:v>17.899999999999999</c:v>
                </c:pt>
                <c:pt idx="5">
                  <c:v>14.7</c:v>
                </c:pt>
                <c:pt idx="6">
                  <c:v>13</c:v>
                </c:pt>
                <c:pt idx="7">
                  <c:v>9.2000000000000011</c:v>
                </c:pt>
                <c:pt idx="8">
                  <c:v>2.9</c:v>
                </c:pt>
                <c:pt idx="9">
                  <c:v>0.9</c:v>
                </c:pt>
              </c:numCache>
            </c:numRef>
          </c:val>
        </c:ser>
        <c:dLbls>
          <c:showLegendKey val="0"/>
          <c:showVal val="1"/>
          <c:showCatName val="0"/>
          <c:showSerName val="0"/>
          <c:showPercent val="0"/>
          <c:showBubbleSize val="0"/>
        </c:dLbls>
        <c:gapWidth val="100"/>
        <c:axId val="159192576"/>
        <c:axId val="159194112"/>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2"/>
              <c:layout>
                <c:manualLayout>
                  <c:x val="-2.9119432689665364E-2"/>
                  <c:y val="2.8611185233092268E-2"/>
                </c:manualLayout>
              </c:layout>
              <c:dLblPos val="r"/>
              <c:showLegendKey val="0"/>
              <c:showVal val="1"/>
              <c:showCatName val="0"/>
              <c:showSerName val="0"/>
              <c:showPercent val="0"/>
              <c:showBubbleSize val="0"/>
            </c:dLbl>
            <c:dLbl>
              <c:idx val="3"/>
              <c:layout>
                <c:manualLayout>
                  <c:x val="-2.9113819116306072E-2"/>
                  <c:y val="-3.2165422171166004E-2"/>
                </c:manualLayout>
              </c:layout>
              <c:dLblPos val="r"/>
              <c:showLegendKey val="0"/>
              <c:showVal val="1"/>
              <c:showCatName val="0"/>
              <c:showSerName val="0"/>
              <c:showPercent val="0"/>
              <c:showBubbleSize val="0"/>
            </c:dLbl>
            <c:dLbl>
              <c:idx val="4"/>
              <c:layout>
                <c:manualLayout>
                  <c:x val="-3.0779483825402201E-2"/>
                  <c:y val="2.0764757937710397E-2"/>
                </c:manualLayout>
              </c:layout>
              <c:dLblPos val="r"/>
              <c:showLegendKey val="0"/>
              <c:showVal val="1"/>
              <c:showCatName val="0"/>
              <c:showSerName val="0"/>
              <c:showPercent val="0"/>
              <c:showBubbleSize val="0"/>
            </c:dLbl>
            <c:dLbl>
              <c:idx val="5"/>
              <c:layout>
                <c:manualLayout>
                  <c:x val="-3.0779436152570481E-2"/>
                  <c:y val="-3.1117577292313892E-2"/>
                </c:manualLayout>
              </c:layout>
              <c:dLblPos val="r"/>
              <c:showLegendKey val="0"/>
              <c:showVal val="1"/>
              <c:showCatName val="0"/>
              <c:showSerName val="0"/>
              <c:showPercent val="0"/>
              <c:showBubbleSize val="0"/>
            </c:dLbl>
            <c:dLbl>
              <c:idx val="6"/>
              <c:layout>
                <c:manualLayout>
                  <c:x val="-3.0779436152570481E-2"/>
                  <c:y val="-3.1117577292313892E-2"/>
                </c:manualLayout>
              </c:layout>
              <c:dLblPos val="r"/>
              <c:showLegendKey val="0"/>
              <c:showVal val="1"/>
              <c:showCatName val="0"/>
              <c:showSerName val="0"/>
              <c:showPercent val="0"/>
              <c:showBubbleSize val="0"/>
            </c:dLbl>
            <c:dLbl>
              <c:idx val="7"/>
              <c:layout>
                <c:manualLayout>
                  <c:x val="-1.2512503101291438E-2"/>
                  <c:y val="-2.9015038286077009E-2"/>
                </c:manualLayout>
              </c:layout>
              <c:dLblPos val="r"/>
              <c:showLegendKey val="0"/>
              <c:showVal val="1"/>
              <c:showCatName val="0"/>
              <c:showSerName val="0"/>
              <c:showPercent val="0"/>
              <c:showBubbleSize val="0"/>
            </c:dLbl>
            <c:dLbl>
              <c:idx val="8"/>
              <c:layout>
                <c:manualLayout>
                  <c:x val="2.4137059962754592E-3"/>
                  <c:y val="-2.8200524331356894E-2"/>
                </c:manualLayout>
              </c:layout>
              <c:dLblPos val="r"/>
              <c:showLegendKey val="0"/>
              <c:showVal val="1"/>
              <c:showCatName val="0"/>
              <c:showSerName val="0"/>
              <c:showPercent val="0"/>
              <c:showBubbleSize val="0"/>
            </c:dLbl>
            <c:dLbl>
              <c:idx val="9"/>
              <c:layout>
                <c:manualLayout>
                  <c:x val="9.0463692038495226E-3"/>
                  <c:y val="-4.1640378548895657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Sheet1!$B$1:$K$1</c:f>
              <c:strCache>
                <c:ptCount val="10"/>
                <c:pt idx="0">
                  <c:v>県広報紙「さんＳＵＮ高知」（毎月１日発行）</c:v>
                </c:pt>
                <c:pt idx="1">
                  <c:v>テレビ番組「おはようこうち」</c:v>
                </c:pt>
                <c:pt idx="2">
                  <c:v>テレビ番組「県民ニュース」</c:v>
                </c:pt>
                <c:pt idx="3">
                  <c:v>新聞広告「高知県からのお知らせ」など（高知新聞の広告欄に掲載）</c:v>
                </c:pt>
                <c:pt idx="4">
                  <c:v>テレビ番組「知っとく高知県」</c:v>
                </c:pt>
                <c:pt idx="5">
                  <c:v>県のホームページ</c:v>
                </c:pt>
                <c:pt idx="6">
                  <c:v>見たり、聴いたりしていない</c:v>
                </c:pt>
                <c:pt idx="7">
                  <c:v>ラジオ番組「聞かせて高知県」、「ラジオ県庁ナビ」、「高知県からのお知らせ」</c:v>
                </c:pt>
                <c:pt idx="8">
                  <c:v>県のツイッター、フェイスブック</c:v>
                </c:pt>
                <c:pt idx="9">
                  <c:v>県の動画サイト「こうちインターネット放送局」</c:v>
                </c:pt>
              </c:strCache>
            </c:strRef>
          </c:cat>
          <c:val>
            <c:numRef>
              <c:f>Sheet1!$B$3:$K$3</c:f>
              <c:numCache>
                <c:formatCode>0.0</c:formatCode>
                <c:ptCount val="10"/>
                <c:pt idx="0">
                  <c:v>56</c:v>
                </c:pt>
                <c:pt idx="1">
                  <c:v>44.5</c:v>
                </c:pt>
                <c:pt idx="2">
                  <c:v>37.4</c:v>
                </c:pt>
                <c:pt idx="3">
                  <c:v>28.3</c:v>
                </c:pt>
                <c:pt idx="4">
                  <c:v>17.5</c:v>
                </c:pt>
                <c:pt idx="5">
                  <c:v>15.7</c:v>
                </c:pt>
                <c:pt idx="6">
                  <c:v>15.5</c:v>
                </c:pt>
                <c:pt idx="7">
                  <c:v>11.5</c:v>
                </c:pt>
                <c:pt idx="8">
                  <c:v>2.4</c:v>
                </c:pt>
                <c:pt idx="9">
                  <c:v>0.60000000000000064</c:v>
                </c:pt>
              </c:numCache>
            </c:numRef>
          </c:val>
          <c:smooth val="0"/>
        </c:ser>
        <c:ser>
          <c:idx val="1"/>
          <c:order val="2"/>
          <c:tx>
            <c:strRef>
              <c:f>Sheet1!$A$4</c:f>
              <c:strCache>
                <c:ptCount val="1"/>
                <c:pt idx="0">
                  <c:v>女性</c:v>
                </c:pt>
              </c:strCache>
            </c:strRef>
          </c:tx>
          <c:spPr>
            <a:ln>
              <a:prstDash val="sysDash"/>
            </a:ln>
          </c:spPr>
          <c:marker>
            <c:symbol val="square"/>
            <c:size val="7"/>
          </c:marker>
          <c:dLbls>
            <c:dLbl>
              <c:idx val="2"/>
              <c:layout>
                <c:manualLayout>
                  <c:x val="-2.0731709705150342E-2"/>
                  <c:y val="-4.1449614892337262E-2"/>
                </c:manualLayout>
              </c:layout>
              <c:dLblPos val="r"/>
              <c:showLegendKey val="0"/>
              <c:showVal val="1"/>
              <c:showCatName val="0"/>
              <c:showSerName val="0"/>
              <c:showPercent val="0"/>
              <c:showBubbleSize val="0"/>
            </c:dLbl>
            <c:dLbl>
              <c:idx val="3"/>
              <c:layout>
                <c:manualLayout>
                  <c:x val="-2.9014341374450806E-2"/>
                  <c:y val="2.6421596783457797E-2"/>
                </c:manualLayout>
              </c:layout>
              <c:dLblPos val="r"/>
              <c:showLegendKey val="0"/>
              <c:showVal val="1"/>
              <c:showCatName val="0"/>
              <c:showSerName val="0"/>
              <c:showPercent val="0"/>
              <c:showBubbleSize val="0"/>
            </c:dLbl>
            <c:dLbl>
              <c:idx val="4"/>
              <c:layout>
                <c:manualLayout>
                  <c:x val="-2.5705988442566292E-2"/>
                  <c:y val="-3.4355010620800507E-2"/>
                </c:manualLayout>
              </c:layout>
              <c:dLblPos val="r"/>
              <c:showLegendKey val="0"/>
              <c:showVal val="1"/>
              <c:showCatName val="0"/>
              <c:showSerName val="0"/>
              <c:showPercent val="0"/>
              <c:showBubbleSize val="0"/>
            </c:dLbl>
            <c:dLbl>
              <c:idx val="5"/>
              <c:layout>
                <c:manualLayout>
                  <c:x val="-2.9021558872305151E-2"/>
                  <c:y val="3.1117577292313812E-2"/>
                </c:manualLayout>
              </c:layout>
              <c:dLblPos val="r"/>
              <c:showLegendKey val="0"/>
              <c:showVal val="1"/>
              <c:showCatName val="0"/>
              <c:showSerName val="0"/>
              <c:showPercent val="0"/>
              <c:showBubbleSize val="0"/>
            </c:dLbl>
            <c:dLbl>
              <c:idx val="6"/>
              <c:layout>
                <c:manualLayout>
                  <c:x val="-2.9021558872305151E-2"/>
                  <c:y val="2.2707421267364192E-2"/>
                </c:manualLayout>
              </c:layout>
              <c:dLblPos val="r"/>
              <c:showLegendKey val="0"/>
              <c:showVal val="1"/>
              <c:showCatName val="0"/>
              <c:showSerName val="0"/>
              <c:showPercent val="0"/>
              <c:showBubbleSize val="0"/>
            </c:dLbl>
            <c:dLbl>
              <c:idx val="7"/>
              <c:layout>
                <c:manualLayout>
                  <c:x val="-8.2918739635157483E-4"/>
                  <c:y val="1.0107553590501505E-2"/>
                </c:manualLayout>
              </c:layout>
              <c:dLblPos val="r"/>
              <c:showLegendKey val="0"/>
              <c:showVal val="1"/>
              <c:showCatName val="0"/>
              <c:showSerName val="0"/>
              <c:showPercent val="0"/>
              <c:showBubbleSize val="0"/>
            </c:dLbl>
            <c:dLbl>
              <c:idx val="8"/>
              <c:layout>
                <c:manualLayout>
                  <c:x val="5.8053486910256639E-3"/>
                  <c:y val="-5.9540705028183954E-2"/>
                </c:manualLayout>
              </c:layout>
              <c:tx>
                <c:rich>
                  <a:bodyPr/>
                  <a:lstStyle/>
                  <a:p>
                    <a:r>
                      <a:rPr lang="en-US" altLang="ja-JP"/>
                      <a:t>3.3</a:t>
                    </a:r>
                    <a:endParaRPr lang="en-US" altLang="en-US"/>
                  </a:p>
                </c:rich>
              </c:tx>
              <c:dLblPos val="r"/>
              <c:showLegendKey val="0"/>
              <c:showVal val="1"/>
              <c:showCatName val="0"/>
              <c:showSerName val="0"/>
              <c:showPercent val="0"/>
              <c:showBubbleSize val="0"/>
            </c:dLbl>
            <c:dLbl>
              <c:idx val="9"/>
              <c:layout>
                <c:manualLayout>
                  <c:x val="7.4626865671641824E-3"/>
                  <c:y val="-7.1924290220820114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Sheet1!$B$1:$K$1</c:f>
              <c:strCache>
                <c:ptCount val="10"/>
                <c:pt idx="0">
                  <c:v>県広報紙「さんＳＵＮ高知」（毎月１日発行）</c:v>
                </c:pt>
                <c:pt idx="1">
                  <c:v>テレビ番組「おはようこうち」</c:v>
                </c:pt>
                <c:pt idx="2">
                  <c:v>テレビ番組「県民ニュース」</c:v>
                </c:pt>
                <c:pt idx="3">
                  <c:v>新聞広告「高知県からのお知らせ」など（高知新聞の広告欄に掲載）</c:v>
                </c:pt>
                <c:pt idx="4">
                  <c:v>テレビ番組「知っとく高知県」</c:v>
                </c:pt>
                <c:pt idx="5">
                  <c:v>県のホームページ</c:v>
                </c:pt>
                <c:pt idx="6">
                  <c:v>見たり、聴いたりしていない</c:v>
                </c:pt>
                <c:pt idx="7">
                  <c:v>ラジオ番組「聞かせて高知県」、「ラジオ県庁ナビ」、「高知県からのお知らせ」</c:v>
                </c:pt>
                <c:pt idx="8">
                  <c:v>県のツイッター、フェイスブック</c:v>
                </c:pt>
                <c:pt idx="9">
                  <c:v>県の動画サイト「こうちインターネット放送局」</c:v>
                </c:pt>
              </c:strCache>
            </c:strRef>
          </c:cat>
          <c:val>
            <c:numRef>
              <c:f>Sheet1!$B$4:$K$4</c:f>
              <c:numCache>
                <c:formatCode>0.0</c:formatCode>
                <c:ptCount val="10"/>
                <c:pt idx="0">
                  <c:v>63.5</c:v>
                </c:pt>
                <c:pt idx="1">
                  <c:v>49.4</c:v>
                </c:pt>
                <c:pt idx="2">
                  <c:v>39.800000000000004</c:v>
                </c:pt>
                <c:pt idx="3">
                  <c:v>26.9</c:v>
                </c:pt>
                <c:pt idx="4">
                  <c:v>18.399999999999999</c:v>
                </c:pt>
                <c:pt idx="5">
                  <c:v>13.9</c:v>
                </c:pt>
                <c:pt idx="6">
                  <c:v>11.1</c:v>
                </c:pt>
                <c:pt idx="7">
                  <c:v>7.2</c:v>
                </c:pt>
                <c:pt idx="8">
                  <c:v>3.3</c:v>
                </c:pt>
                <c:pt idx="9">
                  <c:v>1</c:v>
                </c:pt>
              </c:numCache>
            </c:numRef>
          </c:val>
          <c:smooth val="0"/>
        </c:ser>
        <c:dLbls>
          <c:showLegendKey val="0"/>
          <c:showVal val="0"/>
          <c:showCatName val="0"/>
          <c:showSerName val="0"/>
          <c:showPercent val="0"/>
          <c:showBubbleSize val="0"/>
        </c:dLbls>
        <c:marker val="1"/>
        <c:smooth val="0"/>
        <c:axId val="159192576"/>
        <c:axId val="159194112"/>
      </c:lineChart>
      <c:catAx>
        <c:axId val="159192576"/>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9194112"/>
        <c:crosses val="autoZero"/>
        <c:auto val="1"/>
        <c:lblAlgn val="ctr"/>
        <c:lblOffset val="100"/>
        <c:noMultiLvlLbl val="0"/>
      </c:catAx>
      <c:valAx>
        <c:axId val="159194112"/>
        <c:scaling>
          <c:orientation val="minMax"/>
          <c:max val="7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9192576"/>
        <c:crosses val="autoZero"/>
        <c:crossBetween val="between"/>
        <c:majorUnit val="10"/>
      </c:valAx>
      <c:spPr>
        <a:ln>
          <a:noFill/>
        </a:ln>
      </c:spPr>
    </c:plotArea>
    <c:legend>
      <c:legendPos val="b"/>
      <c:layout>
        <c:manualLayout>
          <c:xMode val="edge"/>
          <c:yMode val="edge"/>
          <c:x val="0.61604941173399674"/>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048323445757858"/>
          <c:y val="4.5945260968926364E-2"/>
          <c:w val="0.66135376726083062"/>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Sheet1!$B$2:$B$11</c:f>
              <c:numCache>
                <c:formatCode>0.0_);[Red]\(0.0\)</c:formatCode>
                <c:ptCount val="10"/>
                <c:pt idx="0">
                  <c:v>18.399999999999999</c:v>
                </c:pt>
                <c:pt idx="1">
                  <c:v>52.9</c:v>
                </c:pt>
                <c:pt idx="2">
                  <c:v>21.8</c:v>
                </c:pt>
                <c:pt idx="3">
                  <c:v>6.9</c:v>
                </c:pt>
                <c:pt idx="4">
                  <c:v>14.9</c:v>
                </c:pt>
                <c:pt idx="5">
                  <c:v>13.8</c:v>
                </c:pt>
                <c:pt idx="6">
                  <c:v>32.200000000000003</c:v>
                </c:pt>
                <c:pt idx="7">
                  <c:v>2.2999999999999998</c:v>
                </c:pt>
                <c:pt idx="8">
                  <c:v>6.9</c:v>
                </c:pt>
                <c:pt idx="9">
                  <c:v>1.1000000000000001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Sheet1!$C$2:$C$11</c:f>
              <c:numCache>
                <c:formatCode>0.0_);[Red]\(0.0\)</c:formatCode>
                <c:ptCount val="10"/>
                <c:pt idx="0">
                  <c:v>34.200000000000003</c:v>
                </c:pt>
                <c:pt idx="1">
                  <c:v>49</c:v>
                </c:pt>
                <c:pt idx="2">
                  <c:v>24.8</c:v>
                </c:pt>
                <c:pt idx="3">
                  <c:v>14.9</c:v>
                </c:pt>
                <c:pt idx="4">
                  <c:v>17.8</c:v>
                </c:pt>
                <c:pt idx="5">
                  <c:v>18.8</c:v>
                </c:pt>
                <c:pt idx="6">
                  <c:v>26.2</c:v>
                </c:pt>
                <c:pt idx="7">
                  <c:v>5.4</c:v>
                </c:pt>
                <c:pt idx="8">
                  <c:v>6.9</c:v>
                </c:pt>
                <c:pt idx="9">
                  <c:v>0.5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Sheet1!$D$2:$D$11</c:f>
              <c:numCache>
                <c:formatCode>0.0_);[Red]\(0.0\)</c:formatCode>
                <c:ptCount val="10"/>
                <c:pt idx="0">
                  <c:v>52.2</c:v>
                </c:pt>
                <c:pt idx="1">
                  <c:v>42.3</c:v>
                </c:pt>
                <c:pt idx="2">
                  <c:v>28.5</c:v>
                </c:pt>
                <c:pt idx="3">
                  <c:v>20.2</c:v>
                </c:pt>
                <c:pt idx="4">
                  <c:v>17.8</c:v>
                </c:pt>
                <c:pt idx="5">
                  <c:v>13.8</c:v>
                </c:pt>
                <c:pt idx="6">
                  <c:v>19.399999999999999</c:v>
                </c:pt>
                <c:pt idx="7">
                  <c:v>7.5</c:v>
                </c:pt>
                <c:pt idx="8">
                  <c:v>3.6</c:v>
                </c:pt>
                <c:pt idx="9">
                  <c:v>0.8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Sheet1!$E$2:$E$11</c:f>
              <c:numCache>
                <c:formatCode>0.0_);[Red]\(0.0\)</c:formatCode>
                <c:ptCount val="10"/>
                <c:pt idx="0">
                  <c:v>68.3</c:v>
                </c:pt>
                <c:pt idx="1">
                  <c:v>48.9</c:v>
                </c:pt>
                <c:pt idx="2">
                  <c:v>38.6</c:v>
                </c:pt>
                <c:pt idx="3">
                  <c:v>27.4</c:v>
                </c:pt>
                <c:pt idx="4">
                  <c:v>18.3</c:v>
                </c:pt>
                <c:pt idx="5">
                  <c:v>17.100000000000001</c:v>
                </c:pt>
                <c:pt idx="6">
                  <c:v>9.7000000000000011</c:v>
                </c:pt>
                <c:pt idx="7">
                  <c:v>7.7</c:v>
                </c:pt>
                <c:pt idx="8">
                  <c:v>2.2999999999999998</c:v>
                </c:pt>
                <c:pt idx="9">
                  <c:v>1.4</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2.1298683003483257E-3"/>
                  <c:y val="3.27983736633864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Sheet1!$F$2:$F$11</c:f>
              <c:numCache>
                <c:formatCode>0.0_);[Red]\(0.0\)</c:formatCode>
                <c:ptCount val="10"/>
                <c:pt idx="0">
                  <c:v>72.599999999999994</c:v>
                </c:pt>
                <c:pt idx="1">
                  <c:v>46.1</c:v>
                </c:pt>
                <c:pt idx="2">
                  <c:v>44</c:v>
                </c:pt>
                <c:pt idx="3">
                  <c:v>34.700000000000003</c:v>
                </c:pt>
                <c:pt idx="4">
                  <c:v>14.6</c:v>
                </c:pt>
                <c:pt idx="5">
                  <c:v>17.5</c:v>
                </c:pt>
                <c:pt idx="6">
                  <c:v>7</c:v>
                </c:pt>
                <c:pt idx="7">
                  <c:v>12.5</c:v>
                </c:pt>
                <c:pt idx="8">
                  <c:v>2.6</c:v>
                </c:pt>
                <c:pt idx="9">
                  <c:v>0.60000000000000064</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9280690089662E-7"/>
                  <c:y val="1.639860591196600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Sheet1!$G$2:$G$11</c:f>
              <c:numCache>
                <c:formatCode>0.0_);[Red]\(0.0\)</c:formatCode>
                <c:ptCount val="10"/>
                <c:pt idx="0">
                  <c:v>73.599999999999994</c:v>
                </c:pt>
                <c:pt idx="1">
                  <c:v>48.3</c:v>
                </c:pt>
                <c:pt idx="2">
                  <c:v>49.8</c:v>
                </c:pt>
                <c:pt idx="3">
                  <c:v>37.9</c:v>
                </c:pt>
                <c:pt idx="4">
                  <c:v>21.1</c:v>
                </c:pt>
                <c:pt idx="5">
                  <c:v>9.6</c:v>
                </c:pt>
                <c:pt idx="6">
                  <c:v>5.7</c:v>
                </c:pt>
                <c:pt idx="7">
                  <c:v>12.3</c:v>
                </c:pt>
                <c:pt idx="8">
                  <c:v>0</c:v>
                </c:pt>
                <c:pt idx="9">
                  <c:v>0.4</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県広報紙「さんＳＵＮ高知」  
（毎月１日発行）　  </c:v>
                </c:pt>
                <c:pt idx="1">
                  <c:v>テレビ番組「おはようこうち」  </c:v>
                </c:pt>
                <c:pt idx="2">
                  <c:v>テレビ番組「県民ニュース」　  </c:v>
                </c:pt>
                <c:pt idx="3">
                  <c:v>新聞広告「高知県からのお知ら 
せ」など（高知新聞の広告欄に
掲載） 
</c:v>
                </c:pt>
                <c:pt idx="4">
                  <c:v>テレビ番組「知っとく高知県」　</c:v>
                </c:pt>
                <c:pt idx="5">
                  <c:v>県のホームページ　　　　　　　</c:v>
                </c:pt>
                <c:pt idx="6">
                  <c:v>見たり、聴いたりしていない　　</c:v>
                </c:pt>
                <c:pt idx="7">
                  <c:v>ラジオ番組「聞かせて高知県」、
「ラジオ県庁ナビ」、「高知県
からのお知らせ」</c:v>
                </c:pt>
                <c:pt idx="8">
                  <c:v>県のツイッター、フェイスブック</c:v>
                </c:pt>
                <c:pt idx="9">
                  <c:v>県の動画サイト「こうちインター
ネット放送局」</c:v>
                </c:pt>
              </c:strCache>
            </c:strRef>
          </c:cat>
          <c:val>
            <c:numRef>
              <c:f>Sheet1!$H$2:$H$11</c:f>
              <c:numCache>
                <c:formatCode>0.0_);[Red]\(0.0\)</c:formatCode>
                <c:ptCount val="10"/>
                <c:pt idx="0">
                  <c:v>64.3</c:v>
                </c:pt>
                <c:pt idx="1">
                  <c:v>46.9</c:v>
                </c:pt>
                <c:pt idx="2">
                  <c:v>62.2</c:v>
                </c:pt>
                <c:pt idx="3">
                  <c:v>38.800000000000004</c:v>
                </c:pt>
                <c:pt idx="4">
                  <c:v>24.5</c:v>
                </c:pt>
                <c:pt idx="5">
                  <c:v>5.0999999999999996</c:v>
                </c:pt>
                <c:pt idx="6">
                  <c:v>4.0999999999999996</c:v>
                </c:pt>
                <c:pt idx="7">
                  <c:v>11.2</c:v>
                </c:pt>
                <c:pt idx="8">
                  <c:v>0</c:v>
                </c:pt>
                <c:pt idx="9">
                  <c:v>1</c:v>
                </c:pt>
              </c:numCache>
            </c:numRef>
          </c:val>
        </c:ser>
        <c:dLbls>
          <c:showLegendKey val="0"/>
          <c:showVal val="1"/>
          <c:showCatName val="0"/>
          <c:showSerName val="0"/>
          <c:showPercent val="0"/>
          <c:showBubbleSize val="0"/>
        </c:dLbls>
        <c:gapWidth val="100"/>
        <c:axId val="159341184"/>
        <c:axId val="159359360"/>
      </c:barChart>
      <c:catAx>
        <c:axId val="15934118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59359360"/>
        <c:crosses val="autoZero"/>
        <c:auto val="1"/>
        <c:lblAlgn val="ctr"/>
        <c:lblOffset val="100"/>
        <c:noMultiLvlLbl val="0"/>
      </c:catAx>
      <c:valAx>
        <c:axId val="159359360"/>
        <c:scaling>
          <c:orientation val="minMax"/>
          <c:max val="8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5934118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04236489669874"/>
          <c:y val="0.14363328476219195"/>
          <c:w val="0.73201847365233264"/>
          <c:h val="0.83717024921723959"/>
        </c:manualLayout>
      </c:layout>
      <c:barChart>
        <c:barDir val="bar"/>
        <c:grouping val="percentStacked"/>
        <c:varyColors val="0"/>
        <c:ser>
          <c:idx val="0"/>
          <c:order val="0"/>
          <c:tx>
            <c:strRef>
              <c:f>Sheet1!$B$1</c:f>
              <c:strCache>
                <c:ptCount val="1"/>
                <c:pt idx="0">
                  <c:v>すべての記事を読んでいる</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Sheet1!$B$2:$B$11</c:f>
              <c:numCache>
                <c:formatCode>0.0</c:formatCode>
                <c:ptCount val="10"/>
                <c:pt idx="0">
                  <c:v>8.6</c:v>
                </c:pt>
                <c:pt idx="1">
                  <c:v>10.4</c:v>
                </c:pt>
                <c:pt idx="2">
                  <c:v>7.4</c:v>
                </c:pt>
                <c:pt idx="3">
                  <c:v>12.5</c:v>
                </c:pt>
                <c:pt idx="4">
                  <c:v>5.8</c:v>
                </c:pt>
                <c:pt idx="5">
                  <c:v>7.6</c:v>
                </c:pt>
                <c:pt idx="6">
                  <c:v>12.1</c:v>
                </c:pt>
                <c:pt idx="7">
                  <c:v>5.6</c:v>
                </c:pt>
                <c:pt idx="8">
                  <c:v>8.3000000000000007</c:v>
                </c:pt>
                <c:pt idx="9">
                  <c:v>12.7</c:v>
                </c:pt>
              </c:numCache>
            </c:numRef>
          </c:val>
        </c:ser>
        <c:ser>
          <c:idx val="1"/>
          <c:order val="1"/>
          <c:tx>
            <c:strRef>
              <c:f>Sheet1!$C$1</c:f>
              <c:strCache>
                <c:ptCount val="1"/>
                <c:pt idx="0">
                  <c:v>ほとんどの記事を読んでいる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Sheet1!$C$2:$C$11</c:f>
              <c:numCache>
                <c:formatCode>0.0</c:formatCode>
                <c:ptCount val="10"/>
                <c:pt idx="0">
                  <c:v>23.7</c:v>
                </c:pt>
                <c:pt idx="1">
                  <c:v>24.3</c:v>
                </c:pt>
                <c:pt idx="2">
                  <c:v>23.4</c:v>
                </c:pt>
                <c:pt idx="3">
                  <c:v>12.5</c:v>
                </c:pt>
                <c:pt idx="4">
                  <c:v>18.8</c:v>
                </c:pt>
                <c:pt idx="5">
                  <c:v>22.7</c:v>
                </c:pt>
                <c:pt idx="6">
                  <c:v>20.5</c:v>
                </c:pt>
                <c:pt idx="7">
                  <c:v>26.1</c:v>
                </c:pt>
                <c:pt idx="8">
                  <c:v>27.1</c:v>
                </c:pt>
                <c:pt idx="9">
                  <c:v>27</c:v>
                </c:pt>
              </c:numCache>
            </c:numRef>
          </c:val>
        </c:ser>
        <c:ser>
          <c:idx val="2"/>
          <c:order val="2"/>
          <c:tx>
            <c:strRef>
              <c:f>Sheet1!$D$1</c:f>
              <c:strCache>
                <c:ptCount val="1"/>
                <c:pt idx="0">
                  <c:v>一部の記事だけ読んでいる</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Sheet1!$D$2:$D$11</c:f>
              <c:numCache>
                <c:formatCode>0.0</c:formatCode>
                <c:ptCount val="10"/>
                <c:pt idx="0">
                  <c:v>40.9</c:v>
                </c:pt>
                <c:pt idx="1">
                  <c:v>38.6</c:v>
                </c:pt>
                <c:pt idx="2">
                  <c:v>42.6</c:v>
                </c:pt>
                <c:pt idx="3">
                  <c:v>37.5</c:v>
                </c:pt>
                <c:pt idx="4">
                  <c:v>33.300000000000004</c:v>
                </c:pt>
                <c:pt idx="5">
                  <c:v>41.7</c:v>
                </c:pt>
                <c:pt idx="6">
                  <c:v>40.200000000000003</c:v>
                </c:pt>
                <c:pt idx="7">
                  <c:v>45</c:v>
                </c:pt>
                <c:pt idx="8">
                  <c:v>39.1</c:v>
                </c:pt>
                <c:pt idx="9">
                  <c:v>41.3</c:v>
                </c:pt>
              </c:numCache>
            </c:numRef>
          </c:val>
        </c:ser>
        <c:ser>
          <c:idx val="3"/>
          <c:order val="3"/>
          <c:tx>
            <c:strRef>
              <c:f>Sheet1!$E$1</c:f>
              <c:strCache>
                <c:ptCount val="1"/>
                <c:pt idx="0">
                  <c:v>見出しだけ見ている</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Sheet1!$E$2:$E$11</c:f>
              <c:numCache>
                <c:formatCode>0.0</c:formatCode>
                <c:ptCount val="10"/>
                <c:pt idx="0">
                  <c:v>12</c:v>
                </c:pt>
                <c:pt idx="1">
                  <c:v>12.6</c:v>
                </c:pt>
                <c:pt idx="2">
                  <c:v>11.5</c:v>
                </c:pt>
                <c:pt idx="3">
                  <c:v>12.5</c:v>
                </c:pt>
                <c:pt idx="4">
                  <c:v>18.8</c:v>
                </c:pt>
                <c:pt idx="5">
                  <c:v>8.3000000000000007</c:v>
                </c:pt>
                <c:pt idx="6">
                  <c:v>10.5</c:v>
                </c:pt>
                <c:pt idx="7">
                  <c:v>11.6</c:v>
                </c:pt>
                <c:pt idx="8">
                  <c:v>14.6</c:v>
                </c:pt>
                <c:pt idx="9">
                  <c:v>11.1</c:v>
                </c:pt>
              </c:numCache>
            </c:numRef>
          </c:val>
        </c:ser>
        <c:ser>
          <c:idx val="4"/>
          <c:order val="4"/>
          <c:tx>
            <c:strRef>
              <c:f>Sheet1!$F$1</c:f>
              <c:strCache>
                <c:ptCount val="1"/>
                <c:pt idx="0">
                  <c:v>写真、イラストだけ見ている</c:v>
                </c:pt>
              </c:strCache>
            </c:strRef>
          </c:tx>
          <c:spPr>
            <a:pattFill prst="pct5">
              <a:fgClr>
                <a:sysClr val="windowText" lastClr="000000"/>
              </a:fgClr>
              <a:bgClr>
                <a:srgbClr val="FFFF00"/>
              </a:bgClr>
            </a:pattFill>
            <a:ln>
              <a:solidFill>
                <a:sysClr val="windowText" lastClr="000000"/>
              </a:solidFill>
            </a:ln>
          </c:spPr>
          <c:invertIfNegative val="0"/>
          <c:dLbls>
            <c:dLbl>
              <c:idx val="0"/>
              <c:layout>
                <c:manualLayout>
                  <c:x val="-6.4102564102564534E-3"/>
                  <c:y val="-3.857566364991255E-2"/>
                </c:manualLayout>
              </c:layout>
              <c:dLblPos val="ctr"/>
              <c:showLegendKey val="0"/>
              <c:showVal val="1"/>
              <c:showCatName val="0"/>
              <c:showSerName val="0"/>
              <c:showPercent val="0"/>
              <c:showBubbleSize val="0"/>
            </c:dLbl>
            <c:dLbl>
              <c:idx val="1"/>
              <c:layout>
                <c:manualLayout>
                  <c:x val="-2.1436106480735976E-3"/>
                  <c:y val="-3.4287580662312911E-2"/>
                </c:manualLayout>
              </c:layout>
              <c:dLblPos val="ctr"/>
              <c:showLegendKey val="0"/>
              <c:showVal val="1"/>
              <c:showCatName val="0"/>
              <c:showSerName val="0"/>
              <c:showPercent val="0"/>
              <c:showBubbleSize val="0"/>
            </c:dLbl>
            <c:dLbl>
              <c:idx val="2"/>
              <c:layout>
                <c:manualLayout>
                  <c:x val="-4.2735042735042739E-3"/>
                  <c:y val="-3.857566364991255E-2"/>
                </c:manualLayout>
              </c:layout>
              <c:dLblPos val="ctr"/>
              <c:showLegendKey val="0"/>
              <c:showVal val="1"/>
              <c:showCatName val="0"/>
              <c:showSerName val="0"/>
              <c:showPercent val="0"/>
              <c:showBubbleSize val="0"/>
            </c:dLbl>
            <c:dLbl>
              <c:idx val="3"/>
              <c:delete val="1"/>
            </c:dLbl>
            <c:dLbl>
              <c:idx val="4"/>
              <c:layout>
                <c:manualLayout>
                  <c:x val="-4.2735042735042739E-3"/>
                  <c:y val="-3.6432571224917415E-2"/>
                </c:manualLayout>
              </c:layout>
              <c:dLblPos val="ctr"/>
              <c:showLegendKey val="0"/>
              <c:showVal val="1"/>
              <c:showCatName val="0"/>
              <c:showSerName val="0"/>
              <c:showPercent val="0"/>
              <c:showBubbleSize val="0"/>
            </c:dLbl>
            <c:dLbl>
              <c:idx val="5"/>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6"/>
              <c:layout>
                <c:manualLayout>
                  <c:x val="-6.4102564102564534E-3"/>
                  <c:y val="-3.4289478799922245E-2"/>
                </c:manualLayout>
              </c:layout>
              <c:dLblPos val="ctr"/>
              <c:showLegendKey val="0"/>
              <c:showVal val="1"/>
              <c:showCatName val="0"/>
              <c:showSerName val="0"/>
              <c:showPercent val="0"/>
              <c:showBubbleSize val="0"/>
            </c:dLbl>
            <c:dLbl>
              <c:idx val="7"/>
              <c:layout>
                <c:manualLayout>
                  <c:x val="-8.5470085470085496E-3"/>
                  <c:y val="-4.0718756074907693E-2"/>
                </c:manualLayout>
              </c:layout>
              <c:dLblPos val="ctr"/>
              <c:showLegendKey val="0"/>
              <c:showVal val="1"/>
              <c:showCatName val="0"/>
              <c:showSerName val="0"/>
              <c:showPercent val="0"/>
              <c:showBubbleSize val="0"/>
            </c:dLbl>
            <c:dLbl>
              <c:idx val="8"/>
              <c:layout>
                <c:manualLayout>
                  <c:x val="-8.5470085470085496E-3"/>
                  <c:y val="-3.857566364991255E-2"/>
                </c:manualLayout>
              </c:layout>
              <c:dLblPos val="ctr"/>
              <c:showLegendKey val="0"/>
              <c:showVal val="1"/>
              <c:showCatName val="0"/>
              <c:showSerName val="0"/>
              <c:showPercent val="0"/>
              <c:showBubbleSize val="0"/>
            </c:dLbl>
            <c:dLbl>
              <c:idx val="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Sheet1!$F$2:$F$11</c:f>
              <c:numCache>
                <c:formatCode>0.0</c:formatCode>
                <c:ptCount val="10"/>
                <c:pt idx="0">
                  <c:v>3.4</c:v>
                </c:pt>
                <c:pt idx="1">
                  <c:v>2.5</c:v>
                </c:pt>
                <c:pt idx="2">
                  <c:v>4.0999999999999996</c:v>
                </c:pt>
                <c:pt idx="3">
                  <c:v>0</c:v>
                </c:pt>
                <c:pt idx="4">
                  <c:v>2.9</c:v>
                </c:pt>
                <c:pt idx="5">
                  <c:v>7.6</c:v>
                </c:pt>
                <c:pt idx="6">
                  <c:v>3.8</c:v>
                </c:pt>
                <c:pt idx="7">
                  <c:v>2.8</c:v>
                </c:pt>
                <c:pt idx="8">
                  <c:v>2.6</c:v>
                </c:pt>
                <c:pt idx="9">
                  <c:v>0</c:v>
                </c:pt>
              </c:numCache>
            </c:numRef>
          </c:val>
        </c:ser>
        <c:ser>
          <c:idx val="5"/>
          <c:order val="5"/>
          <c:tx>
            <c:strRef>
              <c:f>Sheet1!$G$1</c:f>
              <c:strCache>
                <c:ptCount val="1"/>
                <c:pt idx="0">
                  <c:v>ほとんど見ていない</c:v>
                </c:pt>
              </c:strCache>
            </c:strRef>
          </c:tx>
          <c:spPr>
            <a:pattFill prst="ltUp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Sheet1!$G$2:$G$11</c:f>
              <c:numCache>
                <c:formatCode>0.0</c:formatCode>
                <c:ptCount val="10"/>
                <c:pt idx="0">
                  <c:v>7.7</c:v>
                </c:pt>
                <c:pt idx="1">
                  <c:v>8.7000000000000011</c:v>
                </c:pt>
                <c:pt idx="2">
                  <c:v>7</c:v>
                </c:pt>
                <c:pt idx="3">
                  <c:v>12.5</c:v>
                </c:pt>
                <c:pt idx="4">
                  <c:v>11.6</c:v>
                </c:pt>
                <c:pt idx="5">
                  <c:v>9.8000000000000007</c:v>
                </c:pt>
                <c:pt idx="6">
                  <c:v>8.4</c:v>
                </c:pt>
                <c:pt idx="7">
                  <c:v>6.8</c:v>
                </c:pt>
                <c:pt idx="8">
                  <c:v>5.2</c:v>
                </c:pt>
                <c:pt idx="9">
                  <c:v>6.3</c:v>
                </c:pt>
              </c:numCache>
            </c:numRef>
          </c:val>
        </c:ser>
        <c:ser>
          <c:idx val="6"/>
          <c:order val="6"/>
          <c:tx>
            <c:strRef>
              <c:f>Sheet1!$H$1</c:f>
              <c:strCache>
                <c:ptCount val="1"/>
                <c:pt idx="0">
                  <c:v>全く見ていない</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1.282051282051282E-2"/>
                  <c:y val="-3.857566364991255E-2"/>
                </c:manualLayout>
              </c:layout>
              <c:dLblPos val="ctr"/>
              <c:showLegendKey val="0"/>
              <c:showVal val="1"/>
              <c:showCatName val="0"/>
              <c:showSerName val="0"/>
              <c:showPercent val="0"/>
              <c:showBubbleSize val="0"/>
            </c:dLbl>
            <c:dLbl>
              <c:idx val="1"/>
              <c:layout>
                <c:manualLayout>
                  <c:x val="-8.5510712000217946E-3"/>
                  <c:y val="-3.6430586102535453E-2"/>
                </c:manualLayout>
              </c:layout>
              <c:dLblPos val="ctr"/>
              <c:showLegendKey val="0"/>
              <c:showVal val="1"/>
              <c:showCatName val="0"/>
              <c:showSerName val="0"/>
              <c:showPercent val="0"/>
              <c:showBubbleSize val="0"/>
            </c:dLbl>
            <c:dLbl>
              <c:idx val="2"/>
              <c:layout>
                <c:manualLayout>
                  <c:x val="-1.0683760683760906E-2"/>
                  <c:y val="-3.857566364991255E-2"/>
                </c:manualLayout>
              </c:layout>
              <c:dLblPos val="ctr"/>
              <c:showLegendKey val="0"/>
              <c:showVal val="1"/>
              <c:showCatName val="0"/>
              <c:showSerName val="0"/>
              <c:showPercent val="0"/>
              <c:showBubbleSize val="0"/>
            </c:dLbl>
            <c:dLbl>
              <c:idx val="3"/>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4"/>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layout>
                <c:manualLayout>
                  <c:x val="-1.282051282051282E-2"/>
                  <c:y val="-4.2861848499902676E-2"/>
                </c:manualLayout>
              </c:layout>
              <c:dLblPos val="ctr"/>
              <c:showLegendKey val="0"/>
              <c:showVal val="1"/>
              <c:showCatName val="0"/>
              <c:showSerName val="0"/>
              <c:showPercent val="0"/>
              <c:showBubbleSize val="0"/>
            </c:dLbl>
            <c:dLbl>
              <c:idx val="6"/>
              <c:layout>
                <c:manualLayout>
                  <c:x val="-1.282051282051282E-2"/>
                  <c:y val="-3.857566364991255E-2"/>
                </c:manualLayout>
              </c:layout>
              <c:dLblPos val="ctr"/>
              <c:showLegendKey val="0"/>
              <c:showVal val="1"/>
              <c:showCatName val="0"/>
              <c:showSerName val="0"/>
              <c:showPercent val="0"/>
              <c:showBubbleSize val="0"/>
            </c:dLbl>
            <c:dLbl>
              <c:idx val="7"/>
              <c:layout>
                <c:manualLayout>
                  <c:x val="-1.282051282051282E-2"/>
                  <c:y val="-4.0718756074907693E-2"/>
                </c:manualLayout>
              </c:layout>
              <c:dLblPos val="ctr"/>
              <c:showLegendKey val="0"/>
              <c:showVal val="1"/>
              <c:showCatName val="0"/>
              <c:showSerName val="0"/>
              <c:showPercent val="0"/>
              <c:showBubbleSize val="0"/>
            </c:dLbl>
            <c:dLbl>
              <c:idx val="8"/>
              <c:layout>
                <c:manualLayout>
                  <c:x val="-6.4143542719710426E-3"/>
                  <c:y val="-3.643294921502499E-2"/>
                </c:manualLayout>
              </c:layout>
              <c:dLblPos val="ctr"/>
              <c:showLegendKey val="0"/>
              <c:showVal val="1"/>
              <c:showCatName val="0"/>
              <c:showSerName val="0"/>
              <c:showPercent val="0"/>
              <c:showBubbleSize val="0"/>
            </c:dLbl>
            <c:dLbl>
              <c:idx val="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Sheet1!$H$2:$H$11</c:f>
              <c:numCache>
                <c:formatCode>0.0</c:formatCode>
                <c:ptCount val="10"/>
                <c:pt idx="0">
                  <c:v>1.2</c:v>
                </c:pt>
                <c:pt idx="1">
                  <c:v>1.7</c:v>
                </c:pt>
                <c:pt idx="2">
                  <c:v>0.9</c:v>
                </c:pt>
                <c:pt idx="3">
                  <c:v>12.5</c:v>
                </c:pt>
                <c:pt idx="4">
                  <c:v>5.8</c:v>
                </c:pt>
                <c:pt idx="5">
                  <c:v>0.8</c:v>
                </c:pt>
                <c:pt idx="6">
                  <c:v>1.3</c:v>
                </c:pt>
                <c:pt idx="7">
                  <c:v>0.4</c:v>
                </c:pt>
                <c:pt idx="8">
                  <c:v>0.5</c:v>
                </c:pt>
                <c:pt idx="9">
                  <c:v>0</c:v>
                </c:pt>
              </c:numCache>
            </c:numRef>
          </c:val>
        </c:ser>
        <c:ser>
          <c:idx val="7"/>
          <c:order val="7"/>
          <c:tx>
            <c:strRef>
              <c:f>Sheet1!$I$1</c:f>
              <c:strCache>
                <c:ptCount val="1"/>
                <c:pt idx="0">
                  <c:v>広報紙が届いていない</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0"/>
              <c:layout>
                <c:manualLayout>
                  <c:x val="8.5470085470085496E-3"/>
                  <c:y val="-3.857566364991255E-2"/>
                </c:manualLayout>
              </c:layout>
              <c:dLblPos val="ctr"/>
              <c:showLegendKey val="0"/>
              <c:showVal val="1"/>
              <c:showCatName val="0"/>
              <c:showSerName val="0"/>
              <c:showPercent val="0"/>
              <c:showBubbleSize val="0"/>
            </c:dLbl>
            <c:dLbl>
              <c:idx val="1"/>
              <c:layout>
                <c:manualLayout>
                  <c:x val="1.7085664727793898E-2"/>
                  <c:y val="-3.6431598865030855E-2"/>
                </c:manualLayout>
              </c:layout>
              <c:dLblPos val="ctr"/>
              <c:showLegendKey val="0"/>
              <c:showVal val="1"/>
              <c:showCatName val="0"/>
              <c:showSerName val="0"/>
              <c:showPercent val="0"/>
              <c:showBubbleSize val="0"/>
            </c:dLbl>
            <c:dLbl>
              <c:idx val="2"/>
              <c:layout>
                <c:manualLayout>
                  <c:x val="1.282051282051282E-2"/>
                  <c:y val="-3.857566364991255E-2"/>
                </c:manualLayout>
              </c:layout>
              <c:dLblPos val="ctr"/>
              <c:showLegendKey val="0"/>
              <c:showVal val="1"/>
              <c:showCatName val="0"/>
              <c:showSerName val="0"/>
              <c:showPercent val="0"/>
              <c:showBubbleSize val="0"/>
            </c:dLbl>
            <c:dLbl>
              <c:idx val="3"/>
              <c:delete val="1"/>
            </c:dLbl>
            <c:dLbl>
              <c:idx val="4"/>
              <c:layout>
                <c:manualLayout>
                  <c:x val="-2.136752136752137E-3"/>
                  <c:y val="-3.857566364991255E-2"/>
                </c:manualLayout>
              </c:layout>
              <c:dLblPos val="ctr"/>
              <c:showLegendKey val="0"/>
              <c:showVal val="1"/>
              <c:showCatName val="0"/>
              <c:showSerName val="0"/>
              <c:showPercent val="0"/>
              <c:showBubbleSize val="0"/>
            </c:dLbl>
            <c:dLbl>
              <c:idx val="5"/>
              <c:delete val="1"/>
            </c:dLbl>
            <c:dLbl>
              <c:idx val="6"/>
              <c:layout>
                <c:manualLayout>
                  <c:x val="1.4953151287562045E-2"/>
                  <c:y val="-3.6430586102535453E-2"/>
                </c:manualLayout>
              </c:layout>
              <c:dLblPos val="ctr"/>
              <c:showLegendKey val="0"/>
              <c:showVal val="1"/>
              <c:showCatName val="0"/>
              <c:showSerName val="0"/>
              <c:showPercent val="0"/>
              <c:showBubbleSize val="0"/>
            </c:dLbl>
            <c:dLbl>
              <c:idx val="7"/>
              <c:layout>
                <c:manualLayout>
                  <c:x val="1.4957186635868001E-2"/>
                  <c:y val="-4.0719128889218983E-2"/>
                </c:manualLayout>
              </c:layout>
              <c:dLblPos val="ctr"/>
              <c:showLegendKey val="0"/>
              <c:showVal val="1"/>
              <c:showCatName val="0"/>
              <c:showSerName val="0"/>
              <c:showPercent val="0"/>
              <c:showBubbleSize val="0"/>
            </c:dLbl>
            <c:dLbl>
              <c:idx val="8"/>
              <c:layout>
                <c:manualLayout>
                  <c:x val="2.136330207171442E-2"/>
                  <c:y val="-3.643294921502499E-2"/>
                </c:manualLayout>
              </c:layout>
              <c:dLblPos val="ctr"/>
              <c:showLegendKey val="0"/>
              <c:showVal val="1"/>
              <c:showCatName val="0"/>
              <c:showSerName val="0"/>
              <c:showPercent val="0"/>
              <c:showBubbleSize val="0"/>
            </c:dLbl>
            <c:dLbl>
              <c:idx val="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Sheet1!$I$2:$I$11</c:f>
              <c:numCache>
                <c:formatCode>0.0</c:formatCode>
                <c:ptCount val="10"/>
                <c:pt idx="0">
                  <c:v>0.9</c:v>
                </c:pt>
                <c:pt idx="1">
                  <c:v>0.2</c:v>
                </c:pt>
                <c:pt idx="2">
                  <c:v>1.4</c:v>
                </c:pt>
                <c:pt idx="3">
                  <c:v>0</c:v>
                </c:pt>
                <c:pt idx="4">
                  <c:v>2.9</c:v>
                </c:pt>
                <c:pt idx="5">
                  <c:v>0</c:v>
                </c:pt>
                <c:pt idx="6">
                  <c:v>1.7</c:v>
                </c:pt>
                <c:pt idx="7">
                  <c:v>0.8</c:v>
                </c:pt>
                <c:pt idx="8">
                  <c:v>0.5</c:v>
                </c:pt>
                <c:pt idx="9">
                  <c:v>0</c:v>
                </c:pt>
              </c:numCache>
            </c:numRef>
          </c:val>
        </c:ser>
        <c:ser>
          <c:idx val="8"/>
          <c:order val="8"/>
          <c:tx>
            <c:strRef>
              <c:f>Sheet1!$J$1</c:f>
              <c:strCache>
                <c:ptCount val="1"/>
                <c:pt idx="0">
                  <c:v>無回答</c:v>
                </c:pt>
              </c:strCache>
            </c:strRef>
          </c:tx>
          <c:spPr>
            <a:pattFill prst="pct20">
              <a:fgClr>
                <a:sysClr val="windowText" lastClr="000000"/>
              </a:fgClr>
              <a:bgClr>
                <a:srgbClr val="92D050"/>
              </a:bgClr>
            </a:pattFill>
            <a:ln>
              <a:solidFill>
                <a:sysClr val="windowText" lastClr="000000"/>
              </a:solidFill>
            </a:ln>
          </c:spPr>
          <c:invertIfNegative val="0"/>
          <c:dLbls>
            <c:dLbl>
              <c:idx val="0"/>
              <c:layout>
                <c:manualLayout>
                  <c:x val="3.2164681337909673E-2"/>
                  <c:y val="0"/>
                </c:manualLayout>
              </c:layout>
              <c:dLblPos val="ctr"/>
              <c:showLegendKey val="0"/>
              <c:showVal val="1"/>
              <c:showCatName val="0"/>
              <c:showSerName val="0"/>
              <c:showPercent val="0"/>
              <c:showBubbleSize val="0"/>
            </c:dLbl>
            <c:dLbl>
              <c:idx val="1"/>
              <c:layout>
                <c:manualLayout>
                  <c:x val="2.9726764923615319E-2"/>
                  <c:y val="0"/>
                </c:manualLayout>
              </c:layout>
              <c:dLblPos val="ctr"/>
              <c:showLegendKey val="0"/>
              <c:showVal val="1"/>
              <c:showCatName val="0"/>
              <c:showSerName val="0"/>
              <c:showPercent val="0"/>
              <c:showBubbleSize val="0"/>
            </c:dLbl>
            <c:dLbl>
              <c:idx val="2"/>
              <c:layout>
                <c:manualLayout>
                  <c:x val="3.1798236758866678E-2"/>
                  <c:y val="0"/>
                </c:manualLayout>
              </c:layout>
              <c:dLblPos val="ctr"/>
              <c:showLegendKey val="0"/>
              <c:showVal val="1"/>
              <c:showCatName val="0"/>
              <c:showSerName val="0"/>
              <c:showPercent val="0"/>
              <c:showBubbleSize val="0"/>
            </c:dLbl>
            <c:dLbl>
              <c:idx val="3"/>
              <c:delete val="1"/>
            </c:dLbl>
            <c:dLbl>
              <c:idx val="4"/>
              <c:delete val="1"/>
            </c:dLbl>
            <c:dLbl>
              <c:idx val="5"/>
              <c:layout>
                <c:manualLayout>
                  <c:x val="3.2170233528501915E-2"/>
                  <c:y val="7.8579147830139317E-17"/>
                </c:manualLayout>
              </c:layout>
              <c:dLblPos val="ctr"/>
              <c:showLegendKey val="0"/>
              <c:showVal val="1"/>
              <c:showCatName val="0"/>
              <c:showSerName val="0"/>
              <c:showPercent val="0"/>
              <c:showBubbleSize val="0"/>
            </c:dLbl>
            <c:dLbl>
              <c:idx val="6"/>
              <c:layout>
                <c:manualLayout>
                  <c:x val="3.358738811494718E-2"/>
                  <c:y val="-7.8579147830139317E-17"/>
                </c:manualLayout>
              </c:layout>
              <c:dLblPos val="ctr"/>
              <c:showLegendKey val="0"/>
              <c:showVal val="1"/>
              <c:showCatName val="0"/>
              <c:showSerName val="0"/>
              <c:showPercent val="0"/>
              <c:showBubbleSize val="0"/>
            </c:dLbl>
            <c:dLbl>
              <c:idx val="7"/>
              <c:layout>
                <c:manualLayout>
                  <c:x val="2.8319032236355068E-2"/>
                  <c:y val="0"/>
                </c:manualLayout>
              </c:layout>
              <c:dLblPos val="ctr"/>
              <c:showLegendKey val="0"/>
              <c:showVal val="1"/>
              <c:showCatName val="0"/>
              <c:showSerName val="0"/>
              <c:showPercent val="0"/>
              <c:showBubbleSize val="0"/>
            </c:dLbl>
            <c:dLbl>
              <c:idx val="8"/>
              <c:layout>
                <c:manualLayout>
                  <c:x val="3.4247594050743659E-2"/>
                  <c:y val="0"/>
                </c:manualLayout>
              </c:layout>
              <c:dLblPos val="ctr"/>
              <c:showLegendKey val="0"/>
              <c:showVal val="1"/>
              <c:showCatName val="0"/>
              <c:showSerName val="0"/>
              <c:showPercent val="0"/>
              <c:showBubbleSize val="0"/>
            </c:dLbl>
            <c:dLbl>
              <c:idx val="9"/>
              <c:layout>
                <c:manualLayout>
                  <c:x val="3.1804125445857812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Sheet1!$A$2:$A$11</c:f>
              <c:strCache>
                <c:ptCount val="10"/>
                <c:pt idx="0">
                  <c:v>総合（n=965)</c:v>
                </c:pt>
                <c:pt idx="1">
                  <c:v>男性(n=404)</c:v>
                </c:pt>
                <c:pt idx="2">
                  <c:v>女性(n=556)</c:v>
                </c:pt>
                <c:pt idx="3">
                  <c:v>10歳代(n=16)</c:v>
                </c:pt>
                <c:pt idx="4">
                  <c:v>20歳代(n=69)</c:v>
                </c:pt>
                <c:pt idx="5">
                  <c:v>30歳代(n=132)</c:v>
                </c:pt>
                <c:pt idx="6">
                  <c:v>40歳代(n=239)</c:v>
                </c:pt>
                <c:pt idx="7">
                  <c:v>50歳代(n=249)</c:v>
                </c:pt>
                <c:pt idx="8">
                  <c:v>60歳代(n=192)</c:v>
                </c:pt>
                <c:pt idx="9">
                  <c:v>70歳以上(n=63)</c:v>
                </c:pt>
              </c:strCache>
            </c:strRef>
          </c:cat>
          <c:val>
            <c:numRef>
              <c:f>Sheet1!$J$2:$J$11</c:f>
              <c:numCache>
                <c:formatCode>0.0</c:formatCode>
                <c:ptCount val="10"/>
                <c:pt idx="0">
                  <c:v>1.5</c:v>
                </c:pt>
                <c:pt idx="1">
                  <c:v>1</c:v>
                </c:pt>
                <c:pt idx="2">
                  <c:v>1.6</c:v>
                </c:pt>
                <c:pt idx="3">
                  <c:v>0</c:v>
                </c:pt>
                <c:pt idx="4">
                  <c:v>0</c:v>
                </c:pt>
                <c:pt idx="5">
                  <c:v>1.5</c:v>
                </c:pt>
                <c:pt idx="6">
                  <c:v>1.7</c:v>
                </c:pt>
                <c:pt idx="7">
                  <c:v>0.8</c:v>
                </c:pt>
                <c:pt idx="8">
                  <c:v>2.1</c:v>
                </c:pt>
                <c:pt idx="9">
                  <c:v>1.6</c:v>
                </c:pt>
              </c:numCache>
            </c:numRef>
          </c:val>
        </c:ser>
        <c:dLbls>
          <c:showLegendKey val="0"/>
          <c:showVal val="0"/>
          <c:showCatName val="0"/>
          <c:showSerName val="0"/>
          <c:showPercent val="0"/>
          <c:showBubbleSize val="0"/>
        </c:dLbls>
        <c:gapWidth val="90"/>
        <c:overlap val="100"/>
        <c:axId val="159647616"/>
        <c:axId val="159649152"/>
      </c:barChart>
      <c:catAx>
        <c:axId val="1596476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59649152"/>
        <c:crosses val="autoZero"/>
        <c:auto val="1"/>
        <c:lblAlgn val="ctr"/>
        <c:lblOffset val="100"/>
        <c:noMultiLvlLbl val="0"/>
      </c:catAx>
      <c:valAx>
        <c:axId val="15964915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59647616"/>
        <c:crosses val="autoZero"/>
        <c:crossBetween val="between"/>
        <c:majorUnit val="0.1"/>
      </c:valAx>
    </c:plotArea>
    <c:legend>
      <c:legendPos val="r"/>
      <c:layout>
        <c:manualLayout>
          <c:xMode val="edge"/>
          <c:yMode val="edge"/>
          <c:x val="1.427451376270274E-2"/>
          <c:y val="1.8843625254239191E-3"/>
          <c:w val="0.98572548623729761"/>
          <c:h val="9.3781218275482248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925468466178859"/>
          <c:h val="0.88157803649116162"/>
        </c:manualLayout>
      </c:layout>
      <c:barChart>
        <c:barDir val="bar"/>
        <c:grouping val="percentStacked"/>
        <c:varyColors val="0"/>
        <c:ser>
          <c:idx val="0"/>
          <c:order val="0"/>
          <c:tx>
            <c:strRef>
              <c:f>Sheet1!$B$1</c:f>
              <c:strCache>
                <c:ptCount val="1"/>
                <c:pt idx="0">
                  <c:v>すべての記事を読んでいる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2"/>
              <c:delete val="1"/>
            </c:dLbl>
            <c:dLbl>
              <c:idx val="10"/>
              <c:layout>
                <c:manualLayout>
                  <c:x val="-1.1597800999737556E-3"/>
                  <c:y val="-2.1061159035382328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4"/>
              <c:layout>
                <c:manualLayout>
                  <c:x val="-5.2830099206452813E-3"/>
                  <c:y val="-2.1061601452863964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6"/>
              <c:layout>
                <c:manualLayout>
                  <c:x val="8.5838025611675568E-4"/>
                  <c:y val="-1.930606244910048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7"/>
              <c:layout>
                <c:manualLayout>
                  <c:x val="-4.9239473143324504E-3"/>
                  <c:y val="-1.930606244910048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8"/>
              <c:delete val="1"/>
            </c:dLbl>
            <c:dLbl>
              <c:idx val="19"/>
              <c:layout>
                <c:manualLayout>
                  <c:x val="-4.2306464336114074E-3"/>
                  <c:y val="-1.93060624491003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inEnd"/>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Sheet1!$B$2:$B$22</c:f>
              <c:numCache>
                <c:formatCode>0.0</c:formatCode>
                <c:ptCount val="21"/>
                <c:pt idx="0">
                  <c:v>8.6</c:v>
                </c:pt>
                <c:pt idx="1">
                  <c:v>12.7</c:v>
                </c:pt>
                <c:pt idx="2">
                  <c:v>0</c:v>
                </c:pt>
                <c:pt idx="3">
                  <c:v>9.3000000000000007</c:v>
                </c:pt>
                <c:pt idx="4">
                  <c:v>11</c:v>
                </c:pt>
                <c:pt idx="5">
                  <c:v>7.6</c:v>
                </c:pt>
                <c:pt idx="6">
                  <c:v>6.1</c:v>
                </c:pt>
                <c:pt idx="7">
                  <c:v>7.5</c:v>
                </c:pt>
                <c:pt idx="8">
                  <c:v>7.7</c:v>
                </c:pt>
                <c:pt idx="9">
                  <c:v>7</c:v>
                </c:pt>
                <c:pt idx="10">
                  <c:v>4.8</c:v>
                </c:pt>
                <c:pt idx="11">
                  <c:v>9.6</c:v>
                </c:pt>
                <c:pt idx="12">
                  <c:v>8.8000000000000007</c:v>
                </c:pt>
                <c:pt idx="13">
                  <c:v>9.7000000000000011</c:v>
                </c:pt>
                <c:pt idx="14">
                  <c:v>6</c:v>
                </c:pt>
                <c:pt idx="15">
                  <c:v>11.3</c:v>
                </c:pt>
                <c:pt idx="16">
                  <c:v>4.2</c:v>
                </c:pt>
                <c:pt idx="17">
                  <c:v>5.5</c:v>
                </c:pt>
                <c:pt idx="18">
                  <c:v>0</c:v>
                </c:pt>
                <c:pt idx="19">
                  <c:v>5.7</c:v>
                </c:pt>
                <c:pt idx="20">
                  <c:v>8.6</c:v>
                </c:pt>
              </c:numCache>
            </c:numRef>
          </c:val>
        </c:ser>
        <c:ser>
          <c:idx val="1"/>
          <c:order val="1"/>
          <c:tx>
            <c:strRef>
              <c:f>Sheet1!$C$1</c:f>
              <c:strCache>
                <c:ptCount val="1"/>
                <c:pt idx="0">
                  <c:v>ほとんどの記事を読んでいる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Sheet1!$C$2:$C$22</c:f>
              <c:numCache>
                <c:formatCode>0.0</c:formatCode>
                <c:ptCount val="21"/>
                <c:pt idx="0">
                  <c:v>23.7</c:v>
                </c:pt>
                <c:pt idx="1">
                  <c:v>23.8</c:v>
                </c:pt>
                <c:pt idx="2">
                  <c:v>20</c:v>
                </c:pt>
                <c:pt idx="3">
                  <c:v>23.3</c:v>
                </c:pt>
                <c:pt idx="4">
                  <c:v>24</c:v>
                </c:pt>
                <c:pt idx="5">
                  <c:v>26.3</c:v>
                </c:pt>
                <c:pt idx="6">
                  <c:v>28.9</c:v>
                </c:pt>
                <c:pt idx="7">
                  <c:v>22.5</c:v>
                </c:pt>
                <c:pt idx="8">
                  <c:v>23.1</c:v>
                </c:pt>
                <c:pt idx="9">
                  <c:v>20</c:v>
                </c:pt>
                <c:pt idx="10">
                  <c:v>9.5</c:v>
                </c:pt>
                <c:pt idx="11">
                  <c:v>26.1</c:v>
                </c:pt>
                <c:pt idx="12">
                  <c:v>18.600000000000001</c:v>
                </c:pt>
                <c:pt idx="13">
                  <c:v>24.3</c:v>
                </c:pt>
                <c:pt idx="14">
                  <c:v>28.4</c:v>
                </c:pt>
                <c:pt idx="15">
                  <c:v>25.8</c:v>
                </c:pt>
                <c:pt idx="16">
                  <c:v>16.7</c:v>
                </c:pt>
                <c:pt idx="17">
                  <c:v>26</c:v>
                </c:pt>
                <c:pt idx="18">
                  <c:v>13.8</c:v>
                </c:pt>
                <c:pt idx="19">
                  <c:v>25.7</c:v>
                </c:pt>
                <c:pt idx="20">
                  <c:v>18.100000000000001</c:v>
                </c:pt>
              </c:numCache>
            </c:numRef>
          </c:val>
        </c:ser>
        <c:ser>
          <c:idx val="2"/>
          <c:order val="2"/>
          <c:tx>
            <c:strRef>
              <c:f>Sheet1!$D$1</c:f>
              <c:strCache>
                <c:ptCount val="1"/>
                <c:pt idx="0">
                  <c:v>一部の記事だけ読んでいる</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Sheet1!$D$2:$D$22</c:f>
              <c:numCache>
                <c:formatCode>0.0</c:formatCode>
                <c:ptCount val="21"/>
                <c:pt idx="0">
                  <c:v>40.9</c:v>
                </c:pt>
                <c:pt idx="1">
                  <c:v>42.9</c:v>
                </c:pt>
                <c:pt idx="2">
                  <c:v>60</c:v>
                </c:pt>
                <c:pt idx="3">
                  <c:v>27.9</c:v>
                </c:pt>
                <c:pt idx="4">
                  <c:v>41.6</c:v>
                </c:pt>
                <c:pt idx="5">
                  <c:v>37.4</c:v>
                </c:pt>
                <c:pt idx="6">
                  <c:v>43</c:v>
                </c:pt>
                <c:pt idx="7">
                  <c:v>37.5</c:v>
                </c:pt>
                <c:pt idx="8">
                  <c:v>46.2</c:v>
                </c:pt>
                <c:pt idx="9">
                  <c:v>47</c:v>
                </c:pt>
                <c:pt idx="10">
                  <c:v>38.1</c:v>
                </c:pt>
                <c:pt idx="11">
                  <c:v>42.6</c:v>
                </c:pt>
                <c:pt idx="12">
                  <c:v>39.200000000000003</c:v>
                </c:pt>
                <c:pt idx="13">
                  <c:v>42.2</c:v>
                </c:pt>
                <c:pt idx="14">
                  <c:v>34.300000000000004</c:v>
                </c:pt>
                <c:pt idx="15">
                  <c:v>37.1</c:v>
                </c:pt>
                <c:pt idx="16">
                  <c:v>58.3</c:v>
                </c:pt>
                <c:pt idx="17">
                  <c:v>37</c:v>
                </c:pt>
                <c:pt idx="18">
                  <c:v>41.4</c:v>
                </c:pt>
                <c:pt idx="19">
                  <c:v>41.4</c:v>
                </c:pt>
                <c:pt idx="20">
                  <c:v>43.8</c:v>
                </c:pt>
              </c:numCache>
            </c:numRef>
          </c:val>
        </c:ser>
        <c:ser>
          <c:idx val="3"/>
          <c:order val="3"/>
          <c:tx>
            <c:strRef>
              <c:f>Sheet1!$E$1</c:f>
              <c:strCache>
                <c:ptCount val="1"/>
                <c:pt idx="0">
                  <c:v>見出しだけ見ている</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Sheet1!$E$2:$E$22</c:f>
              <c:numCache>
                <c:formatCode>0.0</c:formatCode>
                <c:ptCount val="21"/>
                <c:pt idx="0">
                  <c:v>12</c:v>
                </c:pt>
                <c:pt idx="1">
                  <c:v>11.1</c:v>
                </c:pt>
                <c:pt idx="2">
                  <c:v>20</c:v>
                </c:pt>
                <c:pt idx="3">
                  <c:v>16.3</c:v>
                </c:pt>
                <c:pt idx="4">
                  <c:v>11.7</c:v>
                </c:pt>
                <c:pt idx="5">
                  <c:v>12.3</c:v>
                </c:pt>
                <c:pt idx="6">
                  <c:v>7.9</c:v>
                </c:pt>
                <c:pt idx="7">
                  <c:v>10</c:v>
                </c:pt>
                <c:pt idx="8">
                  <c:v>23.1</c:v>
                </c:pt>
                <c:pt idx="9">
                  <c:v>10.4</c:v>
                </c:pt>
                <c:pt idx="10">
                  <c:v>19</c:v>
                </c:pt>
                <c:pt idx="11">
                  <c:v>15.7</c:v>
                </c:pt>
                <c:pt idx="12">
                  <c:v>10.8</c:v>
                </c:pt>
                <c:pt idx="13">
                  <c:v>11.6</c:v>
                </c:pt>
                <c:pt idx="14">
                  <c:v>9</c:v>
                </c:pt>
                <c:pt idx="15">
                  <c:v>10.5</c:v>
                </c:pt>
                <c:pt idx="16">
                  <c:v>12.5</c:v>
                </c:pt>
                <c:pt idx="17">
                  <c:v>16.399999999999999</c:v>
                </c:pt>
                <c:pt idx="18">
                  <c:v>20.7</c:v>
                </c:pt>
                <c:pt idx="19">
                  <c:v>11.4</c:v>
                </c:pt>
                <c:pt idx="20">
                  <c:v>12.4</c:v>
                </c:pt>
              </c:numCache>
            </c:numRef>
          </c:val>
        </c:ser>
        <c:ser>
          <c:idx val="4"/>
          <c:order val="4"/>
          <c:tx>
            <c:strRef>
              <c:f>Sheet1!$F$1</c:f>
              <c:strCache>
                <c:ptCount val="1"/>
                <c:pt idx="0">
                  <c:v>写真、イラストだけ見ている</c:v>
                </c:pt>
              </c:strCache>
            </c:strRef>
          </c:tx>
          <c:spPr>
            <a:pattFill prst="pct5">
              <a:fgClr>
                <a:sysClr val="windowText" lastClr="000000"/>
              </a:fgClr>
              <a:bgClr>
                <a:srgbClr val="FFFF00"/>
              </a:bgClr>
            </a:pattFill>
            <a:ln>
              <a:solidFill>
                <a:sysClr val="windowText" lastClr="000000"/>
              </a:solidFill>
            </a:ln>
          </c:spPr>
          <c:invertIfNegative val="0"/>
          <c:dLbls>
            <c:dLbl>
              <c:idx val="0"/>
              <c:layout>
                <c:manualLayout>
                  <c:x val="0"/>
                  <c:y val="-1.9306062449100561E-2"/>
                </c:manualLayout>
              </c:layout>
              <c:dLblPos val="ctr"/>
              <c:showLegendKey val="0"/>
              <c:showVal val="1"/>
              <c:showCatName val="0"/>
              <c:showSerName val="0"/>
              <c:showPercent val="0"/>
              <c:showBubbleSize val="0"/>
            </c:dLbl>
            <c:dLbl>
              <c:idx val="1"/>
              <c:layout>
                <c:manualLayout>
                  <c:x val="-4.1269843848884095E-3"/>
                  <c:y val="-1.9306062449100481E-2"/>
                </c:manualLayout>
              </c:layout>
              <c:dLblPos val="ctr"/>
              <c:showLegendKey val="0"/>
              <c:showVal val="1"/>
              <c:showCatName val="0"/>
              <c:showSerName val="0"/>
              <c:showPercent val="0"/>
              <c:showBubbleSize val="0"/>
            </c:dLbl>
            <c:dLbl>
              <c:idx val="2"/>
              <c:delete val="1"/>
            </c:dLbl>
            <c:dLbl>
              <c:idx val="3"/>
              <c:layout>
                <c:manualLayout>
                  <c:x val="2.0634921924442082E-3"/>
                  <c:y val="-1.9306062449100481E-2"/>
                </c:manualLayout>
              </c:layout>
              <c:dLblPos val="ctr"/>
              <c:showLegendKey val="0"/>
              <c:showVal val="1"/>
              <c:showCatName val="0"/>
              <c:showSerName val="0"/>
              <c:showPercent val="0"/>
              <c:showBubbleSize val="0"/>
            </c:dLbl>
            <c:dLbl>
              <c:idx val="4"/>
              <c:layout>
                <c:manualLayout>
                  <c:x val="0"/>
                  <c:y val="-1.9306062449100481E-2"/>
                </c:manualLayout>
              </c:layout>
              <c:dLblPos val="ctr"/>
              <c:showLegendKey val="0"/>
              <c:showVal val="1"/>
              <c:showCatName val="0"/>
              <c:showSerName val="0"/>
              <c:showPercent val="0"/>
              <c:showBubbleSize val="0"/>
            </c:dLbl>
            <c:dLbl>
              <c:idx val="5"/>
              <c:layout>
                <c:manualLayout>
                  <c:x val="0"/>
                  <c:y val="-1.9306062449100481E-2"/>
                </c:manualLayout>
              </c:layout>
              <c:dLblPos val="ctr"/>
              <c:showLegendKey val="0"/>
              <c:showVal val="1"/>
              <c:showCatName val="0"/>
              <c:showSerName val="0"/>
              <c:showPercent val="0"/>
              <c:showBubbleSize val="0"/>
            </c:dLbl>
            <c:dLbl>
              <c:idx val="6"/>
              <c:layout>
                <c:manualLayout>
                  <c:x val="-2.0634921924442082E-3"/>
                  <c:y val="-1.9306062449100481E-2"/>
                </c:manualLayout>
              </c:layout>
              <c:dLblPos val="ctr"/>
              <c:showLegendKey val="0"/>
              <c:showVal val="1"/>
              <c:showCatName val="0"/>
              <c:showSerName val="0"/>
              <c:showPercent val="0"/>
              <c:showBubbleSize val="0"/>
            </c:dLbl>
            <c:dLbl>
              <c:idx val="7"/>
              <c:delete val="1"/>
            </c:dLbl>
            <c:dLbl>
              <c:idx val="8"/>
              <c:delete val="1"/>
            </c:dLbl>
            <c:dLbl>
              <c:idx val="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0"/>
                  <c:y val="-2.281625562166489E-2"/>
                </c:manualLayout>
              </c:layout>
              <c:dLblPos val="ctr"/>
              <c:showLegendKey val="0"/>
              <c:showVal val="1"/>
              <c:showCatName val="0"/>
              <c:showSerName val="0"/>
              <c:showPercent val="0"/>
              <c:showBubbleSize val="0"/>
            </c:dLbl>
            <c:dLbl>
              <c:idx val="13"/>
              <c:layout>
                <c:manualLayout>
                  <c:x val="0"/>
                  <c:y val="-1.7550965862818613E-2"/>
                </c:manualLayout>
              </c:layout>
              <c:dLblPos val="ctr"/>
              <c:showLegendKey val="0"/>
              <c:showVal val="1"/>
              <c:showCatName val="0"/>
              <c:showSerName val="0"/>
              <c:showPercent val="0"/>
              <c:showBubbleSize val="0"/>
            </c:dLbl>
            <c:dLbl>
              <c:idx val="14"/>
              <c:layout>
                <c:manualLayout>
                  <c:x val="-2.0634921924442082E-3"/>
                  <c:y val="-1.9306062449100481E-2"/>
                </c:manualLayout>
              </c:layout>
              <c:dLblPos val="ctr"/>
              <c:showLegendKey val="0"/>
              <c:showVal val="1"/>
              <c:showCatName val="0"/>
              <c:showSerName val="0"/>
              <c:showPercent val="0"/>
              <c:showBubbleSize val="0"/>
            </c:dLbl>
            <c:dLbl>
              <c:idx val="15"/>
              <c:layout>
                <c:manualLayout>
                  <c:x val="4.1269843848884095E-3"/>
                  <c:y val="-1.7550965862818613E-2"/>
                </c:manualLayout>
              </c:layout>
              <c:dLblPos val="ctr"/>
              <c:showLegendKey val="0"/>
              <c:showVal val="1"/>
              <c:showCatName val="0"/>
              <c:showSerName val="0"/>
              <c:showPercent val="0"/>
              <c:showBubbleSize val="0"/>
            </c:dLbl>
            <c:dLbl>
              <c:idx val="16"/>
              <c:delete val="1"/>
            </c:dLbl>
            <c:dLbl>
              <c:idx val="17"/>
              <c:layout>
                <c:manualLayout>
                  <c:x val="0"/>
                  <c:y val="-1.9306062449100481E-2"/>
                </c:manualLayout>
              </c:layout>
              <c:dLblPos val="ctr"/>
              <c:showLegendKey val="0"/>
              <c:showVal val="1"/>
              <c:showCatName val="0"/>
              <c:showSerName val="0"/>
              <c:showPercent val="0"/>
              <c:showBubbleSize val="0"/>
            </c:dLbl>
            <c:dLbl>
              <c:idx val="1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9"/>
              <c:layout>
                <c:manualLayout>
                  <c:x val="0"/>
                  <c:y val="-1.9306062449100363E-2"/>
                </c:manualLayout>
              </c:layout>
              <c:dLblPos val="ctr"/>
              <c:showLegendKey val="0"/>
              <c:showVal val="1"/>
              <c:showCatName val="0"/>
              <c:showSerName val="0"/>
              <c:showPercent val="0"/>
              <c:showBubbleSize val="0"/>
            </c:dLbl>
            <c:dLbl>
              <c:idx val="20"/>
              <c:layout>
                <c:manualLayout>
                  <c:x val="-4.1269843848884095E-3"/>
                  <c:y val="-1.930606244910048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Sheet1!$F$2:$F$22</c:f>
              <c:numCache>
                <c:formatCode>0.0</c:formatCode>
                <c:ptCount val="21"/>
                <c:pt idx="0">
                  <c:v>3.4</c:v>
                </c:pt>
                <c:pt idx="1">
                  <c:v>1.6</c:v>
                </c:pt>
                <c:pt idx="2">
                  <c:v>0</c:v>
                </c:pt>
                <c:pt idx="3">
                  <c:v>7</c:v>
                </c:pt>
                <c:pt idx="4">
                  <c:v>2.6</c:v>
                </c:pt>
                <c:pt idx="5">
                  <c:v>4.0999999999999996</c:v>
                </c:pt>
                <c:pt idx="6">
                  <c:v>2.6</c:v>
                </c:pt>
                <c:pt idx="7">
                  <c:v>0</c:v>
                </c:pt>
                <c:pt idx="8">
                  <c:v>0</c:v>
                </c:pt>
                <c:pt idx="9">
                  <c:v>7</c:v>
                </c:pt>
                <c:pt idx="10">
                  <c:v>0</c:v>
                </c:pt>
                <c:pt idx="11">
                  <c:v>0</c:v>
                </c:pt>
                <c:pt idx="12">
                  <c:v>6.9</c:v>
                </c:pt>
                <c:pt idx="13">
                  <c:v>2.2000000000000002</c:v>
                </c:pt>
                <c:pt idx="14">
                  <c:v>6</c:v>
                </c:pt>
                <c:pt idx="15">
                  <c:v>1.6</c:v>
                </c:pt>
                <c:pt idx="16">
                  <c:v>0</c:v>
                </c:pt>
                <c:pt idx="17">
                  <c:v>5.5</c:v>
                </c:pt>
                <c:pt idx="18">
                  <c:v>6.9</c:v>
                </c:pt>
                <c:pt idx="19">
                  <c:v>5.7</c:v>
                </c:pt>
                <c:pt idx="20">
                  <c:v>6.7</c:v>
                </c:pt>
              </c:numCache>
            </c:numRef>
          </c:val>
        </c:ser>
        <c:ser>
          <c:idx val="5"/>
          <c:order val="5"/>
          <c:tx>
            <c:strRef>
              <c:f>Sheet1!$G$1</c:f>
              <c:strCache>
                <c:ptCount val="1"/>
                <c:pt idx="0">
                  <c:v>ほとんど見ていない</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2"/>
              <c:delete val="1"/>
            </c:dLbl>
            <c:dLbl>
              <c:idx val="8"/>
              <c:delete val="1"/>
            </c:dLbl>
            <c:dLbl>
              <c:idx val="11"/>
              <c:layout>
                <c:manualLayout>
                  <c:x val="0"/>
                  <c:y val="-1.930606244910048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6"/>
              <c:layout>
                <c:manualLayout>
                  <c:x val="0"/>
                  <c:y val="-1.755096586281861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Sheet1!$G$2:$G$22</c:f>
              <c:numCache>
                <c:formatCode>0.0</c:formatCode>
                <c:ptCount val="21"/>
                <c:pt idx="0">
                  <c:v>7.7</c:v>
                </c:pt>
                <c:pt idx="1">
                  <c:v>6.3</c:v>
                </c:pt>
                <c:pt idx="2">
                  <c:v>0</c:v>
                </c:pt>
                <c:pt idx="3">
                  <c:v>11.6</c:v>
                </c:pt>
                <c:pt idx="4">
                  <c:v>5.8</c:v>
                </c:pt>
                <c:pt idx="5">
                  <c:v>7</c:v>
                </c:pt>
                <c:pt idx="6">
                  <c:v>7.9</c:v>
                </c:pt>
                <c:pt idx="7">
                  <c:v>20</c:v>
                </c:pt>
                <c:pt idx="8">
                  <c:v>0</c:v>
                </c:pt>
                <c:pt idx="9">
                  <c:v>6.1</c:v>
                </c:pt>
                <c:pt idx="10">
                  <c:v>9.5</c:v>
                </c:pt>
                <c:pt idx="11">
                  <c:v>4.3</c:v>
                </c:pt>
                <c:pt idx="12">
                  <c:v>12.7</c:v>
                </c:pt>
                <c:pt idx="13">
                  <c:v>6.5</c:v>
                </c:pt>
                <c:pt idx="14">
                  <c:v>14.9</c:v>
                </c:pt>
                <c:pt idx="15">
                  <c:v>7.3</c:v>
                </c:pt>
                <c:pt idx="16">
                  <c:v>4.2</c:v>
                </c:pt>
                <c:pt idx="17">
                  <c:v>6.8</c:v>
                </c:pt>
                <c:pt idx="18">
                  <c:v>13.8</c:v>
                </c:pt>
                <c:pt idx="19">
                  <c:v>10</c:v>
                </c:pt>
                <c:pt idx="20">
                  <c:v>6.7</c:v>
                </c:pt>
              </c:numCache>
            </c:numRef>
          </c:val>
        </c:ser>
        <c:ser>
          <c:idx val="6"/>
          <c:order val="6"/>
          <c:tx>
            <c:strRef>
              <c:f>Sheet1!$H$1</c:f>
              <c:strCache>
                <c:ptCount val="1"/>
                <c:pt idx="0">
                  <c:v>全く見ていない</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1.2380953154665241E-2"/>
                  <c:y val="-1.9305924252519251E-2"/>
                </c:manualLayout>
              </c:layout>
              <c:dLblPos val="ctr"/>
              <c:showLegendKey val="0"/>
              <c:showVal val="1"/>
              <c:showCatName val="0"/>
              <c:showSerName val="0"/>
              <c:showPercent val="0"/>
              <c:showBubbleSize val="0"/>
            </c:dLbl>
            <c:dLbl>
              <c:idx val="1"/>
              <c:delete val="1"/>
            </c:dLbl>
            <c:dLbl>
              <c:idx val="2"/>
              <c:delete val="1"/>
            </c:dLbl>
            <c:dLbl>
              <c:idx val="3"/>
              <c:layout>
                <c:manualLayout>
                  <c:x val="-4.1269843848884095E-3"/>
                  <c:y val="-1.9306062449100481E-2"/>
                </c:manualLayout>
              </c:layout>
              <c:dLblPos val="ctr"/>
              <c:showLegendKey val="0"/>
              <c:showVal val="1"/>
              <c:showCatName val="0"/>
              <c:showSerName val="0"/>
              <c:showPercent val="0"/>
              <c:showBubbleSize val="0"/>
            </c:dLbl>
            <c:dLbl>
              <c:idx val="4"/>
              <c:layout>
                <c:manualLayout>
                  <c:x val="-2.0634921924442082E-3"/>
                  <c:y val="-2.1061159035382328E-2"/>
                </c:manualLayout>
              </c:layout>
              <c:dLblPos val="ctr"/>
              <c:showLegendKey val="0"/>
              <c:showVal val="1"/>
              <c:showCatName val="0"/>
              <c:showSerName val="0"/>
              <c:showPercent val="0"/>
              <c:showBubbleSize val="0"/>
            </c:dLbl>
            <c:dLbl>
              <c:idx val="5"/>
              <c:layout>
                <c:manualLayout>
                  <c:x val="0"/>
                  <c:y val="-1.9306062449100481E-2"/>
                </c:manualLayout>
              </c:layout>
              <c:dLblPos val="ctr"/>
              <c:showLegendKey val="0"/>
              <c:showVal val="1"/>
              <c:showCatName val="0"/>
              <c:showSerName val="0"/>
              <c:showPercent val="0"/>
              <c:showBubbleSize val="0"/>
            </c:dLbl>
            <c:dLbl>
              <c:idx val="6"/>
              <c:layout>
                <c:manualLayout>
                  <c:x val="0"/>
                  <c:y val="-1.9306062449100481E-2"/>
                </c:manualLayout>
              </c:layout>
              <c:dLblPos val="ctr"/>
              <c:showLegendKey val="0"/>
              <c:showVal val="1"/>
              <c:showCatName val="0"/>
              <c:showSerName val="0"/>
              <c:showPercent val="0"/>
              <c:showBubbleSize val="0"/>
            </c:dLbl>
            <c:dLbl>
              <c:idx val="7"/>
              <c:delete val="1"/>
            </c:dLbl>
            <c:dLbl>
              <c:idx val="8"/>
              <c:delete val="1"/>
            </c:dLbl>
            <c:dLbl>
              <c:idx val="9"/>
              <c:layout>
                <c:manualLayout>
                  <c:x val="-8.2539687697768191E-3"/>
                  <c:y val="-1.9306062449100481E-2"/>
                </c:manualLayout>
              </c:layout>
              <c:dLblPos val="ctr"/>
              <c:showLegendKey val="0"/>
              <c:showVal val="1"/>
              <c:showCatName val="0"/>
              <c:showSerName val="0"/>
              <c:showPercent val="0"/>
              <c:showBubbleSize val="0"/>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delete val="1"/>
            </c:dLbl>
            <c:dLbl>
              <c:idx val="12"/>
              <c:layout>
                <c:manualLayout>
                  <c:x val="0"/>
                  <c:y val="-2.281625562166489E-2"/>
                </c:manualLayout>
              </c:layout>
              <c:dLblPos val="ctr"/>
              <c:showLegendKey val="0"/>
              <c:showVal val="1"/>
              <c:showCatName val="0"/>
              <c:showSerName val="0"/>
              <c:showPercent val="0"/>
              <c:showBubbleSize val="0"/>
            </c:dLbl>
            <c:dLbl>
              <c:idx val="13"/>
              <c:layout>
                <c:manualLayout>
                  <c:x val="-8.2539687697768191E-3"/>
                  <c:y val="-2.1061159035382328E-2"/>
                </c:manualLayout>
              </c:layout>
              <c:dLblPos val="ctr"/>
              <c:showLegendKey val="0"/>
              <c:showVal val="1"/>
              <c:showCatName val="0"/>
              <c:showSerName val="0"/>
              <c:showPercent val="0"/>
              <c:showBubbleSize val="0"/>
            </c:dLbl>
            <c:dLbl>
              <c:idx val="14"/>
              <c:delete val="1"/>
            </c:dLbl>
            <c:dLbl>
              <c:idx val="15"/>
              <c:layout>
                <c:manualLayout>
                  <c:x val="0"/>
                  <c:y val="-1.9306062449100481E-2"/>
                </c:manualLayout>
              </c:layout>
              <c:dLblPos val="ctr"/>
              <c:showLegendKey val="0"/>
              <c:showVal val="1"/>
              <c:showCatName val="0"/>
              <c:showSerName val="0"/>
              <c:showPercent val="0"/>
              <c:showBubbleSize val="0"/>
            </c:dLbl>
            <c:dLbl>
              <c:idx val="16"/>
              <c:delete val="1"/>
            </c:dLbl>
            <c:dLbl>
              <c:idx val="17"/>
              <c:delete val="1"/>
            </c:dLbl>
            <c:dLbl>
              <c:idx val="18"/>
              <c:layout>
                <c:manualLayout>
                  <c:x val="0"/>
                  <c:y val="-2.281625562166489E-2"/>
                </c:manualLayout>
              </c:layout>
              <c:dLblPos val="ctr"/>
              <c:showLegendKey val="0"/>
              <c:showVal val="1"/>
              <c:showCatName val="0"/>
              <c:showSerName val="0"/>
              <c:showPercent val="0"/>
              <c:showBubbleSize val="0"/>
            </c:dLbl>
            <c:dLbl>
              <c:idx val="19"/>
              <c:delete val="1"/>
            </c:dLbl>
            <c:dLbl>
              <c:idx val="20"/>
              <c:layout>
                <c:manualLayout>
                  <c:x val="-8.2539687697768191E-3"/>
                  <c:y val="-1.930606244910048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Sheet1!$H$2:$H$22</c:f>
              <c:numCache>
                <c:formatCode>0.0</c:formatCode>
                <c:ptCount val="21"/>
                <c:pt idx="0">
                  <c:v>1.2</c:v>
                </c:pt>
                <c:pt idx="1">
                  <c:v>0</c:v>
                </c:pt>
                <c:pt idx="2">
                  <c:v>0</c:v>
                </c:pt>
                <c:pt idx="3">
                  <c:v>2.2999999999999998</c:v>
                </c:pt>
                <c:pt idx="4">
                  <c:v>1.3</c:v>
                </c:pt>
                <c:pt idx="5">
                  <c:v>0.60000000000000064</c:v>
                </c:pt>
                <c:pt idx="6">
                  <c:v>1.8</c:v>
                </c:pt>
                <c:pt idx="7">
                  <c:v>0</c:v>
                </c:pt>
                <c:pt idx="8">
                  <c:v>0</c:v>
                </c:pt>
                <c:pt idx="9">
                  <c:v>0.9</c:v>
                </c:pt>
                <c:pt idx="10">
                  <c:v>19</c:v>
                </c:pt>
                <c:pt idx="11">
                  <c:v>0</c:v>
                </c:pt>
                <c:pt idx="12">
                  <c:v>1</c:v>
                </c:pt>
                <c:pt idx="13">
                  <c:v>1.7</c:v>
                </c:pt>
                <c:pt idx="14">
                  <c:v>0</c:v>
                </c:pt>
                <c:pt idx="15">
                  <c:v>0.8</c:v>
                </c:pt>
                <c:pt idx="16">
                  <c:v>0</c:v>
                </c:pt>
                <c:pt idx="17">
                  <c:v>0</c:v>
                </c:pt>
                <c:pt idx="18">
                  <c:v>3.4</c:v>
                </c:pt>
                <c:pt idx="19">
                  <c:v>0</c:v>
                </c:pt>
                <c:pt idx="20">
                  <c:v>1.9000000000000001</c:v>
                </c:pt>
              </c:numCache>
            </c:numRef>
          </c:val>
        </c:ser>
        <c:ser>
          <c:idx val="7"/>
          <c:order val="7"/>
          <c:tx>
            <c:strRef>
              <c:f>Sheet1!$I$1</c:f>
              <c:strCache>
                <c:ptCount val="1"/>
                <c:pt idx="0">
                  <c:v>広報紙が届いていない</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0"/>
              <c:layout>
                <c:manualLayout>
                  <c:x val="8.2539687697768191E-3"/>
                  <c:y val="-1.9306062449100561E-2"/>
                </c:manualLayout>
              </c:layout>
              <c:dLblPos val="ctr"/>
              <c:showLegendKey val="0"/>
              <c:showVal val="1"/>
              <c:showCatName val="0"/>
              <c:showSerName val="0"/>
              <c:showPercent val="0"/>
              <c:showBubbleSize val="0"/>
            </c:dLbl>
            <c:dLbl>
              <c:idx val="1"/>
              <c:delete val="1"/>
            </c:dLbl>
            <c:dLbl>
              <c:idx val="2"/>
              <c:delete val="1"/>
            </c:dLbl>
            <c:dLbl>
              <c:idx val="3"/>
              <c:layout>
                <c:manualLayout>
                  <c:x val="1.2380953154665241E-2"/>
                  <c:y val="-1.7550965862818613E-2"/>
                </c:manualLayout>
              </c:layout>
              <c:dLblPos val="ctr"/>
              <c:showLegendKey val="0"/>
              <c:showVal val="1"/>
              <c:showCatName val="0"/>
              <c:showSerName val="0"/>
              <c:showPercent val="0"/>
              <c:showBubbleSize val="0"/>
            </c:dLbl>
            <c:dLbl>
              <c:idx val="4"/>
              <c:delete val="1"/>
            </c:dLbl>
            <c:dLbl>
              <c:idx val="5"/>
              <c:layout>
                <c:manualLayout>
                  <c:x val="1.2380953154665241E-2"/>
                  <c:y val="-1.9306062449100481E-2"/>
                </c:manualLayout>
              </c:layout>
              <c:dLblPos val="ctr"/>
              <c:showLegendKey val="0"/>
              <c:showVal val="1"/>
              <c:showCatName val="0"/>
              <c:showSerName val="0"/>
              <c:showPercent val="0"/>
              <c:showBubbleSize val="0"/>
            </c:dLbl>
            <c:dLbl>
              <c:idx val="6"/>
              <c:delete val="1"/>
            </c:dLbl>
            <c:dLbl>
              <c:idx val="7"/>
              <c:delete val="1"/>
            </c:dLbl>
            <c:dLbl>
              <c:idx val="8"/>
              <c:delete val="1"/>
            </c:dLbl>
            <c:dLbl>
              <c:idx val="9"/>
              <c:layout>
                <c:manualLayout>
                  <c:x val="1.2380953154665241E-2"/>
                  <c:y val="-1.9306062449100481E-2"/>
                </c:manualLayout>
              </c:layout>
              <c:dLblPos val="ctr"/>
              <c:showLegendKey val="0"/>
              <c:showVal val="1"/>
              <c:showCatName val="0"/>
              <c:showSerName val="0"/>
              <c:showPercent val="0"/>
              <c:showBubbleSize val="0"/>
            </c:dLbl>
            <c:dLbl>
              <c:idx val="10"/>
              <c:delete val="1"/>
            </c:dLbl>
            <c:dLbl>
              <c:idx val="11"/>
              <c:layout>
                <c:manualLayout>
                  <c:x val="1.0317460962221019E-2"/>
                  <c:y val="-2.1061159035382328E-2"/>
                </c:manualLayout>
              </c:layout>
              <c:dLblPos val="ctr"/>
              <c:showLegendKey val="0"/>
              <c:showVal val="1"/>
              <c:showCatName val="0"/>
              <c:showSerName val="0"/>
              <c:showPercent val="0"/>
              <c:showBubbleSize val="0"/>
            </c:dLbl>
            <c:dLbl>
              <c:idx val="12"/>
              <c:layout>
                <c:manualLayout>
                  <c:x val="2.6825398501775496E-2"/>
                  <c:y val="-1.9306062449100481E-2"/>
                </c:manualLayout>
              </c:layout>
              <c:dLblPos val="ctr"/>
              <c:showLegendKey val="0"/>
              <c:showVal val="1"/>
              <c:showCatName val="0"/>
              <c:showSerName val="0"/>
              <c:showPercent val="0"/>
              <c:showBubbleSize val="0"/>
            </c:dLbl>
            <c:dLbl>
              <c:idx val="13"/>
              <c:layout>
                <c:manualLayout>
                  <c:x val="1.8571429731998164E-2"/>
                  <c:y val="-1.9305924252519251E-2"/>
                </c:manualLayout>
              </c:layout>
              <c:dLblPos val="ctr"/>
              <c:showLegendKey val="0"/>
              <c:showVal val="1"/>
              <c:showCatName val="0"/>
              <c:showSerName val="0"/>
              <c:showPercent val="0"/>
              <c:showBubbleSize val="0"/>
            </c:dLbl>
            <c:dLbl>
              <c:idx val="14"/>
              <c:layout>
                <c:manualLayout>
                  <c:x val="0"/>
                  <c:y val="-2.1061159035382328E-2"/>
                </c:manualLayout>
              </c:layout>
              <c:dLblPos val="ctr"/>
              <c:showLegendKey val="0"/>
              <c:showVal val="1"/>
              <c:showCatName val="0"/>
              <c:showSerName val="0"/>
              <c:showPercent val="0"/>
              <c:showBubbleSize val="0"/>
            </c:dLbl>
            <c:dLbl>
              <c:idx val="15"/>
              <c:layout>
                <c:manualLayout>
                  <c:x val="1.8571429731998164E-2"/>
                  <c:y val="-1.7550965862818613E-2"/>
                </c:manualLayout>
              </c:layout>
              <c:dLblPos val="ctr"/>
              <c:showLegendKey val="0"/>
              <c:showVal val="1"/>
              <c:showCatName val="0"/>
              <c:showSerName val="0"/>
              <c:showPercent val="0"/>
              <c:showBubbleSize val="0"/>
            </c:dLbl>
            <c:dLbl>
              <c:idx val="16"/>
              <c:layout>
                <c:manualLayout>
                  <c:x val="4.1269843848884095E-3"/>
                  <c:y val="-2.281625562166489E-2"/>
                </c:manualLayout>
              </c:layout>
              <c:dLblPos val="ctr"/>
              <c:showLegendKey val="0"/>
              <c:showVal val="1"/>
              <c:showCatName val="0"/>
              <c:showSerName val="0"/>
              <c:showPercent val="0"/>
              <c:showBubbleSize val="0"/>
            </c:dLbl>
            <c:dLbl>
              <c:idx val="17"/>
              <c:layout>
                <c:manualLayout>
                  <c:x val="4.1269843848884095E-3"/>
                  <c:y val="-1.7550965862818613E-2"/>
                </c:manualLayout>
              </c:layout>
              <c:dLblPos val="ctr"/>
              <c:showLegendKey val="0"/>
              <c:showVal val="1"/>
              <c:showCatName val="0"/>
              <c:showSerName val="0"/>
              <c:showPercent val="0"/>
              <c:showBubbleSize val="0"/>
            </c:dLbl>
            <c:dLbl>
              <c:idx val="18"/>
              <c:delete val="1"/>
            </c:dLbl>
            <c:dLbl>
              <c:idx val="19"/>
              <c:delete val="1"/>
            </c:dLbl>
            <c:dLbl>
              <c:idx val="20"/>
              <c:layout>
                <c:manualLayout>
                  <c:x val="1.2380953154665241E-2"/>
                  <c:y val="-1.930606244910048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Sheet1!$I$2:$I$22</c:f>
              <c:numCache>
                <c:formatCode>0.0</c:formatCode>
                <c:ptCount val="21"/>
                <c:pt idx="0">
                  <c:v>0.9</c:v>
                </c:pt>
                <c:pt idx="1">
                  <c:v>0</c:v>
                </c:pt>
                <c:pt idx="2">
                  <c:v>0</c:v>
                </c:pt>
                <c:pt idx="3">
                  <c:v>2.2999999999999998</c:v>
                </c:pt>
                <c:pt idx="4">
                  <c:v>0</c:v>
                </c:pt>
                <c:pt idx="5">
                  <c:v>2.9</c:v>
                </c:pt>
                <c:pt idx="6">
                  <c:v>0</c:v>
                </c:pt>
                <c:pt idx="7">
                  <c:v>0</c:v>
                </c:pt>
                <c:pt idx="8">
                  <c:v>0</c:v>
                </c:pt>
                <c:pt idx="9">
                  <c:v>0.9</c:v>
                </c:pt>
                <c:pt idx="10">
                  <c:v>0</c:v>
                </c:pt>
                <c:pt idx="11">
                  <c:v>0.9</c:v>
                </c:pt>
                <c:pt idx="12">
                  <c:v>1</c:v>
                </c:pt>
                <c:pt idx="13">
                  <c:v>0.2</c:v>
                </c:pt>
                <c:pt idx="14">
                  <c:v>1.5</c:v>
                </c:pt>
                <c:pt idx="15">
                  <c:v>2.4</c:v>
                </c:pt>
                <c:pt idx="16">
                  <c:v>4.2</c:v>
                </c:pt>
                <c:pt idx="17">
                  <c:v>2.7</c:v>
                </c:pt>
                <c:pt idx="18">
                  <c:v>0</c:v>
                </c:pt>
                <c:pt idx="19">
                  <c:v>0</c:v>
                </c:pt>
                <c:pt idx="20">
                  <c:v>1</c:v>
                </c:pt>
              </c:numCache>
            </c:numRef>
          </c:val>
        </c:ser>
        <c:ser>
          <c:idx val="8"/>
          <c:order val="8"/>
          <c:tx>
            <c:strRef>
              <c:f>Sheet1!$J$1</c:f>
              <c:strCache>
                <c:ptCount val="1"/>
                <c:pt idx="0">
                  <c:v>無回答</c:v>
                </c:pt>
              </c:strCache>
            </c:strRef>
          </c:tx>
          <c:spPr>
            <a:pattFill prst="pct20">
              <a:fgClr>
                <a:sysClr val="windowText" lastClr="000000"/>
              </a:fgClr>
              <a:bgClr>
                <a:srgbClr val="92D050"/>
              </a:bgClr>
            </a:pattFill>
            <a:ln>
              <a:solidFill>
                <a:sysClr val="windowText" lastClr="000000"/>
              </a:solidFill>
            </a:ln>
          </c:spPr>
          <c:invertIfNegative val="0"/>
          <c:dLbls>
            <c:dLbl>
              <c:idx val="2"/>
              <c:delete val="1"/>
            </c:dLbl>
            <c:dLbl>
              <c:idx val="3"/>
              <c:delete val="1"/>
            </c:dLbl>
            <c:dLbl>
              <c:idx val="4"/>
              <c:layout>
                <c:manualLayout>
                  <c:x val="2.3592864866445747E-2"/>
                  <c:y val="0"/>
                </c:manualLayout>
              </c:layout>
              <c:dLblPos val="ctr"/>
              <c:showLegendKey val="0"/>
              <c:showVal val="1"/>
              <c:showCatName val="0"/>
              <c:showSerName val="0"/>
              <c:showPercent val="0"/>
              <c:showBubbleSize val="0"/>
            </c:dLbl>
            <c:dLbl>
              <c:idx val="5"/>
              <c:layout>
                <c:manualLayout>
                  <c:x val="2.1882278582820595E-2"/>
                  <c:y val="-3.5101931725637649E-3"/>
                </c:manualLayout>
              </c:layout>
              <c:dLblPos val="ctr"/>
              <c:showLegendKey val="0"/>
              <c:showVal val="1"/>
              <c:showCatName val="0"/>
              <c:showSerName val="0"/>
              <c:showPercent val="0"/>
              <c:showBubbleSize val="0"/>
            </c:dLbl>
            <c:dLbl>
              <c:idx val="6"/>
              <c:layout>
                <c:manualLayout>
                  <c:x val="2.1882278582820595E-2"/>
                  <c:y val="0"/>
                </c:manualLayout>
              </c:layout>
              <c:dLblPos val="ctr"/>
              <c:showLegendKey val="0"/>
              <c:showVal val="1"/>
              <c:showCatName val="0"/>
              <c:showSerName val="0"/>
              <c:showPercent val="0"/>
              <c:showBubbleSize val="0"/>
            </c:dLbl>
            <c:dLbl>
              <c:idx val="7"/>
              <c:layout>
                <c:manualLayout>
                  <c:x val="2.5648720512980911E-2"/>
                  <c:y val="0"/>
                </c:manualLayout>
              </c:layout>
              <c:dLblPos val="ctr"/>
              <c:showLegendKey val="0"/>
              <c:showVal val="1"/>
              <c:showCatName val="0"/>
              <c:showSerName val="0"/>
              <c:showPercent val="0"/>
              <c:showBubbleSize val="0"/>
            </c:dLbl>
            <c:dLbl>
              <c:idx val="8"/>
              <c:delete val="1"/>
            </c:dLbl>
            <c:dLbl>
              <c:idx val="10"/>
              <c:delete val="1"/>
            </c:dLbl>
            <c:dLbl>
              <c:idx val="13"/>
              <c:layout>
                <c:manualLayout>
                  <c:x val="2.2234372093137052E-2"/>
                  <c:y val="3.5101931725637649E-3"/>
                </c:manualLayout>
              </c:layout>
              <c:dLblPos val="ctr"/>
              <c:showLegendKey val="0"/>
              <c:showVal val="1"/>
              <c:showCatName val="0"/>
              <c:showSerName val="0"/>
              <c:showPercent val="0"/>
              <c:showBubbleSize val="0"/>
            </c:dLbl>
            <c:dLbl>
              <c:idx val="14"/>
              <c:delete val="1"/>
            </c:dLbl>
            <c:dLbl>
              <c:idx val="15"/>
              <c:layout>
                <c:manualLayout>
                  <c:x val="2.7351832730398245E-2"/>
                  <c:y val="0"/>
                </c:manualLayout>
              </c:layout>
              <c:dLblPos val="ctr"/>
              <c:showLegendKey val="0"/>
              <c:showVal val="1"/>
              <c:showCatName val="0"/>
              <c:showSerName val="0"/>
              <c:showPercent val="0"/>
              <c:showBubbleSize val="0"/>
            </c:dLbl>
            <c:dLbl>
              <c:idx val="16"/>
              <c:delete val="1"/>
            </c:dLbl>
            <c:dLbl>
              <c:idx val="17"/>
              <c:delete val="1"/>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総合(n=965)</c:v>
                </c:pt>
                <c:pt idx="1">
                  <c:v>農林業(n=63)</c:v>
                </c:pt>
                <c:pt idx="2">
                  <c:v>漁業(n=5)</c:v>
                </c:pt>
                <c:pt idx="3">
                  <c:v>商工サービス業自営(n=43)</c:v>
                </c:pt>
                <c:pt idx="4">
                  <c:v>事務職(n=154)</c:v>
                </c:pt>
                <c:pt idx="5">
                  <c:v>技術職(n=171)</c:v>
                </c:pt>
                <c:pt idx="6">
                  <c:v>労務職(n=114)</c:v>
                </c:pt>
                <c:pt idx="7">
                  <c:v>管理職(n=40)</c:v>
                </c:pt>
                <c:pt idx="8">
                  <c:v>自由業(n=13)</c:v>
                </c:pt>
                <c:pt idx="9">
                  <c:v>主婦・主夫(n=115)</c:v>
                </c:pt>
                <c:pt idx="10">
                  <c:v>学生(n=21)</c:v>
                </c:pt>
                <c:pt idx="11">
                  <c:v>無職(n=115)</c:v>
                </c:pt>
                <c:pt idx="12">
                  <c:v>その他(n=102)</c:v>
                </c:pt>
                <c:pt idx="13">
                  <c:v>高知市(n=465)</c:v>
                </c:pt>
                <c:pt idx="14">
                  <c:v>安芸広域圏(n=67)</c:v>
                </c:pt>
                <c:pt idx="15">
                  <c:v>南国・香美広域圏(n=124)</c:v>
                </c:pt>
                <c:pt idx="16">
                  <c:v>嶺北広域圏(n=24)</c:v>
                </c:pt>
                <c:pt idx="17">
                  <c:v>仁淀川広域圏(n=73)</c:v>
                </c:pt>
                <c:pt idx="18">
                  <c:v>高吾北広域圏(n=29)</c:v>
                </c:pt>
                <c:pt idx="19">
                  <c:v>高幡広域圏(n=70)</c:v>
                </c:pt>
                <c:pt idx="20">
                  <c:v>幡多広域圏(n=105)</c:v>
                </c:pt>
              </c:strCache>
            </c:strRef>
          </c:cat>
          <c:val>
            <c:numRef>
              <c:f>Sheet1!$J$2:$J$22</c:f>
              <c:numCache>
                <c:formatCode>0.0</c:formatCode>
                <c:ptCount val="21"/>
                <c:pt idx="0">
                  <c:v>1.5</c:v>
                </c:pt>
                <c:pt idx="1">
                  <c:v>1.6</c:v>
                </c:pt>
                <c:pt idx="2">
                  <c:v>0</c:v>
                </c:pt>
                <c:pt idx="3">
                  <c:v>0</c:v>
                </c:pt>
                <c:pt idx="4">
                  <c:v>1.9000000000000001</c:v>
                </c:pt>
                <c:pt idx="5">
                  <c:v>1.8</c:v>
                </c:pt>
                <c:pt idx="6">
                  <c:v>1.8</c:v>
                </c:pt>
                <c:pt idx="7">
                  <c:v>2.5</c:v>
                </c:pt>
                <c:pt idx="8">
                  <c:v>0</c:v>
                </c:pt>
                <c:pt idx="9">
                  <c:v>0.9</c:v>
                </c:pt>
                <c:pt idx="10">
                  <c:v>0</c:v>
                </c:pt>
                <c:pt idx="11">
                  <c:v>0.9</c:v>
                </c:pt>
                <c:pt idx="12">
                  <c:v>1</c:v>
                </c:pt>
                <c:pt idx="13">
                  <c:v>1.7</c:v>
                </c:pt>
                <c:pt idx="14">
                  <c:v>0</c:v>
                </c:pt>
                <c:pt idx="15">
                  <c:v>3.2</c:v>
                </c:pt>
                <c:pt idx="16">
                  <c:v>0</c:v>
                </c:pt>
                <c:pt idx="17">
                  <c:v>0</c:v>
                </c:pt>
                <c:pt idx="18">
                  <c:v>0</c:v>
                </c:pt>
                <c:pt idx="19">
                  <c:v>0</c:v>
                </c:pt>
                <c:pt idx="20">
                  <c:v>1</c:v>
                </c:pt>
              </c:numCache>
            </c:numRef>
          </c:val>
        </c:ser>
        <c:dLbls>
          <c:showLegendKey val="0"/>
          <c:showVal val="0"/>
          <c:showCatName val="0"/>
          <c:showSerName val="0"/>
          <c:showPercent val="0"/>
          <c:showBubbleSize val="0"/>
        </c:dLbls>
        <c:gapWidth val="70"/>
        <c:overlap val="100"/>
        <c:axId val="159779072"/>
        <c:axId val="159850496"/>
      </c:barChart>
      <c:catAx>
        <c:axId val="15977907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9850496"/>
        <c:crosses val="autoZero"/>
        <c:auto val="1"/>
        <c:lblAlgn val="ctr"/>
        <c:lblOffset val="100"/>
        <c:noMultiLvlLbl val="0"/>
      </c:catAx>
      <c:valAx>
        <c:axId val="15985049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9779072"/>
        <c:crosses val="autoZero"/>
        <c:crossBetween val="between"/>
      </c:valAx>
    </c:plotArea>
    <c:legend>
      <c:legendPos val="r"/>
      <c:layout>
        <c:manualLayout>
          <c:xMode val="edge"/>
          <c:yMode val="edge"/>
          <c:x val="1.5873454310302414E-2"/>
          <c:y val="1.4755659492010661E-3"/>
          <c:w val="0.98315121406978878"/>
          <c:h val="7.8745794159784832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78445220820798756"/>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3.3349367945775851E-2"/>
                  <c:y val="1.2764475119343997E-2"/>
                </c:manualLayout>
              </c:layout>
              <c:dLblPos val="outEnd"/>
              <c:showLegendKey val="0"/>
              <c:showVal val="1"/>
              <c:showCatName val="0"/>
              <c:showSerName val="0"/>
              <c:showPercent val="0"/>
              <c:showBubbleSize val="0"/>
            </c:dLbl>
            <c:dLbl>
              <c:idx val="8"/>
              <c:layout>
                <c:manualLayout>
                  <c:x val="4.3771045428830695E-2"/>
                  <c:y val="2.4544679149708037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Sheet1!$B$1:$J$1</c:f>
              <c:strCache>
                <c:ptCount val="9"/>
                <c:pt idx="0">
                  <c:v>情報ひろば</c:v>
                </c:pt>
                <c:pt idx="1">
                  <c:v>表紙</c:v>
                </c:pt>
                <c:pt idx="2">
                  <c:v>特集</c:v>
                </c:pt>
                <c:pt idx="3">
                  <c:v>県立施設のご案内</c:v>
                </c:pt>
                <c:pt idx="4">
                  <c:v>県政ピックアップ</c:v>
                </c:pt>
                <c:pt idx="5">
                  <c:v>土佐の維新人</c:v>
                </c:pt>
                <c:pt idx="6">
                  <c:v>その他</c:v>
                </c:pt>
                <c:pt idx="7">
                  <c:v>特にない</c:v>
                </c:pt>
                <c:pt idx="8">
                  <c:v>わからない</c:v>
                </c:pt>
              </c:strCache>
            </c:strRef>
          </c:cat>
          <c:val>
            <c:numRef>
              <c:f>Sheet1!$B$2:$J$2</c:f>
              <c:numCache>
                <c:formatCode>0.0</c:formatCode>
                <c:ptCount val="9"/>
                <c:pt idx="0">
                  <c:v>55.6</c:v>
                </c:pt>
                <c:pt idx="1">
                  <c:v>44.3</c:v>
                </c:pt>
                <c:pt idx="2">
                  <c:v>41.8</c:v>
                </c:pt>
                <c:pt idx="3">
                  <c:v>35.700000000000003</c:v>
                </c:pt>
                <c:pt idx="4">
                  <c:v>26.8</c:v>
                </c:pt>
                <c:pt idx="5">
                  <c:v>20.9</c:v>
                </c:pt>
                <c:pt idx="6">
                  <c:v>0.70000000000000062</c:v>
                </c:pt>
                <c:pt idx="7">
                  <c:v>15.7</c:v>
                </c:pt>
                <c:pt idx="8">
                  <c:v>2.1</c:v>
                </c:pt>
              </c:numCache>
            </c:numRef>
          </c:val>
        </c:ser>
        <c:dLbls>
          <c:showLegendKey val="0"/>
          <c:showVal val="1"/>
          <c:showCatName val="0"/>
          <c:showSerName val="0"/>
          <c:showPercent val="0"/>
          <c:showBubbleSize val="0"/>
        </c:dLbls>
        <c:gapWidth val="100"/>
        <c:axId val="159937280"/>
        <c:axId val="159938816"/>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3.6600931320488909E-2"/>
                  <c:y val="-3.5425789396869981E-2"/>
                </c:manualLayout>
              </c:layout>
              <c:dLblPos val="r"/>
              <c:showLegendKey val="0"/>
              <c:showVal val="1"/>
              <c:showCatName val="0"/>
              <c:showSerName val="0"/>
              <c:showPercent val="0"/>
              <c:showBubbleSize val="0"/>
            </c:dLbl>
            <c:dLbl>
              <c:idx val="2"/>
              <c:layout>
                <c:manualLayout>
                  <c:x val="-3.8685266817100016E-2"/>
                  <c:y val="-2.9099755576000412E-2"/>
                </c:manualLayout>
              </c:layout>
              <c:dLblPos val="r"/>
              <c:showLegendKey val="0"/>
              <c:showVal val="1"/>
              <c:showCatName val="0"/>
              <c:showSerName val="0"/>
              <c:showPercent val="0"/>
              <c:showBubbleSize val="0"/>
            </c:dLbl>
            <c:dLbl>
              <c:idx val="4"/>
              <c:layout>
                <c:manualLayout>
                  <c:x val="-3.8685266817100016E-2"/>
                  <c:y val="-2.9099755576000412E-2"/>
                </c:manualLayout>
              </c:layout>
              <c:dLblPos val="r"/>
              <c:showLegendKey val="0"/>
              <c:showVal val="1"/>
              <c:showCatName val="0"/>
              <c:showSerName val="0"/>
              <c:showPercent val="0"/>
              <c:showBubbleSize val="0"/>
            </c:dLbl>
            <c:dLbl>
              <c:idx val="5"/>
              <c:layout>
                <c:manualLayout>
                  <c:x val="-3.0347924830655949E-2"/>
                  <c:y val="-2.4882399695420616E-2"/>
                </c:manualLayout>
              </c:layout>
              <c:dLblPos val="r"/>
              <c:showLegendKey val="0"/>
              <c:showVal val="1"/>
              <c:showCatName val="0"/>
              <c:showSerName val="0"/>
              <c:showPercent val="0"/>
              <c:showBubbleSize val="0"/>
            </c:dLbl>
            <c:dLbl>
              <c:idx val="6"/>
              <c:layout>
                <c:manualLayout>
                  <c:x val="-3.448538964928001E-2"/>
                  <c:y val="-5.9353070635050832E-2"/>
                </c:manualLayout>
              </c:layout>
              <c:dLblPos val="r"/>
              <c:showLegendKey val="0"/>
              <c:showVal val="1"/>
              <c:showCatName val="0"/>
              <c:showSerName val="0"/>
              <c:showPercent val="0"/>
              <c:showBubbleSize val="0"/>
            </c:dLbl>
            <c:dLbl>
              <c:idx val="7"/>
              <c:layout>
                <c:manualLayout>
                  <c:x val="-4.0769602313710893E-2"/>
                  <c:y val="-5.0186534978899133E-2"/>
                </c:manualLayout>
              </c:layout>
              <c:dLblPos val="r"/>
              <c:showLegendKey val="0"/>
              <c:showVal val="1"/>
              <c:showCatName val="0"/>
              <c:showSerName val="0"/>
              <c:showPercent val="0"/>
              <c:showBubbleSize val="0"/>
            </c:dLbl>
            <c:dLbl>
              <c:idx val="8"/>
              <c:layout>
                <c:manualLayout>
                  <c:x val="-5.3042328519825981E-3"/>
                  <c:y val="-3.5425857119108596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Sheet1!$B$1:$J$1</c:f>
              <c:strCache>
                <c:ptCount val="9"/>
                <c:pt idx="0">
                  <c:v>情報ひろば</c:v>
                </c:pt>
                <c:pt idx="1">
                  <c:v>表紙</c:v>
                </c:pt>
                <c:pt idx="2">
                  <c:v>特集</c:v>
                </c:pt>
                <c:pt idx="3">
                  <c:v>県立施設のご案内</c:v>
                </c:pt>
                <c:pt idx="4">
                  <c:v>県政ピックアップ</c:v>
                </c:pt>
                <c:pt idx="5">
                  <c:v>土佐の維新人</c:v>
                </c:pt>
                <c:pt idx="6">
                  <c:v>その他</c:v>
                </c:pt>
                <c:pt idx="7">
                  <c:v>特にない</c:v>
                </c:pt>
                <c:pt idx="8">
                  <c:v>わからない</c:v>
                </c:pt>
              </c:strCache>
            </c:strRef>
          </c:cat>
          <c:val>
            <c:numRef>
              <c:f>Sheet1!$B$3:$J$3</c:f>
              <c:numCache>
                <c:formatCode>0.0</c:formatCode>
                <c:ptCount val="9"/>
                <c:pt idx="0">
                  <c:v>52.3</c:v>
                </c:pt>
                <c:pt idx="1">
                  <c:v>46</c:v>
                </c:pt>
                <c:pt idx="2">
                  <c:v>42.6</c:v>
                </c:pt>
                <c:pt idx="3">
                  <c:v>29.4</c:v>
                </c:pt>
                <c:pt idx="4">
                  <c:v>32</c:v>
                </c:pt>
                <c:pt idx="5">
                  <c:v>21.7</c:v>
                </c:pt>
                <c:pt idx="6">
                  <c:v>0.60000000000000064</c:v>
                </c:pt>
                <c:pt idx="7">
                  <c:v>16.3</c:v>
                </c:pt>
                <c:pt idx="8">
                  <c:v>1.4</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3.6475871190692254E-2"/>
                  <c:y val="3.1208433516290202E-2"/>
                </c:manualLayout>
              </c:layout>
              <c:dLblPos val="r"/>
              <c:showLegendKey val="0"/>
              <c:showVal val="1"/>
              <c:showCatName val="0"/>
              <c:showSerName val="0"/>
              <c:showPercent val="0"/>
              <c:showBubbleSize val="0"/>
            </c:dLbl>
            <c:dLbl>
              <c:idx val="2"/>
              <c:layout>
                <c:manualLayout>
                  <c:x val="-4.4813213177137635E-2"/>
                  <c:y val="3.7534467337159844E-2"/>
                </c:manualLayout>
              </c:layout>
              <c:dLblPos val="r"/>
              <c:showLegendKey val="0"/>
              <c:showVal val="1"/>
              <c:showCatName val="0"/>
              <c:showSerName val="0"/>
              <c:showPercent val="0"/>
              <c:showBubbleSize val="0"/>
            </c:dLbl>
            <c:dLbl>
              <c:idx val="4"/>
              <c:layout>
                <c:manualLayout>
                  <c:x val="-3.6475871190692254E-2"/>
                  <c:y val="3.3317111456580083E-2"/>
                </c:manualLayout>
              </c:layout>
              <c:dLblPos val="r"/>
              <c:showLegendKey val="0"/>
              <c:showVal val="1"/>
              <c:showCatName val="0"/>
              <c:showSerName val="0"/>
              <c:showPercent val="0"/>
              <c:showBubbleSize val="0"/>
            </c:dLbl>
            <c:dLbl>
              <c:idx val="5"/>
              <c:layout>
                <c:manualLayout>
                  <c:x val="-4.0644542183913675E-2"/>
                  <c:y val="3.7534467337159844E-2"/>
                </c:manualLayout>
              </c:layout>
              <c:dLblPos val="r"/>
              <c:showLegendKey val="0"/>
              <c:showVal val="1"/>
              <c:showCatName val="0"/>
              <c:showSerName val="0"/>
              <c:showPercent val="0"/>
              <c:showBubbleSize val="0"/>
            </c:dLbl>
            <c:dLbl>
              <c:idx val="6"/>
              <c:layout>
                <c:manualLayout>
                  <c:x val="-3.2307176045007512E-2"/>
                  <c:y val="-8.9811416846461462E-2"/>
                </c:manualLayout>
              </c:layout>
              <c:dLblPos val="r"/>
              <c:showLegendKey val="0"/>
              <c:showVal val="1"/>
              <c:showCatName val="0"/>
              <c:showSerName val="0"/>
              <c:showPercent val="0"/>
              <c:showBubbleSize val="0"/>
            </c:dLbl>
            <c:dLbl>
              <c:idx val="8"/>
              <c:layout>
                <c:manualLayout>
                  <c:x val="-7.2951742381384445E-3"/>
                  <c:y val="-5.735620601351913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Sheet1!$B$1:$J$1</c:f>
              <c:strCache>
                <c:ptCount val="9"/>
                <c:pt idx="0">
                  <c:v>情報ひろば</c:v>
                </c:pt>
                <c:pt idx="1">
                  <c:v>表紙</c:v>
                </c:pt>
                <c:pt idx="2">
                  <c:v>特集</c:v>
                </c:pt>
                <c:pt idx="3">
                  <c:v>県立施設のご案内</c:v>
                </c:pt>
                <c:pt idx="4">
                  <c:v>県政ピックアップ</c:v>
                </c:pt>
                <c:pt idx="5">
                  <c:v>土佐の維新人</c:v>
                </c:pt>
                <c:pt idx="6">
                  <c:v>その他</c:v>
                </c:pt>
                <c:pt idx="7">
                  <c:v>特にない</c:v>
                </c:pt>
                <c:pt idx="8">
                  <c:v>わからない</c:v>
                </c:pt>
              </c:strCache>
            </c:strRef>
          </c:cat>
          <c:val>
            <c:numRef>
              <c:f>Sheet1!$B$4:$J$4</c:f>
              <c:numCache>
                <c:formatCode>0.0</c:formatCode>
                <c:ptCount val="9"/>
                <c:pt idx="0">
                  <c:v>58</c:v>
                </c:pt>
                <c:pt idx="1">
                  <c:v>43.4</c:v>
                </c:pt>
                <c:pt idx="2">
                  <c:v>41.4</c:v>
                </c:pt>
                <c:pt idx="3">
                  <c:v>40.200000000000003</c:v>
                </c:pt>
                <c:pt idx="4">
                  <c:v>23.1</c:v>
                </c:pt>
                <c:pt idx="5">
                  <c:v>20.3</c:v>
                </c:pt>
                <c:pt idx="6">
                  <c:v>0.8</c:v>
                </c:pt>
                <c:pt idx="7">
                  <c:v>15.2</c:v>
                </c:pt>
                <c:pt idx="8">
                  <c:v>2.6</c:v>
                </c:pt>
              </c:numCache>
            </c:numRef>
          </c:val>
          <c:smooth val="0"/>
        </c:ser>
        <c:dLbls>
          <c:showLegendKey val="0"/>
          <c:showVal val="0"/>
          <c:showCatName val="0"/>
          <c:showSerName val="0"/>
          <c:showPercent val="0"/>
          <c:showBubbleSize val="0"/>
        </c:dLbls>
        <c:marker val="1"/>
        <c:smooth val="0"/>
        <c:axId val="159937280"/>
        <c:axId val="159938816"/>
      </c:lineChart>
      <c:catAx>
        <c:axId val="159937280"/>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9938816"/>
        <c:crosses val="autoZero"/>
        <c:auto val="1"/>
        <c:lblAlgn val="ctr"/>
        <c:lblOffset val="100"/>
        <c:noMultiLvlLbl val="0"/>
      </c:catAx>
      <c:valAx>
        <c:axId val="159938816"/>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9937280"/>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35048316735945"/>
          <c:y val="4.5945260968926364E-2"/>
          <c:w val="0.77848719288110502"/>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Sheet1!$B$2:$B$10</c:f>
              <c:numCache>
                <c:formatCode>0.0_);[Red]\(0.0\)</c:formatCode>
                <c:ptCount val="9"/>
                <c:pt idx="0">
                  <c:v>25</c:v>
                </c:pt>
                <c:pt idx="1">
                  <c:v>58.3</c:v>
                </c:pt>
                <c:pt idx="2">
                  <c:v>41.7</c:v>
                </c:pt>
                <c:pt idx="3">
                  <c:v>16.7</c:v>
                </c:pt>
                <c:pt idx="4">
                  <c:v>8.3000000000000007</c:v>
                </c:pt>
                <c:pt idx="5">
                  <c:v>8.3000000000000007</c:v>
                </c:pt>
                <c:pt idx="6">
                  <c:v>0</c:v>
                </c:pt>
                <c:pt idx="7">
                  <c:v>16.7</c:v>
                </c:pt>
                <c:pt idx="8">
                  <c:v>8.3000000000000007</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Sheet1!$C$2:$C$10</c:f>
              <c:numCache>
                <c:formatCode>0.0_);[Red]\(0.0\)</c:formatCode>
                <c:ptCount val="9"/>
                <c:pt idx="0">
                  <c:v>42.4</c:v>
                </c:pt>
                <c:pt idx="1">
                  <c:v>47.5</c:v>
                </c:pt>
                <c:pt idx="2">
                  <c:v>37.300000000000004</c:v>
                </c:pt>
                <c:pt idx="3">
                  <c:v>33.9</c:v>
                </c:pt>
                <c:pt idx="4">
                  <c:v>28.8</c:v>
                </c:pt>
                <c:pt idx="5">
                  <c:v>18.600000000000001</c:v>
                </c:pt>
                <c:pt idx="6">
                  <c:v>3.4</c:v>
                </c:pt>
                <c:pt idx="7">
                  <c:v>10.200000000000001</c:v>
                </c:pt>
                <c:pt idx="8">
                  <c:v>5.0999999999999996</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Sheet1!$D$2:$D$10</c:f>
              <c:numCache>
                <c:formatCode>0.0_);[Red]\(0.0\)</c:formatCode>
                <c:ptCount val="9"/>
                <c:pt idx="0">
                  <c:v>52.9</c:v>
                </c:pt>
                <c:pt idx="1">
                  <c:v>41.2</c:v>
                </c:pt>
                <c:pt idx="2">
                  <c:v>36.1</c:v>
                </c:pt>
                <c:pt idx="3">
                  <c:v>31.9</c:v>
                </c:pt>
                <c:pt idx="4">
                  <c:v>20.2</c:v>
                </c:pt>
                <c:pt idx="5">
                  <c:v>12.6</c:v>
                </c:pt>
                <c:pt idx="6">
                  <c:v>0.8</c:v>
                </c:pt>
                <c:pt idx="7">
                  <c:v>18.5</c:v>
                </c:pt>
                <c:pt idx="8">
                  <c:v>3.4</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Sheet1!$E$2:$E$10</c:f>
              <c:numCache>
                <c:formatCode>0.0_);[Red]\(0.0\)</c:formatCode>
                <c:ptCount val="9"/>
                <c:pt idx="0">
                  <c:v>54.3</c:v>
                </c:pt>
                <c:pt idx="1">
                  <c:v>43.7</c:v>
                </c:pt>
                <c:pt idx="2">
                  <c:v>38.200000000000003</c:v>
                </c:pt>
                <c:pt idx="3">
                  <c:v>38.200000000000003</c:v>
                </c:pt>
                <c:pt idx="4">
                  <c:v>26.1</c:v>
                </c:pt>
                <c:pt idx="5">
                  <c:v>18.100000000000001</c:v>
                </c:pt>
                <c:pt idx="6">
                  <c:v>0</c:v>
                </c:pt>
                <c:pt idx="7">
                  <c:v>16.600000000000001</c:v>
                </c:pt>
                <c:pt idx="8">
                  <c:v>3.5</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9280690089662E-7"/>
                  <c:y val="1.2908222537756581E-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Sheet1!$F$2:$F$10</c:f>
              <c:numCache>
                <c:formatCode>0.0_);[Red]\(0.0\)</c:formatCode>
                <c:ptCount val="9"/>
                <c:pt idx="0">
                  <c:v>55.2</c:v>
                </c:pt>
                <c:pt idx="1">
                  <c:v>43.9</c:v>
                </c:pt>
                <c:pt idx="2">
                  <c:v>39.1</c:v>
                </c:pt>
                <c:pt idx="3">
                  <c:v>29.1</c:v>
                </c:pt>
                <c:pt idx="4">
                  <c:v>24.3</c:v>
                </c:pt>
                <c:pt idx="5">
                  <c:v>18.7</c:v>
                </c:pt>
                <c:pt idx="6">
                  <c:v>0.9</c:v>
                </c:pt>
                <c:pt idx="7">
                  <c:v>17.8</c:v>
                </c:pt>
                <c:pt idx="8">
                  <c:v>0.9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Sheet1!$G$2:$G$10</c:f>
              <c:numCache>
                <c:formatCode>0.0_);[Red]\(0.0\)</c:formatCode>
                <c:ptCount val="9"/>
                <c:pt idx="0">
                  <c:v>64.7</c:v>
                </c:pt>
                <c:pt idx="1">
                  <c:v>42.9</c:v>
                </c:pt>
                <c:pt idx="2">
                  <c:v>52.4</c:v>
                </c:pt>
                <c:pt idx="3">
                  <c:v>45.9</c:v>
                </c:pt>
                <c:pt idx="4">
                  <c:v>32.4</c:v>
                </c:pt>
                <c:pt idx="5">
                  <c:v>30.6</c:v>
                </c:pt>
                <c:pt idx="6">
                  <c:v>0.60000000000000064</c:v>
                </c:pt>
                <c:pt idx="7">
                  <c:v>12.9</c:v>
                </c:pt>
                <c:pt idx="8">
                  <c:v>0</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情報ひろば　　　</c:v>
                </c:pt>
                <c:pt idx="1">
                  <c:v>表紙　　　　　　</c:v>
                </c:pt>
                <c:pt idx="2">
                  <c:v>特集　　　　　　</c:v>
                </c:pt>
                <c:pt idx="3">
                  <c:v>県立施設のご案内</c:v>
                </c:pt>
                <c:pt idx="4">
                  <c:v>県政ピックアップ</c:v>
                </c:pt>
                <c:pt idx="5">
                  <c:v>土佐の維新人　　</c:v>
                </c:pt>
                <c:pt idx="6">
                  <c:v>その他　　　　　</c:v>
                </c:pt>
                <c:pt idx="7">
                  <c:v>特にない　　　　</c:v>
                </c:pt>
                <c:pt idx="8">
                  <c:v>わからない　　　</c:v>
                </c:pt>
              </c:strCache>
            </c:strRef>
          </c:cat>
          <c:val>
            <c:numRef>
              <c:f>Sheet1!$H$2:$H$10</c:f>
              <c:numCache>
                <c:formatCode>0.0_);[Red]\(0.0\)</c:formatCode>
                <c:ptCount val="9"/>
                <c:pt idx="0">
                  <c:v>61.1</c:v>
                </c:pt>
                <c:pt idx="1">
                  <c:v>55.6</c:v>
                </c:pt>
                <c:pt idx="2">
                  <c:v>51.9</c:v>
                </c:pt>
                <c:pt idx="3">
                  <c:v>37</c:v>
                </c:pt>
                <c:pt idx="4">
                  <c:v>38.9</c:v>
                </c:pt>
                <c:pt idx="5">
                  <c:v>33.300000000000004</c:v>
                </c:pt>
                <c:pt idx="6">
                  <c:v>0</c:v>
                </c:pt>
                <c:pt idx="7">
                  <c:v>11.1</c:v>
                </c:pt>
                <c:pt idx="8">
                  <c:v>1.9000000000000001</c:v>
                </c:pt>
              </c:numCache>
            </c:numRef>
          </c:val>
        </c:ser>
        <c:dLbls>
          <c:showLegendKey val="0"/>
          <c:showVal val="1"/>
          <c:showCatName val="0"/>
          <c:showSerName val="0"/>
          <c:showPercent val="0"/>
          <c:showBubbleSize val="0"/>
        </c:dLbls>
        <c:gapWidth val="100"/>
        <c:axId val="160044928"/>
        <c:axId val="160046464"/>
      </c:barChart>
      <c:catAx>
        <c:axId val="16004492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60046464"/>
        <c:crosses val="autoZero"/>
        <c:auto val="1"/>
        <c:lblAlgn val="ctr"/>
        <c:lblOffset val="100"/>
        <c:noMultiLvlLbl val="0"/>
      </c:catAx>
      <c:valAx>
        <c:axId val="160046464"/>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6004492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7"/>
              <c:layout>
                <c:manualLayout>
                  <c:x val="0"/>
                  <c:y val="0.10433386491245557"/>
                </c:manualLayout>
              </c:layout>
              <c:dLblPos val="outEnd"/>
              <c:showLegendKey val="0"/>
              <c:showVal val="1"/>
              <c:showCatName val="0"/>
              <c:showSerName val="0"/>
              <c:showPercent val="0"/>
              <c:showBubbleSize val="0"/>
            </c:dLbl>
            <c:dLbl>
              <c:idx val="8"/>
              <c:layout>
                <c:manualLayout>
                  <c:x val="2.7096361455942811E-2"/>
                  <c:y val="2.5084467494895592E-2"/>
                </c:manualLayout>
              </c:layout>
              <c:dLblPos val="outEnd"/>
              <c:showLegendKey val="0"/>
              <c:showVal val="1"/>
              <c:showCatName val="0"/>
              <c:showSerName val="0"/>
              <c:showPercent val="0"/>
              <c:showBubbleSize val="0"/>
            </c:dLbl>
            <c:dLbl>
              <c:idx val="10"/>
              <c:layout>
                <c:manualLayout>
                  <c:x val="2.7096361455942811E-2"/>
                  <c:y val="3.9389605811715682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Sheet1!$B$1:$L$1</c:f>
              <c:strCache>
                <c:ptCount val="11"/>
                <c:pt idx="0">
                  <c:v>県民に伝えたいことや協力してほしいこと
などメッセージ性がある分かりやすい文章
とする</c:v>
                </c:pt>
                <c:pt idx="1">
                  <c:v>文章の内容が分かるような見出しを多く用
いる</c:v>
                </c:pt>
                <c:pt idx="2">
                  <c:v>専門用語など分かりづらい表現は、言い方
を変えたり解説をつける</c:v>
                </c:pt>
                <c:pt idx="3">
                  <c:v>目を引くようなデザインやレイアウトなど、
見やすさを工夫する</c:v>
                </c:pt>
                <c:pt idx="4">
                  <c:v>写真やイラストを多くする</c:v>
                </c:pt>
                <c:pt idx="5">
                  <c:v>文字を大きくする</c:v>
                </c:pt>
                <c:pt idx="6">
                  <c:v>ページ数を増やすことで、より多くの情報を
掲載する</c:v>
                </c:pt>
                <c:pt idx="7">
                  <c:v>文字数を少なくする</c:v>
                </c:pt>
                <c:pt idx="8">
                  <c:v>その他</c:v>
                </c:pt>
                <c:pt idx="9">
                  <c:v>特にない</c:v>
                </c:pt>
                <c:pt idx="10">
                  <c:v>わからない</c:v>
                </c:pt>
              </c:strCache>
            </c:strRef>
          </c:cat>
          <c:val>
            <c:numRef>
              <c:f>Sheet1!$B$2:$L$2</c:f>
              <c:numCache>
                <c:formatCode>0.0</c:formatCode>
                <c:ptCount val="11"/>
                <c:pt idx="0">
                  <c:v>33.4</c:v>
                </c:pt>
                <c:pt idx="1">
                  <c:v>27.3</c:v>
                </c:pt>
                <c:pt idx="2">
                  <c:v>26.2</c:v>
                </c:pt>
                <c:pt idx="3">
                  <c:v>25.6</c:v>
                </c:pt>
                <c:pt idx="4">
                  <c:v>24.7</c:v>
                </c:pt>
                <c:pt idx="5">
                  <c:v>21.1</c:v>
                </c:pt>
                <c:pt idx="6">
                  <c:v>8.1</c:v>
                </c:pt>
                <c:pt idx="7">
                  <c:v>7.1</c:v>
                </c:pt>
                <c:pt idx="8">
                  <c:v>1.6</c:v>
                </c:pt>
                <c:pt idx="9">
                  <c:v>11.2</c:v>
                </c:pt>
                <c:pt idx="10">
                  <c:v>3</c:v>
                </c:pt>
              </c:numCache>
            </c:numRef>
          </c:val>
        </c:ser>
        <c:dLbls>
          <c:showLegendKey val="0"/>
          <c:showVal val="1"/>
          <c:showCatName val="0"/>
          <c:showSerName val="0"/>
          <c:showPercent val="0"/>
          <c:showBubbleSize val="0"/>
        </c:dLbls>
        <c:gapWidth val="100"/>
        <c:axId val="160154752"/>
        <c:axId val="160156288"/>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6"/>
              <c:layout>
                <c:manualLayout>
                  <c:x val="-3.4485412851881392E-2"/>
                  <c:y val="-5.2295212919189003E-2"/>
                </c:manualLayout>
              </c:layout>
              <c:dLblPos val="r"/>
              <c:showLegendKey val="0"/>
              <c:showVal val="1"/>
              <c:showCatName val="0"/>
              <c:showSerName val="0"/>
              <c:showPercent val="0"/>
              <c:showBubbleSize val="0"/>
            </c:dLbl>
            <c:dLbl>
              <c:idx val="8"/>
              <c:layout>
                <c:manualLayout>
                  <c:x val="-3.8654083845103347E-2"/>
                  <c:y val="-7.5490670262377713E-2"/>
                </c:manualLayout>
              </c:layout>
              <c:dLblPos val="r"/>
              <c:showLegendKey val="0"/>
              <c:showVal val="1"/>
              <c:showCatName val="0"/>
              <c:showSerName val="0"/>
              <c:showPercent val="0"/>
              <c:showBubbleSize val="0"/>
            </c:dLbl>
            <c:dLbl>
              <c:idx val="10"/>
              <c:layout>
                <c:manualLayout>
                  <c:x val="-3.6569748348492359E-2"/>
                  <c:y val="-5.8621246740058607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Sheet1!$B$1:$L$1</c:f>
              <c:strCache>
                <c:ptCount val="11"/>
                <c:pt idx="0">
                  <c:v>県民に伝えたいことや協力してほしいこと
などメッセージ性がある分かりやすい文章
とする</c:v>
                </c:pt>
                <c:pt idx="1">
                  <c:v>文章の内容が分かるような見出しを多く用
いる</c:v>
                </c:pt>
                <c:pt idx="2">
                  <c:v>専門用語など分かりづらい表現は、言い方
を変えたり解説をつける</c:v>
                </c:pt>
                <c:pt idx="3">
                  <c:v>目を引くようなデザインやレイアウトなど、
見やすさを工夫する</c:v>
                </c:pt>
                <c:pt idx="4">
                  <c:v>写真やイラストを多くする</c:v>
                </c:pt>
                <c:pt idx="5">
                  <c:v>文字を大きくする</c:v>
                </c:pt>
                <c:pt idx="6">
                  <c:v>ページ数を増やすことで、より多くの情報を
掲載する</c:v>
                </c:pt>
                <c:pt idx="7">
                  <c:v>文字数を少なくする</c:v>
                </c:pt>
                <c:pt idx="8">
                  <c:v>その他</c:v>
                </c:pt>
                <c:pt idx="9">
                  <c:v>特にない</c:v>
                </c:pt>
                <c:pt idx="10">
                  <c:v>わからない</c:v>
                </c:pt>
              </c:strCache>
            </c:strRef>
          </c:cat>
          <c:val>
            <c:numRef>
              <c:f>Sheet1!$B$3:$L$3</c:f>
              <c:numCache>
                <c:formatCode>0.0</c:formatCode>
                <c:ptCount val="11"/>
                <c:pt idx="0">
                  <c:v>31.4</c:v>
                </c:pt>
                <c:pt idx="1">
                  <c:v>25.3</c:v>
                </c:pt>
                <c:pt idx="2">
                  <c:v>25.5</c:v>
                </c:pt>
                <c:pt idx="3">
                  <c:v>24.2</c:v>
                </c:pt>
                <c:pt idx="4">
                  <c:v>24.7</c:v>
                </c:pt>
                <c:pt idx="5">
                  <c:v>20.399999999999999</c:v>
                </c:pt>
                <c:pt idx="6">
                  <c:v>8.7000000000000011</c:v>
                </c:pt>
                <c:pt idx="7">
                  <c:v>6.1</c:v>
                </c:pt>
                <c:pt idx="8">
                  <c:v>2</c:v>
                </c:pt>
                <c:pt idx="9">
                  <c:v>11</c:v>
                </c:pt>
                <c:pt idx="10">
                  <c:v>3.3</c:v>
                </c:pt>
              </c:numCache>
            </c:numRef>
          </c:val>
          <c:smooth val="0"/>
        </c:ser>
        <c:ser>
          <c:idx val="1"/>
          <c:order val="2"/>
          <c:tx>
            <c:strRef>
              <c:f>Sheet1!$A$4</c:f>
              <c:strCache>
                <c:ptCount val="1"/>
                <c:pt idx="0">
                  <c:v>女性</c:v>
                </c:pt>
              </c:strCache>
            </c:strRef>
          </c:tx>
          <c:spPr>
            <a:ln>
              <a:prstDash val="sysDash"/>
            </a:ln>
          </c:spPr>
          <c:marker>
            <c:symbol val="square"/>
            <c:size val="7"/>
          </c:marker>
          <c:dLbls>
            <c:dLbl>
              <c:idx val="6"/>
              <c:layout>
                <c:manualLayout>
                  <c:x val="-3.4391535694081259E-2"/>
                  <c:y val="2.9099755576000412E-2"/>
                </c:manualLayout>
              </c:layout>
              <c:dLblPos val="r"/>
              <c:showLegendKey val="0"/>
              <c:showVal val="1"/>
              <c:showCatName val="0"/>
              <c:showSerName val="0"/>
              <c:showPercent val="0"/>
              <c:showBubbleSize val="0"/>
            </c:dLbl>
            <c:dLbl>
              <c:idx val="8"/>
              <c:layout>
                <c:manualLayout>
                  <c:x val="-4.0644542183913675E-2"/>
                  <c:y val="-5.1030006155015094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Sheet1!$B$1:$L$1</c:f>
              <c:strCache>
                <c:ptCount val="11"/>
                <c:pt idx="0">
                  <c:v>県民に伝えたいことや協力してほしいこと
などメッセージ性がある分かりやすい文章
とする</c:v>
                </c:pt>
                <c:pt idx="1">
                  <c:v>文章の内容が分かるような見出しを多く用
いる</c:v>
                </c:pt>
                <c:pt idx="2">
                  <c:v>専門用語など分かりづらい表現は、言い方
を変えたり解説をつける</c:v>
                </c:pt>
                <c:pt idx="3">
                  <c:v>目を引くようなデザインやレイアウトなど、
見やすさを工夫する</c:v>
                </c:pt>
                <c:pt idx="4">
                  <c:v>写真やイラストを多くする</c:v>
                </c:pt>
                <c:pt idx="5">
                  <c:v>文字を大きくする</c:v>
                </c:pt>
                <c:pt idx="6">
                  <c:v>ページ数を増やすことで、より多くの情報を
掲載する</c:v>
                </c:pt>
                <c:pt idx="7">
                  <c:v>文字数を少なくする</c:v>
                </c:pt>
                <c:pt idx="8">
                  <c:v>その他</c:v>
                </c:pt>
                <c:pt idx="9">
                  <c:v>特にない</c:v>
                </c:pt>
                <c:pt idx="10">
                  <c:v>わからない</c:v>
                </c:pt>
              </c:strCache>
            </c:strRef>
          </c:cat>
          <c:val>
            <c:numRef>
              <c:f>Sheet1!$B$4:$L$4</c:f>
              <c:numCache>
                <c:formatCode>0.0</c:formatCode>
                <c:ptCount val="11"/>
                <c:pt idx="0">
                  <c:v>34.800000000000004</c:v>
                </c:pt>
                <c:pt idx="1">
                  <c:v>29</c:v>
                </c:pt>
                <c:pt idx="2">
                  <c:v>26.6</c:v>
                </c:pt>
                <c:pt idx="3">
                  <c:v>26.6</c:v>
                </c:pt>
                <c:pt idx="4">
                  <c:v>24.7</c:v>
                </c:pt>
                <c:pt idx="5">
                  <c:v>21.3</c:v>
                </c:pt>
                <c:pt idx="6">
                  <c:v>7.7</c:v>
                </c:pt>
                <c:pt idx="7">
                  <c:v>7.9</c:v>
                </c:pt>
                <c:pt idx="8">
                  <c:v>1.3</c:v>
                </c:pt>
                <c:pt idx="9">
                  <c:v>11.4</c:v>
                </c:pt>
                <c:pt idx="10">
                  <c:v>2.6</c:v>
                </c:pt>
              </c:numCache>
            </c:numRef>
          </c:val>
          <c:smooth val="0"/>
        </c:ser>
        <c:dLbls>
          <c:showLegendKey val="0"/>
          <c:showVal val="0"/>
          <c:showCatName val="0"/>
          <c:showSerName val="0"/>
          <c:showPercent val="0"/>
          <c:showBubbleSize val="0"/>
        </c:dLbls>
        <c:marker val="1"/>
        <c:smooth val="0"/>
        <c:axId val="160154752"/>
        <c:axId val="160156288"/>
      </c:lineChart>
      <c:catAx>
        <c:axId val="160154752"/>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60156288"/>
        <c:crosses val="autoZero"/>
        <c:auto val="1"/>
        <c:lblAlgn val="ctr"/>
        <c:lblOffset val="100"/>
        <c:noMultiLvlLbl val="0"/>
      </c:catAx>
      <c:valAx>
        <c:axId val="160156288"/>
        <c:scaling>
          <c:orientation val="minMax"/>
          <c:max val="4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60154752"/>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2"/>
              <c:layout>
                <c:manualLayout>
                  <c:x val="0"/>
                  <c:y val="3.278699527924649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Sheet1!$B$2:$B$12</c:f>
              <c:numCache>
                <c:formatCode>0.0_);[Red]\(0.0\)</c:formatCode>
                <c:ptCount val="11"/>
                <c:pt idx="0">
                  <c:v>35.700000000000003</c:v>
                </c:pt>
                <c:pt idx="1">
                  <c:v>28.6</c:v>
                </c:pt>
                <c:pt idx="2">
                  <c:v>42.9</c:v>
                </c:pt>
                <c:pt idx="3">
                  <c:v>35.700000000000003</c:v>
                </c:pt>
                <c:pt idx="4">
                  <c:v>21.4</c:v>
                </c:pt>
                <c:pt idx="5">
                  <c:v>14.3</c:v>
                </c:pt>
                <c:pt idx="6">
                  <c:v>14.3</c:v>
                </c:pt>
                <c:pt idx="7">
                  <c:v>0</c:v>
                </c:pt>
                <c:pt idx="8">
                  <c:v>0</c:v>
                </c:pt>
                <c:pt idx="9">
                  <c:v>14.3</c:v>
                </c:pt>
                <c:pt idx="10">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layout>
                <c:manualLayout>
                  <c:x val="-8.5194732013933027E-3"/>
                  <c:y val="0"/>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Sheet1!$C$2:$C$12</c:f>
              <c:numCache>
                <c:formatCode>0.0_);[Red]\(0.0\)</c:formatCode>
                <c:ptCount val="11"/>
                <c:pt idx="0">
                  <c:v>55.6</c:v>
                </c:pt>
                <c:pt idx="1">
                  <c:v>33.300000000000004</c:v>
                </c:pt>
                <c:pt idx="2">
                  <c:v>23.8</c:v>
                </c:pt>
                <c:pt idx="3">
                  <c:v>38.1</c:v>
                </c:pt>
                <c:pt idx="4">
                  <c:v>36.5</c:v>
                </c:pt>
                <c:pt idx="5">
                  <c:v>17.5</c:v>
                </c:pt>
                <c:pt idx="6">
                  <c:v>6.3</c:v>
                </c:pt>
                <c:pt idx="7">
                  <c:v>12.7</c:v>
                </c:pt>
                <c:pt idx="8">
                  <c:v>3.2</c:v>
                </c:pt>
                <c:pt idx="9">
                  <c:v>9.5</c:v>
                </c:pt>
                <c:pt idx="10">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Sheet1!$D$2:$D$12</c:f>
              <c:numCache>
                <c:formatCode>0.0_);[Red]\(0.0\)</c:formatCode>
                <c:ptCount val="11"/>
                <c:pt idx="0">
                  <c:v>27.1</c:v>
                </c:pt>
                <c:pt idx="1">
                  <c:v>17.8</c:v>
                </c:pt>
                <c:pt idx="2">
                  <c:v>25.6</c:v>
                </c:pt>
                <c:pt idx="3">
                  <c:v>24</c:v>
                </c:pt>
                <c:pt idx="4">
                  <c:v>25.6</c:v>
                </c:pt>
                <c:pt idx="5">
                  <c:v>11.6</c:v>
                </c:pt>
                <c:pt idx="6">
                  <c:v>5.4</c:v>
                </c:pt>
                <c:pt idx="7">
                  <c:v>6.2</c:v>
                </c:pt>
                <c:pt idx="8">
                  <c:v>0.8</c:v>
                </c:pt>
                <c:pt idx="9">
                  <c:v>14.7</c:v>
                </c:pt>
                <c:pt idx="10">
                  <c:v>3.1</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Sheet1!$E$2:$E$12</c:f>
              <c:numCache>
                <c:formatCode>0.0_);[Red]\(0.0\)</c:formatCode>
                <c:ptCount val="11"/>
                <c:pt idx="0">
                  <c:v>35.5</c:v>
                </c:pt>
                <c:pt idx="1">
                  <c:v>31.1</c:v>
                </c:pt>
                <c:pt idx="2">
                  <c:v>26.8</c:v>
                </c:pt>
                <c:pt idx="3">
                  <c:v>34.200000000000003</c:v>
                </c:pt>
                <c:pt idx="4">
                  <c:v>24.6</c:v>
                </c:pt>
                <c:pt idx="5">
                  <c:v>17.5</c:v>
                </c:pt>
                <c:pt idx="6">
                  <c:v>8.8000000000000007</c:v>
                </c:pt>
                <c:pt idx="7">
                  <c:v>6.1</c:v>
                </c:pt>
                <c:pt idx="8">
                  <c:v>1.3</c:v>
                </c:pt>
                <c:pt idx="9">
                  <c:v>10.5</c:v>
                </c:pt>
                <c:pt idx="10">
                  <c:v>3.9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Sheet1!$F$2:$F$12</c:f>
              <c:numCache>
                <c:formatCode>0.0_);[Red]\(0.0\)</c:formatCode>
                <c:ptCount val="11"/>
                <c:pt idx="0">
                  <c:v>30.7</c:v>
                </c:pt>
                <c:pt idx="1">
                  <c:v>22.1</c:v>
                </c:pt>
                <c:pt idx="2">
                  <c:v>25.8</c:v>
                </c:pt>
                <c:pt idx="3">
                  <c:v>21.3</c:v>
                </c:pt>
                <c:pt idx="4">
                  <c:v>23.8</c:v>
                </c:pt>
                <c:pt idx="5">
                  <c:v>21.3</c:v>
                </c:pt>
                <c:pt idx="6">
                  <c:v>10.7</c:v>
                </c:pt>
                <c:pt idx="7">
                  <c:v>8.6</c:v>
                </c:pt>
                <c:pt idx="8">
                  <c:v>1.6</c:v>
                </c:pt>
                <c:pt idx="9">
                  <c:v>11.9</c:v>
                </c:pt>
                <c:pt idx="10">
                  <c:v>2.9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278817606815562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Sheet1!$G$2:$G$12</c:f>
              <c:numCache>
                <c:formatCode>0.0_);[Red]\(0.0\)</c:formatCode>
                <c:ptCount val="11"/>
                <c:pt idx="0">
                  <c:v>33.300000000000004</c:v>
                </c:pt>
                <c:pt idx="1">
                  <c:v>30.6</c:v>
                </c:pt>
                <c:pt idx="2">
                  <c:v>26.9</c:v>
                </c:pt>
                <c:pt idx="3">
                  <c:v>20.399999999999999</c:v>
                </c:pt>
                <c:pt idx="4">
                  <c:v>18.8</c:v>
                </c:pt>
                <c:pt idx="5">
                  <c:v>26.9</c:v>
                </c:pt>
                <c:pt idx="6">
                  <c:v>6.5</c:v>
                </c:pt>
                <c:pt idx="7">
                  <c:v>5.4</c:v>
                </c:pt>
                <c:pt idx="8">
                  <c:v>1.1000000000000001</c:v>
                </c:pt>
                <c:pt idx="9">
                  <c:v>9.1</c:v>
                </c:pt>
                <c:pt idx="10">
                  <c:v>3.2</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dLbl>
              <c:idx val="5"/>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県民に伝えたいことや協力し
てほしいことなどメッセージ
性がある分かりやすい文章と
する</c:v>
                </c:pt>
                <c:pt idx="1">
                  <c:v>文章の内容が分かるような見
出しを多く用いる</c:v>
                </c:pt>
                <c:pt idx="2">
                  <c:v>専門用語など分かりづらい表
現は、言い方を変えたり解説
をつける</c:v>
                </c:pt>
                <c:pt idx="3">
                  <c:v>目を引くようなデザインやレ
イアウトなど、見やすさを工
夫する</c:v>
                </c:pt>
                <c:pt idx="4">
                  <c:v>写真やイラストを多くする　</c:v>
                </c:pt>
                <c:pt idx="5">
                  <c:v>文字を大きくする　　　　　</c:v>
                </c:pt>
                <c:pt idx="6">
                  <c:v>ページ数を増やすことで、よ
り多くの情報を掲載する</c:v>
                </c:pt>
                <c:pt idx="7">
                  <c:v>文字数を少なくする　　　　</c:v>
                </c:pt>
                <c:pt idx="8">
                  <c:v>その他　　　　　　　　　　</c:v>
                </c:pt>
                <c:pt idx="9">
                  <c:v>特にない　　　　　　　　　</c:v>
                </c:pt>
                <c:pt idx="10">
                  <c:v>わからない　　　　　　　　</c:v>
                </c:pt>
              </c:strCache>
            </c:strRef>
          </c:cat>
          <c:val>
            <c:numRef>
              <c:f>Sheet1!$H$2:$H$12</c:f>
              <c:numCache>
                <c:formatCode>0.0_);[Red]\(0.0\)</c:formatCode>
                <c:ptCount val="11"/>
                <c:pt idx="0">
                  <c:v>25.8</c:v>
                </c:pt>
                <c:pt idx="1">
                  <c:v>38.700000000000003</c:v>
                </c:pt>
                <c:pt idx="2">
                  <c:v>22.6</c:v>
                </c:pt>
                <c:pt idx="3">
                  <c:v>14.5</c:v>
                </c:pt>
                <c:pt idx="4">
                  <c:v>33.9</c:v>
                </c:pt>
                <c:pt idx="5">
                  <c:v>38.700000000000003</c:v>
                </c:pt>
                <c:pt idx="6">
                  <c:v>6.5</c:v>
                </c:pt>
                <c:pt idx="7">
                  <c:v>8.1</c:v>
                </c:pt>
                <c:pt idx="8">
                  <c:v>4.8</c:v>
                </c:pt>
                <c:pt idx="9">
                  <c:v>11.3</c:v>
                </c:pt>
                <c:pt idx="10">
                  <c:v>1.6</c:v>
                </c:pt>
              </c:numCache>
            </c:numRef>
          </c:val>
        </c:ser>
        <c:dLbls>
          <c:showLegendKey val="0"/>
          <c:showVal val="1"/>
          <c:showCatName val="0"/>
          <c:showSerName val="0"/>
          <c:showPercent val="0"/>
          <c:showBubbleSize val="0"/>
        </c:dLbls>
        <c:gapWidth val="100"/>
        <c:axId val="160263168"/>
        <c:axId val="160277248"/>
      </c:barChart>
      <c:catAx>
        <c:axId val="16026316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60277248"/>
        <c:crosses val="autoZero"/>
        <c:auto val="1"/>
        <c:lblAlgn val="ctr"/>
        <c:lblOffset val="100"/>
        <c:noMultiLvlLbl val="0"/>
      </c:catAx>
      <c:valAx>
        <c:axId val="160277248"/>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6026316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4.1686709932219713E-2"/>
                  <c:y val="2.550072384106155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Sheet1!$B$1:$J$1</c:f>
              <c:strCache>
                <c:ptCount val="9"/>
                <c:pt idx="0">
                  <c:v>日常生活で役立つ情報を優先的に紹介する</c:v>
                </c:pt>
                <c:pt idx="1">
                  <c:v>県民が参加できるイベントや講座等の情報を多く掲載する</c:v>
                </c:pt>
                <c:pt idx="2">
                  <c:v>県全体の政策・取り組みをバランスよく紹介する</c:v>
                </c:pt>
                <c:pt idx="3">
                  <c:v>県の重要な政策・取り組みをより詳しく紹介する</c:v>
                </c:pt>
                <c:pt idx="4">
                  <c:v>県の取り組みの動きや成果を節目ごとに紹介する</c:v>
                </c:pt>
                <c:pt idx="5">
                  <c:v>県の新しい政策・取り組みなど最新情報を優先的に紹介する</c:v>
                </c:pt>
                <c:pt idx="6">
                  <c:v>その他</c:v>
                </c:pt>
                <c:pt idx="7">
                  <c:v>特にない</c:v>
                </c:pt>
                <c:pt idx="8">
                  <c:v>わからない</c:v>
                </c:pt>
              </c:strCache>
            </c:strRef>
          </c:cat>
          <c:val>
            <c:numRef>
              <c:f>Sheet1!$B$2:$J$2</c:f>
              <c:numCache>
                <c:formatCode>0.0</c:formatCode>
                <c:ptCount val="9"/>
                <c:pt idx="0">
                  <c:v>47.5</c:v>
                </c:pt>
                <c:pt idx="1">
                  <c:v>39.4</c:v>
                </c:pt>
                <c:pt idx="2">
                  <c:v>26.7</c:v>
                </c:pt>
                <c:pt idx="3">
                  <c:v>24.4</c:v>
                </c:pt>
                <c:pt idx="4">
                  <c:v>24.4</c:v>
                </c:pt>
                <c:pt idx="5">
                  <c:v>22.8</c:v>
                </c:pt>
                <c:pt idx="6">
                  <c:v>1.4</c:v>
                </c:pt>
                <c:pt idx="7">
                  <c:v>7.1</c:v>
                </c:pt>
                <c:pt idx="8">
                  <c:v>9.3000000000000007</c:v>
                </c:pt>
              </c:numCache>
            </c:numRef>
          </c:val>
        </c:ser>
        <c:dLbls>
          <c:showLegendKey val="0"/>
          <c:showVal val="1"/>
          <c:showCatName val="0"/>
          <c:showSerName val="0"/>
          <c:showPercent val="0"/>
          <c:showBubbleSize val="0"/>
        </c:dLbls>
        <c:gapWidth val="100"/>
        <c:axId val="157030656"/>
        <c:axId val="157044736"/>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3"/>
              <c:layout>
                <c:manualLayout>
                  <c:x val="-3.8685266817100016E-2"/>
                  <c:y val="-3.1208433516290251E-2"/>
                </c:manualLayout>
              </c:layout>
              <c:dLblPos val="r"/>
              <c:showLegendKey val="0"/>
              <c:showVal val="1"/>
              <c:showCatName val="0"/>
              <c:showSerName val="0"/>
              <c:showPercent val="0"/>
              <c:showBubbleSize val="0"/>
            </c:dLbl>
            <c:dLbl>
              <c:idx val="4"/>
              <c:layout>
                <c:manualLayout>
                  <c:x val="-3.8685266817100016E-2"/>
                  <c:y val="-3.1208433516290202E-2"/>
                </c:manualLayout>
              </c:layout>
              <c:dLblPos val="r"/>
              <c:showLegendKey val="0"/>
              <c:showVal val="1"/>
              <c:showCatName val="0"/>
              <c:showSerName val="0"/>
              <c:showPercent val="0"/>
              <c:showBubbleSize val="0"/>
            </c:dLbl>
            <c:dLbl>
              <c:idx val="5"/>
              <c:dLblPos val="t"/>
              <c:showLegendKey val="0"/>
              <c:showVal val="1"/>
              <c:showCatName val="0"/>
              <c:showSerName val="0"/>
              <c:showPercent val="0"/>
              <c:showBubbleSize val="0"/>
            </c:dLbl>
            <c:dLbl>
              <c:idx val="6"/>
              <c:layout>
                <c:manualLayout>
                  <c:x val="-2.4063735368826451E-2"/>
                  <c:y val="-6.9164636441509567E-2"/>
                </c:manualLayout>
              </c:layout>
              <c:dLblPos val="r"/>
              <c:showLegendKey val="0"/>
              <c:showVal val="1"/>
              <c:showCatName val="0"/>
              <c:showSerName val="0"/>
              <c:showPercent val="0"/>
              <c:showBubbleSize val="0"/>
            </c:dLbl>
            <c:dLbl>
              <c:idx val="7"/>
              <c:layout>
                <c:manualLayout>
                  <c:x val="-3.4485412851881392E-2"/>
                  <c:y val="-3.1208433516290202E-2"/>
                </c:manualLayout>
              </c:layout>
              <c:dLblPos val="r"/>
              <c:showLegendKey val="0"/>
              <c:showVal val="1"/>
              <c:showCatName val="0"/>
              <c:showSerName val="0"/>
              <c:showPercent val="0"/>
              <c:showBubbleSize val="0"/>
            </c:dLbl>
            <c:dLbl>
              <c:idx val="8"/>
              <c:layout>
                <c:manualLayout>
                  <c:x val="-3.4516595823877914E-2"/>
                  <c:y val="-3.5425789396870036E-2"/>
                </c:manualLayout>
              </c:layout>
              <c:dLblPos val="r"/>
              <c:showLegendKey val="0"/>
              <c:showVal val="1"/>
              <c:showCatName val="0"/>
              <c:showSerName val="0"/>
              <c:showPercent val="0"/>
              <c:showBubbleSize val="0"/>
            </c:dLbl>
            <c:spPr>
              <a:solidFill>
                <a:sysClr val="window" lastClr="FFFFFF">
                  <a:lumMod val="7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Sheet1!$B$1:$J$1</c:f>
              <c:strCache>
                <c:ptCount val="9"/>
                <c:pt idx="0">
                  <c:v>日常生活で役立つ情報を優先的に紹介する</c:v>
                </c:pt>
                <c:pt idx="1">
                  <c:v>県民が参加できるイベントや講座等の情報を多く掲載する</c:v>
                </c:pt>
                <c:pt idx="2">
                  <c:v>県全体の政策・取り組みをバランスよく紹介する</c:v>
                </c:pt>
                <c:pt idx="3">
                  <c:v>県の重要な政策・取り組みをより詳しく紹介する</c:v>
                </c:pt>
                <c:pt idx="4">
                  <c:v>県の取り組みの動きや成果を節目ごとに紹介する</c:v>
                </c:pt>
                <c:pt idx="5">
                  <c:v>県の新しい政策・取り組みなど最新情報を優先的に紹介する</c:v>
                </c:pt>
                <c:pt idx="6">
                  <c:v>その他</c:v>
                </c:pt>
                <c:pt idx="7">
                  <c:v>特にない</c:v>
                </c:pt>
                <c:pt idx="8">
                  <c:v>わからない</c:v>
                </c:pt>
              </c:strCache>
            </c:strRef>
          </c:cat>
          <c:val>
            <c:numRef>
              <c:f>Sheet1!$B$3:$J$3</c:f>
              <c:numCache>
                <c:formatCode>0.0</c:formatCode>
                <c:ptCount val="9"/>
                <c:pt idx="0">
                  <c:v>42.2</c:v>
                </c:pt>
                <c:pt idx="1">
                  <c:v>32.300000000000004</c:v>
                </c:pt>
                <c:pt idx="2">
                  <c:v>26</c:v>
                </c:pt>
                <c:pt idx="3">
                  <c:v>29.6</c:v>
                </c:pt>
                <c:pt idx="4">
                  <c:v>26.9</c:v>
                </c:pt>
                <c:pt idx="5">
                  <c:v>24.7</c:v>
                </c:pt>
                <c:pt idx="6">
                  <c:v>1.7</c:v>
                </c:pt>
                <c:pt idx="7">
                  <c:v>7.8</c:v>
                </c:pt>
                <c:pt idx="8">
                  <c:v>10.4</c:v>
                </c:pt>
              </c:numCache>
            </c:numRef>
          </c:val>
          <c:smooth val="0"/>
        </c:ser>
        <c:ser>
          <c:idx val="1"/>
          <c:order val="2"/>
          <c:tx>
            <c:strRef>
              <c:f>Sheet1!$A$4</c:f>
              <c:strCache>
                <c:ptCount val="1"/>
                <c:pt idx="0">
                  <c:v>女性</c:v>
                </c:pt>
              </c:strCache>
            </c:strRef>
          </c:tx>
          <c:spPr>
            <a:ln>
              <a:prstDash val="sysDash"/>
            </a:ln>
          </c:spPr>
          <c:marker>
            <c:symbol val="square"/>
            <c:size val="7"/>
          </c:marker>
          <c:dLbls>
            <c:dLbl>
              <c:idx val="3"/>
              <c:layout>
                <c:manualLayout>
                  <c:x val="-3.6475871190692254E-2"/>
                  <c:y val="2.9099755576000412E-2"/>
                </c:manualLayout>
              </c:layout>
              <c:dLblPos val="r"/>
              <c:showLegendKey val="0"/>
              <c:showVal val="1"/>
              <c:showCatName val="0"/>
              <c:showSerName val="0"/>
              <c:showPercent val="0"/>
              <c:showBubbleSize val="0"/>
            </c:dLbl>
            <c:dLbl>
              <c:idx val="4"/>
              <c:layout>
                <c:manualLayout>
                  <c:x val="-3.6475871190692254E-2"/>
                  <c:y val="3.3317111456580083E-2"/>
                </c:manualLayout>
              </c:layout>
              <c:dLblPos val="r"/>
              <c:showLegendKey val="0"/>
              <c:showVal val="1"/>
              <c:showCatName val="0"/>
              <c:showSerName val="0"/>
              <c:showPercent val="0"/>
              <c:showBubbleSize val="0"/>
            </c:dLbl>
            <c:dLbl>
              <c:idx val="5"/>
              <c:layout>
                <c:manualLayout>
                  <c:x val="-3.6475871190692254E-2"/>
                  <c:y val="3.3317111456580083E-2"/>
                </c:manualLayout>
              </c:layout>
              <c:dLblPos val="r"/>
              <c:showLegendKey val="0"/>
              <c:showVal val="1"/>
              <c:showCatName val="0"/>
              <c:showSerName val="0"/>
              <c:showPercent val="0"/>
              <c:showBubbleSize val="0"/>
            </c:dLbl>
            <c:dLbl>
              <c:idx val="6"/>
              <c:layout>
                <c:manualLayout>
                  <c:x val="-2.3970780939416597E-2"/>
                  <c:y val="-4.0486622675943523E-2"/>
                </c:manualLayout>
              </c:layout>
              <c:dLblPos val="r"/>
              <c:showLegendKey val="0"/>
              <c:showVal val="1"/>
              <c:showCatName val="0"/>
              <c:showSerName val="0"/>
              <c:showPercent val="0"/>
              <c:showBubbleSize val="0"/>
            </c:dLbl>
            <c:dLbl>
              <c:idx val="7"/>
              <c:layout>
                <c:manualLayout>
                  <c:x val="-3.1327233066278611E-3"/>
                  <c:y val="1.644761261502892E-2"/>
                </c:manualLayout>
              </c:layout>
              <c:dLblPos val="r"/>
              <c:showLegendKey val="0"/>
              <c:showVal val="1"/>
              <c:showCatName val="0"/>
              <c:showSerName val="0"/>
              <c:showPercent val="0"/>
              <c:showBubbleSize val="0"/>
            </c:dLbl>
            <c:dLbl>
              <c:idx val="8"/>
              <c:layout>
                <c:manualLayout>
                  <c:x val="-3.2307200197470416E-2"/>
                  <c:y val="3.1208433516290282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Sheet1!$B$1:$J$1</c:f>
              <c:strCache>
                <c:ptCount val="9"/>
                <c:pt idx="0">
                  <c:v>日常生活で役立つ情報を優先的に紹介する</c:v>
                </c:pt>
                <c:pt idx="1">
                  <c:v>県民が参加できるイベントや講座等の情報を多く掲載する</c:v>
                </c:pt>
                <c:pt idx="2">
                  <c:v>県全体の政策・取り組みをバランスよく紹介する</c:v>
                </c:pt>
                <c:pt idx="3">
                  <c:v>県の重要な政策・取り組みをより詳しく紹介する</c:v>
                </c:pt>
                <c:pt idx="4">
                  <c:v>県の取り組みの動きや成果を節目ごとに紹介する</c:v>
                </c:pt>
                <c:pt idx="5">
                  <c:v>県の新しい政策・取り組みなど最新情報を優先的に紹介する</c:v>
                </c:pt>
                <c:pt idx="6">
                  <c:v>その他</c:v>
                </c:pt>
                <c:pt idx="7">
                  <c:v>特にない</c:v>
                </c:pt>
                <c:pt idx="8">
                  <c:v>わからない</c:v>
                </c:pt>
              </c:strCache>
            </c:strRef>
          </c:cat>
          <c:val>
            <c:numRef>
              <c:f>Sheet1!$B$4:$J$4</c:f>
              <c:numCache>
                <c:formatCode>0.0</c:formatCode>
                <c:ptCount val="9"/>
                <c:pt idx="0">
                  <c:v>52.1</c:v>
                </c:pt>
                <c:pt idx="1">
                  <c:v>45.4</c:v>
                </c:pt>
                <c:pt idx="2">
                  <c:v>27.3</c:v>
                </c:pt>
                <c:pt idx="3">
                  <c:v>20.100000000000001</c:v>
                </c:pt>
                <c:pt idx="4">
                  <c:v>22.5</c:v>
                </c:pt>
                <c:pt idx="5">
                  <c:v>21.3</c:v>
                </c:pt>
                <c:pt idx="6">
                  <c:v>1.3</c:v>
                </c:pt>
                <c:pt idx="7">
                  <c:v>6.6</c:v>
                </c:pt>
                <c:pt idx="8">
                  <c:v>8.3000000000000007</c:v>
                </c:pt>
              </c:numCache>
            </c:numRef>
          </c:val>
          <c:smooth val="0"/>
        </c:ser>
        <c:dLbls>
          <c:showLegendKey val="0"/>
          <c:showVal val="0"/>
          <c:showCatName val="0"/>
          <c:showSerName val="0"/>
          <c:showPercent val="0"/>
          <c:showBubbleSize val="0"/>
        </c:dLbls>
        <c:marker val="1"/>
        <c:smooth val="0"/>
        <c:axId val="157030656"/>
        <c:axId val="157044736"/>
      </c:lineChart>
      <c:catAx>
        <c:axId val="157030656"/>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7044736"/>
        <c:crosses val="autoZero"/>
        <c:auto val="1"/>
        <c:lblAlgn val="ctr"/>
        <c:lblOffset val="100"/>
        <c:noMultiLvlLbl val="0"/>
      </c:catAx>
      <c:valAx>
        <c:axId val="157044736"/>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7030656"/>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36913735923491"/>
          <c:y val="4.5945260968926364E-2"/>
          <c:w val="0.6955464767647539"/>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Sheet1!$B$2:$B$12</c:f>
              <c:numCache>
                <c:formatCode>_ * ###0.0_ ;_ * \-###0.0_ ;_ * "-"</c:formatCode>
                <c:ptCount val="11"/>
                <c:pt idx="0">
                  <c:v>43.9</c:v>
                </c:pt>
                <c:pt idx="1">
                  <c:v>40.300000000000004</c:v>
                </c:pt>
                <c:pt idx="2">
                  <c:v>29.9</c:v>
                </c:pt>
                <c:pt idx="3">
                  <c:v>29.1</c:v>
                </c:pt>
                <c:pt idx="4">
                  <c:v>31.3</c:v>
                </c:pt>
                <c:pt idx="5">
                  <c:v>26.3</c:v>
                </c:pt>
                <c:pt idx="6">
                  <c:v>19.899999999999999</c:v>
                </c:pt>
                <c:pt idx="7">
                  <c:v>17.899999999999999</c:v>
                </c:pt>
                <c:pt idx="8">
                  <c:v>21.7</c:v>
                </c:pt>
                <c:pt idx="9">
                  <c:v>15.9</c:v>
                </c:pt>
                <c:pt idx="10">
                  <c:v>1.5</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Sheet1!$C$2:$C$12</c:f>
              <c:numCache>
                <c:formatCode>_ * ###0.0_ ;_ * \-###0.0_ ;_ * "-"</c:formatCode>
                <c:ptCount val="11"/>
                <c:pt idx="0">
                  <c:v>43.5</c:v>
                </c:pt>
                <c:pt idx="1">
                  <c:v>42.3</c:v>
                </c:pt>
                <c:pt idx="2">
                  <c:v>34.300000000000004</c:v>
                </c:pt>
                <c:pt idx="3">
                  <c:v>28.2</c:v>
                </c:pt>
                <c:pt idx="4">
                  <c:v>23.3</c:v>
                </c:pt>
                <c:pt idx="5">
                  <c:v>20.7</c:v>
                </c:pt>
                <c:pt idx="6">
                  <c:v>21.4</c:v>
                </c:pt>
                <c:pt idx="7">
                  <c:v>21.8</c:v>
                </c:pt>
                <c:pt idx="8">
                  <c:v>18.600000000000001</c:v>
                </c:pt>
                <c:pt idx="9">
                  <c:v>21.9</c:v>
                </c:pt>
                <c:pt idx="10">
                  <c:v>0.9</c:v>
                </c:pt>
              </c:numCache>
            </c:numRef>
          </c:val>
        </c:ser>
        <c:dLbls>
          <c:showLegendKey val="0"/>
          <c:showVal val="1"/>
          <c:showCatName val="0"/>
          <c:showSerName val="0"/>
          <c:showPercent val="0"/>
          <c:showBubbleSize val="0"/>
        </c:dLbls>
        <c:gapWidth val="100"/>
        <c:axId val="222032256"/>
        <c:axId val="222033792"/>
      </c:barChart>
      <c:catAx>
        <c:axId val="222032256"/>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2033792"/>
        <c:crosses val="autoZero"/>
        <c:auto val="1"/>
        <c:lblAlgn val="ctr"/>
        <c:lblOffset val="100"/>
        <c:noMultiLvlLbl val="0"/>
      </c:catAx>
      <c:valAx>
        <c:axId val="222033792"/>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2032256"/>
        <c:crosses val="autoZero"/>
        <c:crossBetween val="between"/>
        <c:majorUnit val="10"/>
      </c:valAx>
      <c:spPr>
        <a:ln>
          <a:solidFill>
            <a:schemeClr val="tx1"/>
          </a:solidFill>
        </a:ln>
      </c:spPr>
    </c:plotArea>
    <c:legend>
      <c:legendPos val="b"/>
      <c:layout>
        <c:manualLayout>
          <c:xMode val="edge"/>
          <c:yMode val="edge"/>
          <c:x val="0.85174590619100643"/>
          <c:y val="0.84530990523272376"/>
          <c:w val="8.7867943447708305E-2"/>
          <c:h val="0.114987570566120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Sheet1!$B$2:$B$10</c:f>
              <c:numCache>
                <c:formatCode>0.0_);[Red]\(0.0\)</c:formatCode>
                <c:ptCount val="9"/>
                <c:pt idx="0">
                  <c:v>32.200000000000003</c:v>
                </c:pt>
                <c:pt idx="1">
                  <c:v>25.3</c:v>
                </c:pt>
                <c:pt idx="2">
                  <c:v>24.1</c:v>
                </c:pt>
                <c:pt idx="3">
                  <c:v>23</c:v>
                </c:pt>
                <c:pt idx="4">
                  <c:v>23</c:v>
                </c:pt>
                <c:pt idx="5">
                  <c:v>18.399999999999999</c:v>
                </c:pt>
                <c:pt idx="6">
                  <c:v>0</c:v>
                </c:pt>
                <c:pt idx="7">
                  <c:v>9.2000000000000011</c:v>
                </c:pt>
                <c:pt idx="8">
                  <c:v>16.100000000000001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Sheet1!$C$2:$C$10</c:f>
              <c:numCache>
                <c:formatCode>0.0_);[Red]\(0.0\)</c:formatCode>
                <c:ptCount val="9"/>
                <c:pt idx="0">
                  <c:v>41.1</c:v>
                </c:pt>
                <c:pt idx="1">
                  <c:v>37.1</c:v>
                </c:pt>
                <c:pt idx="2">
                  <c:v>26.7</c:v>
                </c:pt>
                <c:pt idx="3">
                  <c:v>15.8</c:v>
                </c:pt>
                <c:pt idx="4">
                  <c:v>22.8</c:v>
                </c:pt>
                <c:pt idx="5">
                  <c:v>17.8</c:v>
                </c:pt>
                <c:pt idx="6">
                  <c:v>1</c:v>
                </c:pt>
                <c:pt idx="7">
                  <c:v>8.4</c:v>
                </c:pt>
                <c:pt idx="8">
                  <c:v>16.3</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Sheet1!$D$2:$D$10</c:f>
              <c:numCache>
                <c:formatCode>0.0_);[Red]\(0.0\)</c:formatCode>
                <c:ptCount val="9"/>
                <c:pt idx="0">
                  <c:v>41.5</c:v>
                </c:pt>
                <c:pt idx="1">
                  <c:v>46.6</c:v>
                </c:pt>
                <c:pt idx="2">
                  <c:v>19.8</c:v>
                </c:pt>
                <c:pt idx="3">
                  <c:v>14.6</c:v>
                </c:pt>
                <c:pt idx="4">
                  <c:v>15.8</c:v>
                </c:pt>
                <c:pt idx="5">
                  <c:v>15</c:v>
                </c:pt>
                <c:pt idx="6">
                  <c:v>2.4</c:v>
                </c:pt>
                <c:pt idx="7">
                  <c:v>7.1</c:v>
                </c:pt>
                <c:pt idx="8">
                  <c:v>10.7</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Sheet1!$E$2:$E$10</c:f>
              <c:numCache>
                <c:formatCode>0.0_);[Red]\(0.0\)</c:formatCode>
                <c:ptCount val="9"/>
                <c:pt idx="0">
                  <c:v>47.7</c:v>
                </c:pt>
                <c:pt idx="1">
                  <c:v>44.3</c:v>
                </c:pt>
                <c:pt idx="2">
                  <c:v>29.4</c:v>
                </c:pt>
                <c:pt idx="3">
                  <c:v>24.9</c:v>
                </c:pt>
                <c:pt idx="4">
                  <c:v>26.3</c:v>
                </c:pt>
                <c:pt idx="5">
                  <c:v>21.7</c:v>
                </c:pt>
                <c:pt idx="6">
                  <c:v>1.4</c:v>
                </c:pt>
                <c:pt idx="7">
                  <c:v>7.1</c:v>
                </c:pt>
                <c:pt idx="8">
                  <c:v>8</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Sheet1!$F$2:$F$10</c:f>
              <c:numCache>
                <c:formatCode>0.0_);[Red]\(0.0\)</c:formatCode>
                <c:ptCount val="9"/>
                <c:pt idx="0">
                  <c:v>52.8</c:v>
                </c:pt>
                <c:pt idx="1">
                  <c:v>39.700000000000003</c:v>
                </c:pt>
                <c:pt idx="2">
                  <c:v>28.3</c:v>
                </c:pt>
                <c:pt idx="3">
                  <c:v>24.8</c:v>
                </c:pt>
                <c:pt idx="4">
                  <c:v>25.4</c:v>
                </c:pt>
                <c:pt idx="5">
                  <c:v>22.7</c:v>
                </c:pt>
                <c:pt idx="6">
                  <c:v>1.2</c:v>
                </c:pt>
                <c:pt idx="7">
                  <c:v>6.1</c:v>
                </c:pt>
                <c:pt idx="8">
                  <c:v>7.6</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Sheet1!$G$2:$G$10</c:f>
              <c:numCache>
                <c:formatCode>0.0_);[Red]\(0.0\)</c:formatCode>
                <c:ptCount val="9"/>
                <c:pt idx="0">
                  <c:v>57.9</c:v>
                </c:pt>
                <c:pt idx="1">
                  <c:v>38.700000000000003</c:v>
                </c:pt>
                <c:pt idx="2">
                  <c:v>29.5</c:v>
                </c:pt>
                <c:pt idx="3">
                  <c:v>33.300000000000004</c:v>
                </c:pt>
                <c:pt idx="4">
                  <c:v>31.8</c:v>
                </c:pt>
                <c:pt idx="5">
                  <c:v>33.300000000000004</c:v>
                </c:pt>
                <c:pt idx="6">
                  <c:v>1.5</c:v>
                </c:pt>
                <c:pt idx="7">
                  <c:v>6.1</c:v>
                </c:pt>
                <c:pt idx="8">
                  <c:v>4.5999999999999996</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日常生活で役立つ情報を優先
的に紹介する</c:v>
                </c:pt>
                <c:pt idx="1">
                  <c:v>県民が参加できるイベントや
講座等の情報を多く掲載する</c:v>
                </c:pt>
                <c:pt idx="2">
                  <c:v>県全体の政策・取り組みをバ
ランスよく紹介する</c:v>
                </c:pt>
                <c:pt idx="3">
                  <c:v>県の重要な政策・取り組みを
より詳しく紹介する</c:v>
                </c:pt>
                <c:pt idx="4">
                  <c:v>県の取り組みの動きや成果を
節目ごとに紹介する</c:v>
                </c:pt>
                <c:pt idx="5">
                  <c:v>県の新しい政策・取り組みな
ど最新情報を優先的に紹介す
る</c:v>
                </c:pt>
                <c:pt idx="6">
                  <c:v>その他　　　　　　　　　　</c:v>
                </c:pt>
                <c:pt idx="7">
                  <c:v>特にない　　　　　　　　　</c:v>
                </c:pt>
                <c:pt idx="8">
                  <c:v>わからない　　　　　　　　</c:v>
                </c:pt>
              </c:strCache>
            </c:strRef>
          </c:cat>
          <c:val>
            <c:numRef>
              <c:f>Sheet1!$H$2:$H$10</c:f>
              <c:numCache>
                <c:formatCode>0.0_);[Red]\(0.0\)</c:formatCode>
                <c:ptCount val="9"/>
                <c:pt idx="0">
                  <c:v>46.9</c:v>
                </c:pt>
                <c:pt idx="1">
                  <c:v>23.5</c:v>
                </c:pt>
                <c:pt idx="2">
                  <c:v>25.5</c:v>
                </c:pt>
                <c:pt idx="3">
                  <c:v>42.9</c:v>
                </c:pt>
                <c:pt idx="4">
                  <c:v>22.4</c:v>
                </c:pt>
                <c:pt idx="5">
                  <c:v>33.700000000000003</c:v>
                </c:pt>
                <c:pt idx="6">
                  <c:v>1</c:v>
                </c:pt>
                <c:pt idx="7">
                  <c:v>9.2000000000000011</c:v>
                </c:pt>
                <c:pt idx="8">
                  <c:v>8.2000000000000011</c:v>
                </c:pt>
              </c:numCache>
            </c:numRef>
          </c:val>
        </c:ser>
        <c:dLbls>
          <c:showLegendKey val="0"/>
          <c:showVal val="1"/>
          <c:showCatName val="0"/>
          <c:showSerName val="0"/>
          <c:showPercent val="0"/>
          <c:showBubbleSize val="0"/>
        </c:dLbls>
        <c:gapWidth val="100"/>
        <c:axId val="157097344"/>
        <c:axId val="157127808"/>
      </c:barChart>
      <c:catAx>
        <c:axId val="15709734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57127808"/>
        <c:crosses val="autoZero"/>
        <c:auto val="1"/>
        <c:lblAlgn val="ctr"/>
        <c:lblOffset val="100"/>
        <c:noMultiLvlLbl val="0"/>
      </c:catAx>
      <c:valAx>
        <c:axId val="157127808"/>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5709734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016695352976374E-2"/>
          <c:y val="1.6423848537279531E-2"/>
          <c:w val="0.89254167316995769"/>
          <c:h val="0.66694474899499312"/>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12"/>
              <c:layout>
                <c:manualLayout>
                  <c:x val="1.4082327281206343E-2"/>
                  <c:y val="5.3443529189664947E-2"/>
                </c:manualLayout>
              </c:layout>
              <c:dLblPos val="outEnd"/>
              <c:showLegendKey val="0"/>
              <c:showVal val="1"/>
              <c:showCatName val="0"/>
              <c:showSerName val="0"/>
              <c:showPercent val="0"/>
              <c:showBubbleSize val="0"/>
            </c:dLbl>
            <c:dLbl>
              <c:idx val="13"/>
              <c:layout>
                <c:manualLayout>
                  <c:x val="2.4141132482068596E-2"/>
                  <c:y val="3.6877788498275242E-2"/>
                </c:manualLayout>
              </c:layout>
              <c:dLblPos val="outEnd"/>
              <c:showLegendKey val="0"/>
              <c:showVal val="1"/>
              <c:showCatName val="0"/>
              <c:showSerName val="0"/>
              <c:showPercent val="0"/>
              <c:showBubbleSize val="0"/>
            </c:dLbl>
            <c:dLbl>
              <c:idx val="14"/>
              <c:layout>
                <c:manualLayout>
                  <c:x val="2.0117610401723954E-2"/>
                  <c:y val="3.5543842153999652E-2"/>
                </c:manualLayout>
              </c:layout>
              <c:dLblPos val="outEnd"/>
              <c:showLegendKey val="0"/>
              <c:showVal val="1"/>
              <c:showCatName val="0"/>
              <c:showSerName val="0"/>
              <c:showPercent val="0"/>
              <c:showBubbleSize val="0"/>
            </c:dLbl>
            <c:dLbl>
              <c:idx val="15"/>
              <c:layout>
                <c:manualLayout>
                  <c:x val="2.0117610401723954E-2"/>
                  <c:y val="3.9417832209341606E-2"/>
                </c:manualLayout>
              </c:layout>
              <c:dLblPos val="outEnd"/>
              <c:showLegendKey val="0"/>
              <c:showVal val="1"/>
              <c:showCatName val="0"/>
              <c:showSerName val="0"/>
              <c:showPercent val="0"/>
              <c:showBubbleSize val="0"/>
            </c:dLbl>
            <c:dLbl>
              <c:idx val="16"/>
              <c:layout>
                <c:manualLayout>
                  <c:x val="3.0176415602585001E-2"/>
                  <c:y val="2.9649174103907352E-2"/>
                </c:manualLayout>
              </c:layout>
              <c:dLblPos val="outEnd"/>
              <c:showLegendKey val="0"/>
              <c:showVal val="1"/>
              <c:showCatName val="0"/>
              <c:showSerName val="0"/>
              <c:showPercent val="0"/>
              <c:showBubbleSize val="0"/>
            </c:dLbl>
            <c:spPr>
              <a:solidFill>
                <a:sysClr val="window" lastClr="FFFFFF"/>
              </a:solidFill>
            </c:spPr>
            <c:txPr>
              <a:bodyPr/>
              <a:lstStyle/>
              <a:p>
                <a:pPr>
                  <a:defRPr sz="700" b="1"/>
                </a:pPr>
                <a:endParaRPr lang="ja-JP"/>
              </a:p>
            </c:txPr>
            <c:dLblPos val="inBase"/>
            <c:showLegendKey val="0"/>
            <c:showVal val="1"/>
            <c:showCatName val="0"/>
            <c:showSerName val="0"/>
            <c:showPercent val="0"/>
            <c:showBubbleSize val="0"/>
            <c:showLeaderLines val="0"/>
          </c:dLbls>
          <c:cat>
            <c:strRef>
              <c:f>Sheet1!$B$1:$R$1</c:f>
              <c:strCache>
                <c:ptCount val="17"/>
                <c:pt idx="0">
                  <c:v>基本的な生活習慣（生活時間、食事、
健康管理など）を身につけさせること</c:v>
                </c:pt>
                <c:pt idx="1">
                  <c:v>友だちと一緒に遊ぶこと</c:v>
                </c:pt>
                <c:pt idx="2">
                  <c:v>自然とふれあうこと</c:v>
                </c:pt>
                <c:pt idx="3">
                  <c:v>社会のマナーやルールを身につけること</c:v>
                </c:pt>
                <c:pt idx="4">
                  <c:v>他者への思いやりをもつこと</c:v>
                </c:pt>
                <c:pt idx="5">
                  <c:v>親子でふれあうこと</c:v>
                </c:pt>
                <c:pt idx="6">
                  <c:v>屋外で遊ぶこと</c:v>
                </c:pt>
                <c:pt idx="7">
                  <c:v>興味や関心を広げること</c:v>
                </c:pt>
                <c:pt idx="8">
                  <c:v>自分の気持ちや考えを人に伝えること</c:v>
                </c:pt>
                <c:pt idx="9">
                  <c:v>自分でできることは自分ですること</c:v>
                </c:pt>
                <c:pt idx="10">
                  <c:v>身体を丈夫にすること</c:v>
                </c:pt>
                <c:pt idx="11">
                  <c:v>外国語を学ぶこと</c:v>
                </c:pt>
                <c:pt idx="12">
                  <c:v>伝統や文化を大切にすること</c:v>
                </c:pt>
                <c:pt idx="13">
                  <c:v>芸術的な才能を伸ばすこと
(音楽や絵画など) </c:v>
                </c:pt>
                <c:pt idx="14">
                  <c:v>数や文字を学ぶこと</c:v>
                </c:pt>
                <c:pt idx="15">
                  <c:v>その他</c:v>
                </c:pt>
                <c:pt idx="16">
                  <c:v>わからない</c:v>
                </c:pt>
              </c:strCache>
            </c:strRef>
          </c:cat>
          <c:val>
            <c:numRef>
              <c:f>Sheet1!$B$2:$R$2</c:f>
              <c:numCache>
                <c:formatCode>0.0</c:formatCode>
                <c:ptCount val="17"/>
                <c:pt idx="0">
                  <c:v>38.1</c:v>
                </c:pt>
                <c:pt idx="1">
                  <c:v>37.4</c:v>
                </c:pt>
                <c:pt idx="2">
                  <c:v>34.800000000000004</c:v>
                </c:pt>
                <c:pt idx="3">
                  <c:v>34.1</c:v>
                </c:pt>
                <c:pt idx="4">
                  <c:v>32.5</c:v>
                </c:pt>
                <c:pt idx="5">
                  <c:v>25.1</c:v>
                </c:pt>
                <c:pt idx="6">
                  <c:v>22.3</c:v>
                </c:pt>
                <c:pt idx="7">
                  <c:v>18.5</c:v>
                </c:pt>
                <c:pt idx="8">
                  <c:v>14.7</c:v>
                </c:pt>
                <c:pt idx="9">
                  <c:v>12.3</c:v>
                </c:pt>
                <c:pt idx="10">
                  <c:v>9.4</c:v>
                </c:pt>
                <c:pt idx="11">
                  <c:v>3.9</c:v>
                </c:pt>
                <c:pt idx="12">
                  <c:v>2.9</c:v>
                </c:pt>
                <c:pt idx="13">
                  <c:v>1.5</c:v>
                </c:pt>
                <c:pt idx="14">
                  <c:v>1.4</c:v>
                </c:pt>
                <c:pt idx="15">
                  <c:v>0.70000000000000062</c:v>
                </c:pt>
                <c:pt idx="16">
                  <c:v>0.8</c:v>
                </c:pt>
              </c:numCache>
            </c:numRef>
          </c:val>
        </c:ser>
        <c:dLbls>
          <c:showLegendKey val="0"/>
          <c:showVal val="1"/>
          <c:showCatName val="0"/>
          <c:showSerName val="0"/>
          <c:showPercent val="0"/>
          <c:showBubbleSize val="0"/>
        </c:dLbls>
        <c:gapWidth val="100"/>
        <c:axId val="157268608"/>
        <c:axId val="15731136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3.3314762825253842E-2"/>
                  <c:y val="-3.1208433516290202E-2"/>
                </c:manualLayout>
              </c:layout>
              <c:dLblPos val="r"/>
              <c:showLegendKey val="0"/>
              <c:showVal val="1"/>
              <c:showCatName val="0"/>
              <c:showSerName val="0"/>
              <c:showPercent val="0"/>
              <c:showBubbleSize val="0"/>
            </c:dLbl>
            <c:dLbl>
              <c:idx val="3"/>
              <c:layout>
                <c:manualLayout>
                  <c:x val="-3.1303001785081511E-2"/>
                  <c:y val="-3.3317111456580083E-2"/>
                </c:manualLayout>
              </c:layout>
              <c:dLblPos val="r"/>
              <c:showLegendKey val="0"/>
              <c:showVal val="1"/>
              <c:showCatName val="0"/>
              <c:showSerName val="0"/>
              <c:showPercent val="0"/>
              <c:showBubbleSize val="0"/>
            </c:dLbl>
            <c:dLbl>
              <c:idx val="5"/>
              <c:layout>
                <c:manualLayout>
                  <c:x val="-2.7279479704736851E-2"/>
                  <c:y val="-3.7534467337159795E-2"/>
                </c:manualLayout>
              </c:layout>
              <c:dLblPos val="r"/>
              <c:showLegendKey val="0"/>
              <c:showVal val="1"/>
              <c:showCatName val="0"/>
              <c:showSerName val="0"/>
              <c:showPercent val="0"/>
              <c:showBubbleSize val="0"/>
            </c:dLbl>
            <c:dLbl>
              <c:idx val="6"/>
              <c:layout>
                <c:manualLayout>
                  <c:x val="-3.1303001785081511E-2"/>
                  <c:y val="-3.1208433516290202E-2"/>
                </c:manualLayout>
              </c:layout>
              <c:dLblPos val="r"/>
              <c:showLegendKey val="0"/>
              <c:showVal val="1"/>
              <c:showCatName val="0"/>
              <c:showSerName val="0"/>
              <c:showPercent val="0"/>
              <c:showBubbleSize val="0"/>
            </c:dLbl>
            <c:dLbl>
              <c:idx val="10"/>
              <c:layout>
                <c:manualLayout>
                  <c:x val="-2.7738776893910296E-2"/>
                  <c:y val="-1.7819485449177584E-2"/>
                </c:manualLayout>
              </c:layout>
              <c:dLblPos val="r"/>
              <c:showLegendKey val="0"/>
              <c:showVal val="1"/>
              <c:showCatName val="0"/>
              <c:showSerName val="0"/>
              <c:showPercent val="0"/>
              <c:showBubbleSize val="0"/>
            </c:dLbl>
            <c:dLbl>
              <c:idx val="11"/>
              <c:layout>
                <c:manualLayout>
                  <c:x val="-2.523762145215248E-2"/>
                  <c:y val="-5.6512568799768806E-2"/>
                </c:manualLayout>
              </c:layout>
              <c:dLblPos val="r"/>
              <c:showLegendKey val="0"/>
              <c:showVal val="1"/>
              <c:showCatName val="0"/>
              <c:showSerName val="0"/>
              <c:showPercent val="0"/>
              <c:showBubbleSize val="0"/>
            </c:dLbl>
            <c:dLbl>
              <c:idx val="12"/>
              <c:layout>
                <c:manualLayout>
                  <c:x val="-3.3284665612841817E-2"/>
                  <c:y val="-3.5425789396869981E-2"/>
                </c:manualLayout>
              </c:layout>
              <c:dLblPos val="r"/>
              <c:showLegendKey val="0"/>
              <c:showVal val="1"/>
              <c:showCatName val="0"/>
              <c:showSerName val="0"/>
              <c:showPercent val="0"/>
              <c:showBubbleSize val="0"/>
            </c:dLbl>
            <c:dLbl>
              <c:idx val="13"/>
              <c:layout>
                <c:manualLayout>
                  <c:x val="-3.3284665612841817E-2"/>
                  <c:y val="-4.8077857038609229E-2"/>
                </c:manualLayout>
              </c:layout>
              <c:dLblPos val="r"/>
              <c:showLegendKey val="0"/>
              <c:showVal val="1"/>
              <c:showCatName val="0"/>
              <c:showSerName val="0"/>
              <c:showPercent val="0"/>
              <c:showBubbleSize val="0"/>
            </c:dLbl>
            <c:dLbl>
              <c:idx val="14"/>
              <c:layout>
                <c:manualLayout>
                  <c:x val="-3.3284665612841817E-2"/>
                  <c:y val="-7.5490670262377574E-2"/>
                </c:manualLayout>
              </c:layout>
              <c:dLblPos val="r"/>
              <c:showLegendKey val="0"/>
              <c:showVal val="1"/>
              <c:showCatName val="0"/>
              <c:showSerName val="0"/>
              <c:showPercent val="0"/>
              <c:showBubbleSize val="0"/>
            </c:dLbl>
            <c:dLbl>
              <c:idx val="15"/>
              <c:layout>
                <c:manualLayout>
                  <c:x val="-3.3284665612841817E-2"/>
                  <c:y val="-7.5490670262377713E-2"/>
                </c:manualLayout>
              </c:layout>
              <c:dLblPos val="r"/>
              <c:showLegendKey val="0"/>
              <c:showVal val="1"/>
              <c:showCatName val="0"/>
              <c:showSerName val="0"/>
              <c:showPercent val="0"/>
              <c:showBubbleSize val="0"/>
            </c:dLbl>
            <c:dLbl>
              <c:idx val="16"/>
              <c:layout>
                <c:manualLayout>
                  <c:x val="-3.3284665612841817E-2"/>
                  <c:y val="-3.9643145277450477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700" b="1"/>
                </a:pPr>
                <a:endParaRPr lang="ja-JP"/>
              </a:p>
            </c:txPr>
            <c:dLblPos val="b"/>
            <c:showLegendKey val="0"/>
            <c:showVal val="1"/>
            <c:showCatName val="0"/>
            <c:showSerName val="0"/>
            <c:showPercent val="0"/>
            <c:showBubbleSize val="0"/>
            <c:showLeaderLines val="0"/>
          </c:dLbls>
          <c:cat>
            <c:strRef>
              <c:f>Sheet1!$B$1:$R$1</c:f>
              <c:strCache>
                <c:ptCount val="17"/>
                <c:pt idx="0">
                  <c:v>基本的な生活習慣（生活時間、食事、
健康管理など）を身につけさせること</c:v>
                </c:pt>
                <c:pt idx="1">
                  <c:v>友だちと一緒に遊ぶこと</c:v>
                </c:pt>
                <c:pt idx="2">
                  <c:v>自然とふれあうこと</c:v>
                </c:pt>
                <c:pt idx="3">
                  <c:v>社会のマナーやルールを身につけること</c:v>
                </c:pt>
                <c:pt idx="4">
                  <c:v>他者への思いやりをもつこと</c:v>
                </c:pt>
                <c:pt idx="5">
                  <c:v>親子でふれあうこと</c:v>
                </c:pt>
                <c:pt idx="6">
                  <c:v>屋外で遊ぶこと</c:v>
                </c:pt>
                <c:pt idx="7">
                  <c:v>興味や関心を広げること</c:v>
                </c:pt>
                <c:pt idx="8">
                  <c:v>自分の気持ちや考えを人に伝えること</c:v>
                </c:pt>
                <c:pt idx="9">
                  <c:v>自分でできることは自分ですること</c:v>
                </c:pt>
                <c:pt idx="10">
                  <c:v>身体を丈夫にすること</c:v>
                </c:pt>
                <c:pt idx="11">
                  <c:v>外国語を学ぶこと</c:v>
                </c:pt>
                <c:pt idx="12">
                  <c:v>伝統や文化を大切にすること</c:v>
                </c:pt>
                <c:pt idx="13">
                  <c:v>芸術的な才能を伸ばすこと
(音楽や絵画など) </c:v>
                </c:pt>
                <c:pt idx="14">
                  <c:v>数や文字を学ぶこと</c:v>
                </c:pt>
                <c:pt idx="15">
                  <c:v>その他</c:v>
                </c:pt>
                <c:pt idx="16">
                  <c:v>わからない</c:v>
                </c:pt>
              </c:strCache>
            </c:strRef>
          </c:cat>
          <c:val>
            <c:numRef>
              <c:f>Sheet1!$B$3:$R$3</c:f>
              <c:numCache>
                <c:formatCode>0.0</c:formatCode>
                <c:ptCount val="17"/>
                <c:pt idx="0">
                  <c:v>32.300000000000004</c:v>
                </c:pt>
                <c:pt idx="1">
                  <c:v>41.3</c:v>
                </c:pt>
                <c:pt idx="2">
                  <c:v>33.5</c:v>
                </c:pt>
                <c:pt idx="3">
                  <c:v>35.200000000000003</c:v>
                </c:pt>
                <c:pt idx="4">
                  <c:v>31.4</c:v>
                </c:pt>
                <c:pt idx="5">
                  <c:v>25.6</c:v>
                </c:pt>
                <c:pt idx="6">
                  <c:v>27.1</c:v>
                </c:pt>
                <c:pt idx="7">
                  <c:v>17.2</c:v>
                </c:pt>
                <c:pt idx="8">
                  <c:v>13.2</c:v>
                </c:pt>
                <c:pt idx="9">
                  <c:v>10.8</c:v>
                </c:pt>
                <c:pt idx="10">
                  <c:v>9.8000000000000007</c:v>
                </c:pt>
                <c:pt idx="11">
                  <c:v>4.3</c:v>
                </c:pt>
                <c:pt idx="12">
                  <c:v>2.6</c:v>
                </c:pt>
                <c:pt idx="13">
                  <c:v>1.4</c:v>
                </c:pt>
                <c:pt idx="14">
                  <c:v>1.8</c:v>
                </c:pt>
                <c:pt idx="15">
                  <c:v>1.1000000000000001</c:v>
                </c:pt>
                <c:pt idx="16">
                  <c:v>0.70000000000000062</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3.3194057162843502E-2"/>
                  <c:y val="2.6253040356609518E-2"/>
                </c:manualLayout>
              </c:layout>
              <c:dLblPos val="r"/>
              <c:showLegendKey val="0"/>
              <c:showVal val="1"/>
              <c:showCatName val="0"/>
              <c:showSerName val="0"/>
              <c:showPercent val="0"/>
              <c:showBubbleSize val="0"/>
            </c:dLbl>
            <c:dLbl>
              <c:idx val="3"/>
              <c:layout>
                <c:manualLayout>
                  <c:x val="-3.3194057162843502E-2"/>
                  <c:y val="2.6253040356609518E-2"/>
                </c:manualLayout>
              </c:layout>
              <c:dLblPos val="r"/>
              <c:showLegendKey val="0"/>
              <c:showVal val="1"/>
              <c:showCatName val="0"/>
              <c:showSerName val="0"/>
              <c:showPercent val="0"/>
              <c:showBubbleSize val="0"/>
            </c:dLbl>
            <c:dLbl>
              <c:idx val="5"/>
              <c:layout>
                <c:manualLayout>
                  <c:x val="-4.1241101323532765E-2"/>
                  <c:y val="2.8361718296898823E-2"/>
                </c:manualLayout>
              </c:layout>
              <c:dLblPos val="r"/>
              <c:showLegendKey val="0"/>
              <c:showVal val="1"/>
              <c:showCatName val="0"/>
              <c:showSerName val="0"/>
              <c:showPercent val="0"/>
              <c:showBubbleSize val="0"/>
            </c:dLbl>
            <c:dLbl>
              <c:idx val="6"/>
              <c:layout>
                <c:manualLayout>
                  <c:x val="-3.520581820301652E-2"/>
                  <c:y val="2.6253040356609518E-2"/>
                </c:manualLayout>
              </c:layout>
              <c:dLblPos val="r"/>
              <c:showLegendKey val="0"/>
              <c:showVal val="1"/>
              <c:showCatName val="0"/>
              <c:showSerName val="0"/>
              <c:showPercent val="0"/>
              <c:showBubbleSize val="0"/>
            </c:dLbl>
            <c:dLbl>
              <c:idx val="10"/>
              <c:layout>
                <c:manualLayout>
                  <c:x val="-2.5651501338210401E-2"/>
                  <c:y val="9.3842260649515709E-3"/>
                </c:manualLayout>
              </c:layout>
              <c:dLblPos val="r"/>
              <c:showLegendKey val="0"/>
              <c:showVal val="1"/>
              <c:showCatName val="0"/>
              <c:showSerName val="0"/>
              <c:showPercent val="0"/>
              <c:showBubbleSize val="0"/>
            </c:dLbl>
            <c:dLbl>
              <c:idx val="11"/>
              <c:layout>
                <c:manualLayout>
                  <c:x val="-2.3638192222025435E-2"/>
                  <c:y val="-3.2789941971507655E-2"/>
                </c:manualLayout>
              </c:layout>
              <c:dLblPos val="r"/>
              <c:showLegendKey val="0"/>
              <c:showVal val="1"/>
              <c:showCatName val="0"/>
              <c:showSerName val="0"/>
              <c:showPercent val="0"/>
              <c:showBubbleSize val="0"/>
            </c:dLbl>
            <c:dLbl>
              <c:idx val="12"/>
              <c:layout>
                <c:manualLayout>
                  <c:x val="-2.9673475342541951E-2"/>
                  <c:y val="-6.2311433135567487E-2"/>
                </c:manualLayout>
              </c:layout>
              <c:dLblPos val="r"/>
              <c:showLegendKey val="0"/>
              <c:showVal val="1"/>
              <c:showCatName val="0"/>
              <c:showSerName val="0"/>
              <c:showPercent val="0"/>
              <c:showBubbleSize val="0"/>
            </c:dLbl>
            <c:dLbl>
              <c:idx val="13"/>
              <c:layout>
                <c:manualLayout>
                  <c:x val="-3.1685236382715073E-2"/>
                  <c:y val="-8.3398212538464647E-2"/>
                </c:manualLayout>
              </c:layout>
              <c:dLblPos val="r"/>
              <c:showLegendKey val="0"/>
              <c:showVal val="1"/>
              <c:showCatName val="0"/>
              <c:showSerName val="0"/>
              <c:showPercent val="0"/>
              <c:showBubbleSize val="0"/>
            </c:dLbl>
            <c:dLbl>
              <c:idx val="14"/>
              <c:layout>
                <c:manualLayout>
                  <c:x val="-2.9673475342541951E-2"/>
                  <c:y val="-5.3876721374406834E-2"/>
                </c:manualLayout>
              </c:layout>
              <c:dLblPos val="r"/>
              <c:showLegendKey val="0"/>
              <c:showVal val="1"/>
              <c:showCatName val="0"/>
              <c:showSerName val="0"/>
              <c:showPercent val="0"/>
              <c:showBubbleSize val="0"/>
            </c:dLbl>
            <c:dLbl>
              <c:idx val="15"/>
              <c:layout>
                <c:manualLayout>
                  <c:x val="-2.9673475342541951E-2"/>
                  <c:y val="-5.8094077254987324E-2"/>
                </c:manualLayout>
              </c:layout>
              <c:dLblPos val="r"/>
              <c:showLegendKey val="0"/>
              <c:showVal val="1"/>
              <c:showCatName val="0"/>
              <c:showSerName val="0"/>
              <c:showPercent val="0"/>
              <c:showBubbleSize val="0"/>
            </c:dLbl>
            <c:dLbl>
              <c:idx val="16"/>
              <c:layout>
                <c:manualLayout>
                  <c:x val="-3.3696997422886642E-2"/>
                  <c:y val="-7.2854822837015984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700"/>
                </a:pPr>
                <a:endParaRPr lang="ja-JP"/>
              </a:p>
            </c:txPr>
            <c:dLblPos val="t"/>
            <c:showLegendKey val="0"/>
            <c:showVal val="1"/>
            <c:showCatName val="0"/>
            <c:showSerName val="0"/>
            <c:showPercent val="0"/>
            <c:showBubbleSize val="0"/>
            <c:showLeaderLines val="0"/>
          </c:dLbls>
          <c:cat>
            <c:strRef>
              <c:f>Sheet1!$B$1:$R$1</c:f>
              <c:strCache>
                <c:ptCount val="17"/>
                <c:pt idx="0">
                  <c:v>基本的な生活習慣（生活時間、食事、
健康管理など）を身につけさせること</c:v>
                </c:pt>
                <c:pt idx="1">
                  <c:v>友だちと一緒に遊ぶこと</c:v>
                </c:pt>
                <c:pt idx="2">
                  <c:v>自然とふれあうこと</c:v>
                </c:pt>
                <c:pt idx="3">
                  <c:v>社会のマナーやルールを身につけること</c:v>
                </c:pt>
                <c:pt idx="4">
                  <c:v>他者への思いやりをもつこと</c:v>
                </c:pt>
                <c:pt idx="5">
                  <c:v>親子でふれあうこと</c:v>
                </c:pt>
                <c:pt idx="6">
                  <c:v>屋外で遊ぶこと</c:v>
                </c:pt>
                <c:pt idx="7">
                  <c:v>興味や関心を広げること</c:v>
                </c:pt>
                <c:pt idx="8">
                  <c:v>自分の気持ちや考えを人に伝えること</c:v>
                </c:pt>
                <c:pt idx="9">
                  <c:v>自分でできることは自分ですること</c:v>
                </c:pt>
                <c:pt idx="10">
                  <c:v>身体を丈夫にすること</c:v>
                </c:pt>
                <c:pt idx="11">
                  <c:v>外国語を学ぶこと</c:v>
                </c:pt>
                <c:pt idx="12">
                  <c:v>伝統や文化を大切にすること</c:v>
                </c:pt>
                <c:pt idx="13">
                  <c:v>芸術的な才能を伸ばすこと
(音楽や絵画など) </c:v>
                </c:pt>
                <c:pt idx="14">
                  <c:v>数や文字を学ぶこと</c:v>
                </c:pt>
                <c:pt idx="15">
                  <c:v>その他</c:v>
                </c:pt>
                <c:pt idx="16">
                  <c:v>わからない</c:v>
                </c:pt>
              </c:strCache>
            </c:strRef>
          </c:cat>
          <c:val>
            <c:numRef>
              <c:f>Sheet1!$B$4:$R$4</c:f>
              <c:numCache>
                <c:formatCode>0.0</c:formatCode>
                <c:ptCount val="17"/>
                <c:pt idx="0">
                  <c:v>43.1</c:v>
                </c:pt>
                <c:pt idx="1">
                  <c:v>34.200000000000003</c:v>
                </c:pt>
                <c:pt idx="2">
                  <c:v>36.1</c:v>
                </c:pt>
                <c:pt idx="3">
                  <c:v>33.5</c:v>
                </c:pt>
                <c:pt idx="4">
                  <c:v>33.700000000000003</c:v>
                </c:pt>
                <c:pt idx="5">
                  <c:v>25</c:v>
                </c:pt>
                <c:pt idx="6">
                  <c:v>18.5</c:v>
                </c:pt>
                <c:pt idx="7">
                  <c:v>19.7</c:v>
                </c:pt>
                <c:pt idx="8">
                  <c:v>16</c:v>
                </c:pt>
                <c:pt idx="9">
                  <c:v>13.5</c:v>
                </c:pt>
                <c:pt idx="10">
                  <c:v>9</c:v>
                </c:pt>
                <c:pt idx="11">
                  <c:v>3.5</c:v>
                </c:pt>
                <c:pt idx="12">
                  <c:v>3.2</c:v>
                </c:pt>
                <c:pt idx="13">
                  <c:v>1.6</c:v>
                </c:pt>
                <c:pt idx="14">
                  <c:v>1</c:v>
                </c:pt>
                <c:pt idx="15">
                  <c:v>0.5</c:v>
                </c:pt>
                <c:pt idx="16">
                  <c:v>0.9</c:v>
                </c:pt>
              </c:numCache>
            </c:numRef>
          </c:val>
          <c:smooth val="0"/>
        </c:ser>
        <c:dLbls>
          <c:showLegendKey val="0"/>
          <c:showVal val="0"/>
          <c:showCatName val="0"/>
          <c:showSerName val="0"/>
          <c:showPercent val="0"/>
          <c:showBubbleSize val="0"/>
        </c:dLbls>
        <c:marker val="1"/>
        <c:smooth val="0"/>
        <c:axId val="157268608"/>
        <c:axId val="157311360"/>
      </c:lineChart>
      <c:catAx>
        <c:axId val="157268608"/>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7311360"/>
        <c:crosses val="autoZero"/>
        <c:auto val="1"/>
        <c:lblAlgn val="ctr"/>
        <c:lblOffset val="100"/>
        <c:noMultiLvlLbl val="0"/>
      </c:catAx>
      <c:valAx>
        <c:axId val="157311360"/>
        <c:scaling>
          <c:orientation val="minMax"/>
          <c:max val="5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7268608"/>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Sheet1!$B$2:$B$8</c:f>
              <c:numCache>
                <c:formatCode>0.0_);[Red]\(0.0\)</c:formatCode>
                <c:ptCount val="7"/>
                <c:pt idx="0">
                  <c:v>40.200000000000003</c:v>
                </c:pt>
                <c:pt idx="1">
                  <c:v>39.1</c:v>
                </c:pt>
                <c:pt idx="2">
                  <c:v>32.200000000000003</c:v>
                </c:pt>
                <c:pt idx="3">
                  <c:v>33.300000000000004</c:v>
                </c:pt>
                <c:pt idx="4">
                  <c:v>31</c:v>
                </c:pt>
                <c:pt idx="5">
                  <c:v>21.8</c:v>
                </c:pt>
                <c:pt idx="6">
                  <c:v>25.3</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2"/>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Sheet1!$C$2:$C$8</c:f>
              <c:numCache>
                <c:formatCode>0.0_);[Red]\(0.0\)</c:formatCode>
                <c:ptCount val="7"/>
                <c:pt idx="0">
                  <c:v>29.7</c:v>
                </c:pt>
                <c:pt idx="1">
                  <c:v>33.700000000000003</c:v>
                </c:pt>
                <c:pt idx="2">
                  <c:v>38.6</c:v>
                </c:pt>
                <c:pt idx="3">
                  <c:v>34.700000000000003</c:v>
                </c:pt>
                <c:pt idx="4">
                  <c:v>32.700000000000003</c:v>
                </c:pt>
                <c:pt idx="5">
                  <c:v>26.7</c:v>
                </c:pt>
                <c:pt idx="6">
                  <c:v>20.3</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Sheet1!$D$2:$D$8</c:f>
              <c:numCache>
                <c:formatCode>0.0_);[Red]\(0.0\)</c:formatCode>
                <c:ptCount val="7"/>
                <c:pt idx="0">
                  <c:v>32.800000000000004</c:v>
                </c:pt>
                <c:pt idx="1">
                  <c:v>35.200000000000003</c:v>
                </c:pt>
                <c:pt idx="2">
                  <c:v>37.9</c:v>
                </c:pt>
                <c:pt idx="3">
                  <c:v>29.2</c:v>
                </c:pt>
                <c:pt idx="4">
                  <c:v>36.800000000000004</c:v>
                </c:pt>
                <c:pt idx="5">
                  <c:v>26.5</c:v>
                </c:pt>
                <c:pt idx="6">
                  <c:v>15.8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Sheet1!$E$2:$E$8</c:f>
              <c:numCache>
                <c:formatCode>0.0_);[Red]\(0.0\)</c:formatCode>
                <c:ptCount val="7"/>
                <c:pt idx="0">
                  <c:v>39.4</c:v>
                </c:pt>
                <c:pt idx="1">
                  <c:v>36.9</c:v>
                </c:pt>
                <c:pt idx="2">
                  <c:v>35.4</c:v>
                </c:pt>
                <c:pt idx="3">
                  <c:v>32.6</c:v>
                </c:pt>
                <c:pt idx="4">
                  <c:v>32.300000000000004</c:v>
                </c:pt>
                <c:pt idx="5">
                  <c:v>26.9</c:v>
                </c:pt>
                <c:pt idx="6">
                  <c:v>25.7</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Sheet1!$F$2:$F$8</c:f>
              <c:numCache>
                <c:formatCode>0.0_);[Red]\(0.0\)</c:formatCode>
                <c:ptCount val="7"/>
                <c:pt idx="0">
                  <c:v>39.4</c:v>
                </c:pt>
                <c:pt idx="1">
                  <c:v>37</c:v>
                </c:pt>
                <c:pt idx="2">
                  <c:v>34.4</c:v>
                </c:pt>
                <c:pt idx="3">
                  <c:v>35.300000000000004</c:v>
                </c:pt>
                <c:pt idx="4">
                  <c:v>30.9</c:v>
                </c:pt>
                <c:pt idx="5">
                  <c:v>26.5</c:v>
                </c:pt>
                <c:pt idx="6">
                  <c:v>22.4</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Sheet1!$G$2:$G$8</c:f>
              <c:numCache>
                <c:formatCode>0.0_);[Red]\(0.0\)</c:formatCode>
                <c:ptCount val="7"/>
                <c:pt idx="0">
                  <c:v>43.7</c:v>
                </c:pt>
                <c:pt idx="1">
                  <c:v>41.4</c:v>
                </c:pt>
                <c:pt idx="2">
                  <c:v>32.6</c:v>
                </c:pt>
                <c:pt idx="3">
                  <c:v>39.1</c:v>
                </c:pt>
                <c:pt idx="4">
                  <c:v>29.9</c:v>
                </c:pt>
                <c:pt idx="5">
                  <c:v>21.1</c:v>
                </c:pt>
                <c:pt idx="6">
                  <c:v>25.3</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基本的な生活習慣（生活時
間、食事、健康管理など）を
身につけさせること</c:v>
                </c:pt>
                <c:pt idx="1">
                  <c:v>友だちと一緒に遊ぶこと　　</c:v>
                </c:pt>
                <c:pt idx="2">
                  <c:v>自然とふれあうこと　　　　</c:v>
                </c:pt>
                <c:pt idx="3">
                  <c:v>社会のマナーやルールを身に
つけること</c:v>
                </c:pt>
                <c:pt idx="4">
                  <c:v>他者への思いやりをもつこと</c:v>
                </c:pt>
                <c:pt idx="5">
                  <c:v>親子でふれあうこと　　　　</c:v>
                </c:pt>
                <c:pt idx="6">
                  <c:v>屋外で遊ぶこと　　　　　　</c:v>
                </c:pt>
              </c:strCache>
            </c:strRef>
          </c:cat>
          <c:val>
            <c:numRef>
              <c:f>Sheet1!$H$2:$H$8</c:f>
              <c:numCache>
                <c:formatCode>0.0_);[Red]\(0.0\)</c:formatCode>
                <c:ptCount val="7"/>
                <c:pt idx="0">
                  <c:v>45.9</c:v>
                </c:pt>
                <c:pt idx="1">
                  <c:v>41.8</c:v>
                </c:pt>
                <c:pt idx="2">
                  <c:v>28.6</c:v>
                </c:pt>
                <c:pt idx="3">
                  <c:v>35.700000000000003</c:v>
                </c:pt>
                <c:pt idx="4">
                  <c:v>38.800000000000004</c:v>
                </c:pt>
                <c:pt idx="5">
                  <c:v>24.5</c:v>
                </c:pt>
                <c:pt idx="6">
                  <c:v>22.4</c:v>
                </c:pt>
              </c:numCache>
            </c:numRef>
          </c:val>
        </c:ser>
        <c:dLbls>
          <c:showLegendKey val="0"/>
          <c:showVal val="1"/>
          <c:showCatName val="0"/>
          <c:showSerName val="0"/>
          <c:showPercent val="0"/>
          <c:showBubbleSize val="0"/>
        </c:dLbls>
        <c:gapWidth val="100"/>
        <c:axId val="234089856"/>
        <c:axId val="236860544"/>
      </c:barChart>
      <c:catAx>
        <c:axId val="23408985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6860544"/>
        <c:crosses val="autoZero"/>
        <c:auto val="1"/>
        <c:lblAlgn val="ctr"/>
        <c:lblOffset val="100"/>
        <c:noMultiLvlLbl val="0"/>
      </c:catAx>
      <c:valAx>
        <c:axId val="236860544"/>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4089856"/>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Sheet1!$B$2:$B$11</c:f>
              <c:numCache>
                <c:formatCode>0.0_);[Red]\(0.0\)</c:formatCode>
                <c:ptCount val="10"/>
                <c:pt idx="0">
                  <c:v>24.1</c:v>
                </c:pt>
                <c:pt idx="1">
                  <c:v>14.9</c:v>
                </c:pt>
                <c:pt idx="2">
                  <c:v>9.2000000000000011</c:v>
                </c:pt>
                <c:pt idx="3">
                  <c:v>4.5999999999999996</c:v>
                </c:pt>
                <c:pt idx="4">
                  <c:v>9.2000000000000011</c:v>
                </c:pt>
                <c:pt idx="5">
                  <c:v>3.4</c:v>
                </c:pt>
                <c:pt idx="6">
                  <c:v>0</c:v>
                </c:pt>
                <c:pt idx="7">
                  <c:v>1.1000000000000001</c:v>
                </c:pt>
                <c:pt idx="8">
                  <c:v>1.1000000000000001</c:v>
                </c:pt>
                <c:pt idx="9">
                  <c:v>1.1000000000000001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Sheet1!$C$2:$C$11</c:f>
              <c:numCache>
                <c:formatCode>0.0_);[Red]\(0.0\)</c:formatCode>
                <c:ptCount val="10"/>
                <c:pt idx="0">
                  <c:v>23.8</c:v>
                </c:pt>
                <c:pt idx="1">
                  <c:v>18.8</c:v>
                </c:pt>
                <c:pt idx="2">
                  <c:v>7.9</c:v>
                </c:pt>
                <c:pt idx="3">
                  <c:v>7.4</c:v>
                </c:pt>
                <c:pt idx="4">
                  <c:v>3</c:v>
                </c:pt>
                <c:pt idx="5">
                  <c:v>5</c:v>
                </c:pt>
                <c:pt idx="6">
                  <c:v>2.5</c:v>
                </c:pt>
                <c:pt idx="7">
                  <c:v>0.5</c:v>
                </c:pt>
                <c:pt idx="8">
                  <c:v>1.5</c:v>
                </c:pt>
                <c:pt idx="9">
                  <c:v>1.5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Sheet1!$D$2:$D$11</c:f>
              <c:numCache>
                <c:formatCode>0.0_);[Red]\(0.0\)</c:formatCode>
                <c:ptCount val="10"/>
                <c:pt idx="0">
                  <c:v>24.1</c:v>
                </c:pt>
                <c:pt idx="1">
                  <c:v>20.9</c:v>
                </c:pt>
                <c:pt idx="2">
                  <c:v>8.3000000000000007</c:v>
                </c:pt>
                <c:pt idx="3">
                  <c:v>10.3</c:v>
                </c:pt>
                <c:pt idx="4">
                  <c:v>6.3</c:v>
                </c:pt>
                <c:pt idx="5">
                  <c:v>3.2</c:v>
                </c:pt>
                <c:pt idx="6">
                  <c:v>2</c:v>
                </c:pt>
                <c:pt idx="7">
                  <c:v>1.6</c:v>
                </c:pt>
                <c:pt idx="8">
                  <c:v>0.8</c:v>
                </c:pt>
                <c:pt idx="9">
                  <c:v>1.2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Sheet1!$E$2:$E$11</c:f>
              <c:numCache>
                <c:formatCode>0.0_);[Red]\(0.0\)</c:formatCode>
                <c:ptCount val="10"/>
                <c:pt idx="0">
                  <c:v>19.399999999999999</c:v>
                </c:pt>
                <c:pt idx="1">
                  <c:v>10.6</c:v>
                </c:pt>
                <c:pt idx="2">
                  <c:v>12</c:v>
                </c:pt>
                <c:pt idx="3">
                  <c:v>10.3</c:v>
                </c:pt>
                <c:pt idx="4">
                  <c:v>2.6</c:v>
                </c:pt>
                <c:pt idx="5">
                  <c:v>4</c:v>
                </c:pt>
                <c:pt idx="6">
                  <c:v>1.7</c:v>
                </c:pt>
                <c:pt idx="7">
                  <c:v>1.7</c:v>
                </c:pt>
                <c:pt idx="8">
                  <c:v>0.30000000000000032</c:v>
                </c:pt>
                <c:pt idx="9">
                  <c:v>0.9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layout/>
              <c:tx>
                <c:rich>
                  <a:bodyPr/>
                  <a:lstStyle/>
                  <a:p>
                    <a:pPr>
                      <a:defRPr sz="800" b="0">
                        <a:latin typeface="ＭＳ 明朝" panose="02020609040205080304" pitchFamily="17" charset="-128"/>
                        <a:ea typeface="ＭＳ 明朝" panose="02020609040205080304" pitchFamily="17" charset="-128"/>
                      </a:defRPr>
                    </a:pPr>
                    <a:r>
                      <a:rPr lang="en-US" altLang="en-US"/>
                      <a:t>16</a:t>
                    </a:r>
                    <a:r>
                      <a:rPr lang="en-US" altLang="ja-JP"/>
                      <a:t>.0</a:t>
                    </a:r>
                    <a:endParaRPr lang="en-US" altLang="en-US"/>
                  </a:p>
                </c:rich>
              </c:tx>
              <c:spPr>
                <a:noFill/>
                <a:ln>
                  <a:noFill/>
                </a:ln>
                <a:effectLst/>
              </c:spPr>
              <c:dLblPos val="outEnd"/>
              <c:showLegendKey val="0"/>
              <c:showVal val="1"/>
              <c:showCatName val="0"/>
              <c:showSerName val="0"/>
              <c:showPercent val="0"/>
              <c:showBubbleSize val="0"/>
            </c:dLbl>
            <c:dLbl>
              <c:idx val="2"/>
              <c:layout>
                <c:manualLayout>
                  <c:x val="0"/>
                  <c:y val="1.13629360454317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Sheet1!$F$2:$F$11</c:f>
              <c:numCache>
                <c:formatCode>0.0_);[Red]\(0.0\)</c:formatCode>
                <c:ptCount val="10"/>
                <c:pt idx="0">
                  <c:v>16</c:v>
                </c:pt>
                <c:pt idx="1">
                  <c:v>14.9</c:v>
                </c:pt>
                <c:pt idx="2">
                  <c:v>13.7</c:v>
                </c:pt>
                <c:pt idx="3">
                  <c:v>7.9</c:v>
                </c:pt>
                <c:pt idx="4">
                  <c:v>4.0999999999999996</c:v>
                </c:pt>
                <c:pt idx="5">
                  <c:v>2.2999999999999998</c:v>
                </c:pt>
                <c:pt idx="6">
                  <c:v>2</c:v>
                </c:pt>
                <c:pt idx="7">
                  <c:v>1.2</c:v>
                </c:pt>
                <c:pt idx="8">
                  <c:v>0.9</c:v>
                </c:pt>
                <c:pt idx="9">
                  <c:v>0.30000000000000032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Sheet1!$G$2:$G$11</c:f>
              <c:numCache>
                <c:formatCode>0.0_);[Red]\(0.0\)</c:formatCode>
                <c:ptCount val="10"/>
                <c:pt idx="0">
                  <c:v>13.4</c:v>
                </c:pt>
                <c:pt idx="1">
                  <c:v>11.5</c:v>
                </c:pt>
                <c:pt idx="2">
                  <c:v>17.2</c:v>
                </c:pt>
                <c:pt idx="3">
                  <c:v>13.4</c:v>
                </c:pt>
                <c:pt idx="4">
                  <c:v>2.2999999999999998</c:v>
                </c:pt>
                <c:pt idx="5">
                  <c:v>1.5</c:v>
                </c:pt>
                <c:pt idx="6">
                  <c:v>0.4</c:v>
                </c:pt>
                <c:pt idx="7">
                  <c:v>1.9000000000000001</c:v>
                </c:pt>
                <c:pt idx="8">
                  <c:v>0.4</c:v>
                </c:pt>
                <c:pt idx="9">
                  <c:v>0.8</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興味や関心を広げること　　</c:v>
                </c:pt>
                <c:pt idx="1">
                  <c:v>自分の気持ちや考えを人に伝
えること</c:v>
                </c:pt>
                <c:pt idx="2">
                  <c:v>自分でできることは自分です
ること</c:v>
                </c:pt>
                <c:pt idx="3">
                  <c:v>身体を丈夫にすること　　　</c:v>
                </c:pt>
                <c:pt idx="4">
                  <c:v>外国語を学ぶこと　　　　　</c:v>
                </c:pt>
                <c:pt idx="5">
                  <c:v>伝統や文化を大切にすること</c:v>
                </c:pt>
                <c:pt idx="6">
                  <c:v>芸術的な才能を伸ばすこと 
(音楽や絵画など) </c:v>
                </c:pt>
                <c:pt idx="7">
                  <c:v>数や文字を学ぶこと　　　　</c:v>
                </c:pt>
                <c:pt idx="8">
                  <c:v>その他　　　　　　　　　　</c:v>
                </c:pt>
                <c:pt idx="9">
                  <c:v>わからない　　　　　　　　</c:v>
                </c:pt>
              </c:strCache>
            </c:strRef>
          </c:cat>
          <c:val>
            <c:numRef>
              <c:f>Sheet1!$H$2:$H$11</c:f>
              <c:numCache>
                <c:formatCode>0.0_);[Red]\(0.0\)</c:formatCode>
                <c:ptCount val="10"/>
                <c:pt idx="0">
                  <c:v>8.2000000000000011</c:v>
                </c:pt>
                <c:pt idx="1">
                  <c:v>12.2</c:v>
                </c:pt>
                <c:pt idx="2">
                  <c:v>17.3</c:v>
                </c:pt>
                <c:pt idx="3">
                  <c:v>7.1</c:v>
                </c:pt>
                <c:pt idx="4">
                  <c:v>3.1</c:v>
                </c:pt>
                <c:pt idx="5">
                  <c:v>0</c:v>
                </c:pt>
                <c:pt idx="6">
                  <c:v>0</c:v>
                </c:pt>
                <c:pt idx="7">
                  <c:v>1</c:v>
                </c:pt>
                <c:pt idx="8">
                  <c:v>0</c:v>
                </c:pt>
                <c:pt idx="9">
                  <c:v>0</c:v>
                </c:pt>
              </c:numCache>
            </c:numRef>
          </c:val>
        </c:ser>
        <c:dLbls>
          <c:showLegendKey val="0"/>
          <c:showVal val="1"/>
          <c:showCatName val="0"/>
          <c:showSerName val="0"/>
          <c:showPercent val="0"/>
          <c:showBubbleSize val="0"/>
        </c:dLbls>
        <c:gapWidth val="100"/>
        <c:axId val="237057536"/>
        <c:axId val="237059072"/>
      </c:barChart>
      <c:catAx>
        <c:axId val="23705753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7059072"/>
        <c:crosses val="autoZero"/>
        <c:auto val="1"/>
        <c:lblAlgn val="ctr"/>
        <c:lblOffset val="100"/>
        <c:noMultiLvlLbl val="0"/>
      </c:catAx>
      <c:valAx>
        <c:axId val="237059072"/>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7057536"/>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4.5855380925442113E-2"/>
                  <c:y val="3.4877206848057292E-2"/>
                </c:manualLayout>
              </c:layout>
              <c:dLblPos val="outEnd"/>
              <c:showLegendKey val="0"/>
              <c:showVal val="1"/>
              <c:showCatName val="0"/>
              <c:showSerName val="0"/>
              <c:showPercent val="0"/>
              <c:showBubbleSize val="0"/>
            </c:dLbl>
            <c:dLbl>
              <c:idx val="7"/>
              <c:layout>
                <c:manualLayout>
                  <c:x val="4.1686709932219713E-2"/>
                  <c:y val="2.1466178958711415E-2"/>
                </c:manualLayout>
              </c:layout>
              <c:dLblPos val="outEnd"/>
              <c:showLegendKey val="0"/>
              <c:showVal val="1"/>
              <c:showCatName val="0"/>
              <c:showSerName val="0"/>
              <c:showPercent val="0"/>
              <c:showBubbleSize val="0"/>
            </c:dLbl>
            <c:dLbl>
              <c:idx val="8"/>
              <c:layout>
                <c:manualLayout>
                  <c:x val="4.1686709932219713E-2"/>
                  <c:y val="1.7248822377891753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Sheet1!$B$1:$J$1</c:f>
              <c:strCache>
                <c:ptCount val="9"/>
                <c:pt idx="0">
                  <c:v>日ごろから子どもと会話するなど、家族のふれあいを大切にする</c:v>
                </c:pt>
                <c:pt idx="1">
                  <c:v>間違った行いは、何がいけないのか理由をきちんと伝えて、叱る</c:v>
                </c:pt>
                <c:pt idx="2">
                  <c:v>子どもが自信を持って生きることができるよう、子どもの個性と成長を認め、良いところを褒めながら育てる</c:v>
                </c:pt>
                <c:pt idx="3">
                  <c:v>基本的な生活習慣（生活時間、食事、健康管理など）を身につけさせる</c:v>
                </c:pt>
                <c:pt idx="4">
                  <c:v>家庭や地域の文化・伝統行事を通して、地域とのつながりの大切さを実感させる</c:v>
                </c:pt>
                <c:pt idx="5">
                  <c:v>スポーツ活動や自然体験、ボランティア活動など多様な体験を家族などと一緒に経験する</c:v>
                </c:pt>
                <c:pt idx="6">
                  <c:v>習い事や学習塾に通わせ、早期教育の機会を与える</c:v>
                </c:pt>
                <c:pt idx="7">
                  <c:v>その他</c:v>
                </c:pt>
                <c:pt idx="8">
                  <c:v>わからない</c:v>
                </c:pt>
              </c:strCache>
            </c:strRef>
          </c:cat>
          <c:val>
            <c:numRef>
              <c:f>Sheet1!$B$2:$J$2</c:f>
              <c:numCache>
                <c:formatCode>0.0</c:formatCode>
                <c:ptCount val="9"/>
                <c:pt idx="0">
                  <c:v>76.3</c:v>
                </c:pt>
                <c:pt idx="1">
                  <c:v>65.900000000000006</c:v>
                </c:pt>
                <c:pt idx="2">
                  <c:v>51.4</c:v>
                </c:pt>
                <c:pt idx="3">
                  <c:v>47.7</c:v>
                </c:pt>
                <c:pt idx="4">
                  <c:v>17.100000000000001</c:v>
                </c:pt>
                <c:pt idx="5">
                  <c:v>16.399999999999999</c:v>
                </c:pt>
                <c:pt idx="6">
                  <c:v>3.3</c:v>
                </c:pt>
                <c:pt idx="7">
                  <c:v>0.9</c:v>
                </c:pt>
                <c:pt idx="8">
                  <c:v>1.1000000000000001</c:v>
                </c:pt>
              </c:numCache>
            </c:numRef>
          </c:val>
        </c:ser>
        <c:dLbls>
          <c:showLegendKey val="0"/>
          <c:showVal val="1"/>
          <c:showCatName val="0"/>
          <c:showSerName val="0"/>
          <c:showPercent val="0"/>
          <c:showBubbleSize val="0"/>
        </c:dLbls>
        <c:gapWidth val="100"/>
        <c:axId val="157561600"/>
        <c:axId val="157563136"/>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3.4516595823877914E-2"/>
                  <c:y val="-3.5425795278885196E-2"/>
                </c:manualLayout>
              </c:layout>
              <c:dLblPos val="r"/>
              <c:showLegendKey val="0"/>
              <c:showVal val="1"/>
              <c:showCatName val="0"/>
              <c:showSerName val="0"/>
              <c:showPercent val="0"/>
              <c:showBubbleSize val="0"/>
            </c:dLbl>
            <c:dLbl>
              <c:idx val="4"/>
              <c:layout>
                <c:manualLayout>
                  <c:x val="-2.4094918340822991E-2"/>
                  <c:y val="-2.9099760407655852E-2"/>
                </c:manualLayout>
              </c:layout>
              <c:dLblPos val="r"/>
              <c:showLegendKey val="0"/>
              <c:showVal val="1"/>
              <c:showCatName val="0"/>
              <c:showSerName val="0"/>
              <c:showPercent val="0"/>
              <c:showBubbleSize val="0"/>
            </c:dLbl>
            <c:dLbl>
              <c:idx val="5"/>
              <c:layout>
                <c:manualLayout>
                  <c:x val="-3.4516595823877914E-2"/>
                  <c:y val="-2.6991082117245806E-2"/>
                </c:manualLayout>
              </c:layout>
              <c:dLblPos val="r"/>
              <c:showLegendKey val="0"/>
              <c:showVal val="1"/>
              <c:showCatName val="0"/>
              <c:showSerName val="0"/>
              <c:showPercent val="0"/>
              <c:showBubbleSize val="0"/>
            </c:dLbl>
            <c:dLbl>
              <c:idx val="6"/>
              <c:layout>
                <c:manualLayout>
                  <c:x val="-2.6148070865437429E-2"/>
                  <c:y val="-5.8621256473393286E-2"/>
                </c:manualLayout>
              </c:layout>
              <c:dLblPos val="r"/>
              <c:showLegendKey val="0"/>
              <c:showVal val="1"/>
              <c:showCatName val="0"/>
              <c:showSerName val="0"/>
              <c:showPercent val="0"/>
              <c:showBubbleSize val="0"/>
            </c:dLbl>
            <c:dLbl>
              <c:idx val="7"/>
              <c:layout>
                <c:manualLayout>
                  <c:x val="-3.2401077355271299E-2"/>
                  <c:y val="-6.916464792544437E-2"/>
                </c:manualLayout>
              </c:layout>
              <c:dLblPos val="r"/>
              <c:showLegendKey val="0"/>
              <c:showVal val="1"/>
              <c:showCatName val="0"/>
              <c:showSerName val="0"/>
              <c:showPercent val="0"/>
              <c:showBubbleSize val="0"/>
            </c:dLbl>
            <c:dLbl>
              <c:idx val="8"/>
              <c:layout>
                <c:manualLayout>
                  <c:x val="-3.2401077355271299E-2"/>
                  <c:y val="-6.91646479254443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Sheet1!$B$1:$J$1</c:f>
              <c:strCache>
                <c:ptCount val="9"/>
                <c:pt idx="0">
                  <c:v>日ごろから子どもと会話するなど、家族のふれあいを大切にする</c:v>
                </c:pt>
                <c:pt idx="1">
                  <c:v>間違った行いは、何がいけないのか理由をきちんと伝えて、叱る</c:v>
                </c:pt>
                <c:pt idx="2">
                  <c:v>子どもが自信を持って生きることができるよう、子どもの個性と成長を認め、良いところを褒めながら育てる</c:v>
                </c:pt>
                <c:pt idx="3">
                  <c:v>基本的な生活習慣（生活時間、食事、健康管理など）を身につけさせる</c:v>
                </c:pt>
                <c:pt idx="4">
                  <c:v>家庭や地域の文化・伝統行事を通して、地域とのつながりの大切さを実感させる</c:v>
                </c:pt>
                <c:pt idx="5">
                  <c:v>スポーツ活動や自然体験、ボランティア活動など多様な体験を家族などと一緒に経験する</c:v>
                </c:pt>
                <c:pt idx="6">
                  <c:v>習い事や学習塾に通わせ、早期教育の機会を与える</c:v>
                </c:pt>
                <c:pt idx="7">
                  <c:v>その他</c:v>
                </c:pt>
                <c:pt idx="8">
                  <c:v>わからない</c:v>
                </c:pt>
              </c:strCache>
            </c:strRef>
          </c:cat>
          <c:val>
            <c:numRef>
              <c:f>Sheet1!$B$3:$J$3</c:f>
              <c:numCache>
                <c:formatCode>0.0</c:formatCode>
                <c:ptCount val="9"/>
                <c:pt idx="0">
                  <c:v>75.2</c:v>
                </c:pt>
                <c:pt idx="1">
                  <c:v>67.7</c:v>
                </c:pt>
                <c:pt idx="2">
                  <c:v>47.6</c:v>
                </c:pt>
                <c:pt idx="3">
                  <c:v>40.300000000000004</c:v>
                </c:pt>
                <c:pt idx="4">
                  <c:v>20.2</c:v>
                </c:pt>
                <c:pt idx="5">
                  <c:v>18</c:v>
                </c:pt>
                <c:pt idx="6">
                  <c:v>4.2</c:v>
                </c:pt>
                <c:pt idx="7">
                  <c:v>1.1000000000000001</c:v>
                </c:pt>
                <c:pt idx="8">
                  <c:v>1.7</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3.6475871190692254E-2"/>
                  <c:y val="2.9099760407655852E-2"/>
                </c:manualLayout>
              </c:layout>
              <c:dLblPos val="r"/>
              <c:showLegendKey val="0"/>
              <c:showVal val="1"/>
              <c:showCatName val="0"/>
              <c:showSerName val="0"/>
              <c:showPercent val="0"/>
              <c:showBubbleSize val="0"/>
            </c:dLbl>
            <c:dLbl>
              <c:idx val="4"/>
              <c:layout>
                <c:manualLayout>
                  <c:x val="-3.6475871190692254E-2"/>
                  <c:y val="2.0665047246016411E-2"/>
                </c:manualLayout>
              </c:layout>
              <c:dLblPos val="r"/>
              <c:showLegendKey val="0"/>
              <c:showVal val="1"/>
              <c:showCatName val="0"/>
              <c:showSerName val="0"/>
              <c:showPercent val="0"/>
              <c:showBubbleSize val="0"/>
            </c:dLbl>
            <c:dLbl>
              <c:idx val="5"/>
              <c:layout>
                <c:manualLayout>
                  <c:x val="-4.0644542183913675E-2"/>
                  <c:y val="3.3317116988475406E-2"/>
                </c:manualLayout>
              </c:layout>
              <c:dLblPos val="r"/>
              <c:showLegendKey val="0"/>
              <c:showVal val="1"/>
              <c:showCatName val="0"/>
              <c:showSerName val="0"/>
              <c:showPercent val="0"/>
              <c:showBubbleSize val="0"/>
            </c:dLbl>
            <c:dLbl>
              <c:idx val="6"/>
              <c:layout>
                <c:manualLayout>
                  <c:x val="-2.3969858211026332E-2"/>
                  <c:y val="-4.0486623175868923E-2"/>
                </c:manualLayout>
              </c:layout>
              <c:dLblPos val="r"/>
              <c:showLegendKey val="0"/>
              <c:showVal val="1"/>
              <c:showCatName val="0"/>
              <c:showSerName val="0"/>
              <c:showPercent val="0"/>
              <c:showBubbleSize val="0"/>
            </c:dLbl>
            <c:dLbl>
              <c:idx val="7"/>
              <c:layout>
                <c:manualLayout>
                  <c:x val="-3.2307200197470416E-2"/>
                  <c:y val="-4.2595301466278664E-2"/>
                </c:manualLayout>
              </c:layout>
              <c:dLblPos val="r"/>
              <c:showLegendKey val="0"/>
              <c:showVal val="1"/>
              <c:showCatName val="0"/>
              <c:showSerName val="0"/>
              <c:showPercent val="0"/>
              <c:showBubbleSize val="0"/>
            </c:dLbl>
            <c:dLbl>
              <c:idx val="8"/>
              <c:layout>
                <c:manualLayout>
                  <c:x val="-3.2307200197470416E-2"/>
                  <c:y val="-4.4703979756689133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Sheet1!$B$1:$J$1</c:f>
              <c:strCache>
                <c:ptCount val="9"/>
                <c:pt idx="0">
                  <c:v>日ごろから子どもと会話するなど、家族のふれあいを大切にする</c:v>
                </c:pt>
                <c:pt idx="1">
                  <c:v>間違った行いは、何がいけないのか理由をきちんと伝えて、叱る</c:v>
                </c:pt>
                <c:pt idx="2">
                  <c:v>子どもが自信を持って生きることができるよう、子どもの個性と成長を認め、良いところを褒めながら育てる</c:v>
                </c:pt>
                <c:pt idx="3">
                  <c:v>基本的な生活習慣（生活時間、食事、健康管理など）を身につけさせる</c:v>
                </c:pt>
                <c:pt idx="4">
                  <c:v>家庭や地域の文化・伝統行事を通して、地域とのつながりの大切さを実感させる</c:v>
                </c:pt>
                <c:pt idx="5">
                  <c:v>スポーツ活動や自然体験、ボランティア活動など多様な体験を家族などと一緒に経験する</c:v>
                </c:pt>
                <c:pt idx="6">
                  <c:v>習い事や学習塾に通わせ、早期教育の機会を与える</c:v>
                </c:pt>
                <c:pt idx="7">
                  <c:v>その他</c:v>
                </c:pt>
                <c:pt idx="8">
                  <c:v>わからない</c:v>
                </c:pt>
              </c:strCache>
            </c:strRef>
          </c:cat>
          <c:val>
            <c:numRef>
              <c:f>Sheet1!$B$4:$J$4</c:f>
              <c:numCache>
                <c:formatCode>0.0</c:formatCode>
                <c:ptCount val="9"/>
                <c:pt idx="0">
                  <c:v>77.8</c:v>
                </c:pt>
                <c:pt idx="1">
                  <c:v>64.900000000000006</c:v>
                </c:pt>
                <c:pt idx="2">
                  <c:v>54.6</c:v>
                </c:pt>
                <c:pt idx="3">
                  <c:v>54.1</c:v>
                </c:pt>
                <c:pt idx="4">
                  <c:v>14.6</c:v>
                </c:pt>
                <c:pt idx="5">
                  <c:v>15.2</c:v>
                </c:pt>
                <c:pt idx="6">
                  <c:v>2.5</c:v>
                </c:pt>
                <c:pt idx="7">
                  <c:v>0.8</c:v>
                </c:pt>
                <c:pt idx="8">
                  <c:v>0.60000000000000064</c:v>
                </c:pt>
              </c:numCache>
            </c:numRef>
          </c:val>
          <c:smooth val="0"/>
        </c:ser>
        <c:dLbls>
          <c:showLegendKey val="0"/>
          <c:showVal val="0"/>
          <c:showCatName val="0"/>
          <c:showSerName val="0"/>
          <c:showPercent val="0"/>
          <c:showBubbleSize val="0"/>
        </c:dLbls>
        <c:marker val="1"/>
        <c:smooth val="0"/>
        <c:axId val="157561600"/>
        <c:axId val="157563136"/>
      </c:lineChart>
      <c:catAx>
        <c:axId val="157561600"/>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7563136"/>
        <c:crosses val="autoZero"/>
        <c:auto val="1"/>
        <c:lblAlgn val="ctr"/>
        <c:lblOffset val="100"/>
        <c:noMultiLvlLbl val="0"/>
      </c:catAx>
      <c:valAx>
        <c:axId val="157563136"/>
        <c:scaling>
          <c:orientation val="minMax"/>
          <c:max val="8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7561600"/>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tx>
                <c:rich>
                  <a:bodyPr/>
                  <a:lstStyle/>
                  <a:p>
                    <a:r>
                      <a:rPr lang="en-US" altLang="en-US">
                        <a:latin typeface="Arial Black" panose="020B0A04020102020204" pitchFamily="34" charset="0"/>
                      </a:rPr>
                      <a:t>82.8 </a:t>
                    </a:r>
                  </a:p>
                </c:rich>
              </c:tx>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Sheet1!$B$2:$B$10</c:f>
              <c:numCache>
                <c:formatCode>0.0_);[Red]\(0.0\)</c:formatCode>
                <c:ptCount val="9"/>
                <c:pt idx="0">
                  <c:v>82.8</c:v>
                </c:pt>
                <c:pt idx="1">
                  <c:v>59.8</c:v>
                </c:pt>
                <c:pt idx="2">
                  <c:v>48.3</c:v>
                </c:pt>
                <c:pt idx="3">
                  <c:v>42.5</c:v>
                </c:pt>
                <c:pt idx="4">
                  <c:v>14.9</c:v>
                </c:pt>
                <c:pt idx="5">
                  <c:v>21.8</c:v>
                </c:pt>
                <c:pt idx="6">
                  <c:v>6.9</c:v>
                </c:pt>
                <c:pt idx="7">
                  <c:v>0</c:v>
                </c:pt>
                <c:pt idx="8">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Sheet1!$C$2:$C$10</c:f>
              <c:numCache>
                <c:formatCode>0.0_);[Red]\(0.0\)</c:formatCode>
                <c:ptCount val="9"/>
                <c:pt idx="0">
                  <c:v>77.7</c:v>
                </c:pt>
                <c:pt idx="1">
                  <c:v>71.8</c:v>
                </c:pt>
                <c:pt idx="2">
                  <c:v>53</c:v>
                </c:pt>
                <c:pt idx="3">
                  <c:v>40.1</c:v>
                </c:pt>
                <c:pt idx="4">
                  <c:v>12.4</c:v>
                </c:pt>
                <c:pt idx="5">
                  <c:v>19.8</c:v>
                </c:pt>
                <c:pt idx="6">
                  <c:v>5</c:v>
                </c:pt>
                <c:pt idx="7">
                  <c:v>1</c:v>
                </c:pt>
                <c:pt idx="8">
                  <c:v>1.5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Sheet1!$D$2:$D$10</c:f>
              <c:numCache>
                <c:formatCode>0.0_);[Red]\(0.0\)</c:formatCode>
                <c:ptCount val="9"/>
                <c:pt idx="0">
                  <c:v>80.2</c:v>
                </c:pt>
                <c:pt idx="1">
                  <c:v>68</c:v>
                </c:pt>
                <c:pt idx="2">
                  <c:v>51.8</c:v>
                </c:pt>
                <c:pt idx="3">
                  <c:v>49.8</c:v>
                </c:pt>
                <c:pt idx="4">
                  <c:v>15.4</c:v>
                </c:pt>
                <c:pt idx="5">
                  <c:v>15.4</c:v>
                </c:pt>
                <c:pt idx="6">
                  <c:v>4</c:v>
                </c:pt>
                <c:pt idx="7">
                  <c:v>1.2</c:v>
                </c:pt>
                <c:pt idx="8">
                  <c:v>0</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Sheet1!$E$2:$E$10</c:f>
              <c:numCache>
                <c:formatCode>0.0_);[Red]\(0.0\)</c:formatCode>
                <c:ptCount val="9"/>
                <c:pt idx="0">
                  <c:v>78</c:v>
                </c:pt>
                <c:pt idx="1">
                  <c:v>66.900000000000006</c:v>
                </c:pt>
                <c:pt idx="2">
                  <c:v>52</c:v>
                </c:pt>
                <c:pt idx="3">
                  <c:v>50</c:v>
                </c:pt>
                <c:pt idx="4">
                  <c:v>14.3</c:v>
                </c:pt>
                <c:pt idx="5">
                  <c:v>13.4</c:v>
                </c:pt>
                <c:pt idx="6">
                  <c:v>2</c:v>
                </c:pt>
                <c:pt idx="7">
                  <c:v>1.7</c:v>
                </c:pt>
                <c:pt idx="8">
                  <c:v>2</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Sheet1!$F$2:$F$10</c:f>
              <c:numCache>
                <c:formatCode>0.0_);[Red]\(0.0\)</c:formatCode>
                <c:ptCount val="9"/>
                <c:pt idx="0">
                  <c:v>73.8</c:v>
                </c:pt>
                <c:pt idx="1">
                  <c:v>65.599999999999994</c:v>
                </c:pt>
                <c:pt idx="2">
                  <c:v>49.3</c:v>
                </c:pt>
                <c:pt idx="3">
                  <c:v>48.1</c:v>
                </c:pt>
                <c:pt idx="4">
                  <c:v>20.7</c:v>
                </c:pt>
                <c:pt idx="5">
                  <c:v>16.3</c:v>
                </c:pt>
                <c:pt idx="6">
                  <c:v>4.0999999999999996</c:v>
                </c:pt>
                <c:pt idx="7">
                  <c:v>0.9</c:v>
                </c:pt>
                <c:pt idx="8">
                  <c:v>0.9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Sheet1!$G$2:$G$10</c:f>
              <c:numCache>
                <c:formatCode>0.0_);[Red]\(0.0\)</c:formatCode>
                <c:ptCount val="9"/>
                <c:pt idx="0">
                  <c:v>73.900000000000006</c:v>
                </c:pt>
                <c:pt idx="1">
                  <c:v>63.2</c:v>
                </c:pt>
                <c:pt idx="2">
                  <c:v>52.9</c:v>
                </c:pt>
                <c:pt idx="3">
                  <c:v>51.7</c:v>
                </c:pt>
                <c:pt idx="4">
                  <c:v>23</c:v>
                </c:pt>
                <c:pt idx="5">
                  <c:v>14.6</c:v>
                </c:pt>
                <c:pt idx="6">
                  <c:v>0.8</c:v>
                </c:pt>
                <c:pt idx="7">
                  <c:v>0</c:v>
                </c:pt>
                <c:pt idx="8">
                  <c:v>1.1000000000000001</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日ごろから子どもと会話する
など、家族のふれあいを大切
にする</c:v>
                </c:pt>
                <c:pt idx="1">
                  <c:v>間違った行いは、何がいけな
いのか理由をきちんと伝え
て、叱る</c:v>
                </c:pt>
                <c:pt idx="2">
                  <c:v>子どもが自信を持って生きる
ことができるよう、子どもの
個性と成長を認め、良いとこ
ろを褒めながら育てる</c:v>
                </c:pt>
                <c:pt idx="3">
                  <c:v>基本的な生活習慣（生活時
間、食事、健康管理など）を
身につけさせる</c:v>
                </c:pt>
                <c:pt idx="4">
                  <c:v>家庭や地域の文化・伝統行事
を通して、地域とのつながり
の大切さを実感させる</c:v>
                </c:pt>
                <c:pt idx="5">
                  <c:v>スポーツ活動や自然体験、ボ
ランティア活動など多様な体
験を家族などと一緒に経験す
る</c:v>
                </c:pt>
                <c:pt idx="6">
                  <c:v>習い事や学習塾に通わせ、早
期教育の機会を与える</c:v>
                </c:pt>
                <c:pt idx="7">
                  <c:v>その他　　　　　　　　　　</c:v>
                </c:pt>
                <c:pt idx="8">
                  <c:v>わからない　　　　　　　　</c:v>
                </c:pt>
              </c:strCache>
            </c:strRef>
          </c:cat>
          <c:val>
            <c:numRef>
              <c:f>Sheet1!$H$2:$H$10</c:f>
              <c:numCache>
                <c:formatCode>0.0_);[Red]\(0.0\)</c:formatCode>
                <c:ptCount val="9"/>
                <c:pt idx="0">
                  <c:v>72.400000000000006</c:v>
                </c:pt>
                <c:pt idx="1">
                  <c:v>64.3</c:v>
                </c:pt>
                <c:pt idx="2">
                  <c:v>53.1</c:v>
                </c:pt>
                <c:pt idx="3">
                  <c:v>45.9</c:v>
                </c:pt>
                <c:pt idx="4">
                  <c:v>16.3</c:v>
                </c:pt>
                <c:pt idx="5">
                  <c:v>23.5</c:v>
                </c:pt>
                <c:pt idx="6">
                  <c:v>2</c:v>
                </c:pt>
                <c:pt idx="7">
                  <c:v>0</c:v>
                </c:pt>
                <c:pt idx="8">
                  <c:v>1</c:v>
                </c:pt>
              </c:numCache>
            </c:numRef>
          </c:val>
        </c:ser>
        <c:dLbls>
          <c:showLegendKey val="0"/>
          <c:showVal val="1"/>
          <c:showCatName val="0"/>
          <c:showSerName val="0"/>
          <c:showPercent val="0"/>
          <c:showBubbleSize val="0"/>
        </c:dLbls>
        <c:gapWidth val="100"/>
        <c:axId val="237147648"/>
        <c:axId val="237149184"/>
      </c:barChart>
      <c:catAx>
        <c:axId val="23714764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7149184"/>
        <c:crosses val="autoZero"/>
        <c:auto val="1"/>
        <c:lblAlgn val="ctr"/>
        <c:lblOffset val="100"/>
        <c:noMultiLvlLbl val="0"/>
      </c:catAx>
      <c:valAx>
        <c:axId val="237149184"/>
        <c:scaling>
          <c:orientation val="minMax"/>
          <c:max val="9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714764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04236489669874"/>
          <c:y val="0.14363328476219195"/>
          <c:w val="0.73201847365233264"/>
          <c:h val="0.83717024921723959"/>
        </c:manualLayout>
      </c:layout>
      <c:barChart>
        <c:barDir val="bar"/>
        <c:grouping val="percentStacked"/>
        <c:varyColors val="0"/>
        <c:ser>
          <c:idx val="0"/>
          <c:order val="0"/>
          <c:tx>
            <c:strRef>
              <c:f>Sheet1!$B$1</c:f>
              <c:strCache>
                <c:ptCount val="1"/>
                <c:pt idx="0">
                  <c:v>十分できている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0"/>
              <c:layout>
                <c:manualLayout>
                  <c:x val="2.1380620441527635E-3"/>
                  <c:y val="-3.4287918249811492E-2"/>
                </c:manualLayout>
              </c:layout>
              <c:dLblPos val="ctr"/>
              <c:showLegendKey val="0"/>
              <c:showVal val="1"/>
              <c:showCatName val="0"/>
              <c:showSerName val="0"/>
              <c:showPercent val="0"/>
              <c:showBubbleSize val="0"/>
            </c:dLbl>
            <c:dLbl>
              <c:idx val="1"/>
              <c:layout>
                <c:manualLayout>
                  <c:x val="6.4103189236650124E-3"/>
                  <c:y val="-2.9999544256877078E-2"/>
                </c:manualLayout>
              </c:layout>
              <c:dLblPos val="ctr"/>
              <c:showLegendKey val="0"/>
              <c:showVal val="1"/>
              <c:showCatName val="0"/>
              <c:showSerName val="0"/>
              <c:showPercent val="0"/>
              <c:showBubbleSize val="0"/>
            </c:dLbl>
            <c:dLbl>
              <c:idx val="2"/>
              <c:layout>
                <c:manualLayout>
                  <c:x val="1.0683752779766501E-2"/>
                  <c:y val="-3.2144406428341182E-2"/>
                </c:manualLayout>
              </c:layout>
              <c:dLblPos val="ctr"/>
              <c:showLegendKey val="0"/>
              <c:showVal val="1"/>
              <c:showCatName val="0"/>
              <c:showSerName val="0"/>
              <c:showPercent val="0"/>
              <c:showBubbleSize val="0"/>
            </c:dLbl>
            <c:dLbl>
              <c:idx val="3"/>
              <c:layout>
                <c:manualLayout>
                  <c:x val="0"/>
                  <c:y val="-4.0718756074907693E-2"/>
                </c:manualLayout>
              </c:layout>
              <c:dLblPos val="ctr"/>
              <c:showLegendKey val="0"/>
              <c:showVal val="1"/>
              <c:showCatName val="0"/>
              <c:showSerName val="0"/>
              <c:showPercent val="0"/>
              <c:showBubbleSize val="0"/>
            </c:dLbl>
            <c:dLbl>
              <c:idx val="4"/>
              <c:layout>
                <c:manualLayout>
                  <c:x val="1.0679549291947721E-2"/>
                  <c:y val="-3.8575448273999592E-2"/>
                </c:manualLayout>
              </c:layout>
              <c:dLblPos val="ctr"/>
              <c:showLegendKey val="0"/>
              <c:showVal val="1"/>
              <c:showCatName val="0"/>
              <c:showSerName val="0"/>
              <c:showPercent val="0"/>
              <c:showBubbleSize val="0"/>
            </c:dLbl>
            <c:dLbl>
              <c:idx val="5"/>
              <c:layout>
                <c:manualLayout>
                  <c:x val="1.2817779475613241E-2"/>
                  <c:y val="-3.6431261277532406E-2"/>
                </c:manualLayout>
              </c:layout>
              <c:dLblPos val="ctr"/>
              <c:showLegendKey val="0"/>
              <c:showVal val="1"/>
              <c:showCatName val="0"/>
              <c:showSerName val="0"/>
              <c:showPercent val="0"/>
              <c:showBubbleSize val="0"/>
            </c:dLbl>
            <c:dLbl>
              <c:idx val="6"/>
              <c:layout>
                <c:manualLayout>
                  <c:x val="1.281492110389643E-2"/>
                  <c:y val="-3.6431767658780374E-2"/>
                </c:manualLayout>
              </c:layout>
              <c:dLblPos val="ctr"/>
              <c:showLegendKey val="0"/>
              <c:showVal val="1"/>
              <c:showCatName val="0"/>
              <c:showSerName val="0"/>
              <c:showPercent val="0"/>
              <c:showBubbleSize val="0"/>
            </c:dLbl>
            <c:dLbl>
              <c:idx val="7"/>
              <c:layout>
                <c:manualLayout>
                  <c:x val="1.2816434359511205E-2"/>
                  <c:y val="-3.4287580662312911E-2"/>
                </c:manualLayout>
              </c:layout>
              <c:dLblPos val="ctr"/>
              <c:showLegendKey val="0"/>
              <c:showVal val="1"/>
              <c:showCatName val="0"/>
              <c:showSerName val="0"/>
              <c:showPercent val="0"/>
              <c:showBubbleSize val="0"/>
            </c:dLbl>
            <c:dLbl>
              <c:idx val="8"/>
              <c:layout>
                <c:manualLayout>
                  <c:x val="1.0682407663664569E-2"/>
                  <c:y val="-3.2144406428341182E-2"/>
                </c:manualLayout>
              </c:layout>
              <c:dLblPos val="ctr"/>
              <c:showLegendKey val="0"/>
              <c:showVal val="1"/>
              <c:showCatName val="0"/>
              <c:showSerName val="0"/>
              <c:showPercent val="0"/>
              <c:showBubbleSize val="0"/>
            </c:dLbl>
            <c:dLbl>
              <c:idx val="9"/>
              <c:layout>
                <c:manualLayout>
                  <c:x val="2.1380620441527635E-3"/>
                  <c:y val="-3.214676954083036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3</c:v>
                </c:pt>
                <c:pt idx="1">
                  <c:v>3.9</c:v>
                </c:pt>
                <c:pt idx="2">
                  <c:v>2.2000000000000002</c:v>
                </c:pt>
                <c:pt idx="3">
                  <c:v>6.9</c:v>
                </c:pt>
                <c:pt idx="4">
                  <c:v>3</c:v>
                </c:pt>
                <c:pt idx="5">
                  <c:v>2</c:v>
                </c:pt>
                <c:pt idx="6">
                  <c:v>3.7</c:v>
                </c:pt>
                <c:pt idx="7">
                  <c:v>2</c:v>
                </c:pt>
                <c:pt idx="8">
                  <c:v>1.5</c:v>
                </c:pt>
                <c:pt idx="9">
                  <c:v>5.0999999999999996</c:v>
                </c:pt>
              </c:numCache>
            </c:numRef>
          </c:val>
        </c:ser>
        <c:ser>
          <c:idx val="1"/>
          <c:order val="1"/>
          <c:tx>
            <c:strRef>
              <c:f>Sheet1!$C$1</c:f>
              <c:strCache>
                <c:ptCount val="1"/>
                <c:pt idx="0">
                  <c:v>概ねできている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21.7</c:v>
                </c:pt>
                <c:pt idx="1">
                  <c:v>23.1</c:v>
                </c:pt>
                <c:pt idx="2">
                  <c:v>20.8</c:v>
                </c:pt>
                <c:pt idx="3">
                  <c:v>32.200000000000003</c:v>
                </c:pt>
                <c:pt idx="4">
                  <c:v>24.8</c:v>
                </c:pt>
                <c:pt idx="5">
                  <c:v>23.3</c:v>
                </c:pt>
                <c:pt idx="6">
                  <c:v>21.7</c:v>
                </c:pt>
                <c:pt idx="7">
                  <c:v>20.399999999999999</c:v>
                </c:pt>
                <c:pt idx="8">
                  <c:v>19.899999999999999</c:v>
                </c:pt>
                <c:pt idx="9">
                  <c:v>13.3</c:v>
                </c:pt>
              </c:numCache>
            </c:numRef>
          </c:val>
        </c:ser>
        <c:ser>
          <c:idx val="2"/>
          <c:order val="2"/>
          <c:tx>
            <c:strRef>
              <c:f>Sheet1!$D$1</c:f>
              <c:strCache>
                <c:ptCount val="1"/>
                <c:pt idx="0">
                  <c:v>不十分である</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55</c:v>
                </c:pt>
                <c:pt idx="1">
                  <c:v>51.5</c:v>
                </c:pt>
                <c:pt idx="2">
                  <c:v>58.3</c:v>
                </c:pt>
                <c:pt idx="3">
                  <c:v>35.6</c:v>
                </c:pt>
                <c:pt idx="4">
                  <c:v>51</c:v>
                </c:pt>
                <c:pt idx="5">
                  <c:v>53</c:v>
                </c:pt>
                <c:pt idx="6">
                  <c:v>55.1</c:v>
                </c:pt>
                <c:pt idx="7">
                  <c:v>59.8</c:v>
                </c:pt>
                <c:pt idx="8">
                  <c:v>59.4</c:v>
                </c:pt>
                <c:pt idx="9">
                  <c:v>62.2</c:v>
                </c:pt>
              </c:numCache>
            </c:numRef>
          </c:val>
        </c:ser>
        <c:ser>
          <c:idx val="3"/>
          <c:order val="3"/>
          <c:tx>
            <c:strRef>
              <c:f>Sheet1!$E$1</c:f>
              <c:strCache>
                <c:ptCount val="1"/>
                <c:pt idx="0">
                  <c:v>全くできていない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4.0718756074907693E-2"/>
                </c:manualLayout>
              </c:layout>
              <c:dLblPos val="ctr"/>
              <c:showLegendKey val="0"/>
              <c:showVal val="1"/>
              <c:showCatName val="0"/>
              <c:showSerName val="0"/>
              <c:showPercent val="0"/>
              <c:showBubbleSize val="0"/>
            </c:dLbl>
            <c:dLbl>
              <c:idx val="1"/>
              <c:layout>
                <c:manualLayout>
                  <c:x val="4.2735042735042739E-3"/>
                  <c:y val="-3.857566364991255E-2"/>
                </c:manualLayout>
              </c:layout>
              <c:dLblPos val="ctr"/>
              <c:showLegendKey val="0"/>
              <c:showVal val="1"/>
              <c:showCatName val="0"/>
              <c:showSerName val="0"/>
              <c:showPercent val="0"/>
              <c:showBubbleSize val="0"/>
            </c:dLbl>
            <c:dLbl>
              <c:idx val="2"/>
              <c:layout>
                <c:manualLayout>
                  <c:x val="0"/>
                  <c:y val="-3.6432571224917415E-2"/>
                </c:manualLayout>
              </c:layout>
              <c:dLblPos val="ctr"/>
              <c:showLegendKey val="0"/>
              <c:showVal val="1"/>
              <c:showCatName val="0"/>
              <c:showSerName val="0"/>
              <c:showPercent val="0"/>
              <c:showBubbleSize val="0"/>
            </c:dLbl>
            <c:dLbl>
              <c:idx val="3"/>
              <c:delete val="1"/>
            </c:dLbl>
            <c:dLbl>
              <c:idx val="4"/>
              <c:layout>
                <c:manualLayout>
                  <c:x val="-4.2735042735042739E-3"/>
                  <c:y val="-3.857566364991255E-2"/>
                </c:manualLayout>
              </c:layout>
              <c:dLblPos val="ctr"/>
              <c:showLegendKey val="0"/>
              <c:showVal val="1"/>
              <c:showCatName val="0"/>
              <c:showSerName val="0"/>
              <c:showPercent val="0"/>
              <c:showBubbleSize val="0"/>
            </c:dLbl>
            <c:dLbl>
              <c:idx val="5"/>
              <c:layout>
                <c:manualLayout>
                  <c:x val="-2.136752136752137E-3"/>
                  <c:y val="-3.8575663649912439E-2"/>
                </c:manualLayout>
              </c:layout>
              <c:dLblPos val="ctr"/>
              <c:showLegendKey val="0"/>
              <c:showVal val="1"/>
              <c:showCatName val="0"/>
              <c:showSerName val="0"/>
              <c:showPercent val="0"/>
              <c:showBubbleSize val="0"/>
            </c:dLbl>
            <c:dLbl>
              <c:idx val="6"/>
              <c:layout>
                <c:manualLayout>
                  <c:x val="-4.2735042735042739E-3"/>
                  <c:y val="-4.0718756074907693E-2"/>
                </c:manualLayout>
              </c:layout>
              <c:dLblPos val="ctr"/>
              <c:showLegendKey val="0"/>
              <c:showVal val="1"/>
              <c:showCatName val="0"/>
              <c:showSerName val="0"/>
              <c:showPercent val="0"/>
              <c:showBubbleSize val="0"/>
            </c:dLbl>
            <c:dLbl>
              <c:idx val="7"/>
              <c:layout>
                <c:manualLayout>
                  <c:x val="0"/>
                  <c:y val="-3.4289478799922245E-2"/>
                </c:manualLayout>
              </c:layout>
              <c:dLblPos val="ctr"/>
              <c:showLegendKey val="0"/>
              <c:showVal val="1"/>
              <c:showCatName val="0"/>
              <c:showSerName val="0"/>
              <c:showPercent val="0"/>
              <c:showBubbleSize val="0"/>
            </c:dLbl>
            <c:dLbl>
              <c:idx val="8"/>
              <c:layout>
                <c:manualLayout>
                  <c:x val="0"/>
                  <c:y val="-3.857566364991255E-2"/>
                </c:manualLayout>
              </c:layout>
              <c:dLblPos val="ctr"/>
              <c:showLegendKey val="0"/>
              <c:showVal val="1"/>
              <c:showCatName val="0"/>
              <c:showSerName val="0"/>
              <c:showPercent val="0"/>
              <c:showBubbleSize val="0"/>
            </c:dLbl>
            <c:dLbl>
              <c:idx val="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Sheet1!$E$2:$E$11</c:f>
              <c:numCache>
                <c:formatCode>0.0</c:formatCode>
                <c:ptCount val="10"/>
                <c:pt idx="0">
                  <c:v>2.2000000000000002</c:v>
                </c:pt>
                <c:pt idx="1">
                  <c:v>2.6</c:v>
                </c:pt>
                <c:pt idx="2">
                  <c:v>1.7</c:v>
                </c:pt>
                <c:pt idx="3">
                  <c:v>0</c:v>
                </c:pt>
                <c:pt idx="4">
                  <c:v>3.5</c:v>
                </c:pt>
                <c:pt idx="5">
                  <c:v>1.6</c:v>
                </c:pt>
                <c:pt idx="6">
                  <c:v>2.9</c:v>
                </c:pt>
                <c:pt idx="7">
                  <c:v>1.7</c:v>
                </c:pt>
                <c:pt idx="8">
                  <c:v>2.7</c:v>
                </c:pt>
                <c:pt idx="9">
                  <c:v>0</c:v>
                </c:pt>
              </c:numCache>
            </c:numRef>
          </c:val>
        </c:ser>
        <c:ser>
          <c:idx val="4"/>
          <c:order val="4"/>
          <c:tx>
            <c:strRef>
              <c:f>Sheet1!$F$1</c:f>
              <c:strCache>
                <c:ptCount val="1"/>
                <c:pt idx="0">
                  <c:v>わからない</c:v>
                </c:pt>
              </c:strCache>
            </c:strRef>
          </c:tx>
          <c:spPr>
            <a:pattFill prst="pct5">
              <a:fgClr>
                <a:sysClr val="windowText" lastClr="000000"/>
              </a:fgClr>
              <a:bgClr>
                <a:srgbClr val="FFFF00"/>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Sheet1!$F$2:$F$11</c:f>
              <c:numCache>
                <c:formatCode>0.0</c:formatCode>
                <c:ptCount val="10"/>
                <c:pt idx="0">
                  <c:v>15.2</c:v>
                </c:pt>
                <c:pt idx="1">
                  <c:v>16.2</c:v>
                </c:pt>
                <c:pt idx="2">
                  <c:v>14.4</c:v>
                </c:pt>
                <c:pt idx="3">
                  <c:v>25.3</c:v>
                </c:pt>
                <c:pt idx="4">
                  <c:v>17.3</c:v>
                </c:pt>
                <c:pt idx="5">
                  <c:v>18.2</c:v>
                </c:pt>
                <c:pt idx="6">
                  <c:v>14.6</c:v>
                </c:pt>
                <c:pt idx="7">
                  <c:v>13.7</c:v>
                </c:pt>
                <c:pt idx="8">
                  <c:v>11.9</c:v>
                </c:pt>
                <c:pt idx="9">
                  <c:v>11.2</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layout>
                <c:manualLayout>
                  <c:x val="-2.136752136752137E-3"/>
                  <c:y val="-3.857566364991255E-2"/>
                </c:manualLayout>
              </c:layout>
              <c:dLblPos val="ctr"/>
              <c:showLegendKey val="0"/>
              <c:showVal val="1"/>
              <c:showCatName val="0"/>
              <c:showSerName val="0"/>
              <c:showPercent val="0"/>
              <c:showBubbleSize val="0"/>
            </c:dLbl>
            <c:dLbl>
              <c:idx val="1"/>
              <c:layout>
                <c:manualLayout>
                  <c:x val="-2.136752136752137E-3"/>
                  <c:y val="-3.4289478799922245E-2"/>
                </c:manualLayout>
              </c:layout>
              <c:dLblPos val="ctr"/>
              <c:showLegendKey val="0"/>
              <c:showVal val="1"/>
              <c:showCatName val="0"/>
              <c:showSerName val="0"/>
              <c:showPercent val="0"/>
              <c:showBubbleSize val="0"/>
            </c:dLbl>
            <c:dLbl>
              <c:idx val="2"/>
              <c:layout>
                <c:manualLayout>
                  <c:x val="0"/>
                  <c:y val="-3.2146386374927102E-2"/>
                </c:manualLayout>
              </c:layout>
              <c:dLblPos val="ctr"/>
              <c:showLegendKey val="0"/>
              <c:showVal val="1"/>
              <c:showCatName val="0"/>
              <c:showSerName val="0"/>
              <c:showPercent val="0"/>
              <c:showBubbleSize val="0"/>
            </c:dLbl>
            <c:dLbl>
              <c:idx val="3"/>
              <c:delete val="1"/>
            </c:dLbl>
            <c:dLbl>
              <c:idx val="4"/>
              <c:layout>
                <c:manualLayout>
                  <c:x val="0"/>
                  <c:y val="-3.857566364991255E-2"/>
                </c:manualLayout>
              </c:layout>
              <c:dLblPos val="ctr"/>
              <c:showLegendKey val="0"/>
              <c:showVal val="1"/>
              <c:showCatName val="0"/>
              <c:showSerName val="0"/>
              <c:showPercent val="0"/>
              <c:showBubbleSize val="0"/>
            </c:dLbl>
            <c:dLbl>
              <c:idx val="5"/>
              <c:layout>
                <c:manualLayout>
                  <c:x val="0"/>
                  <c:y val="-3.6432571224917415E-2"/>
                </c:manualLayout>
              </c:layout>
              <c:dLblPos val="ctr"/>
              <c:showLegendKey val="0"/>
              <c:showVal val="1"/>
              <c:showCatName val="0"/>
              <c:showSerName val="0"/>
              <c:showPercent val="0"/>
              <c:showBubbleSize val="0"/>
            </c:dLbl>
            <c:dLbl>
              <c:idx val="6"/>
              <c:layout>
                <c:manualLayout>
                  <c:x val="0"/>
                  <c:y val="-3.4289478799922245E-2"/>
                </c:manualLayout>
              </c:layout>
              <c:dLblPos val="ctr"/>
              <c:showLegendKey val="0"/>
              <c:showVal val="1"/>
              <c:showCatName val="0"/>
              <c:showSerName val="0"/>
              <c:showPercent val="0"/>
              <c:showBubbleSize val="0"/>
            </c:dLbl>
            <c:dLbl>
              <c:idx val="7"/>
              <c:layout>
                <c:manualLayout>
                  <c:x val="0"/>
                  <c:y val="-3.857566364991255E-2"/>
                </c:manualLayout>
              </c:layout>
              <c:dLblPos val="ctr"/>
              <c:showLegendKey val="0"/>
              <c:showVal val="1"/>
              <c:showCatName val="0"/>
              <c:showSerName val="0"/>
              <c:showPercent val="0"/>
              <c:showBubbleSize val="0"/>
            </c:dLbl>
            <c:dLbl>
              <c:idx val="8"/>
              <c:layout>
                <c:manualLayout>
                  <c:x val="0"/>
                  <c:y val="-3.857566364991255E-2"/>
                </c:manualLayout>
              </c:layout>
              <c:dLblPos val="ctr"/>
              <c:showLegendKey val="0"/>
              <c:showVal val="1"/>
              <c:showCatName val="0"/>
              <c:showSerName val="0"/>
              <c:showPercent val="0"/>
              <c:showBubbleSize val="0"/>
            </c:dLbl>
            <c:dLbl>
              <c:idx val="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Sheet1!$G$2:$G$11</c:f>
              <c:numCache>
                <c:formatCode>0.0</c:formatCode>
                <c:ptCount val="10"/>
                <c:pt idx="0">
                  <c:v>3</c:v>
                </c:pt>
                <c:pt idx="1">
                  <c:v>2.6</c:v>
                </c:pt>
                <c:pt idx="2">
                  <c:v>2.6</c:v>
                </c:pt>
                <c:pt idx="3">
                  <c:v>0</c:v>
                </c:pt>
                <c:pt idx="4">
                  <c:v>0.5</c:v>
                </c:pt>
                <c:pt idx="5">
                  <c:v>2</c:v>
                </c:pt>
                <c:pt idx="6">
                  <c:v>2</c:v>
                </c:pt>
                <c:pt idx="7">
                  <c:v>2.2999999999999998</c:v>
                </c:pt>
                <c:pt idx="8">
                  <c:v>4.5999999999999996</c:v>
                </c:pt>
                <c:pt idx="9">
                  <c:v>8.2000000000000011</c:v>
                </c:pt>
              </c:numCache>
            </c:numRef>
          </c:val>
        </c:ser>
        <c:dLbls>
          <c:showLegendKey val="0"/>
          <c:showVal val="0"/>
          <c:showCatName val="0"/>
          <c:showSerName val="0"/>
          <c:showPercent val="0"/>
          <c:showBubbleSize val="0"/>
        </c:dLbls>
        <c:gapWidth val="90"/>
        <c:overlap val="100"/>
        <c:axId val="237658496"/>
        <c:axId val="237660032"/>
      </c:barChart>
      <c:catAx>
        <c:axId val="23765849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37660032"/>
        <c:crosses val="autoZero"/>
        <c:auto val="1"/>
        <c:lblAlgn val="ctr"/>
        <c:lblOffset val="100"/>
        <c:noMultiLvlLbl val="0"/>
      </c:catAx>
      <c:valAx>
        <c:axId val="23766003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37658496"/>
        <c:crosses val="autoZero"/>
        <c:crossBetween val="between"/>
        <c:majorUnit val="0.1"/>
      </c:valAx>
    </c:plotArea>
    <c:legend>
      <c:legendPos val="r"/>
      <c:layout>
        <c:manualLayout>
          <c:xMode val="edge"/>
          <c:yMode val="edge"/>
          <c:x val="1.427451376270274E-2"/>
          <c:y val="1.8843625254239191E-3"/>
          <c:w val="0.98572548623729761"/>
          <c:h val="9.3781234100824923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925468466178859"/>
          <c:h val="0.88157803649116162"/>
        </c:manualLayout>
      </c:layout>
      <c:barChart>
        <c:barDir val="bar"/>
        <c:grouping val="percentStacked"/>
        <c:varyColors val="0"/>
        <c:ser>
          <c:idx val="0"/>
          <c:order val="0"/>
          <c:tx>
            <c:strRef>
              <c:f>Sheet1!$B$1</c:f>
              <c:strCache>
                <c:ptCount val="1"/>
                <c:pt idx="0">
                  <c:v>十分できている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0"/>
              <c:layout>
                <c:manualLayout>
                  <c:x val="4.1269843848884095E-3"/>
                  <c:y val="-1.9305924252519251E-2"/>
                </c:manualLayout>
              </c:layout>
              <c:dLblPos val="ctr"/>
              <c:showLegendKey val="0"/>
              <c:showVal val="1"/>
              <c:showCatName val="0"/>
              <c:showSerName val="0"/>
              <c:showPercent val="0"/>
              <c:showBubbleSize val="0"/>
            </c:dLbl>
            <c:dLbl>
              <c:idx val="1"/>
              <c:layout>
                <c:manualLayout>
                  <c:x val="8.2539687697768486E-3"/>
                  <c:y val="-1.9306062449100481E-2"/>
                </c:manualLayout>
              </c:layout>
              <c:dLblPos val="ctr"/>
              <c:showLegendKey val="0"/>
              <c:showVal val="1"/>
              <c:showCatName val="0"/>
              <c:showSerName val="0"/>
              <c:showPercent val="0"/>
              <c:showBubbleSize val="0"/>
            </c:dLbl>
            <c:dLbl>
              <c:idx val="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3"/>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4"/>
              <c:layout>
                <c:manualLayout>
                  <c:x val="1.6507937539553617E-2"/>
                  <c:y val="-1.7550965862818613E-2"/>
                </c:manualLayout>
              </c:layout>
              <c:dLblPos val="ctr"/>
              <c:showLegendKey val="0"/>
              <c:showVal val="1"/>
              <c:showCatName val="0"/>
              <c:showSerName val="0"/>
              <c:showPercent val="0"/>
              <c:showBubbleSize val="0"/>
            </c:dLbl>
            <c:dLbl>
              <c:idx val="5"/>
              <c:layout>
                <c:manualLayout>
                  <c:x val="1.0317460962221059E-2"/>
                  <c:y val="-1.9306062449100481E-2"/>
                </c:manualLayout>
              </c:layout>
              <c:dLblPos val="ctr"/>
              <c:showLegendKey val="0"/>
              <c:showVal val="1"/>
              <c:showCatName val="0"/>
              <c:showSerName val="0"/>
              <c:showPercent val="0"/>
              <c:showBubbleSize val="0"/>
            </c:dLbl>
            <c:dLbl>
              <c:idx val="6"/>
              <c:layout>
                <c:manualLayout>
                  <c:x val="1.650793753955369E-2"/>
                  <c:y val="-2.1061159035382328E-2"/>
                </c:manualLayout>
              </c:layout>
              <c:dLblPos val="ctr"/>
              <c:showLegendKey val="0"/>
              <c:showVal val="1"/>
              <c:showCatName val="0"/>
              <c:showSerName val="0"/>
              <c:showPercent val="0"/>
              <c:showBubbleSize val="0"/>
            </c:dLbl>
            <c:dLbl>
              <c:idx val="7"/>
              <c:layout>
                <c:manualLayout>
                  <c:x val="1.2380953154665281E-2"/>
                  <c:y val="-1.9306062449100481E-2"/>
                </c:manualLayout>
              </c:layout>
              <c:dLblPos val="ctr"/>
              <c:showLegendKey val="0"/>
              <c:showVal val="1"/>
              <c:showCatName val="0"/>
              <c:showSerName val="0"/>
              <c:showPercent val="0"/>
              <c:showBubbleSize val="0"/>
            </c:dLbl>
            <c:dLbl>
              <c:idx val="8"/>
              <c:delete val="1"/>
            </c:dLbl>
            <c:dLbl>
              <c:idx val="9"/>
              <c:delete val="1"/>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layout>
                <c:manualLayout>
                  <c:x val="1.2380953154665241E-2"/>
                  <c:y val="-1.9306062449100481E-2"/>
                </c:manualLayout>
              </c:layout>
              <c:dLblPos val="ctr"/>
              <c:showLegendKey val="0"/>
              <c:showVal val="1"/>
              <c:showCatName val="0"/>
              <c:showSerName val="0"/>
              <c:showPercent val="0"/>
              <c:showBubbleSize val="0"/>
            </c:dLbl>
            <c:dLbl>
              <c:idx val="12"/>
              <c:layout>
                <c:manualLayout>
                  <c:x val="0"/>
                  <c:y val="-1.7550965862818613E-2"/>
                </c:manualLayout>
              </c:layout>
              <c:dLblPos val="ctr"/>
              <c:showLegendKey val="0"/>
              <c:showVal val="1"/>
              <c:showCatName val="0"/>
              <c:showSerName val="0"/>
              <c:showPercent val="0"/>
              <c:showBubbleSize val="0"/>
            </c:dLbl>
            <c:dLbl>
              <c:idx val="13"/>
              <c:layout>
                <c:manualLayout>
                  <c:x val="1.0317460962220979E-2"/>
                  <c:y val="-1.9306062449100481E-2"/>
                </c:manualLayout>
              </c:layout>
              <c:dLblPos val="ctr"/>
              <c:showLegendKey val="0"/>
              <c:showVal val="1"/>
              <c:showCatName val="0"/>
              <c:showSerName val="0"/>
              <c:showPercent val="0"/>
              <c:showBubbleSize val="0"/>
            </c:dLbl>
            <c:dLbl>
              <c:idx val="14"/>
              <c:layout>
                <c:manualLayout>
                  <c:x val="1.2380953154665241E-2"/>
                  <c:y val="-2.281625562166489E-2"/>
                </c:manualLayout>
              </c:layout>
              <c:dLblPos val="ctr"/>
              <c:showLegendKey val="0"/>
              <c:showVal val="1"/>
              <c:showCatName val="0"/>
              <c:showSerName val="0"/>
              <c:showPercent val="0"/>
              <c:showBubbleSize val="0"/>
            </c:dLbl>
            <c:dLbl>
              <c:idx val="15"/>
              <c:layout>
                <c:manualLayout>
                  <c:x val="1.8571429731998164E-2"/>
                  <c:y val="-2.1061159035382328E-2"/>
                </c:manualLayout>
              </c:layout>
              <c:dLblPos val="ctr"/>
              <c:showLegendKey val="0"/>
              <c:showVal val="1"/>
              <c:showCatName val="0"/>
              <c:showSerName val="0"/>
              <c:showPercent val="0"/>
              <c:showBubbleSize val="0"/>
            </c:dLbl>
            <c:dLbl>
              <c:idx val="16"/>
              <c:delete val="1"/>
            </c:dLbl>
            <c:dLbl>
              <c:idx val="17"/>
              <c:layout>
                <c:manualLayout>
                  <c:x val="1.2380953154665241E-2"/>
                  <c:y val="-1.9306062449100481E-2"/>
                </c:manualLayout>
              </c:layout>
              <c:dLblPos val="ctr"/>
              <c:showLegendKey val="0"/>
              <c:showVal val="1"/>
              <c:showCatName val="0"/>
              <c:showSerName val="0"/>
              <c:showPercent val="0"/>
              <c:showBubbleSize val="0"/>
            </c:dLbl>
            <c:dLbl>
              <c:idx val="18"/>
              <c:layout>
                <c:manualLayout>
                  <c:x val="0"/>
                  <c:y val="-2.1061159035382328E-2"/>
                </c:manualLayout>
              </c:layout>
              <c:dLblPos val="ctr"/>
              <c:showLegendKey val="0"/>
              <c:showVal val="1"/>
              <c:showCatName val="0"/>
              <c:showSerName val="0"/>
              <c:showPercent val="0"/>
              <c:showBubbleSize val="0"/>
            </c:dLbl>
            <c:dLbl>
              <c:idx val="19"/>
              <c:layout>
                <c:manualLayout>
                  <c:x val="8.2539687697768486E-3"/>
                  <c:y val="-2.281625562166479E-2"/>
                </c:manualLayout>
              </c:layout>
              <c:dLblPos val="ctr"/>
              <c:showLegendKey val="0"/>
              <c:showVal val="1"/>
              <c:showCatName val="0"/>
              <c:showSerName val="0"/>
              <c:showPercent val="0"/>
              <c:showBubbleSize val="0"/>
            </c:dLbl>
            <c:dLbl>
              <c:idx val="20"/>
              <c:layout>
                <c:manualLayout>
                  <c:x val="2.0634921924441692E-3"/>
                  <c:y val="-1.930606244910048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3</c:v>
                </c:pt>
                <c:pt idx="1">
                  <c:v>3.1</c:v>
                </c:pt>
                <c:pt idx="2">
                  <c:v>11.1</c:v>
                </c:pt>
                <c:pt idx="3">
                  <c:v>11.6</c:v>
                </c:pt>
                <c:pt idx="4">
                  <c:v>0.5</c:v>
                </c:pt>
                <c:pt idx="5">
                  <c:v>1.8</c:v>
                </c:pt>
                <c:pt idx="6">
                  <c:v>1.5</c:v>
                </c:pt>
                <c:pt idx="7">
                  <c:v>3.1</c:v>
                </c:pt>
                <c:pt idx="8">
                  <c:v>0</c:v>
                </c:pt>
                <c:pt idx="9">
                  <c:v>0</c:v>
                </c:pt>
                <c:pt idx="10">
                  <c:v>7.8</c:v>
                </c:pt>
                <c:pt idx="11">
                  <c:v>2.6</c:v>
                </c:pt>
                <c:pt idx="12">
                  <c:v>5.3</c:v>
                </c:pt>
                <c:pt idx="13">
                  <c:v>2.7</c:v>
                </c:pt>
                <c:pt idx="14">
                  <c:v>3.5</c:v>
                </c:pt>
                <c:pt idx="15">
                  <c:v>1.7</c:v>
                </c:pt>
                <c:pt idx="16">
                  <c:v>0</c:v>
                </c:pt>
                <c:pt idx="17">
                  <c:v>1.6</c:v>
                </c:pt>
                <c:pt idx="18">
                  <c:v>5.9</c:v>
                </c:pt>
                <c:pt idx="19">
                  <c:v>4.0999999999999996</c:v>
                </c:pt>
                <c:pt idx="20">
                  <c:v>5</c:v>
                </c:pt>
              </c:numCache>
            </c:numRef>
          </c:val>
        </c:ser>
        <c:ser>
          <c:idx val="1"/>
          <c:order val="1"/>
          <c:tx>
            <c:strRef>
              <c:f>Sheet1!$C$1</c:f>
              <c:strCache>
                <c:ptCount val="1"/>
                <c:pt idx="0">
                  <c:v>概ねできている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21.7</c:v>
                </c:pt>
                <c:pt idx="1">
                  <c:v>29.9</c:v>
                </c:pt>
                <c:pt idx="2">
                  <c:v>33.300000000000004</c:v>
                </c:pt>
                <c:pt idx="3">
                  <c:v>21.7</c:v>
                </c:pt>
                <c:pt idx="4">
                  <c:v>20.2</c:v>
                </c:pt>
                <c:pt idx="5">
                  <c:v>22</c:v>
                </c:pt>
                <c:pt idx="6">
                  <c:v>19.7</c:v>
                </c:pt>
                <c:pt idx="7">
                  <c:v>25</c:v>
                </c:pt>
                <c:pt idx="8">
                  <c:v>36.4</c:v>
                </c:pt>
                <c:pt idx="9">
                  <c:v>19.5</c:v>
                </c:pt>
                <c:pt idx="10">
                  <c:v>32.800000000000004</c:v>
                </c:pt>
                <c:pt idx="11">
                  <c:v>15.3</c:v>
                </c:pt>
                <c:pt idx="12">
                  <c:v>20.6</c:v>
                </c:pt>
                <c:pt idx="13">
                  <c:v>22.4</c:v>
                </c:pt>
                <c:pt idx="14">
                  <c:v>16.7</c:v>
                </c:pt>
                <c:pt idx="15">
                  <c:v>16.2</c:v>
                </c:pt>
                <c:pt idx="16">
                  <c:v>23.5</c:v>
                </c:pt>
                <c:pt idx="17">
                  <c:v>27</c:v>
                </c:pt>
                <c:pt idx="18">
                  <c:v>23.5</c:v>
                </c:pt>
                <c:pt idx="19">
                  <c:v>26</c:v>
                </c:pt>
                <c:pt idx="20">
                  <c:v>23.9</c:v>
                </c:pt>
              </c:numCache>
            </c:numRef>
          </c:val>
        </c:ser>
        <c:ser>
          <c:idx val="2"/>
          <c:order val="2"/>
          <c:tx>
            <c:strRef>
              <c:f>Sheet1!$D$1</c:f>
              <c:strCache>
                <c:ptCount val="1"/>
                <c:pt idx="0">
                  <c:v>不十分である</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55</c:v>
                </c:pt>
                <c:pt idx="1">
                  <c:v>50.5</c:v>
                </c:pt>
                <c:pt idx="2">
                  <c:v>33.300000000000004</c:v>
                </c:pt>
                <c:pt idx="3">
                  <c:v>47.8</c:v>
                </c:pt>
                <c:pt idx="4">
                  <c:v>59.6</c:v>
                </c:pt>
                <c:pt idx="5">
                  <c:v>63.8</c:v>
                </c:pt>
                <c:pt idx="6">
                  <c:v>56.7</c:v>
                </c:pt>
                <c:pt idx="7">
                  <c:v>60.9</c:v>
                </c:pt>
                <c:pt idx="8">
                  <c:v>45.5</c:v>
                </c:pt>
                <c:pt idx="9">
                  <c:v>59.7</c:v>
                </c:pt>
                <c:pt idx="10">
                  <c:v>40.5</c:v>
                </c:pt>
                <c:pt idx="11">
                  <c:v>54.5</c:v>
                </c:pt>
                <c:pt idx="12">
                  <c:v>48.2</c:v>
                </c:pt>
                <c:pt idx="13">
                  <c:v>58.2</c:v>
                </c:pt>
                <c:pt idx="14">
                  <c:v>57</c:v>
                </c:pt>
                <c:pt idx="15">
                  <c:v>59</c:v>
                </c:pt>
                <c:pt idx="16">
                  <c:v>64.7</c:v>
                </c:pt>
                <c:pt idx="17">
                  <c:v>49.2</c:v>
                </c:pt>
                <c:pt idx="18">
                  <c:v>43.1</c:v>
                </c:pt>
                <c:pt idx="19">
                  <c:v>47.2</c:v>
                </c:pt>
                <c:pt idx="20">
                  <c:v>48.8</c:v>
                </c:pt>
              </c:numCache>
            </c:numRef>
          </c:val>
        </c:ser>
        <c:ser>
          <c:idx val="3"/>
          <c:order val="3"/>
          <c:tx>
            <c:strRef>
              <c:f>Sheet1!$E$1</c:f>
              <c:strCache>
                <c:ptCount val="1"/>
                <c:pt idx="0">
                  <c:v>全くできていない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1.7550965862818627E-2"/>
                </c:manualLayout>
              </c:layout>
              <c:dLblPos val="ctr"/>
              <c:showLegendKey val="0"/>
              <c:showVal val="1"/>
              <c:showCatName val="0"/>
              <c:showSerName val="0"/>
              <c:showPercent val="0"/>
              <c:showBubbleSize val="0"/>
            </c:dLbl>
            <c:dLbl>
              <c:idx val="1"/>
              <c:layout>
                <c:manualLayout>
                  <c:x val="0"/>
                  <c:y val="-1.9306062449100481E-2"/>
                </c:manualLayout>
              </c:layout>
              <c:dLblPos val="ctr"/>
              <c:showLegendKey val="0"/>
              <c:showVal val="1"/>
              <c:showCatName val="0"/>
              <c:showSerName val="0"/>
              <c:showPercent val="0"/>
              <c:showBubbleSize val="0"/>
            </c:dLbl>
            <c:dLbl>
              <c:idx val="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3"/>
              <c:delete val="1"/>
            </c:dLbl>
            <c:dLbl>
              <c:idx val="4"/>
              <c:layout>
                <c:manualLayout>
                  <c:x val="0"/>
                  <c:y val="-1.9306062449100481E-2"/>
                </c:manualLayout>
              </c:layout>
              <c:dLblPos val="ctr"/>
              <c:showLegendKey val="0"/>
              <c:showVal val="1"/>
              <c:showCatName val="0"/>
              <c:showSerName val="0"/>
              <c:showPercent val="0"/>
              <c:showBubbleSize val="0"/>
            </c:dLbl>
            <c:dLbl>
              <c:idx val="5"/>
              <c:layout>
                <c:manualLayout>
                  <c:x val="0"/>
                  <c:y val="-1.9306062449100481E-2"/>
                </c:manualLayout>
              </c:layout>
              <c:dLblPos val="ctr"/>
              <c:showLegendKey val="0"/>
              <c:showVal val="1"/>
              <c:showCatName val="0"/>
              <c:showSerName val="0"/>
              <c:showPercent val="0"/>
              <c:showBubbleSize val="0"/>
            </c:dLbl>
            <c:dLbl>
              <c:idx val="6"/>
              <c:layout>
                <c:manualLayout>
                  <c:x val="2.0634921924442082E-3"/>
                  <c:y val="-1.9306062449100481E-2"/>
                </c:manualLayout>
              </c:layout>
              <c:dLblPos val="ctr"/>
              <c:showLegendKey val="0"/>
              <c:showVal val="1"/>
              <c:showCatName val="0"/>
              <c:showSerName val="0"/>
              <c:showPercent val="0"/>
              <c:showBubbleSize val="0"/>
            </c:dLbl>
            <c:dLbl>
              <c:idx val="7"/>
              <c:layout>
                <c:manualLayout>
                  <c:x val="0"/>
                  <c:y val="-2.281625562166489E-2"/>
                </c:manualLayout>
              </c:layout>
              <c:dLblPos val="ctr"/>
              <c:showLegendKey val="0"/>
              <c:showVal val="1"/>
              <c:showCatName val="0"/>
              <c:showSerName val="0"/>
              <c:showPercent val="0"/>
              <c:showBubbleSize val="0"/>
            </c:dLbl>
            <c:dLbl>
              <c:idx val="8"/>
              <c:delete val="1"/>
            </c:dLbl>
            <c:dLbl>
              <c:idx val="9"/>
              <c:layout>
                <c:manualLayout>
                  <c:x val="0"/>
                  <c:y val="-1.7550965862818613E-2"/>
                </c:manualLayout>
              </c:layout>
              <c:dLblPos val="ctr"/>
              <c:showLegendKey val="0"/>
              <c:showVal val="1"/>
              <c:showCatName val="0"/>
              <c:showSerName val="0"/>
              <c:showPercent val="0"/>
              <c:showBubbleSize val="0"/>
            </c:dLbl>
            <c:dLbl>
              <c:idx val="10"/>
              <c:layout>
                <c:manualLayout>
                  <c:x val="0"/>
                  <c:y val="-2.1061159035382328E-2"/>
                </c:manualLayout>
              </c:layout>
              <c:dLblPos val="ctr"/>
              <c:showLegendKey val="0"/>
              <c:showVal val="1"/>
              <c:showCatName val="0"/>
              <c:showSerName val="0"/>
              <c:showPercent val="0"/>
              <c:showBubbleSize val="0"/>
            </c:dLbl>
            <c:dLbl>
              <c:idx val="11"/>
              <c:layout>
                <c:manualLayout>
                  <c:x val="0"/>
                  <c:y val="-2.1061159035382328E-2"/>
                </c:manualLayout>
              </c:layout>
              <c:dLblPos val="ctr"/>
              <c:showLegendKey val="0"/>
              <c:showVal val="1"/>
              <c:showCatName val="0"/>
              <c:showSerName val="0"/>
              <c:showPercent val="0"/>
              <c:showBubbleSize val="0"/>
            </c:dLbl>
            <c:dLbl>
              <c:idx val="12"/>
              <c:layout>
                <c:manualLayout>
                  <c:x val="0"/>
                  <c:y val="-1.7550965862818613E-2"/>
                </c:manualLayout>
              </c:layout>
              <c:dLblPos val="ctr"/>
              <c:showLegendKey val="0"/>
              <c:showVal val="1"/>
              <c:showCatName val="0"/>
              <c:showSerName val="0"/>
              <c:showPercent val="0"/>
              <c:showBubbleSize val="0"/>
            </c:dLbl>
            <c:dLbl>
              <c:idx val="13"/>
              <c:layout>
                <c:manualLayout>
                  <c:x val="2.0634921924442082E-3"/>
                  <c:y val="-1.9306062449100481E-2"/>
                </c:manualLayout>
              </c:layout>
              <c:dLblPos val="ctr"/>
              <c:showLegendKey val="0"/>
              <c:showVal val="1"/>
              <c:showCatName val="0"/>
              <c:showSerName val="0"/>
              <c:showPercent val="0"/>
              <c:showBubbleSize val="0"/>
            </c:dLbl>
            <c:dLbl>
              <c:idx val="14"/>
              <c:layout>
                <c:manualLayout>
                  <c:x val="4.1269843848884095E-3"/>
                  <c:y val="-2.281625562166489E-2"/>
                </c:manualLayout>
              </c:layout>
              <c:dLblPos val="ctr"/>
              <c:showLegendKey val="0"/>
              <c:showVal val="1"/>
              <c:showCatName val="0"/>
              <c:showSerName val="0"/>
              <c:showPercent val="0"/>
              <c:showBubbleSize val="0"/>
            </c:dLbl>
            <c:dLbl>
              <c:idx val="15"/>
              <c:layout>
                <c:manualLayout>
                  <c:x val="0"/>
                  <c:y val="-1.9306062449100481E-2"/>
                </c:manualLayout>
              </c:layout>
              <c:dLblPos val="ctr"/>
              <c:showLegendKey val="0"/>
              <c:showVal val="1"/>
              <c:showCatName val="0"/>
              <c:showSerName val="0"/>
              <c:showPercent val="0"/>
              <c:showBubbleSize val="0"/>
            </c:dLbl>
            <c:dLbl>
              <c:idx val="16"/>
              <c:delete val="1"/>
            </c:dLbl>
            <c:dLbl>
              <c:idx val="17"/>
              <c:layout>
                <c:manualLayout>
                  <c:x val="0"/>
                  <c:y val="-2.281625562166489E-2"/>
                </c:manualLayout>
              </c:layout>
              <c:dLblPos val="ctr"/>
              <c:showLegendKey val="0"/>
              <c:showVal val="1"/>
              <c:showCatName val="0"/>
              <c:showSerName val="0"/>
              <c:showPercent val="0"/>
              <c:showBubbleSize val="0"/>
            </c:dLbl>
            <c:dLbl>
              <c:idx val="18"/>
              <c:layout>
                <c:manualLayout>
                  <c:x val="4.1269843848884095E-3"/>
                  <c:y val="-2.1061159035382328E-2"/>
                </c:manualLayout>
              </c:layout>
              <c:dLblPos val="ctr"/>
              <c:showLegendKey val="0"/>
              <c:showVal val="1"/>
              <c:showCatName val="0"/>
              <c:showSerName val="0"/>
              <c:showPercent val="0"/>
              <c:showBubbleSize val="0"/>
            </c:dLbl>
            <c:dLbl>
              <c:idx val="19"/>
              <c:layout>
                <c:manualLayout>
                  <c:x val="0"/>
                  <c:y val="-1.9306062449100363E-2"/>
                </c:manualLayout>
              </c:layout>
              <c:dLblPos val="ctr"/>
              <c:showLegendKey val="0"/>
              <c:showVal val="1"/>
              <c:showCatName val="0"/>
              <c:showSerName val="0"/>
              <c:showPercent val="0"/>
              <c:showBubbleSize val="0"/>
            </c:dLbl>
            <c:dLbl>
              <c:idx val="20"/>
              <c:layout>
                <c:manualLayout>
                  <c:x val="2.0634921924442082E-3"/>
                  <c:y val="-1.930606244910048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2.2000000000000002</c:v>
                </c:pt>
                <c:pt idx="1">
                  <c:v>3.1</c:v>
                </c:pt>
                <c:pt idx="2">
                  <c:v>11.1</c:v>
                </c:pt>
                <c:pt idx="3">
                  <c:v>0</c:v>
                </c:pt>
                <c:pt idx="4">
                  <c:v>3.2</c:v>
                </c:pt>
                <c:pt idx="5">
                  <c:v>0.70000000000000062</c:v>
                </c:pt>
                <c:pt idx="6">
                  <c:v>3</c:v>
                </c:pt>
                <c:pt idx="7">
                  <c:v>1.6</c:v>
                </c:pt>
                <c:pt idx="8">
                  <c:v>0</c:v>
                </c:pt>
                <c:pt idx="9">
                  <c:v>2.7</c:v>
                </c:pt>
                <c:pt idx="10">
                  <c:v>0.9</c:v>
                </c:pt>
                <c:pt idx="11">
                  <c:v>1.6</c:v>
                </c:pt>
                <c:pt idx="12">
                  <c:v>3.5</c:v>
                </c:pt>
                <c:pt idx="13">
                  <c:v>2.1</c:v>
                </c:pt>
                <c:pt idx="14">
                  <c:v>0.9</c:v>
                </c:pt>
                <c:pt idx="15">
                  <c:v>2.2000000000000002</c:v>
                </c:pt>
                <c:pt idx="16">
                  <c:v>0</c:v>
                </c:pt>
                <c:pt idx="17">
                  <c:v>2.4</c:v>
                </c:pt>
                <c:pt idx="18">
                  <c:v>3.9</c:v>
                </c:pt>
                <c:pt idx="19">
                  <c:v>1.6</c:v>
                </c:pt>
                <c:pt idx="20">
                  <c:v>3</c:v>
                </c:pt>
              </c:numCache>
            </c:numRef>
          </c:val>
        </c:ser>
        <c:ser>
          <c:idx val="4"/>
          <c:order val="4"/>
          <c:tx>
            <c:strRef>
              <c:f>Sheet1!$F$1</c:f>
              <c:strCache>
                <c:ptCount val="1"/>
                <c:pt idx="0">
                  <c:v>わからない</c:v>
                </c:pt>
              </c:strCache>
            </c:strRef>
          </c:tx>
          <c:spPr>
            <a:pattFill prst="pct5">
              <a:fgClr>
                <a:sysClr val="windowText" lastClr="000000"/>
              </a:fgClr>
              <a:bgClr>
                <a:srgbClr val="FFFF00"/>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15.2</c:v>
                </c:pt>
                <c:pt idx="1">
                  <c:v>11.3</c:v>
                </c:pt>
                <c:pt idx="2">
                  <c:v>11.1</c:v>
                </c:pt>
                <c:pt idx="3">
                  <c:v>18.8</c:v>
                </c:pt>
                <c:pt idx="4">
                  <c:v>15.6</c:v>
                </c:pt>
                <c:pt idx="5">
                  <c:v>10.3</c:v>
                </c:pt>
                <c:pt idx="6">
                  <c:v>15.8</c:v>
                </c:pt>
                <c:pt idx="7">
                  <c:v>9.4</c:v>
                </c:pt>
                <c:pt idx="8">
                  <c:v>13.6</c:v>
                </c:pt>
                <c:pt idx="9">
                  <c:v>14.1</c:v>
                </c:pt>
                <c:pt idx="10">
                  <c:v>18.100000000000001</c:v>
                </c:pt>
                <c:pt idx="11">
                  <c:v>20.6</c:v>
                </c:pt>
                <c:pt idx="12">
                  <c:v>18.2</c:v>
                </c:pt>
                <c:pt idx="13">
                  <c:v>13</c:v>
                </c:pt>
                <c:pt idx="14">
                  <c:v>18.399999999999999</c:v>
                </c:pt>
                <c:pt idx="15">
                  <c:v>16.2</c:v>
                </c:pt>
                <c:pt idx="16">
                  <c:v>11.8</c:v>
                </c:pt>
                <c:pt idx="17">
                  <c:v>15.9</c:v>
                </c:pt>
                <c:pt idx="18">
                  <c:v>19.600000000000001</c:v>
                </c:pt>
                <c:pt idx="19">
                  <c:v>18.7</c:v>
                </c:pt>
                <c:pt idx="20">
                  <c:v>17.899999999999999</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layout>
                <c:manualLayout>
                  <c:x val="0"/>
                  <c:y val="-1.9306062449100561E-2"/>
                </c:manualLayout>
              </c:layout>
              <c:dLblPos val="ctr"/>
              <c:showLegendKey val="0"/>
              <c:showVal val="1"/>
              <c:showCatName val="0"/>
              <c:showSerName val="0"/>
              <c:showPercent val="0"/>
              <c:showBubbleSize val="0"/>
            </c:dLbl>
            <c:dLbl>
              <c:idx val="1"/>
              <c:layout>
                <c:manualLayout>
                  <c:x val="4.1269843848884095E-3"/>
                  <c:y val="-1.9306062449100481E-2"/>
                </c:manualLayout>
              </c:layout>
              <c:dLblPos val="ctr"/>
              <c:showLegendKey val="0"/>
              <c:showVal val="1"/>
              <c:showCatName val="0"/>
              <c:showSerName val="0"/>
              <c:showPercent val="0"/>
              <c:showBubbleSize val="0"/>
            </c:dLbl>
            <c:dLbl>
              <c:idx val="2"/>
              <c:delete val="1"/>
            </c:dLbl>
            <c:dLbl>
              <c:idx val="3"/>
              <c:delete val="1"/>
            </c:dLbl>
            <c:dLbl>
              <c:idx val="4"/>
              <c:layout>
                <c:manualLayout>
                  <c:x val="0"/>
                  <c:y val="-1.7550965862818613E-2"/>
                </c:manualLayout>
              </c:layout>
              <c:dLblPos val="ctr"/>
              <c:showLegendKey val="0"/>
              <c:showVal val="1"/>
              <c:showCatName val="0"/>
              <c:showSerName val="0"/>
              <c:showPercent val="0"/>
              <c:showBubbleSize val="0"/>
            </c:dLbl>
            <c:dLbl>
              <c:idx val="5"/>
              <c:layout>
                <c:manualLayout>
                  <c:x val="0"/>
                  <c:y val="-2.1061159035382328E-2"/>
                </c:manualLayout>
              </c:layout>
              <c:dLblPos val="ctr"/>
              <c:showLegendKey val="0"/>
              <c:showVal val="1"/>
              <c:showCatName val="0"/>
              <c:showSerName val="0"/>
              <c:showPercent val="0"/>
              <c:showBubbleSize val="0"/>
            </c:dLbl>
            <c:dLbl>
              <c:idx val="6"/>
              <c:layout>
                <c:manualLayout>
                  <c:x val="0"/>
                  <c:y val="-1.7550246188363108E-2"/>
                </c:manualLayout>
              </c:layout>
              <c:dLblPos val="ctr"/>
              <c:showLegendKey val="0"/>
              <c:showVal val="1"/>
              <c:showCatName val="0"/>
              <c:showSerName val="0"/>
              <c:showPercent val="0"/>
              <c:showBubbleSize val="0"/>
            </c:dLbl>
            <c:dLbl>
              <c:idx val="7"/>
              <c:delete val="1"/>
            </c:dLbl>
            <c:dLbl>
              <c:idx val="8"/>
              <c:layout>
                <c:manualLayout>
                  <c:x val="4.1269843848884095E-3"/>
                  <c:y val="-1.9306062449100481E-2"/>
                </c:manualLayout>
              </c:layout>
              <c:dLblPos val="ctr"/>
              <c:showLegendKey val="0"/>
              <c:showVal val="1"/>
              <c:showCatName val="0"/>
              <c:showSerName val="0"/>
              <c:showPercent val="0"/>
              <c:showBubbleSize val="0"/>
            </c:dLbl>
            <c:dLbl>
              <c:idx val="9"/>
              <c:layout>
                <c:manualLayout>
                  <c:x val="4.1269843848884095E-3"/>
                  <c:y val="-1.9306062449100481E-2"/>
                </c:manualLayout>
              </c:layout>
              <c:dLblPos val="ctr"/>
              <c:showLegendKey val="0"/>
              <c:showVal val="1"/>
              <c:showCatName val="0"/>
              <c:showSerName val="0"/>
              <c:showPercent val="0"/>
              <c:showBubbleSize val="0"/>
            </c:dLbl>
            <c:dLbl>
              <c:idx val="10"/>
              <c:delete val="1"/>
            </c:dLbl>
            <c:dLbl>
              <c:idx val="11"/>
              <c:layout>
                <c:manualLayout>
                  <c:x val="2.0634921924442082E-3"/>
                  <c:y val="-2.1061159035382328E-2"/>
                </c:manualLayout>
              </c:layout>
              <c:dLblPos val="ctr"/>
              <c:showLegendKey val="0"/>
              <c:showVal val="1"/>
              <c:showCatName val="0"/>
              <c:showSerName val="0"/>
              <c:showPercent val="0"/>
              <c:showBubbleSize val="0"/>
            </c:dLbl>
            <c:dLbl>
              <c:idx val="12"/>
              <c:layout>
                <c:manualLayout>
                  <c:x val="2.0634921924442082E-3"/>
                  <c:y val="-1.9306062449100481E-2"/>
                </c:manualLayout>
              </c:layout>
              <c:dLblPos val="ctr"/>
              <c:showLegendKey val="0"/>
              <c:showVal val="1"/>
              <c:showCatName val="0"/>
              <c:showSerName val="0"/>
              <c:showPercent val="0"/>
              <c:showBubbleSize val="0"/>
            </c:dLbl>
            <c:dLbl>
              <c:idx val="13"/>
              <c:layout>
                <c:manualLayout>
                  <c:x val="0"/>
                  <c:y val="-1.9306062449100481E-2"/>
                </c:manualLayout>
              </c:layout>
              <c:dLblPos val="ctr"/>
              <c:showLegendKey val="0"/>
              <c:showVal val="1"/>
              <c:showCatName val="0"/>
              <c:showSerName val="0"/>
              <c:showPercent val="0"/>
              <c:showBubbleSize val="0"/>
            </c:dLbl>
            <c:dLbl>
              <c:idx val="14"/>
              <c:layout>
                <c:manualLayout>
                  <c:x val="0"/>
                  <c:y val="-1.9306062449100481E-2"/>
                </c:manualLayout>
              </c:layout>
              <c:dLblPos val="ctr"/>
              <c:showLegendKey val="0"/>
              <c:showVal val="1"/>
              <c:showCatName val="0"/>
              <c:showSerName val="0"/>
              <c:showPercent val="0"/>
              <c:showBubbleSize val="0"/>
            </c:dLbl>
            <c:dLbl>
              <c:idx val="15"/>
              <c:layout>
                <c:manualLayout>
                  <c:x val="0"/>
                  <c:y val="-1.9306062449100481E-2"/>
                </c:manualLayout>
              </c:layout>
              <c:dLblPos val="ctr"/>
              <c:showLegendKey val="0"/>
              <c:showVal val="1"/>
              <c:showCatName val="0"/>
              <c:showSerName val="0"/>
              <c:showPercent val="0"/>
              <c:showBubbleSize val="0"/>
            </c:dLbl>
            <c:dLbl>
              <c:idx val="16"/>
              <c:delete val="1"/>
            </c:dLbl>
            <c:dLbl>
              <c:idx val="17"/>
              <c:layout>
                <c:manualLayout>
                  <c:x val="0"/>
                  <c:y val="-2.281625562166489E-2"/>
                </c:manualLayout>
              </c:layout>
              <c:dLblPos val="ctr"/>
              <c:showLegendKey val="0"/>
              <c:showVal val="1"/>
              <c:showCatName val="0"/>
              <c:showSerName val="0"/>
              <c:showPercent val="0"/>
              <c:showBubbleSize val="0"/>
            </c:dLbl>
            <c:dLbl>
              <c:idx val="18"/>
              <c:layout>
                <c:manualLayout>
                  <c:x val="0"/>
                  <c:y val="-2.1061159035382328E-2"/>
                </c:manualLayout>
              </c:layout>
              <c:dLblPos val="ctr"/>
              <c:showLegendKey val="0"/>
              <c:showVal val="1"/>
              <c:showCatName val="0"/>
              <c:showSerName val="0"/>
              <c:showPercent val="0"/>
              <c:showBubbleSize val="0"/>
            </c:dLbl>
            <c:dLbl>
              <c:idx val="19"/>
              <c:layout>
                <c:manualLayout>
                  <c:x val="2.0634921924442082E-3"/>
                  <c:y val="-1.9306062449100363E-2"/>
                </c:manualLayout>
              </c:layout>
              <c:dLblPos val="ctr"/>
              <c:showLegendKey val="0"/>
              <c:showVal val="1"/>
              <c:showCatName val="0"/>
              <c:showSerName val="0"/>
              <c:showPercent val="0"/>
              <c:showBubbleSize val="0"/>
            </c:dLbl>
            <c:dLbl>
              <c:idx val="20"/>
              <c:layout>
                <c:manualLayout>
                  <c:x val="0"/>
                  <c:y val="-1.930606244910048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3</c:v>
                </c:pt>
                <c:pt idx="1">
                  <c:v>2.1</c:v>
                </c:pt>
                <c:pt idx="2">
                  <c:v>0</c:v>
                </c:pt>
                <c:pt idx="3">
                  <c:v>0</c:v>
                </c:pt>
                <c:pt idx="4">
                  <c:v>0.9</c:v>
                </c:pt>
                <c:pt idx="5">
                  <c:v>1.4</c:v>
                </c:pt>
                <c:pt idx="6">
                  <c:v>3.4</c:v>
                </c:pt>
                <c:pt idx="7">
                  <c:v>0</c:v>
                </c:pt>
                <c:pt idx="8">
                  <c:v>4.5</c:v>
                </c:pt>
                <c:pt idx="9">
                  <c:v>4</c:v>
                </c:pt>
                <c:pt idx="10">
                  <c:v>0</c:v>
                </c:pt>
                <c:pt idx="11">
                  <c:v>5.3</c:v>
                </c:pt>
                <c:pt idx="12">
                  <c:v>4.0999999999999996</c:v>
                </c:pt>
                <c:pt idx="13">
                  <c:v>1.7</c:v>
                </c:pt>
                <c:pt idx="14">
                  <c:v>3.5</c:v>
                </c:pt>
                <c:pt idx="15">
                  <c:v>4.8</c:v>
                </c:pt>
                <c:pt idx="16">
                  <c:v>0</c:v>
                </c:pt>
                <c:pt idx="17">
                  <c:v>4</c:v>
                </c:pt>
                <c:pt idx="18">
                  <c:v>3.9</c:v>
                </c:pt>
                <c:pt idx="19">
                  <c:v>2.4</c:v>
                </c:pt>
                <c:pt idx="20">
                  <c:v>1.5</c:v>
                </c:pt>
              </c:numCache>
            </c:numRef>
          </c:val>
        </c:ser>
        <c:dLbls>
          <c:showLegendKey val="0"/>
          <c:showVal val="0"/>
          <c:showCatName val="0"/>
          <c:showSerName val="0"/>
          <c:showPercent val="0"/>
          <c:showBubbleSize val="0"/>
        </c:dLbls>
        <c:gapWidth val="70"/>
        <c:overlap val="100"/>
        <c:axId val="237785472"/>
        <c:axId val="237787008"/>
      </c:barChart>
      <c:catAx>
        <c:axId val="23778547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7787008"/>
        <c:crosses val="autoZero"/>
        <c:auto val="1"/>
        <c:lblAlgn val="ctr"/>
        <c:lblOffset val="100"/>
        <c:noMultiLvlLbl val="0"/>
      </c:catAx>
      <c:valAx>
        <c:axId val="23778700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7785472"/>
        <c:crosses val="autoZero"/>
        <c:crossBetween val="between"/>
      </c:valAx>
    </c:plotArea>
    <c:legend>
      <c:legendPos val="r"/>
      <c:layout>
        <c:manualLayout>
          <c:xMode val="edge"/>
          <c:yMode val="edge"/>
          <c:x val="1.5873454310302414E-2"/>
          <c:y val="1.4755659492010661E-3"/>
          <c:w val="0.98315121406978878"/>
          <c:h val="6.997031122837552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8"/>
              <c:layout>
                <c:manualLayout>
                  <c:x val="2.9180696952553795E-2"/>
                  <c:y val="3.6268928497719816E-2"/>
                </c:manualLayout>
              </c:layout>
              <c:dLblPos val="outEnd"/>
              <c:showLegendKey val="0"/>
              <c:showVal val="1"/>
              <c:showCatName val="0"/>
              <c:showSerName val="0"/>
              <c:showPercent val="0"/>
              <c:showBubbleSize val="0"/>
            </c:dLbl>
            <c:spPr>
              <a:solidFill>
                <a:sysClr val="window" lastClr="FFFFFF"/>
              </a:solidFill>
            </c:spPr>
            <c:txPr>
              <a:bodyPr/>
              <a:lstStyle/>
              <a:p>
                <a:pPr>
                  <a:defRPr sz="800" b="1">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Sheet1!$B$1:$J$1</c:f>
              <c:strCache>
                <c:ptCount val="9"/>
                <c:pt idx="0">
                  <c:v>共働きや長時間労働等により、多忙な保護者が増えたこと</c:v>
                </c:pt>
                <c:pt idx="1">
                  <c:v>しつけや教育の仕方が分からない保護者が増えたこと</c:v>
                </c:pt>
                <c:pt idx="2">
                  <c:v>子どもにスマートフォンや携帯ゲーム機などを与え、親子のふれあいの時間を取らない保護者が増えたこと</c:v>
                </c:pt>
                <c:pt idx="3">
                  <c:v>過保護や甘やかし・過干渉の保護者が増えたこと</c:v>
                </c:pt>
                <c:pt idx="4">
                  <c:v>しつけや教育を保育所・幼稚園などに任せきりにする保護者が増えたこと</c:v>
                </c:pt>
                <c:pt idx="5">
                  <c:v>しつけや教育に無関心な保護者が増えたこと</c:v>
                </c:pt>
                <c:pt idx="6">
                  <c:v>子どもが家庭以外の大人とふれあう機会が減ったこと</c:v>
                </c:pt>
                <c:pt idx="7">
                  <c:v>子どもとの関わり方が分からない保護者が増えたこと</c:v>
                </c:pt>
                <c:pt idx="8">
                  <c:v>その他</c:v>
                </c:pt>
              </c:strCache>
            </c:strRef>
          </c:cat>
          <c:val>
            <c:numRef>
              <c:f>Sheet1!$B$2:$J$2</c:f>
              <c:numCache>
                <c:formatCode>0.0</c:formatCode>
                <c:ptCount val="9"/>
                <c:pt idx="0">
                  <c:v>50.9</c:v>
                </c:pt>
                <c:pt idx="1">
                  <c:v>44.7</c:v>
                </c:pt>
                <c:pt idx="2">
                  <c:v>43.3</c:v>
                </c:pt>
                <c:pt idx="3">
                  <c:v>40.4</c:v>
                </c:pt>
                <c:pt idx="4">
                  <c:v>39</c:v>
                </c:pt>
                <c:pt idx="5">
                  <c:v>24</c:v>
                </c:pt>
                <c:pt idx="6">
                  <c:v>23.1</c:v>
                </c:pt>
                <c:pt idx="7">
                  <c:v>12.1</c:v>
                </c:pt>
                <c:pt idx="8">
                  <c:v>2.9</c:v>
                </c:pt>
              </c:numCache>
            </c:numRef>
          </c:val>
        </c:ser>
        <c:dLbls>
          <c:showLegendKey val="0"/>
          <c:showVal val="1"/>
          <c:showCatName val="0"/>
          <c:showSerName val="0"/>
          <c:showPercent val="0"/>
          <c:showBubbleSize val="0"/>
        </c:dLbls>
        <c:gapWidth val="100"/>
        <c:axId val="237857408"/>
        <c:axId val="23787968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3.1390092578961491E-2"/>
                  <c:y val="-3.4002348768357851E-2"/>
                </c:manualLayout>
              </c:layout>
              <c:dLblPos val="r"/>
              <c:showLegendKey val="0"/>
              <c:showVal val="1"/>
              <c:showCatName val="0"/>
              <c:showSerName val="0"/>
              <c:showPercent val="0"/>
              <c:showBubbleSize val="0"/>
            </c:dLbl>
            <c:dLbl>
              <c:idx val="3"/>
              <c:layout>
                <c:manualLayout>
                  <c:x val="-3.7643099068795045E-2"/>
                  <c:y val="-2.7676314947488116E-2"/>
                </c:manualLayout>
              </c:layout>
              <c:dLblPos val="r"/>
              <c:showLegendKey val="0"/>
              <c:showVal val="1"/>
              <c:showCatName val="0"/>
              <c:showSerName val="0"/>
              <c:showPercent val="0"/>
              <c:showBubbleSize val="0"/>
            </c:dLbl>
            <c:dLbl>
              <c:idx val="4"/>
              <c:layout>
                <c:manualLayout>
                  <c:x val="-2.9305757082350496E-2"/>
                  <c:y val="-2.7676314947488116E-2"/>
                </c:manualLayout>
              </c:layout>
              <c:dLblPos val="r"/>
              <c:showLegendKey val="0"/>
              <c:showVal val="1"/>
              <c:showCatName val="0"/>
              <c:showSerName val="0"/>
              <c:showPercent val="0"/>
              <c:showBubbleSize val="0"/>
            </c:dLbl>
            <c:dLbl>
              <c:idx val="5"/>
              <c:layout>
                <c:manualLayout>
                  <c:x val="-2.5137086089128482E-2"/>
                  <c:y val="-3.1893670828068522E-2"/>
                </c:manualLayout>
              </c:layout>
              <c:dLblPos val="r"/>
              <c:showLegendKey val="0"/>
              <c:showVal val="1"/>
              <c:showCatName val="0"/>
              <c:showSerName val="0"/>
              <c:showPercent val="0"/>
              <c:showBubbleSize val="0"/>
            </c:dLbl>
            <c:dLbl>
              <c:idx val="8"/>
              <c:layout>
                <c:manualLayout>
                  <c:x val="-1.0776014517478795E-2"/>
                  <c:y val="-2.7676314947488036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750" b="1">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Sheet1!$B$1:$J$1</c:f>
              <c:strCache>
                <c:ptCount val="9"/>
                <c:pt idx="0">
                  <c:v>共働きや長時間労働等により、多忙な保護者が増えたこと</c:v>
                </c:pt>
                <c:pt idx="1">
                  <c:v>しつけや教育の仕方が分からない保護者が増えたこと</c:v>
                </c:pt>
                <c:pt idx="2">
                  <c:v>子どもにスマートフォンや携帯ゲーム機などを与え、親子のふれあいの時間を取らない保護者が増えたこと</c:v>
                </c:pt>
                <c:pt idx="3">
                  <c:v>過保護や甘やかし・過干渉の保護者が増えたこと</c:v>
                </c:pt>
                <c:pt idx="4">
                  <c:v>しつけや教育を保育所・幼稚園などに任せきりにする保護者が増えたこと</c:v>
                </c:pt>
                <c:pt idx="5">
                  <c:v>しつけや教育に無関心な保護者が増えたこと</c:v>
                </c:pt>
                <c:pt idx="6">
                  <c:v>子どもが家庭以外の大人とふれあう機会が減ったこと</c:v>
                </c:pt>
                <c:pt idx="7">
                  <c:v>子どもとの関わり方が分からない保護者が増えたこと</c:v>
                </c:pt>
                <c:pt idx="8">
                  <c:v>その他</c:v>
                </c:pt>
              </c:strCache>
            </c:strRef>
          </c:cat>
          <c:val>
            <c:numRef>
              <c:f>Sheet1!$B$3:$J$3</c:f>
              <c:numCache>
                <c:formatCode>0.0</c:formatCode>
                <c:ptCount val="9"/>
                <c:pt idx="0">
                  <c:v>48.6</c:v>
                </c:pt>
                <c:pt idx="1">
                  <c:v>49.6</c:v>
                </c:pt>
                <c:pt idx="2">
                  <c:v>38.4</c:v>
                </c:pt>
                <c:pt idx="3">
                  <c:v>44.5</c:v>
                </c:pt>
                <c:pt idx="4">
                  <c:v>40.700000000000003</c:v>
                </c:pt>
                <c:pt idx="5">
                  <c:v>24.6</c:v>
                </c:pt>
                <c:pt idx="6">
                  <c:v>22</c:v>
                </c:pt>
                <c:pt idx="7">
                  <c:v>11</c:v>
                </c:pt>
                <c:pt idx="8">
                  <c:v>2.2999999999999998</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4.0644542183913675E-2"/>
                  <c:y val="2.9099755576000412E-2"/>
                </c:manualLayout>
              </c:layout>
              <c:dLblPos val="r"/>
              <c:showLegendKey val="0"/>
              <c:showVal val="1"/>
              <c:showCatName val="0"/>
              <c:showSerName val="0"/>
              <c:showPercent val="0"/>
              <c:showBubbleSize val="0"/>
            </c:dLbl>
            <c:dLbl>
              <c:idx val="3"/>
              <c:layout>
                <c:manualLayout>
                  <c:x val="-4.2728877680525197E-2"/>
                  <c:y val="2.9099755576000412E-2"/>
                </c:manualLayout>
              </c:layout>
              <c:dLblPos val="r"/>
              <c:showLegendKey val="0"/>
              <c:showVal val="1"/>
              <c:showCatName val="0"/>
              <c:showSerName val="0"/>
              <c:showPercent val="0"/>
              <c:showBubbleSize val="0"/>
            </c:dLbl>
            <c:dLbl>
              <c:idx val="4"/>
              <c:layout>
                <c:manualLayout>
                  <c:x val="-4.0644542183913675E-2"/>
                  <c:y val="3.1208433516290202E-2"/>
                </c:manualLayout>
              </c:layout>
              <c:dLblPos val="r"/>
              <c:showLegendKey val="0"/>
              <c:showVal val="1"/>
              <c:showCatName val="0"/>
              <c:showSerName val="0"/>
              <c:showPercent val="0"/>
              <c:showBubbleSize val="0"/>
            </c:dLbl>
            <c:dLbl>
              <c:idx val="5"/>
              <c:layout>
                <c:manualLayout>
                  <c:x val="-3.6475871190692254E-2"/>
                  <c:y val="3.1208433516290202E-2"/>
                </c:manualLayout>
              </c:layout>
              <c:dLblPos val="r"/>
              <c:showLegendKey val="0"/>
              <c:showVal val="1"/>
              <c:showCatName val="0"/>
              <c:showSerName val="0"/>
              <c:showPercent val="0"/>
              <c:showBubbleSize val="0"/>
            </c:dLbl>
            <c:dLbl>
              <c:idx val="8"/>
              <c:layout>
                <c:manualLayout>
                  <c:x val="-9.3795097347498073E-3"/>
                  <c:y val="-4.6812650274435534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Sheet1!$B$1:$J$1</c:f>
              <c:strCache>
                <c:ptCount val="9"/>
                <c:pt idx="0">
                  <c:v>共働きや長時間労働等により、多忙な保護者が増えたこと</c:v>
                </c:pt>
                <c:pt idx="1">
                  <c:v>しつけや教育の仕方が分からない保護者が増えたこと</c:v>
                </c:pt>
                <c:pt idx="2">
                  <c:v>子どもにスマートフォンや携帯ゲーム機などを与え、親子のふれあいの時間を取らない保護者が増えたこと</c:v>
                </c:pt>
                <c:pt idx="3">
                  <c:v>過保護や甘やかし・過干渉の保護者が増えたこと</c:v>
                </c:pt>
                <c:pt idx="4">
                  <c:v>しつけや教育を保育所・幼稚園などに任せきりにする保護者が増えたこと</c:v>
                </c:pt>
                <c:pt idx="5">
                  <c:v>しつけや教育に無関心な保護者が増えたこと</c:v>
                </c:pt>
                <c:pt idx="6">
                  <c:v>子どもが家庭以外の大人とふれあう機会が減ったこと</c:v>
                </c:pt>
                <c:pt idx="7">
                  <c:v>子どもとの関わり方が分からない保護者が増えたこと</c:v>
                </c:pt>
                <c:pt idx="8">
                  <c:v>その他</c:v>
                </c:pt>
              </c:strCache>
            </c:strRef>
          </c:cat>
          <c:val>
            <c:numRef>
              <c:f>Sheet1!$B$4:$J$4</c:f>
              <c:numCache>
                <c:formatCode>0.0</c:formatCode>
                <c:ptCount val="9"/>
                <c:pt idx="0">
                  <c:v>52.6</c:v>
                </c:pt>
                <c:pt idx="1">
                  <c:v>40.800000000000004</c:v>
                </c:pt>
                <c:pt idx="2">
                  <c:v>47.2</c:v>
                </c:pt>
                <c:pt idx="3">
                  <c:v>37.300000000000004</c:v>
                </c:pt>
                <c:pt idx="4">
                  <c:v>37.700000000000003</c:v>
                </c:pt>
                <c:pt idx="5">
                  <c:v>23.6</c:v>
                </c:pt>
                <c:pt idx="6">
                  <c:v>24</c:v>
                </c:pt>
                <c:pt idx="7">
                  <c:v>12.8</c:v>
                </c:pt>
                <c:pt idx="8">
                  <c:v>3.4</c:v>
                </c:pt>
              </c:numCache>
            </c:numRef>
          </c:val>
          <c:smooth val="0"/>
        </c:ser>
        <c:dLbls>
          <c:showLegendKey val="0"/>
          <c:showVal val="0"/>
          <c:showCatName val="0"/>
          <c:showSerName val="0"/>
          <c:showPercent val="0"/>
          <c:showBubbleSize val="0"/>
        </c:dLbls>
        <c:marker val="1"/>
        <c:smooth val="0"/>
        <c:axId val="237857408"/>
        <c:axId val="237879680"/>
      </c:lineChart>
      <c:catAx>
        <c:axId val="237857408"/>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7879680"/>
        <c:crosses val="autoZero"/>
        <c:auto val="1"/>
        <c:lblAlgn val="ctr"/>
        <c:lblOffset val="100"/>
        <c:noMultiLvlLbl val="0"/>
      </c:catAx>
      <c:valAx>
        <c:axId val="237879680"/>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7857408"/>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2"/>
              <c:layout>
                <c:manualLayout>
                  <c:x val="0"/>
                  <c:y val="3.278699527924649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Sheet1!$B$2:$B$10</c:f>
              <c:numCache>
                <c:formatCode>0.0_);[Red]\(0.0\)</c:formatCode>
                <c:ptCount val="9"/>
                <c:pt idx="0">
                  <c:v>51.6</c:v>
                </c:pt>
                <c:pt idx="1">
                  <c:v>38.700000000000003</c:v>
                </c:pt>
                <c:pt idx="2">
                  <c:v>58.1</c:v>
                </c:pt>
                <c:pt idx="3">
                  <c:v>35.5</c:v>
                </c:pt>
                <c:pt idx="4">
                  <c:v>32.300000000000004</c:v>
                </c:pt>
                <c:pt idx="5">
                  <c:v>19.399999999999999</c:v>
                </c:pt>
                <c:pt idx="6">
                  <c:v>12.9</c:v>
                </c:pt>
                <c:pt idx="7">
                  <c:v>16.100000000000001</c:v>
                </c:pt>
                <c:pt idx="8">
                  <c:v>3.2</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Sheet1!$C$2:$C$10</c:f>
              <c:numCache>
                <c:formatCode>0.0_);[Red]\(0.0\)</c:formatCode>
                <c:ptCount val="9"/>
                <c:pt idx="0">
                  <c:v>48.2</c:v>
                </c:pt>
                <c:pt idx="1">
                  <c:v>40</c:v>
                </c:pt>
                <c:pt idx="2">
                  <c:v>43.6</c:v>
                </c:pt>
                <c:pt idx="3">
                  <c:v>42.7</c:v>
                </c:pt>
                <c:pt idx="4">
                  <c:v>35.5</c:v>
                </c:pt>
                <c:pt idx="5">
                  <c:v>24.5</c:v>
                </c:pt>
                <c:pt idx="6">
                  <c:v>16.399999999999999</c:v>
                </c:pt>
                <c:pt idx="7">
                  <c:v>15.5</c:v>
                </c:pt>
                <c:pt idx="8">
                  <c:v>4.5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Sheet1!$D$2:$D$10</c:f>
              <c:numCache>
                <c:formatCode>0.0_);[Red]\(0.0\)</c:formatCode>
                <c:ptCount val="9"/>
                <c:pt idx="0">
                  <c:v>62.3</c:v>
                </c:pt>
                <c:pt idx="1">
                  <c:v>37.700000000000003</c:v>
                </c:pt>
                <c:pt idx="2">
                  <c:v>44.2</c:v>
                </c:pt>
                <c:pt idx="3">
                  <c:v>40.6</c:v>
                </c:pt>
                <c:pt idx="4">
                  <c:v>34.1</c:v>
                </c:pt>
                <c:pt idx="5">
                  <c:v>20.3</c:v>
                </c:pt>
                <c:pt idx="6">
                  <c:v>26.1</c:v>
                </c:pt>
                <c:pt idx="7">
                  <c:v>12.3</c:v>
                </c:pt>
                <c:pt idx="8">
                  <c:v>5.0999999999999996</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Sheet1!$E$2:$E$10</c:f>
              <c:numCache>
                <c:formatCode>0.0_);[Red]\(0.0\)</c:formatCode>
                <c:ptCount val="9"/>
                <c:pt idx="0">
                  <c:v>46.8</c:v>
                </c:pt>
                <c:pt idx="1">
                  <c:v>45.3</c:v>
                </c:pt>
                <c:pt idx="2">
                  <c:v>41.4</c:v>
                </c:pt>
                <c:pt idx="3">
                  <c:v>45.8</c:v>
                </c:pt>
                <c:pt idx="4">
                  <c:v>41.4</c:v>
                </c:pt>
                <c:pt idx="5">
                  <c:v>23.2</c:v>
                </c:pt>
                <c:pt idx="6">
                  <c:v>24.6</c:v>
                </c:pt>
                <c:pt idx="7">
                  <c:v>10.3</c:v>
                </c:pt>
                <c:pt idx="8">
                  <c:v>3.4</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Sheet1!$F$2:$F$10</c:f>
              <c:numCache>
                <c:formatCode>0.0_);[Red]\(0.0\)</c:formatCode>
                <c:ptCount val="9"/>
                <c:pt idx="0">
                  <c:v>51.2</c:v>
                </c:pt>
                <c:pt idx="1">
                  <c:v>53.6</c:v>
                </c:pt>
                <c:pt idx="2">
                  <c:v>41.7</c:v>
                </c:pt>
                <c:pt idx="3">
                  <c:v>31.8</c:v>
                </c:pt>
                <c:pt idx="4">
                  <c:v>36.5</c:v>
                </c:pt>
                <c:pt idx="5">
                  <c:v>23.7</c:v>
                </c:pt>
                <c:pt idx="6">
                  <c:v>26.1</c:v>
                </c:pt>
                <c:pt idx="7">
                  <c:v>15.2</c:v>
                </c:pt>
                <c:pt idx="8">
                  <c:v>1.9000000000000001</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2.1296986476413825E-3"/>
                  <c:y val="1.0326578030205408E-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Sheet1!$G$2:$G$10</c:f>
              <c:numCache>
                <c:formatCode>0.0_);[Red]\(0.0\)</c:formatCode>
                <c:ptCount val="9"/>
                <c:pt idx="0">
                  <c:v>51.9</c:v>
                </c:pt>
                <c:pt idx="1">
                  <c:v>40.700000000000003</c:v>
                </c:pt>
                <c:pt idx="2">
                  <c:v>42.6</c:v>
                </c:pt>
                <c:pt idx="3">
                  <c:v>40.700000000000003</c:v>
                </c:pt>
                <c:pt idx="4">
                  <c:v>45.7</c:v>
                </c:pt>
                <c:pt idx="5">
                  <c:v>25.3</c:v>
                </c:pt>
                <c:pt idx="6">
                  <c:v>25.3</c:v>
                </c:pt>
                <c:pt idx="7">
                  <c:v>6.8</c:v>
                </c:pt>
                <c:pt idx="8">
                  <c:v>1.2</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共働きや長時間労働等によ
り、多忙な保護者が増えたこ
と</c:v>
                </c:pt>
                <c:pt idx="1">
                  <c:v>しつけや教育の仕方が分から
ない保護者が増えたこと</c:v>
                </c:pt>
                <c:pt idx="2">
                  <c:v>子どもにスマートフォンや携
帯ゲーム機などを与え、親子
のふれあいの時間を取らない
保護者が増えたこと</c:v>
                </c:pt>
                <c:pt idx="3">
                  <c:v>過保護や甘やかし・過干渉の
保護者が増えたこと</c:v>
                </c:pt>
                <c:pt idx="4">
                  <c:v>しつけや教育を保育所・幼稚
園などに任せきりにする保護
者が増えたこと</c:v>
                </c:pt>
                <c:pt idx="5">
                  <c:v>しつけや教育に無関心な保護
者が増えたこと</c:v>
                </c:pt>
                <c:pt idx="6">
                  <c:v>子どもが家庭以外の大人とふ
れあう機会が減ったこと</c:v>
                </c:pt>
                <c:pt idx="7">
                  <c:v>子どもとの関わり方が分から
ない保護者が増えたこと</c:v>
                </c:pt>
                <c:pt idx="8">
                  <c:v>その他　　　　　　　　　　</c:v>
                </c:pt>
              </c:strCache>
            </c:strRef>
          </c:cat>
          <c:val>
            <c:numRef>
              <c:f>Sheet1!$H$2:$H$10</c:f>
              <c:numCache>
                <c:formatCode>0.0_);[Red]\(0.0\)</c:formatCode>
                <c:ptCount val="9"/>
                <c:pt idx="0">
                  <c:v>39.300000000000004</c:v>
                </c:pt>
                <c:pt idx="1">
                  <c:v>47.5</c:v>
                </c:pt>
                <c:pt idx="2">
                  <c:v>49.2</c:v>
                </c:pt>
                <c:pt idx="3">
                  <c:v>49.2</c:v>
                </c:pt>
                <c:pt idx="4">
                  <c:v>42.6</c:v>
                </c:pt>
                <c:pt idx="5">
                  <c:v>34.4</c:v>
                </c:pt>
                <c:pt idx="6">
                  <c:v>13.1</c:v>
                </c:pt>
                <c:pt idx="7">
                  <c:v>11.5</c:v>
                </c:pt>
                <c:pt idx="8">
                  <c:v>1.6</c:v>
                </c:pt>
              </c:numCache>
            </c:numRef>
          </c:val>
        </c:ser>
        <c:dLbls>
          <c:showLegendKey val="0"/>
          <c:showVal val="1"/>
          <c:showCatName val="0"/>
          <c:showSerName val="0"/>
          <c:showPercent val="0"/>
          <c:showBubbleSize val="0"/>
        </c:dLbls>
        <c:gapWidth val="100"/>
        <c:axId val="238023808"/>
        <c:axId val="238025344"/>
      </c:barChart>
      <c:catAx>
        <c:axId val="23802380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8025344"/>
        <c:crosses val="autoZero"/>
        <c:auto val="1"/>
        <c:lblAlgn val="ctr"/>
        <c:lblOffset val="100"/>
        <c:noMultiLvlLbl val="0"/>
      </c:catAx>
      <c:valAx>
        <c:axId val="238025344"/>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802380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3920695900721"/>
          <c:y val="4.5945260968926364E-2"/>
          <c:w val="0.72924973399728565"/>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Sheet1!$B$2:$B$12</c:f>
              <c:numCache>
                <c:formatCode>0.0_);[Red]\(0.0\)</c:formatCode>
                <c:ptCount val="11"/>
                <c:pt idx="0">
                  <c:v>47.1</c:v>
                </c:pt>
                <c:pt idx="1">
                  <c:v>43.7</c:v>
                </c:pt>
                <c:pt idx="2">
                  <c:v>31</c:v>
                </c:pt>
                <c:pt idx="3">
                  <c:v>29.9</c:v>
                </c:pt>
                <c:pt idx="4">
                  <c:v>20.7</c:v>
                </c:pt>
                <c:pt idx="5">
                  <c:v>23</c:v>
                </c:pt>
                <c:pt idx="6">
                  <c:v>16.100000000000001</c:v>
                </c:pt>
                <c:pt idx="7">
                  <c:v>12.6</c:v>
                </c:pt>
                <c:pt idx="8">
                  <c:v>35.6</c:v>
                </c:pt>
                <c:pt idx="9">
                  <c:v>11.5</c:v>
                </c:pt>
                <c:pt idx="10">
                  <c:v>1.1000000000000001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Sheet1!$C$2:$C$12</c:f>
              <c:numCache>
                <c:formatCode>0.0_);[Red]\(0.0\)</c:formatCode>
                <c:ptCount val="11"/>
                <c:pt idx="0">
                  <c:v>41.6</c:v>
                </c:pt>
                <c:pt idx="1">
                  <c:v>44.1</c:v>
                </c:pt>
                <c:pt idx="2">
                  <c:v>33.200000000000003</c:v>
                </c:pt>
                <c:pt idx="3">
                  <c:v>33.200000000000003</c:v>
                </c:pt>
                <c:pt idx="4">
                  <c:v>19.8</c:v>
                </c:pt>
                <c:pt idx="5">
                  <c:v>22.3</c:v>
                </c:pt>
                <c:pt idx="6">
                  <c:v>21.3</c:v>
                </c:pt>
                <c:pt idx="7">
                  <c:v>15.8</c:v>
                </c:pt>
                <c:pt idx="8">
                  <c:v>21.8</c:v>
                </c:pt>
                <c:pt idx="9">
                  <c:v>22.8</c:v>
                </c:pt>
                <c:pt idx="10">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Sheet1!$D$2:$D$12</c:f>
              <c:numCache>
                <c:formatCode>0.0_);[Red]\(0.0\)</c:formatCode>
                <c:ptCount val="11"/>
                <c:pt idx="0">
                  <c:v>37.9</c:v>
                </c:pt>
                <c:pt idx="1">
                  <c:v>43.9</c:v>
                </c:pt>
                <c:pt idx="2">
                  <c:v>29.6</c:v>
                </c:pt>
                <c:pt idx="3">
                  <c:v>32</c:v>
                </c:pt>
                <c:pt idx="4">
                  <c:v>23.3</c:v>
                </c:pt>
                <c:pt idx="5">
                  <c:v>20.6</c:v>
                </c:pt>
                <c:pt idx="6">
                  <c:v>25.3</c:v>
                </c:pt>
                <c:pt idx="7">
                  <c:v>21.7</c:v>
                </c:pt>
                <c:pt idx="8">
                  <c:v>21.7</c:v>
                </c:pt>
                <c:pt idx="9">
                  <c:v>19.8</c:v>
                </c:pt>
                <c:pt idx="10">
                  <c:v>1.2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Sheet1!$E$2:$E$12</c:f>
              <c:numCache>
                <c:formatCode>0.0_);[Red]\(0.0\)</c:formatCode>
                <c:ptCount val="11"/>
                <c:pt idx="0">
                  <c:v>50.9</c:v>
                </c:pt>
                <c:pt idx="1">
                  <c:v>34.9</c:v>
                </c:pt>
                <c:pt idx="2">
                  <c:v>35.700000000000003</c:v>
                </c:pt>
                <c:pt idx="3">
                  <c:v>27.7</c:v>
                </c:pt>
                <c:pt idx="4">
                  <c:v>24.6</c:v>
                </c:pt>
                <c:pt idx="5">
                  <c:v>25.4</c:v>
                </c:pt>
                <c:pt idx="6">
                  <c:v>18.600000000000001</c:v>
                </c:pt>
                <c:pt idx="7">
                  <c:v>21.1</c:v>
                </c:pt>
                <c:pt idx="8">
                  <c:v>21.1</c:v>
                </c:pt>
                <c:pt idx="9">
                  <c:v>18</c:v>
                </c:pt>
                <c:pt idx="10">
                  <c:v>0.9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Sheet1!$F$2:$F$12</c:f>
              <c:numCache>
                <c:formatCode>0.0_);[Red]\(0.0\)</c:formatCode>
                <c:ptCount val="11"/>
                <c:pt idx="0">
                  <c:v>41.4</c:v>
                </c:pt>
                <c:pt idx="1">
                  <c:v>37.300000000000004</c:v>
                </c:pt>
                <c:pt idx="2">
                  <c:v>33.5</c:v>
                </c:pt>
                <c:pt idx="3">
                  <c:v>29.7</c:v>
                </c:pt>
                <c:pt idx="4">
                  <c:v>30.3</c:v>
                </c:pt>
                <c:pt idx="5">
                  <c:v>24.2</c:v>
                </c:pt>
                <c:pt idx="6">
                  <c:v>25.1</c:v>
                </c:pt>
                <c:pt idx="7">
                  <c:v>17.8</c:v>
                </c:pt>
                <c:pt idx="8">
                  <c:v>17.2</c:v>
                </c:pt>
                <c:pt idx="9">
                  <c:v>20.100000000000001</c:v>
                </c:pt>
                <c:pt idx="10">
                  <c:v>1.7</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Sheet1!$G$2:$G$12</c:f>
              <c:numCache>
                <c:formatCode>0.0_);[Red]\(0.0\)</c:formatCode>
                <c:ptCount val="11"/>
                <c:pt idx="0">
                  <c:v>42.1</c:v>
                </c:pt>
                <c:pt idx="1">
                  <c:v>46</c:v>
                </c:pt>
                <c:pt idx="2">
                  <c:v>31.4</c:v>
                </c:pt>
                <c:pt idx="3">
                  <c:v>24.9</c:v>
                </c:pt>
                <c:pt idx="4">
                  <c:v>34.9</c:v>
                </c:pt>
                <c:pt idx="5">
                  <c:v>22.6</c:v>
                </c:pt>
                <c:pt idx="6">
                  <c:v>14.2</c:v>
                </c:pt>
                <c:pt idx="7">
                  <c:v>24.1</c:v>
                </c:pt>
                <c:pt idx="8">
                  <c:v>16.5</c:v>
                </c:pt>
                <c:pt idx="9">
                  <c:v>19.2</c:v>
                </c:pt>
                <c:pt idx="10">
                  <c:v>1.9000000000000001</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Sheet1!$H$2:$H$12</c:f>
              <c:numCache>
                <c:formatCode>0.0_);[Red]\(0.0\)</c:formatCode>
                <c:ptCount val="11"/>
                <c:pt idx="0">
                  <c:v>46.9</c:v>
                </c:pt>
                <c:pt idx="1">
                  <c:v>52</c:v>
                </c:pt>
                <c:pt idx="2">
                  <c:v>25.5</c:v>
                </c:pt>
                <c:pt idx="3">
                  <c:v>18.399999999999999</c:v>
                </c:pt>
                <c:pt idx="4">
                  <c:v>32.700000000000003</c:v>
                </c:pt>
                <c:pt idx="5">
                  <c:v>23.5</c:v>
                </c:pt>
                <c:pt idx="6">
                  <c:v>21.4</c:v>
                </c:pt>
                <c:pt idx="7">
                  <c:v>24.5</c:v>
                </c:pt>
                <c:pt idx="8">
                  <c:v>13.3</c:v>
                </c:pt>
                <c:pt idx="9">
                  <c:v>17.3</c:v>
                </c:pt>
                <c:pt idx="10">
                  <c:v>1</c:v>
                </c:pt>
              </c:numCache>
            </c:numRef>
          </c:val>
        </c:ser>
        <c:dLbls>
          <c:showLegendKey val="0"/>
          <c:showVal val="1"/>
          <c:showCatName val="0"/>
          <c:showSerName val="0"/>
          <c:showPercent val="0"/>
          <c:showBubbleSize val="0"/>
        </c:dLbls>
        <c:gapWidth val="100"/>
        <c:axId val="223432704"/>
        <c:axId val="223434240"/>
      </c:barChart>
      <c:catAx>
        <c:axId val="22343270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3434240"/>
        <c:crosses val="autoZero"/>
        <c:auto val="1"/>
        <c:lblAlgn val="ctr"/>
        <c:lblOffset val="100"/>
        <c:noMultiLvlLbl val="0"/>
      </c:catAx>
      <c:valAx>
        <c:axId val="223434240"/>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343270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50758613979254"/>
          <c:y val="3.8354251629593647E-2"/>
          <c:w val="0.54211114444885955"/>
          <c:h val="0.93057339855473586"/>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3"/>
              <c:dLblPos val="outEnd"/>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10">
                  <c:v>防災教育の強化　　　　</c:v>
                </c:pt>
                <c:pt idx="11">
                  <c:v>地震火災・津波火災対策
の推進</c:v>
                </c:pt>
                <c:pt idx="12">
                  <c:v>その他　　　　　　　　</c:v>
                </c:pt>
              </c:strCache>
            </c:strRef>
          </c:cat>
          <c:val>
            <c:numRef>
              <c:f>Sheet1!$B$2:$N$2</c:f>
              <c:numCache>
                <c:formatCode>0.0_);[Red]\(0.0\)</c:formatCode>
                <c:ptCount val="13"/>
                <c:pt idx="0">
                  <c:v>50.9</c:v>
                </c:pt>
                <c:pt idx="1">
                  <c:v>41.9</c:v>
                </c:pt>
                <c:pt idx="2">
                  <c:v>31.9</c:v>
                </c:pt>
                <c:pt idx="3">
                  <c:v>22.1</c:v>
                </c:pt>
                <c:pt idx="4">
                  <c:v>22.3</c:v>
                </c:pt>
                <c:pt idx="5">
                  <c:v>27.6</c:v>
                </c:pt>
                <c:pt idx="6">
                  <c:v>23.9</c:v>
                </c:pt>
                <c:pt idx="7">
                  <c:v>17.5</c:v>
                </c:pt>
                <c:pt idx="8">
                  <c:v>14.8</c:v>
                </c:pt>
                <c:pt idx="10">
                  <c:v>17.899999999999999</c:v>
                </c:pt>
                <c:pt idx="11">
                  <c:v>8.7000000000000011</c:v>
                </c:pt>
                <c:pt idx="12">
                  <c:v>1.9000000000000001</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c:txPr>
                <a:bodyPr/>
                <a:lstStyle/>
                <a:p>
                  <a:pPr>
                    <a:defRPr sz="800" b="0">
                      <a:latin typeface="Arial Black" panose="020B0A04020102020204" pitchFamily="34" charset="0"/>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10">
                  <c:v>防災教育の強化　　　　</c:v>
                </c:pt>
                <c:pt idx="11">
                  <c:v>地震火災・津波火災対策
の推進</c:v>
                </c:pt>
                <c:pt idx="12">
                  <c:v>その他　　　　　　　　</c:v>
                </c:pt>
              </c:strCache>
            </c:strRef>
          </c:cat>
          <c:val>
            <c:numRef>
              <c:f>Sheet1!$B$3:$N$3</c:f>
              <c:numCache>
                <c:formatCode>0.0_);[Red]\(0.0\)</c:formatCode>
                <c:ptCount val="13"/>
                <c:pt idx="1">
                  <c:v>48.8</c:v>
                </c:pt>
                <c:pt idx="2">
                  <c:v>16.7</c:v>
                </c:pt>
                <c:pt idx="3">
                  <c:v>28.2</c:v>
                </c:pt>
                <c:pt idx="4">
                  <c:v>19.399999999999999</c:v>
                </c:pt>
                <c:pt idx="6">
                  <c:v>25.3</c:v>
                </c:pt>
                <c:pt idx="8">
                  <c:v>16.399999999999999</c:v>
                </c:pt>
                <c:pt idx="10">
                  <c:v>18.5</c:v>
                </c:pt>
                <c:pt idx="11">
                  <c:v>6.5</c:v>
                </c:pt>
                <c:pt idx="12">
                  <c:v>1.8</c:v>
                </c:pt>
              </c:numCache>
            </c:numRef>
          </c:val>
        </c:ser>
        <c:ser>
          <c:idx val="1"/>
          <c:order val="2"/>
          <c:tx>
            <c:strRef>
              <c:f>Sheet1!$A$4</c:f>
              <c:strCache>
                <c:ptCount val="1"/>
                <c:pt idx="0">
                  <c:v>平成26年度</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spPr/>
              <c:txPr>
                <a:bodyPr/>
                <a:lstStyle/>
                <a:p>
                  <a:pPr>
                    <a:defRPr sz="800" b="0">
                      <a:latin typeface="ＭＳ 明朝" panose="02020609040205080304" pitchFamily="17" charset="-128"/>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dLbl>
              <c:idx val="1"/>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10">
                  <c:v>防災教育の強化　　　　</c:v>
                </c:pt>
                <c:pt idx="11">
                  <c:v>地震火災・津波火災対策
の推進</c:v>
                </c:pt>
                <c:pt idx="12">
                  <c:v>その他　　　　　　　　</c:v>
                </c:pt>
              </c:strCache>
            </c:strRef>
          </c:cat>
          <c:val>
            <c:numRef>
              <c:f>Sheet1!$B$4:$N$4</c:f>
              <c:numCache>
                <c:formatCode>0.0_);[Red]\(0.0\)</c:formatCode>
                <c:ptCount val="13"/>
                <c:pt idx="1">
                  <c:v>51.9</c:v>
                </c:pt>
                <c:pt idx="2">
                  <c:v>15</c:v>
                </c:pt>
                <c:pt idx="3">
                  <c:v>26.8</c:v>
                </c:pt>
                <c:pt idx="4">
                  <c:v>17.5</c:v>
                </c:pt>
                <c:pt idx="6">
                  <c:v>25.4</c:v>
                </c:pt>
                <c:pt idx="8">
                  <c:v>16.399999999999999</c:v>
                </c:pt>
                <c:pt idx="10">
                  <c:v>18.5</c:v>
                </c:pt>
                <c:pt idx="11">
                  <c:v>8.9</c:v>
                </c:pt>
                <c:pt idx="12">
                  <c:v>1.3</c:v>
                </c:pt>
              </c:numCache>
            </c:numRef>
          </c:val>
        </c:ser>
        <c:ser>
          <c:idx val="3"/>
          <c:order val="3"/>
          <c:tx>
            <c:strRef>
              <c:f>Sheet1!$A$5</c:f>
              <c:strCache>
                <c:ptCount val="1"/>
                <c:pt idx="0">
                  <c:v>平成25年度</c:v>
                </c:pt>
              </c:strCache>
            </c:strRef>
          </c:tx>
          <c:spPr>
            <a:solidFill>
              <a:sysClr val="window" lastClr="FFFFFF"/>
            </a:solidFill>
            <a:ln>
              <a:solidFill>
                <a:sysClr val="windowText" lastClr="000000"/>
              </a:solidFill>
            </a:ln>
          </c:spPr>
          <c:invertIfNegative val="0"/>
          <c:dLbls>
            <c:dLbl>
              <c:idx val="1"/>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10">
                  <c:v>防災教育の強化　　　　</c:v>
                </c:pt>
                <c:pt idx="11">
                  <c:v>地震火災・津波火災対策
の推進</c:v>
                </c:pt>
                <c:pt idx="12">
                  <c:v>その他　　　　　　　　</c:v>
                </c:pt>
              </c:strCache>
            </c:strRef>
          </c:cat>
          <c:val>
            <c:numRef>
              <c:f>Sheet1!$B$5:$N$5</c:f>
              <c:numCache>
                <c:formatCode>0.0_);[Red]\(0.0\)</c:formatCode>
                <c:ptCount val="13"/>
                <c:pt idx="1">
                  <c:v>65.8</c:v>
                </c:pt>
                <c:pt idx="2">
                  <c:v>16.100000000000001</c:v>
                </c:pt>
                <c:pt idx="3">
                  <c:v>29.8</c:v>
                </c:pt>
                <c:pt idx="6">
                  <c:v>28.6</c:v>
                </c:pt>
                <c:pt idx="8">
                  <c:v>17.7</c:v>
                </c:pt>
                <c:pt idx="10">
                  <c:v>18.899999999999999</c:v>
                </c:pt>
                <c:pt idx="12">
                  <c:v>1.8</c:v>
                </c:pt>
              </c:numCache>
            </c:numRef>
          </c:val>
        </c:ser>
        <c:dLbls>
          <c:showLegendKey val="0"/>
          <c:showVal val="1"/>
          <c:showCatName val="0"/>
          <c:showSerName val="0"/>
          <c:showPercent val="0"/>
          <c:showBubbleSize val="0"/>
        </c:dLbls>
        <c:gapWidth val="75"/>
        <c:axId val="221929472"/>
        <c:axId val="221931008"/>
      </c:barChart>
      <c:catAx>
        <c:axId val="221929472"/>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1931008"/>
        <c:crosses val="autoZero"/>
        <c:auto val="1"/>
        <c:lblAlgn val="ctr"/>
        <c:lblOffset val="100"/>
        <c:noMultiLvlLbl val="0"/>
      </c:catAx>
      <c:valAx>
        <c:axId val="221931008"/>
        <c:scaling>
          <c:orientation val="minMax"/>
          <c:max val="70"/>
        </c:scaling>
        <c:delete val="0"/>
        <c:axPos val="t"/>
        <c:numFmt formatCode="#&quot;%&quot;;;&quot;0%&quot;;" sourceLinked="0"/>
        <c:majorTickMark val="in"/>
        <c:minorTickMark val="none"/>
        <c:tickLblPos val="nextTo"/>
        <c:spPr>
          <a:ln>
            <a:solidFill>
              <a:schemeClr val="tx1"/>
            </a:solidFill>
          </a:ln>
        </c:spPr>
        <c:crossAx val="221929472"/>
        <c:crosses val="autoZero"/>
        <c:crossBetween val="between"/>
        <c:majorUnit val="10"/>
      </c:valAx>
      <c:spPr>
        <a:ln>
          <a:noFill/>
        </a:ln>
      </c:spPr>
    </c:plotArea>
    <c:legend>
      <c:legendPos val="r"/>
      <c:layout>
        <c:manualLayout>
          <c:xMode val="edge"/>
          <c:yMode val="edge"/>
          <c:x val="0.69529529529529865"/>
          <c:y val="0.8025919859013213"/>
          <c:w val="0.23663663663663664"/>
          <c:h val="0.13895743663318991"/>
        </c:manualLayout>
      </c:layout>
      <c:overlay val="0"/>
    </c:legend>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ja-JP" altLang="en-US"/>
              <a:t>平成</a:t>
            </a:r>
            <a:r>
              <a:rPr lang="en-US" altLang="ja-JP"/>
              <a:t>29</a:t>
            </a:r>
            <a:r>
              <a:rPr lang="ja-JP" altLang="en-US"/>
              <a:t>年度</a:t>
            </a:r>
          </a:p>
        </c:rich>
      </c:tx>
      <c:layout>
        <c:manualLayout>
          <c:xMode val="edge"/>
          <c:yMode val="edge"/>
          <c:x val="0.70250730598971856"/>
          <c:y val="0.83306144643830671"/>
        </c:manualLayout>
      </c:layout>
      <c:overlay val="0"/>
      <c:spPr>
        <a:ln>
          <a:solidFill>
            <a:sysClr val="windowText" lastClr="000000"/>
          </a:solidFill>
        </a:ln>
      </c:spPr>
    </c:title>
    <c:autoTitleDeleted val="0"/>
    <c:plotArea>
      <c:layout>
        <c:manualLayout>
          <c:layoutTarget val="inner"/>
          <c:xMode val="edge"/>
          <c:yMode val="edge"/>
          <c:x val="0.38922051161515914"/>
          <c:y val="4.9931381895650023E-2"/>
          <c:w val="0.54012565808099033"/>
          <c:h val="0.94032560615238903"/>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Sheet1!$B$2:$N$2</c:f>
              <c:numCache>
                <c:formatCode>0.0</c:formatCode>
                <c:ptCount val="13"/>
                <c:pt idx="0">
                  <c:v>48.5</c:v>
                </c:pt>
                <c:pt idx="1">
                  <c:v>39.4</c:v>
                </c:pt>
                <c:pt idx="2">
                  <c:v>30.3</c:v>
                </c:pt>
                <c:pt idx="3">
                  <c:v>22.2</c:v>
                </c:pt>
                <c:pt idx="4">
                  <c:v>20.8</c:v>
                </c:pt>
                <c:pt idx="5">
                  <c:v>20.7</c:v>
                </c:pt>
                <c:pt idx="6">
                  <c:v>20.5</c:v>
                </c:pt>
                <c:pt idx="7">
                  <c:v>17.899999999999999</c:v>
                </c:pt>
                <c:pt idx="8">
                  <c:v>17.8</c:v>
                </c:pt>
                <c:pt idx="9">
                  <c:v>17.7</c:v>
                </c:pt>
                <c:pt idx="10">
                  <c:v>16.8</c:v>
                </c:pt>
                <c:pt idx="11">
                  <c:v>9.5</c:v>
                </c:pt>
                <c:pt idx="12">
                  <c:v>1.4</c:v>
                </c:pt>
              </c:numCache>
            </c:numRef>
          </c:val>
        </c:ser>
        <c:dLbls>
          <c:showLegendKey val="0"/>
          <c:showVal val="1"/>
          <c:showCatName val="0"/>
          <c:showSerName val="0"/>
          <c:showPercent val="0"/>
          <c:showBubbleSize val="0"/>
        </c:dLbls>
        <c:gapWidth val="75"/>
        <c:axId val="223899648"/>
        <c:axId val="223901184"/>
      </c:barChart>
      <c:catAx>
        <c:axId val="223899648"/>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3901184"/>
        <c:crosses val="autoZero"/>
        <c:auto val="1"/>
        <c:lblAlgn val="ctr"/>
        <c:lblOffset val="100"/>
        <c:noMultiLvlLbl val="0"/>
      </c:catAx>
      <c:valAx>
        <c:axId val="223901184"/>
        <c:scaling>
          <c:orientation val="minMax"/>
          <c:max val="60"/>
        </c:scaling>
        <c:delete val="0"/>
        <c:axPos val="t"/>
        <c:numFmt formatCode="#&quot;%&quot;;;&quot;0%&quot;;" sourceLinked="0"/>
        <c:majorTickMark val="in"/>
        <c:minorTickMark val="none"/>
        <c:tickLblPos val="nextTo"/>
        <c:spPr>
          <a:ln>
            <a:solidFill>
              <a:schemeClr val="tx1"/>
            </a:solidFill>
          </a:ln>
        </c:spPr>
        <c:crossAx val="223899648"/>
        <c:crosses val="autoZero"/>
        <c:crossBetween val="between"/>
        <c:majorUnit val="10"/>
      </c:valAx>
      <c:spPr>
        <a:ln>
          <a:noFill/>
        </a:ln>
      </c:spPr>
    </c:plotArea>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26273505074144"/>
          <c:y val="4.5945260968926364E-2"/>
          <c:w val="0.73165287424574565"/>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Sheet1!$B$2:$B$14</c:f>
              <c:numCache>
                <c:formatCode>_ * ###0.0_ ;_ * \-###0.0_ ;_ * "-"</c:formatCode>
                <c:ptCount val="13"/>
                <c:pt idx="0">
                  <c:v>45.7</c:v>
                </c:pt>
                <c:pt idx="1">
                  <c:v>38.6</c:v>
                </c:pt>
                <c:pt idx="2">
                  <c:v>32</c:v>
                </c:pt>
                <c:pt idx="3">
                  <c:v>19.899999999999999</c:v>
                </c:pt>
                <c:pt idx="4">
                  <c:v>19.399999999999999</c:v>
                </c:pt>
                <c:pt idx="5">
                  <c:v>21.3</c:v>
                </c:pt>
                <c:pt idx="6">
                  <c:v>21.1</c:v>
                </c:pt>
                <c:pt idx="7">
                  <c:v>16.3</c:v>
                </c:pt>
                <c:pt idx="8">
                  <c:v>18.8</c:v>
                </c:pt>
                <c:pt idx="9">
                  <c:v>16.600000000000001</c:v>
                </c:pt>
                <c:pt idx="10">
                  <c:v>18.100000000000001</c:v>
                </c:pt>
                <c:pt idx="11">
                  <c:v>10.5</c:v>
                </c:pt>
                <c:pt idx="12">
                  <c:v>2.1</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Sheet1!$C$2:$C$14</c:f>
              <c:numCache>
                <c:formatCode>_ * ###0.0_ ;_ * \-###0.0_ ;_ * "-"</c:formatCode>
                <c:ptCount val="13"/>
                <c:pt idx="0">
                  <c:v>50.7</c:v>
                </c:pt>
                <c:pt idx="1">
                  <c:v>40.200000000000003</c:v>
                </c:pt>
                <c:pt idx="2">
                  <c:v>29.1</c:v>
                </c:pt>
                <c:pt idx="3">
                  <c:v>24</c:v>
                </c:pt>
                <c:pt idx="4">
                  <c:v>21.6</c:v>
                </c:pt>
                <c:pt idx="5">
                  <c:v>20.100000000000001</c:v>
                </c:pt>
                <c:pt idx="6">
                  <c:v>19.899999999999999</c:v>
                </c:pt>
                <c:pt idx="7">
                  <c:v>19.3</c:v>
                </c:pt>
                <c:pt idx="8">
                  <c:v>16.899999999999999</c:v>
                </c:pt>
                <c:pt idx="9">
                  <c:v>18.899999999999999</c:v>
                </c:pt>
                <c:pt idx="10">
                  <c:v>15.7</c:v>
                </c:pt>
                <c:pt idx="11">
                  <c:v>8.8000000000000007</c:v>
                </c:pt>
                <c:pt idx="12">
                  <c:v>0.9</c:v>
                </c:pt>
              </c:numCache>
            </c:numRef>
          </c:val>
        </c:ser>
        <c:dLbls>
          <c:showLegendKey val="0"/>
          <c:showVal val="1"/>
          <c:showCatName val="0"/>
          <c:showSerName val="0"/>
          <c:showPercent val="0"/>
          <c:showBubbleSize val="0"/>
        </c:dLbls>
        <c:gapWidth val="100"/>
        <c:axId val="223948800"/>
        <c:axId val="223950336"/>
      </c:barChart>
      <c:catAx>
        <c:axId val="223948800"/>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3950336"/>
        <c:crosses val="autoZero"/>
        <c:auto val="1"/>
        <c:lblAlgn val="ctr"/>
        <c:lblOffset val="100"/>
        <c:noMultiLvlLbl val="0"/>
      </c:catAx>
      <c:valAx>
        <c:axId val="223950336"/>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3948800"/>
        <c:crosses val="autoZero"/>
        <c:crossBetween val="between"/>
        <c:majorUnit val="10"/>
      </c:valAx>
      <c:spPr>
        <a:ln>
          <a:solidFill>
            <a:schemeClr val="tx1"/>
          </a:solidFill>
        </a:ln>
      </c:spPr>
    </c:plotArea>
    <c:legend>
      <c:legendPos val="b"/>
      <c:layout>
        <c:manualLayout>
          <c:xMode val="edge"/>
          <c:yMode val="edge"/>
          <c:x val="0.85174590619100643"/>
          <c:y val="0.84530990523272376"/>
          <c:w val="8.7867943447708305E-2"/>
          <c:h val="0.114987570566120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60165923506433"/>
          <c:y val="4.5945260968926364E-2"/>
          <c:w val="0.72499033670200264"/>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700"/>
                  </a:pPr>
                  <a:endParaRPr lang="ja-JP"/>
                </a:p>
              </c:txPr>
              <c:dLblPos val="outEnd"/>
              <c:showLegendKey val="0"/>
              <c:showVal val="1"/>
              <c:showCatName val="0"/>
              <c:showSerName val="0"/>
              <c:showPercent val="0"/>
              <c:showBubbleSize val="0"/>
            </c:dLbl>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Sheet1!$B$2:$B$14</c:f>
              <c:numCache>
                <c:formatCode>0.0_);[Red]\(0.0\)</c:formatCode>
                <c:ptCount val="13"/>
                <c:pt idx="0">
                  <c:v>50.6</c:v>
                </c:pt>
                <c:pt idx="1">
                  <c:v>54</c:v>
                </c:pt>
                <c:pt idx="2">
                  <c:v>34.5</c:v>
                </c:pt>
                <c:pt idx="3">
                  <c:v>20.7</c:v>
                </c:pt>
                <c:pt idx="4">
                  <c:v>17.2</c:v>
                </c:pt>
                <c:pt idx="5">
                  <c:v>17.2</c:v>
                </c:pt>
                <c:pt idx="6">
                  <c:v>12.6</c:v>
                </c:pt>
                <c:pt idx="7">
                  <c:v>14.9</c:v>
                </c:pt>
                <c:pt idx="8">
                  <c:v>13.8</c:v>
                </c:pt>
                <c:pt idx="9">
                  <c:v>13.8</c:v>
                </c:pt>
                <c:pt idx="10">
                  <c:v>16.100000000000001</c:v>
                </c:pt>
                <c:pt idx="11">
                  <c:v>10.3</c:v>
                </c:pt>
                <c:pt idx="12">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Sheet1!$C$2:$C$14</c:f>
              <c:numCache>
                <c:formatCode>0.0_);[Red]\(0.0\)</c:formatCode>
                <c:ptCount val="13"/>
                <c:pt idx="0">
                  <c:v>43.1</c:v>
                </c:pt>
                <c:pt idx="1">
                  <c:v>52</c:v>
                </c:pt>
                <c:pt idx="2">
                  <c:v>35.1</c:v>
                </c:pt>
                <c:pt idx="3">
                  <c:v>23.3</c:v>
                </c:pt>
                <c:pt idx="4">
                  <c:v>18.3</c:v>
                </c:pt>
                <c:pt idx="5">
                  <c:v>24.8</c:v>
                </c:pt>
                <c:pt idx="6">
                  <c:v>12.9</c:v>
                </c:pt>
                <c:pt idx="7">
                  <c:v>15.3</c:v>
                </c:pt>
                <c:pt idx="8">
                  <c:v>21.8</c:v>
                </c:pt>
                <c:pt idx="9">
                  <c:v>13.9</c:v>
                </c:pt>
                <c:pt idx="10">
                  <c:v>12.9</c:v>
                </c:pt>
                <c:pt idx="11">
                  <c:v>8.4</c:v>
                </c:pt>
                <c:pt idx="12">
                  <c:v>1</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Sheet1!$D$2:$D$14</c:f>
              <c:numCache>
                <c:formatCode>0.0_);[Red]\(0.0\)</c:formatCode>
                <c:ptCount val="13"/>
                <c:pt idx="0">
                  <c:v>52.6</c:v>
                </c:pt>
                <c:pt idx="1">
                  <c:v>43.1</c:v>
                </c:pt>
                <c:pt idx="2">
                  <c:v>32.4</c:v>
                </c:pt>
                <c:pt idx="3">
                  <c:v>20.9</c:v>
                </c:pt>
                <c:pt idx="4">
                  <c:v>15.8</c:v>
                </c:pt>
                <c:pt idx="5">
                  <c:v>15.4</c:v>
                </c:pt>
                <c:pt idx="6">
                  <c:v>20.9</c:v>
                </c:pt>
                <c:pt idx="7">
                  <c:v>15</c:v>
                </c:pt>
                <c:pt idx="8">
                  <c:v>19</c:v>
                </c:pt>
                <c:pt idx="9">
                  <c:v>19</c:v>
                </c:pt>
                <c:pt idx="10">
                  <c:v>17.8</c:v>
                </c:pt>
                <c:pt idx="11">
                  <c:v>9.5</c:v>
                </c:pt>
                <c:pt idx="12">
                  <c:v>2.8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Sheet1!$E$2:$E$14</c:f>
              <c:numCache>
                <c:formatCode>0.0_);[Red]\(0.0\)</c:formatCode>
                <c:ptCount val="13"/>
                <c:pt idx="0">
                  <c:v>49.7</c:v>
                </c:pt>
                <c:pt idx="1">
                  <c:v>37.1</c:v>
                </c:pt>
                <c:pt idx="2">
                  <c:v>26.9</c:v>
                </c:pt>
                <c:pt idx="3">
                  <c:v>19.399999999999999</c:v>
                </c:pt>
                <c:pt idx="4">
                  <c:v>21.1</c:v>
                </c:pt>
                <c:pt idx="5">
                  <c:v>22</c:v>
                </c:pt>
                <c:pt idx="6">
                  <c:v>22.6</c:v>
                </c:pt>
                <c:pt idx="7">
                  <c:v>16.600000000000001</c:v>
                </c:pt>
                <c:pt idx="8">
                  <c:v>18.600000000000001</c:v>
                </c:pt>
                <c:pt idx="9">
                  <c:v>21.1</c:v>
                </c:pt>
                <c:pt idx="10">
                  <c:v>21.4</c:v>
                </c:pt>
                <c:pt idx="11">
                  <c:v>8.9</c:v>
                </c:pt>
                <c:pt idx="12">
                  <c:v>1.1000000000000001</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Sheet1!$F$2:$F$14</c:f>
              <c:numCache>
                <c:formatCode>0.0_);[Red]\(0.0\)</c:formatCode>
                <c:ptCount val="13"/>
                <c:pt idx="0">
                  <c:v>45.5</c:v>
                </c:pt>
                <c:pt idx="1">
                  <c:v>33.5</c:v>
                </c:pt>
                <c:pt idx="2">
                  <c:v>34.1</c:v>
                </c:pt>
                <c:pt idx="3">
                  <c:v>22.4</c:v>
                </c:pt>
                <c:pt idx="4">
                  <c:v>18.7</c:v>
                </c:pt>
                <c:pt idx="5">
                  <c:v>20.100000000000001</c:v>
                </c:pt>
                <c:pt idx="6">
                  <c:v>24.2</c:v>
                </c:pt>
                <c:pt idx="7">
                  <c:v>21.3</c:v>
                </c:pt>
                <c:pt idx="8">
                  <c:v>17.2</c:v>
                </c:pt>
                <c:pt idx="9">
                  <c:v>18.7</c:v>
                </c:pt>
                <c:pt idx="10">
                  <c:v>14.3</c:v>
                </c:pt>
                <c:pt idx="11">
                  <c:v>11.4</c:v>
                </c:pt>
                <c:pt idx="12">
                  <c:v>1.2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Sheet1!$G$2:$G$14</c:f>
              <c:numCache>
                <c:formatCode>0.0_);[Red]\(0.0\)</c:formatCode>
                <c:ptCount val="13"/>
                <c:pt idx="0">
                  <c:v>47.1</c:v>
                </c:pt>
                <c:pt idx="1">
                  <c:v>35.200000000000003</c:v>
                </c:pt>
                <c:pt idx="2">
                  <c:v>26.1</c:v>
                </c:pt>
                <c:pt idx="3">
                  <c:v>27.6</c:v>
                </c:pt>
                <c:pt idx="4">
                  <c:v>24.5</c:v>
                </c:pt>
                <c:pt idx="5">
                  <c:v>21.1</c:v>
                </c:pt>
                <c:pt idx="6">
                  <c:v>21.1</c:v>
                </c:pt>
                <c:pt idx="7">
                  <c:v>21.8</c:v>
                </c:pt>
                <c:pt idx="8">
                  <c:v>15.3</c:v>
                </c:pt>
                <c:pt idx="9">
                  <c:v>14.9</c:v>
                </c:pt>
                <c:pt idx="10">
                  <c:v>16.5</c:v>
                </c:pt>
                <c:pt idx="11">
                  <c:v>9.2000000000000011</c:v>
                </c:pt>
                <c:pt idx="12">
                  <c:v>2.2999999999999998</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1.2787356828171654E-2"/>
                  <c:y val="0"/>
                </c:manualLayout>
              </c:layout>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支援物資が避難所に確実
に届く体制づくり</c:v>
                </c:pt>
                <c:pt idx="1">
                  <c:v>津波からの避難場所や避
難路の整備</c:v>
                </c:pt>
                <c:pt idx="2">
                  <c:v>住宅の耐震化の強化　　</c:v>
                </c:pt>
                <c:pt idx="3">
                  <c:v>地震を予知・観測・伝達
する体制の強化</c:v>
                </c:pt>
                <c:pt idx="4">
                  <c:v>高齢者や障害者などの要
配慮者の方々を地域で支
え合う仕組みづくり</c:v>
                </c:pt>
                <c:pt idx="5">
                  <c:v>体育館などの避難所の確
保や運営体制の充実</c:v>
                </c:pt>
                <c:pt idx="6">
                  <c:v>自主防災組織など人のつ
ながりの強化</c:v>
                </c:pt>
                <c:pt idx="7">
                  <c:v>前方展開型による医療救
護体制の推進</c:v>
                </c:pt>
                <c:pt idx="8">
                  <c:v>津波や浸水による被害を
防ぐ防潮堤などのハード
整備</c:v>
                </c:pt>
                <c:pt idx="9">
                  <c:v>発災後の応急対策活動や
住民生活に必要となる燃
料の確保対策</c:v>
                </c:pt>
                <c:pt idx="10">
                  <c:v>防災教育の強化　　　　</c:v>
                </c:pt>
                <c:pt idx="11">
                  <c:v>地震火災・津波火災対策
の推進</c:v>
                </c:pt>
                <c:pt idx="12">
                  <c:v>その他　　　　　　　　</c:v>
                </c:pt>
              </c:strCache>
            </c:strRef>
          </c:cat>
          <c:val>
            <c:numRef>
              <c:f>Sheet1!$H$2:$H$14</c:f>
              <c:numCache>
                <c:formatCode>0.0_);[Red]\(0.0\)</c:formatCode>
                <c:ptCount val="13"/>
                <c:pt idx="0">
                  <c:v>56.1</c:v>
                </c:pt>
                <c:pt idx="1">
                  <c:v>33.700000000000003</c:v>
                </c:pt>
                <c:pt idx="2">
                  <c:v>24.5</c:v>
                </c:pt>
                <c:pt idx="3">
                  <c:v>19.399999999999999</c:v>
                </c:pt>
                <c:pt idx="4">
                  <c:v>34.700000000000003</c:v>
                </c:pt>
                <c:pt idx="5">
                  <c:v>23.5</c:v>
                </c:pt>
                <c:pt idx="6">
                  <c:v>19.399999999999999</c:v>
                </c:pt>
                <c:pt idx="7">
                  <c:v>16.3</c:v>
                </c:pt>
                <c:pt idx="8">
                  <c:v>14.3</c:v>
                </c:pt>
                <c:pt idx="9">
                  <c:v>19.399999999999999</c:v>
                </c:pt>
                <c:pt idx="10">
                  <c:v>16.3</c:v>
                </c:pt>
                <c:pt idx="11">
                  <c:v>9.2000000000000011</c:v>
                </c:pt>
                <c:pt idx="12">
                  <c:v>0</c:v>
                </c:pt>
              </c:numCache>
            </c:numRef>
          </c:val>
        </c:ser>
        <c:dLbls>
          <c:showLegendKey val="0"/>
          <c:showVal val="1"/>
          <c:showCatName val="0"/>
          <c:showSerName val="0"/>
          <c:showPercent val="0"/>
          <c:showBubbleSize val="0"/>
        </c:dLbls>
        <c:gapWidth val="100"/>
        <c:axId val="224034176"/>
        <c:axId val="224044160"/>
      </c:barChart>
      <c:catAx>
        <c:axId val="22403417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4044160"/>
        <c:crosses val="autoZero"/>
        <c:auto val="1"/>
        <c:lblAlgn val="ctr"/>
        <c:lblOffset val="100"/>
        <c:noMultiLvlLbl val="0"/>
      </c:catAx>
      <c:valAx>
        <c:axId val="224044160"/>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4034176"/>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898559977300837"/>
          <c:y val="3.8354251629593647E-2"/>
          <c:w val="0.52115454036713849"/>
          <c:h val="0.93057339855473586"/>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3"/>
              <c:dLblPos val="outEnd"/>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Sheet1!$B$2:$I$2</c:f>
              <c:numCache>
                <c:formatCode>General</c:formatCode>
                <c:ptCount val="8"/>
                <c:pt idx="0" formatCode="0.0_);[Red]\(0.0\)">
                  <c:v>47.5</c:v>
                </c:pt>
                <c:pt idx="1">
                  <c:v>33.300000000000004</c:v>
                </c:pt>
                <c:pt idx="2" formatCode="0.0_);[Red]\(0.0\)">
                  <c:v>29.9</c:v>
                </c:pt>
                <c:pt idx="3">
                  <c:v>24.8</c:v>
                </c:pt>
                <c:pt idx="4">
                  <c:v>19.3</c:v>
                </c:pt>
                <c:pt idx="5">
                  <c:v>21.9</c:v>
                </c:pt>
                <c:pt idx="6">
                  <c:v>14.8</c:v>
                </c:pt>
                <c:pt idx="7" formatCode="0.0_);[Red]\(0.0\)">
                  <c:v>0.5</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c:txPr>
                <a:bodyPr/>
                <a:lstStyle/>
                <a:p>
                  <a:pPr>
                    <a:defRPr sz="800" b="0">
                      <a:latin typeface="ＭＳ 明朝" panose="02020609040205080304" pitchFamily="17" charset="-128"/>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dLbl>
              <c:idx val="6"/>
              <c:tx>
                <c:rich>
                  <a:bodyPr/>
                  <a:lstStyle/>
                  <a:p>
                    <a:r>
                      <a:rPr lang="en-US" altLang="en-US"/>
                      <a:t>18</a:t>
                    </a:r>
                    <a:r>
                      <a:rPr lang="en-US" altLang="ja-JP"/>
                      <a:t>.0</a:t>
                    </a:r>
                    <a:endParaRPr lang="en-US" altLang="en-US"/>
                  </a:p>
                </c:rich>
              </c:tx>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Sheet1!$B$3:$I$3</c:f>
              <c:numCache>
                <c:formatCode>General</c:formatCode>
                <c:ptCount val="8"/>
                <c:pt idx="0" formatCode="0.0_);[Red]\(0.0\)">
                  <c:v>42</c:v>
                </c:pt>
                <c:pt idx="1">
                  <c:v>27.8</c:v>
                </c:pt>
                <c:pt idx="2" formatCode="0.0_);[Red]\(0.0\)">
                  <c:v>18.5</c:v>
                </c:pt>
                <c:pt idx="3">
                  <c:v>30.9</c:v>
                </c:pt>
                <c:pt idx="4">
                  <c:v>23.5</c:v>
                </c:pt>
                <c:pt idx="5">
                  <c:v>23.5</c:v>
                </c:pt>
                <c:pt idx="6">
                  <c:v>18</c:v>
                </c:pt>
                <c:pt idx="7" formatCode="0.0_);[Red]\(0.0\)">
                  <c:v>1.9000000000000001</c:v>
                </c:pt>
              </c:numCache>
            </c:numRef>
          </c:val>
        </c:ser>
        <c:ser>
          <c:idx val="1"/>
          <c:order val="2"/>
          <c:tx>
            <c:strRef>
              <c:f>Sheet1!$A$4</c:f>
              <c:strCache>
                <c:ptCount val="1"/>
                <c:pt idx="0">
                  <c:v>平成26年度</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spPr/>
              <c:txPr>
                <a:bodyPr/>
                <a:lstStyle/>
                <a:p>
                  <a:pPr>
                    <a:defRPr sz="800" b="0">
                      <a:latin typeface="Arial Black" panose="020B0A04020102020204" pitchFamily="34" charset="0"/>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dLbl>
              <c:idx val="6"/>
              <c:layout>
                <c:manualLayout>
                  <c:x val="-1.6004924980064662E-2"/>
                  <c:y val="0"/>
                </c:manualLayout>
              </c:layout>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Sheet1!$B$4:$I$4</c:f>
              <c:numCache>
                <c:formatCode>General</c:formatCode>
                <c:ptCount val="8"/>
                <c:pt idx="0" formatCode="0.0_);[Red]\(0.0\)">
                  <c:v>43.5</c:v>
                </c:pt>
                <c:pt idx="1">
                  <c:v>24.8</c:v>
                </c:pt>
                <c:pt idx="2" formatCode="0.0_);[Red]\(0.0\)">
                  <c:v>17</c:v>
                </c:pt>
                <c:pt idx="3">
                  <c:v>29.6</c:v>
                </c:pt>
                <c:pt idx="4">
                  <c:v>19.600000000000001</c:v>
                </c:pt>
                <c:pt idx="5">
                  <c:v>31.4</c:v>
                </c:pt>
                <c:pt idx="6">
                  <c:v>17.8</c:v>
                </c:pt>
                <c:pt idx="7" formatCode="0.0_);[Red]\(0.0\)">
                  <c:v>1</c:v>
                </c:pt>
              </c:numCache>
            </c:numRef>
          </c:val>
        </c:ser>
        <c:ser>
          <c:idx val="3"/>
          <c:order val="3"/>
          <c:tx>
            <c:strRef>
              <c:f>Sheet1!$A$5</c:f>
              <c:strCache>
                <c:ptCount val="1"/>
                <c:pt idx="0">
                  <c:v>平成25年度</c:v>
                </c:pt>
              </c:strCache>
            </c:strRef>
          </c:tx>
          <c:spPr>
            <a:solidFill>
              <a:sysClr val="window" lastClr="FFFFFF"/>
            </a:solidFill>
            <a:ln>
              <a:solidFill>
                <a:sysClr val="windowText" lastClr="000000"/>
              </a:solidFill>
            </a:ln>
          </c:spPr>
          <c:invertIfNegative val="0"/>
          <c:dLbls>
            <c:dLbl>
              <c:idx val="0"/>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Sheet1!$B$5:$I$5</c:f>
              <c:numCache>
                <c:formatCode>General</c:formatCode>
                <c:ptCount val="8"/>
                <c:pt idx="0" formatCode="0.0_);[Red]\(0.0\)">
                  <c:v>42.6</c:v>
                </c:pt>
                <c:pt idx="1">
                  <c:v>22.2</c:v>
                </c:pt>
                <c:pt idx="2" formatCode="0.0_);[Red]\(0.0\)">
                  <c:v>20.6</c:v>
                </c:pt>
                <c:pt idx="3">
                  <c:v>32.5</c:v>
                </c:pt>
                <c:pt idx="4">
                  <c:v>23.5</c:v>
                </c:pt>
                <c:pt idx="5">
                  <c:v>25.9</c:v>
                </c:pt>
                <c:pt idx="6">
                  <c:v>15.9</c:v>
                </c:pt>
                <c:pt idx="7" formatCode="0.0_);[Red]\(0.0\)">
                  <c:v>0.8</c:v>
                </c:pt>
              </c:numCache>
            </c:numRef>
          </c:val>
        </c:ser>
        <c:dLbls>
          <c:showLegendKey val="0"/>
          <c:showVal val="1"/>
          <c:showCatName val="0"/>
          <c:showSerName val="0"/>
          <c:showPercent val="0"/>
          <c:showBubbleSize val="0"/>
        </c:dLbls>
        <c:gapWidth val="75"/>
        <c:axId val="223682560"/>
        <c:axId val="223684096"/>
      </c:barChart>
      <c:catAx>
        <c:axId val="223682560"/>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3684096"/>
        <c:crosses val="autoZero"/>
        <c:auto val="1"/>
        <c:lblAlgn val="ctr"/>
        <c:lblOffset val="100"/>
        <c:noMultiLvlLbl val="0"/>
      </c:catAx>
      <c:valAx>
        <c:axId val="223684096"/>
        <c:scaling>
          <c:orientation val="minMax"/>
          <c:max val="50"/>
        </c:scaling>
        <c:delete val="0"/>
        <c:axPos val="t"/>
        <c:numFmt formatCode="#&quot;%&quot;;;&quot;0%&quot;;" sourceLinked="0"/>
        <c:majorTickMark val="in"/>
        <c:minorTickMark val="none"/>
        <c:tickLblPos val="nextTo"/>
        <c:spPr>
          <a:ln>
            <a:solidFill>
              <a:schemeClr val="tx1"/>
            </a:solidFill>
          </a:ln>
        </c:spPr>
        <c:crossAx val="223682560"/>
        <c:crosses val="autoZero"/>
        <c:crossBetween val="between"/>
        <c:majorUnit val="10"/>
      </c:valAx>
      <c:spPr>
        <a:ln>
          <a:noFill/>
        </a:ln>
      </c:spPr>
    </c:plotArea>
    <c:legend>
      <c:legendPos val="r"/>
      <c:layout>
        <c:manualLayout>
          <c:xMode val="edge"/>
          <c:yMode val="edge"/>
          <c:x val="0.69529529529529865"/>
          <c:y val="0.8025919859013213"/>
          <c:w val="0.23663663663663664"/>
          <c:h val="0.13895743663318991"/>
        </c:manualLayout>
      </c:layout>
      <c:overlay val="0"/>
    </c:legend>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ja-JP" altLang="en-US"/>
              <a:t>平成</a:t>
            </a:r>
            <a:r>
              <a:rPr lang="en-US" altLang="ja-JP"/>
              <a:t>29</a:t>
            </a:r>
            <a:r>
              <a:rPr lang="ja-JP" altLang="en-US"/>
              <a:t>年度</a:t>
            </a:r>
          </a:p>
        </c:rich>
      </c:tx>
      <c:layout>
        <c:manualLayout>
          <c:xMode val="edge"/>
          <c:yMode val="edge"/>
          <c:x val="0.70250730598971856"/>
          <c:y val="0.83306144643830671"/>
        </c:manualLayout>
      </c:layout>
      <c:overlay val="0"/>
      <c:spPr>
        <a:ln>
          <a:solidFill>
            <a:sysClr val="windowText" lastClr="000000"/>
          </a:solidFill>
        </a:ln>
      </c:spPr>
    </c:title>
    <c:autoTitleDeleted val="0"/>
    <c:plotArea>
      <c:layout>
        <c:manualLayout>
          <c:layoutTarget val="inner"/>
          <c:xMode val="edge"/>
          <c:yMode val="edge"/>
          <c:x val="0.38922051161515914"/>
          <c:y val="4.9931381895650023E-2"/>
          <c:w val="0.52823601687873589"/>
          <c:h val="0.94032560615238903"/>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layout>
                <c:manualLayout>
                  <c:x val="-1.5920398009950303E-2"/>
                  <c:y val="8.9212270304379352E-18"/>
                </c:manualLayout>
              </c:layout>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Sheet1!$B$2:$I$2</c:f>
              <c:numCache>
                <c:formatCode>0.0</c:formatCode>
                <c:ptCount val="8"/>
                <c:pt idx="0">
                  <c:v>44.3</c:v>
                </c:pt>
                <c:pt idx="1">
                  <c:v>32.6</c:v>
                </c:pt>
                <c:pt idx="2">
                  <c:v>28.8</c:v>
                </c:pt>
                <c:pt idx="3">
                  <c:v>27.6</c:v>
                </c:pt>
                <c:pt idx="4">
                  <c:v>22.9</c:v>
                </c:pt>
                <c:pt idx="5">
                  <c:v>20.399999999999999</c:v>
                </c:pt>
                <c:pt idx="6">
                  <c:v>12.9</c:v>
                </c:pt>
                <c:pt idx="7">
                  <c:v>0.60000000000000064</c:v>
                </c:pt>
              </c:numCache>
            </c:numRef>
          </c:val>
        </c:ser>
        <c:dLbls>
          <c:showLegendKey val="0"/>
          <c:showVal val="1"/>
          <c:showCatName val="0"/>
          <c:showSerName val="0"/>
          <c:showPercent val="0"/>
          <c:showBubbleSize val="0"/>
        </c:dLbls>
        <c:gapWidth val="75"/>
        <c:axId val="223748096"/>
        <c:axId val="223749632"/>
      </c:barChart>
      <c:catAx>
        <c:axId val="223748096"/>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3749632"/>
        <c:crosses val="autoZero"/>
        <c:auto val="1"/>
        <c:lblAlgn val="ctr"/>
        <c:lblOffset val="100"/>
        <c:noMultiLvlLbl val="0"/>
      </c:catAx>
      <c:valAx>
        <c:axId val="223749632"/>
        <c:scaling>
          <c:orientation val="minMax"/>
          <c:max val="50"/>
        </c:scaling>
        <c:delete val="0"/>
        <c:axPos val="t"/>
        <c:numFmt formatCode="#&quot;%&quot;;;&quot;0%&quot;;" sourceLinked="0"/>
        <c:majorTickMark val="in"/>
        <c:minorTickMark val="none"/>
        <c:tickLblPos val="nextTo"/>
        <c:spPr>
          <a:ln>
            <a:solidFill>
              <a:schemeClr val="tx1"/>
            </a:solidFill>
          </a:ln>
        </c:spPr>
        <c:crossAx val="223748096"/>
        <c:crosses val="autoZero"/>
        <c:crossBetween val="between"/>
        <c:majorUnit val="10"/>
      </c:valAx>
      <c:spPr>
        <a:ln>
          <a:noFill/>
        </a:ln>
      </c:spPr>
    </c:plotArea>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36913735923491"/>
          <c:y val="4.5945260968926364E-2"/>
          <c:w val="0.6955464767647539"/>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Sheet1!$B$2:$B$9</c:f>
              <c:numCache>
                <c:formatCode>_ * ###0.0_ ;_ * \-###0.0_ ;_ * "-"</c:formatCode>
                <c:ptCount val="8"/>
                <c:pt idx="0">
                  <c:v>47.5</c:v>
                </c:pt>
                <c:pt idx="1">
                  <c:v>36.800000000000004</c:v>
                </c:pt>
                <c:pt idx="2">
                  <c:v>30.1</c:v>
                </c:pt>
                <c:pt idx="3">
                  <c:v>24.8</c:v>
                </c:pt>
                <c:pt idx="4">
                  <c:v>19.7</c:v>
                </c:pt>
                <c:pt idx="5">
                  <c:v>17.3</c:v>
                </c:pt>
                <c:pt idx="6">
                  <c:v>14.4</c:v>
                </c:pt>
                <c:pt idx="7">
                  <c:v>0.60000000000000064</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Sheet1!$C$2:$C$9</c:f>
              <c:numCache>
                <c:formatCode>_ * ###0.0_ ;_ * \-###0.0_ ;_ * "-"</c:formatCode>
                <c:ptCount val="8"/>
                <c:pt idx="0">
                  <c:v>41.9</c:v>
                </c:pt>
                <c:pt idx="1">
                  <c:v>29.3</c:v>
                </c:pt>
                <c:pt idx="2">
                  <c:v>27.9</c:v>
                </c:pt>
                <c:pt idx="3">
                  <c:v>29.8</c:v>
                </c:pt>
                <c:pt idx="4">
                  <c:v>25.7</c:v>
                </c:pt>
                <c:pt idx="5">
                  <c:v>23</c:v>
                </c:pt>
                <c:pt idx="6">
                  <c:v>11.5</c:v>
                </c:pt>
                <c:pt idx="7">
                  <c:v>0.5</c:v>
                </c:pt>
              </c:numCache>
            </c:numRef>
          </c:val>
        </c:ser>
        <c:dLbls>
          <c:showLegendKey val="0"/>
          <c:showVal val="1"/>
          <c:showCatName val="0"/>
          <c:showSerName val="0"/>
          <c:showPercent val="0"/>
          <c:showBubbleSize val="0"/>
        </c:dLbls>
        <c:gapWidth val="100"/>
        <c:axId val="223793536"/>
        <c:axId val="223795072"/>
      </c:barChart>
      <c:catAx>
        <c:axId val="223793536"/>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3795072"/>
        <c:crosses val="autoZero"/>
        <c:auto val="1"/>
        <c:lblAlgn val="ctr"/>
        <c:lblOffset val="100"/>
        <c:noMultiLvlLbl val="0"/>
      </c:catAx>
      <c:valAx>
        <c:axId val="223795072"/>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3793536"/>
        <c:crosses val="autoZero"/>
        <c:crossBetween val="between"/>
        <c:majorUnit val="10"/>
      </c:valAx>
      <c:spPr>
        <a:ln>
          <a:solidFill>
            <a:schemeClr val="tx1"/>
          </a:solidFill>
        </a:ln>
      </c:spPr>
    </c:plotArea>
    <c:legend>
      <c:legendPos val="b"/>
      <c:layout>
        <c:manualLayout>
          <c:xMode val="edge"/>
          <c:yMode val="edge"/>
          <c:x val="0.85174590619100643"/>
          <c:y val="0.84530990523272376"/>
          <c:w val="8.7867943447708305E-2"/>
          <c:h val="0.114987570566120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98559977300825"/>
          <c:y val="3.2615370711373812E-2"/>
          <c:w val="0.52115454036713849"/>
          <c:h val="0.95633389441814765"/>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1"/>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Sheet1!$B$1:$M$1</c:f>
              <c:strCache>
                <c:ptCount val="12"/>
                <c:pt idx="0">
                  <c:v>産業の担い手の育成・確
保</c:v>
                </c:pt>
                <c:pt idx="1">
                  <c:v>農林漁業の生産地の強 
化 </c:v>
                </c:pt>
                <c:pt idx="2">
                  <c:v>観光の振興　　　　　  </c:v>
                </c:pt>
                <c:pt idx="3">
                  <c:v>地域の商店街等の活性 
化  </c:v>
                </c:pt>
                <c:pt idx="4">
                  <c:v>第一次産業などを核とし
た産業集積（地域産業ク
ラスター）</c:v>
                </c:pt>
                <c:pt idx="5">
                  <c:v>企業の誘致　　　      </c:v>
                </c:pt>
                <c:pt idx="6">
                  <c:v>県産品等の県外・海外 
での販売促進支援   </c:v>
                </c:pt>
                <c:pt idx="7">
                  <c:v>加工食品や機械などの 
ものづくり産業の振興 </c:v>
                </c:pt>
                <c:pt idx="8">
                  <c:v>県外からの移住の促進  </c:v>
                </c:pt>
                <c:pt idx="9">
                  <c:v>防災関連産業やコンテ 
ンツ関連産業などの新
たな産業の創出     </c:v>
                </c:pt>
                <c:pt idx="10">
                  <c:v>起業や新たな事業展開 
を志す方への支援  </c:v>
                </c:pt>
                <c:pt idx="11">
                  <c:v>その他　　　　　　    </c:v>
                </c:pt>
              </c:strCache>
            </c:strRef>
          </c:cat>
          <c:val>
            <c:numRef>
              <c:f>Sheet1!$B$2:$M$2</c:f>
              <c:numCache>
                <c:formatCode>0.0_);[Red]\(0.0\)</c:formatCode>
                <c:ptCount val="12"/>
                <c:pt idx="0">
                  <c:v>40.700000000000003</c:v>
                </c:pt>
                <c:pt idx="1">
                  <c:v>41</c:v>
                </c:pt>
                <c:pt idx="2">
                  <c:v>33.300000000000004</c:v>
                </c:pt>
                <c:pt idx="3">
                  <c:v>27.1</c:v>
                </c:pt>
                <c:pt idx="4">
                  <c:v>24.2</c:v>
                </c:pt>
                <c:pt idx="5">
                  <c:v>29.2</c:v>
                </c:pt>
                <c:pt idx="6">
                  <c:v>21.4</c:v>
                </c:pt>
                <c:pt idx="7">
                  <c:v>18</c:v>
                </c:pt>
                <c:pt idx="8">
                  <c:v>15.9</c:v>
                </c:pt>
                <c:pt idx="9">
                  <c:v>13.4</c:v>
                </c:pt>
                <c:pt idx="10">
                  <c:v>14.1</c:v>
                </c:pt>
                <c:pt idx="11">
                  <c:v>1.7</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dLbl>
              <c:idx val="1"/>
              <c:spPr>
                <a:noFill/>
                <a:ln>
                  <a:noFill/>
                </a:ln>
                <a:effectLst/>
              </c:spPr>
              <c:txPr>
                <a:bodyPr horzOverflow="overflow"/>
                <a:lstStyle/>
                <a:p>
                  <a:pPr>
                    <a:defRPr sz="800" b="0">
                      <a:solidFill>
                        <a:schemeClr val="tx1"/>
                      </a:solidFill>
                      <a:cs typeface="Segoe UI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b="0">
                    <a:solidFill>
                      <a:schemeClr val="tx1"/>
                    </a:solidFill>
                  </a:defRPr>
                </a:pPr>
                <a:endParaRPr lang="ja-JP"/>
              </a:p>
            </c:txPr>
            <c:showLegendKey val="0"/>
            <c:showVal val="1"/>
            <c:showCatName val="0"/>
            <c:showSerName val="0"/>
            <c:showPercent val="0"/>
            <c:showBubbleSize val="0"/>
            <c:showLeaderLines val="0"/>
          </c:dLbls>
          <c:cat>
            <c:strRef>
              <c:f>Sheet1!$B$1:$M$1</c:f>
              <c:strCache>
                <c:ptCount val="12"/>
                <c:pt idx="0">
                  <c:v>産業の担い手の育成・確
保</c:v>
                </c:pt>
                <c:pt idx="1">
                  <c:v>農林漁業の生産地の強 
化 </c:v>
                </c:pt>
                <c:pt idx="2">
                  <c:v>観光の振興　　　　　  </c:v>
                </c:pt>
                <c:pt idx="3">
                  <c:v>地域の商店街等の活性 
化  </c:v>
                </c:pt>
                <c:pt idx="4">
                  <c:v>第一次産業などを核とし
た産業集積（地域産業ク
ラスター）</c:v>
                </c:pt>
                <c:pt idx="5">
                  <c:v>企業の誘致　　　      </c:v>
                </c:pt>
                <c:pt idx="6">
                  <c:v>県産品等の県外・海外 
での販売促進支援   </c:v>
                </c:pt>
                <c:pt idx="7">
                  <c:v>加工食品や機械などの 
ものづくり産業の振興 </c:v>
                </c:pt>
                <c:pt idx="8">
                  <c:v>県外からの移住の促進  </c:v>
                </c:pt>
                <c:pt idx="9">
                  <c:v>防災関連産業やコンテ 
ンツ関連産業などの新
たな産業の創出     </c:v>
                </c:pt>
                <c:pt idx="10">
                  <c:v>起業や新たな事業展開 
を志す方への支援  </c:v>
                </c:pt>
                <c:pt idx="11">
                  <c:v>その他　　　　　　    </c:v>
                </c:pt>
              </c:strCache>
            </c:strRef>
          </c:cat>
          <c:val>
            <c:numRef>
              <c:f>Sheet1!$B$3:$M$3</c:f>
              <c:numCache>
                <c:formatCode>0.0_);[Red]\(0.0\)</c:formatCode>
                <c:ptCount val="12"/>
                <c:pt idx="0">
                  <c:v>35.5</c:v>
                </c:pt>
                <c:pt idx="1">
                  <c:v>25.1</c:v>
                </c:pt>
                <c:pt idx="2">
                  <c:v>21.6</c:v>
                </c:pt>
                <c:pt idx="3">
                  <c:v>21.9</c:v>
                </c:pt>
                <c:pt idx="5">
                  <c:v>26</c:v>
                </c:pt>
                <c:pt idx="6">
                  <c:v>25.3</c:v>
                </c:pt>
                <c:pt idx="7">
                  <c:v>12.9</c:v>
                </c:pt>
                <c:pt idx="8">
                  <c:v>8.5</c:v>
                </c:pt>
                <c:pt idx="9">
                  <c:v>11.9</c:v>
                </c:pt>
                <c:pt idx="11">
                  <c:v>2.2999999999999998</c:v>
                </c:pt>
              </c:numCache>
            </c:numRef>
          </c:val>
        </c:ser>
        <c:ser>
          <c:idx val="1"/>
          <c:order val="2"/>
          <c:tx>
            <c:strRef>
              <c:f>Sheet1!$A$4</c:f>
              <c:strCache>
                <c:ptCount val="1"/>
                <c:pt idx="0">
                  <c:v>平成26年度</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horzOverflow="overflow"/>
                <a:lstStyle/>
                <a:p>
                  <a:pPr>
                    <a:defRPr sz="800" b="0">
                      <a:solidFill>
                        <a:schemeClr val="tx1"/>
                      </a:solidFill>
                      <a:latin typeface="Arial Black"/>
                      <a:cs typeface="Segoe UI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b="0">
                    <a:solidFill>
                      <a:schemeClr val="tx1"/>
                    </a:solidFill>
                  </a:defRPr>
                </a:pPr>
                <a:endParaRPr lang="ja-JP"/>
              </a:p>
            </c:txPr>
            <c:showLegendKey val="0"/>
            <c:showVal val="1"/>
            <c:showCatName val="0"/>
            <c:showSerName val="0"/>
            <c:showPercent val="0"/>
            <c:showBubbleSize val="0"/>
            <c:showLeaderLines val="0"/>
          </c:dLbls>
          <c:cat>
            <c:strRef>
              <c:f>Sheet1!$B$1:$M$1</c:f>
              <c:strCache>
                <c:ptCount val="12"/>
                <c:pt idx="0">
                  <c:v>産業の担い手の育成・確
保</c:v>
                </c:pt>
                <c:pt idx="1">
                  <c:v>農林漁業の生産地の強 
化 </c:v>
                </c:pt>
                <c:pt idx="2">
                  <c:v>観光の振興　　　　　  </c:v>
                </c:pt>
                <c:pt idx="3">
                  <c:v>地域の商店街等の活性 
化  </c:v>
                </c:pt>
                <c:pt idx="4">
                  <c:v>第一次産業などを核とし
た産業集積（地域産業ク
ラスター）</c:v>
                </c:pt>
                <c:pt idx="5">
                  <c:v>企業の誘致　　　      </c:v>
                </c:pt>
                <c:pt idx="6">
                  <c:v>県産品等の県外・海外 
での販売促進支援   </c:v>
                </c:pt>
                <c:pt idx="7">
                  <c:v>加工食品や機械などの 
ものづくり産業の振興 </c:v>
                </c:pt>
                <c:pt idx="8">
                  <c:v>県外からの移住の促進  </c:v>
                </c:pt>
                <c:pt idx="9">
                  <c:v>防災関連産業やコンテ 
ンツ関連産業などの新
たな産業の創出     </c:v>
                </c:pt>
                <c:pt idx="10">
                  <c:v>起業や新たな事業展開 
を志す方への支援  </c:v>
                </c:pt>
                <c:pt idx="11">
                  <c:v>その他　　　　　　    </c:v>
                </c:pt>
              </c:strCache>
            </c:strRef>
          </c:cat>
          <c:val>
            <c:numRef>
              <c:f>Sheet1!$B$4:$M$4</c:f>
              <c:numCache>
                <c:formatCode>0.0_);[Red]\(0.0\)</c:formatCode>
                <c:ptCount val="12"/>
                <c:pt idx="0">
                  <c:v>35.4</c:v>
                </c:pt>
                <c:pt idx="1">
                  <c:v>27.4</c:v>
                </c:pt>
                <c:pt idx="2">
                  <c:v>19.600000000000001</c:v>
                </c:pt>
                <c:pt idx="3">
                  <c:v>20.6</c:v>
                </c:pt>
                <c:pt idx="5">
                  <c:v>27.6</c:v>
                </c:pt>
                <c:pt idx="6">
                  <c:v>24.5</c:v>
                </c:pt>
                <c:pt idx="7">
                  <c:v>13.6</c:v>
                </c:pt>
                <c:pt idx="8">
                  <c:v>9.1</c:v>
                </c:pt>
                <c:pt idx="9">
                  <c:v>10.7</c:v>
                </c:pt>
                <c:pt idx="11">
                  <c:v>2.6</c:v>
                </c:pt>
              </c:numCache>
            </c:numRef>
          </c:val>
        </c:ser>
        <c:ser>
          <c:idx val="3"/>
          <c:order val="3"/>
          <c:tx>
            <c:strRef>
              <c:f>Sheet1!$A$5</c:f>
              <c:strCache>
                <c:ptCount val="1"/>
                <c:pt idx="0">
                  <c:v>平成25年度</c:v>
                </c:pt>
              </c:strCache>
            </c:strRef>
          </c:tx>
          <c:spPr>
            <a:solidFill>
              <a:sysClr val="window" lastClr="FFFFFF"/>
            </a:solidFill>
            <a:ln>
              <a:solidFill>
                <a:sysClr val="windowText" lastClr="000000"/>
              </a:solidFill>
            </a:ln>
          </c:spPr>
          <c:invertIfNegative val="0"/>
          <c:dLbls>
            <c:dLbl>
              <c:idx val="1"/>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b="0">
                    <a:solidFill>
                      <a:schemeClr val="tx1"/>
                    </a:solidFill>
                  </a:defRPr>
                </a:pPr>
                <a:endParaRPr lang="ja-JP"/>
              </a:p>
            </c:txPr>
            <c:showLegendKey val="0"/>
            <c:showVal val="1"/>
            <c:showCatName val="0"/>
            <c:showSerName val="0"/>
            <c:showPercent val="0"/>
            <c:showBubbleSize val="0"/>
            <c:showLeaderLines val="0"/>
          </c:dLbls>
          <c:cat>
            <c:strRef>
              <c:f>Sheet1!$B$1:$M$1</c:f>
              <c:strCache>
                <c:ptCount val="12"/>
                <c:pt idx="0">
                  <c:v>産業の担い手の育成・確
保</c:v>
                </c:pt>
                <c:pt idx="1">
                  <c:v>農林漁業の生産地の強 
化 </c:v>
                </c:pt>
                <c:pt idx="2">
                  <c:v>観光の振興　　　　　  </c:v>
                </c:pt>
                <c:pt idx="3">
                  <c:v>地域の商店街等の活性 
化  </c:v>
                </c:pt>
                <c:pt idx="4">
                  <c:v>第一次産業などを核とし
た産業集積（地域産業ク
ラスター）</c:v>
                </c:pt>
                <c:pt idx="5">
                  <c:v>企業の誘致　　　      </c:v>
                </c:pt>
                <c:pt idx="6">
                  <c:v>県産品等の県外・海外 
での販売促進支援   </c:v>
                </c:pt>
                <c:pt idx="7">
                  <c:v>加工食品や機械などの 
ものづくり産業の振興 </c:v>
                </c:pt>
                <c:pt idx="8">
                  <c:v>県外からの移住の促進  </c:v>
                </c:pt>
                <c:pt idx="9">
                  <c:v>防災関連産業やコンテ 
ンツ関連産業などの新
たな産業の創出     </c:v>
                </c:pt>
                <c:pt idx="10">
                  <c:v>起業や新たな事業展開 
を志す方への支援  </c:v>
                </c:pt>
                <c:pt idx="11">
                  <c:v>その他　　　　　　    </c:v>
                </c:pt>
              </c:strCache>
            </c:strRef>
          </c:cat>
          <c:val>
            <c:numRef>
              <c:f>Sheet1!$B$5:$M$5</c:f>
              <c:numCache>
                <c:formatCode>0.0_);[Red]\(0.0\)</c:formatCode>
                <c:ptCount val="12"/>
                <c:pt idx="0">
                  <c:v>31.1</c:v>
                </c:pt>
                <c:pt idx="1">
                  <c:v>32.200000000000003</c:v>
                </c:pt>
                <c:pt idx="2">
                  <c:v>19.399999999999999</c:v>
                </c:pt>
                <c:pt idx="3">
                  <c:v>22.8</c:v>
                </c:pt>
                <c:pt idx="5">
                  <c:v>27.2</c:v>
                </c:pt>
                <c:pt idx="6">
                  <c:v>23.9</c:v>
                </c:pt>
                <c:pt idx="7">
                  <c:v>14.2</c:v>
                </c:pt>
                <c:pt idx="8">
                  <c:v>7.7</c:v>
                </c:pt>
                <c:pt idx="9">
                  <c:v>10.8</c:v>
                </c:pt>
                <c:pt idx="11">
                  <c:v>1.2</c:v>
                </c:pt>
              </c:numCache>
            </c:numRef>
          </c:val>
        </c:ser>
        <c:dLbls>
          <c:showLegendKey val="0"/>
          <c:showVal val="1"/>
          <c:showCatName val="0"/>
          <c:showSerName val="0"/>
          <c:showPercent val="0"/>
          <c:showBubbleSize val="0"/>
        </c:dLbls>
        <c:gapWidth val="75"/>
        <c:axId val="181708672"/>
        <c:axId val="181710208"/>
      </c:barChart>
      <c:catAx>
        <c:axId val="181708672"/>
        <c:scaling>
          <c:orientation val="maxMin"/>
        </c:scaling>
        <c:delete val="0"/>
        <c:axPos val="l"/>
        <c:numFmt formatCode="0.0_);[Red]\(0.0\)" sourceLinked="1"/>
        <c:majorTickMark val="in"/>
        <c:minorTickMark val="none"/>
        <c:tickLblPos val="nextTo"/>
        <c:spPr>
          <a:ln>
            <a:solidFill>
              <a:schemeClr val="tx1"/>
            </a:solidFill>
          </a:ln>
        </c:spPr>
        <c:txPr>
          <a:bodyPr horzOverflow="overflow" anchor="ctr"/>
          <a:lstStyle/>
          <a:p>
            <a:pPr algn="just" rtl="0">
              <a:defRPr sz="800">
                <a:solidFill>
                  <a:schemeClr val="tx1"/>
                </a:solidFill>
              </a:defRPr>
            </a:pPr>
            <a:endParaRPr lang="ja-JP"/>
          </a:p>
        </c:txPr>
        <c:crossAx val="181710208"/>
        <c:crosses val="autoZero"/>
        <c:auto val="1"/>
        <c:lblAlgn val="ctr"/>
        <c:lblOffset val="100"/>
        <c:noMultiLvlLbl val="0"/>
      </c:catAx>
      <c:valAx>
        <c:axId val="181710208"/>
        <c:scaling>
          <c:orientation val="minMax"/>
          <c:max val="50"/>
        </c:scaling>
        <c:delete val="0"/>
        <c:axPos val="t"/>
        <c:numFmt formatCode="#&quot;%&quot;;;&quot;0%&quot;;" sourceLinked="0"/>
        <c:majorTickMark val="in"/>
        <c:minorTickMark val="none"/>
        <c:tickLblPos val="nextTo"/>
        <c:spPr>
          <a:ln>
            <a:solidFill>
              <a:schemeClr val="tx1"/>
            </a:solidFill>
          </a:ln>
        </c:spPr>
        <c:txPr>
          <a:bodyPr anchor="ctr"/>
          <a:lstStyle/>
          <a:p>
            <a:pPr algn="ctr" rtl="0">
              <a:defRPr sz="900">
                <a:solidFill>
                  <a:schemeClr val="tx1"/>
                </a:solidFill>
              </a:defRPr>
            </a:pPr>
            <a:endParaRPr lang="ja-JP"/>
          </a:p>
        </c:txPr>
        <c:crossAx val="181708672"/>
        <c:crosses val="autoZero"/>
        <c:crossBetween val="between"/>
        <c:majorUnit val="10"/>
      </c:valAx>
      <c:spPr>
        <a:ln>
          <a:noFill/>
        </a:ln>
      </c:spPr>
    </c:plotArea>
    <c:legend>
      <c:legendPos val="r"/>
      <c:layout>
        <c:manualLayout>
          <c:xMode val="edge"/>
          <c:yMode val="edge"/>
          <c:x val="0.69529529529529865"/>
          <c:y val="0.8025919859013213"/>
          <c:w val="0.23663663663663664"/>
          <c:h val="0.13895743663318991"/>
        </c:manualLayout>
      </c:layout>
      <c:overlay val="0"/>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900">
          <a:solidFill>
            <a:schemeClr val="tx1"/>
          </a:solidFill>
          <a:latin typeface="ＭＳ 明朝"/>
          <a:ea typeface="ＭＳ 明朝"/>
        </a:defRPr>
      </a:pPr>
      <a:endParaRPr lang="ja-JP"/>
    </a:p>
  </c:txPr>
  <c:externalData r:id="rId2">
    <c:autoUpdate val="0"/>
  </c:externalData>
  <c:userShapes r:id="rId3"/>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20798082098238"/>
          <c:y val="4.5945260968926364E-2"/>
          <c:w val="0.73137943264494343"/>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4"/>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Sheet1!$B$2:$B$9</c:f>
              <c:numCache>
                <c:formatCode>0.0_);[Red]\(0.0\)</c:formatCode>
                <c:ptCount val="8"/>
                <c:pt idx="0">
                  <c:v>33.300000000000004</c:v>
                </c:pt>
                <c:pt idx="1">
                  <c:v>32.200000000000003</c:v>
                </c:pt>
                <c:pt idx="2">
                  <c:v>29.9</c:v>
                </c:pt>
                <c:pt idx="3">
                  <c:v>29.9</c:v>
                </c:pt>
                <c:pt idx="4">
                  <c:v>40.200000000000003</c:v>
                </c:pt>
                <c:pt idx="5">
                  <c:v>12.6</c:v>
                </c:pt>
                <c:pt idx="6">
                  <c:v>6.9</c:v>
                </c:pt>
                <c:pt idx="7">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Sheet1!$C$2:$C$9</c:f>
              <c:numCache>
                <c:formatCode>0.0_);[Red]\(0.0\)</c:formatCode>
                <c:ptCount val="8"/>
                <c:pt idx="0">
                  <c:v>37.1</c:v>
                </c:pt>
                <c:pt idx="1">
                  <c:v>35.1</c:v>
                </c:pt>
                <c:pt idx="2">
                  <c:v>24.8</c:v>
                </c:pt>
                <c:pt idx="3">
                  <c:v>25.7</c:v>
                </c:pt>
                <c:pt idx="4">
                  <c:v>34.700000000000003</c:v>
                </c:pt>
                <c:pt idx="5">
                  <c:v>15.3</c:v>
                </c:pt>
                <c:pt idx="6">
                  <c:v>17.8</c:v>
                </c:pt>
                <c:pt idx="7">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Sheet1!$D$2:$D$9</c:f>
              <c:numCache>
                <c:formatCode>0.0_);[Red]\(0.0\)</c:formatCode>
                <c:ptCount val="8"/>
                <c:pt idx="0">
                  <c:v>36.4</c:v>
                </c:pt>
                <c:pt idx="1">
                  <c:v>40.700000000000003</c:v>
                </c:pt>
                <c:pt idx="2">
                  <c:v>25.3</c:v>
                </c:pt>
                <c:pt idx="3">
                  <c:v>28.9</c:v>
                </c:pt>
                <c:pt idx="4">
                  <c:v>28.5</c:v>
                </c:pt>
                <c:pt idx="5">
                  <c:v>15.8</c:v>
                </c:pt>
                <c:pt idx="6">
                  <c:v>12.3</c:v>
                </c:pt>
                <c:pt idx="7">
                  <c:v>0.8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Sheet1!$E$2:$E$9</c:f>
              <c:numCache>
                <c:formatCode>0.0_);[Red]\(0.0\)</c:formatCode>
                <c:ptCount val="8"/>
                <c:pt idx="0">
                  <c:v>39.1</c:v>
                </c:pt>
                <c:pt idx="1">
                  <c:v>37.4</c:v>
                </c:pt>
                <c:pt idx="2">
                  <c:v>29.4</c:v>
                </c:pt>
                <c:pt idx="3">
                  <c:v>26.3</c:v>
                </c:pt>
                <c:pt idx="4">
                  <c:v>21.1</c:v>
                </c:pt>
                <c:pt idx="5">
                  <c:v>19.7</c:v>
                </c:pt>
                <c:pt idx="6">
                  <c:v>16.3</c:v>
                </c:pt>
                <c:pt idx="7">
                  <c:v>0</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Sheet1!$F$2:$F$9</c:f>
              <c:numCache>
                <c:formatCode>0.0_);[Red]\(0.0\)</c:formatCode>
                <c:ptCount val="8"/>
                <c:pt idx="0">
                  <c:v>49.6</c:v>
                </c:pt>
                <c:pt idx="1">
                  <c:v>32.4</c:v>
                </c:pt>
                <c:pt idx="2">
                  <c:v>30</c:v>
                </c:pt>
                <c:pt idx="3">
                  <c:v>25.9</c:v>
                </c:pt>
                <c:pt idx="4">
                  <c:v>16.600000000000001</c:v>
                </c:pt>
                <c:pt idx="5">
                  <c:v>21.9</c:v>
                </c:pt>
                <c:pt idx="6">
                  <c:v>12.5</c:v>
                </c:pt>
                <c:pt idx="7">
                  <c:v>1.2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Sheet1!$G$2:$G$9</c:f>
              <c:numCache>
                <c:formatCode>0.0_);[Red]\(0.0\)</c:formatCode>
                <c:ptCount val="8"/>
                <c:pt idx="0">
                  <c:v>54.4</c:v>
                </c:pt>
                <c:pt idx="1">
                  <c:v>23</c:v>
                </c:pt>
                <c:pt idx="2">
                  <c:v>33</c:v>
                </c:pt>
                <c:pt idx="3">
                  <c:v>27.6</c:v>
                </c:pt>
                <c:pt idx="4">
                  <c:v>16.100000000000001</c:v>
                </c:pt>
                <c:pt idx="5">
                  <c:v>28.4</c:v>
                </c:pt>
                <c:pt idx="6">
                  <c:v>9.6</c:v>
                </c:pt>
                <c:pt idx="7">
                  <c:v>0.8</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spPr>
                <a:solidFill>
                  <a:sysClr val="window" lastClr="FFFFFF"/>
                </a:solidFill>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日常生活を支える国道や
県道等の整備</c:v>
                </c:pt>
                <c:pt idx="1">
                  <c:v>他の地域とのつながりを
強化する高速道路等の
整備</c:v>
                </c:pt>
                <c:pt idx="2">
                  <c:v>既存インフラの維持管理
や老朽化対策</c:v>
                </c:pt>
                <c:pt idx="3">
                  <c:v>公共交通機関の維持確保</c:v>
                </c:pt>
                <c:pt idx="4">
                  <c:v>南海トラフ地震を見据え
た大規模防波堤等の整
備</c:v>
                </c:pt>
                <c:pt idx="5">
                  <c:v>風水害に対する河川や海
岸等の整備</c:v>
                </c:pt>
                <c:pt idx="6">
                  <c:v>高速道路や空港、港湾等
を活用した物流対策</c:v>
                </c:pt>
                <c:pt idx="7">
                  <c:v>その他　　　　　　　　</c:v>
                </c:pt>
              </c:strCache>
            </c:strRef>
          </c:cat>
          <c:val>
            <c:numRef>
              <c:f>Sheet1!$H$2:$H$9</c:f>
              <c:numCache>
                <c:formatCode>0.0_);[Red]\(0.0\)</c:formatCode>
                <c:ptCount val="8"/>
                <c:pt idx="0">
                  <c:v>65.3</c:v>
                </c:pt>
                <c:pt idx="1">
                  <c:v>18.399999999999999</c:v>
                </c:pt>
                <c:pt idx="2">
                  <c:v>27.6</c:v>
                </c:pt>
                <c:pt idx="3">
                  <c:v>36.700000000000003</c:v>
                </c:pt>
                <c:pt idx="4">
                  <c:v>16.3</c:v>
                </c:pt>
                <c:pt idx="5">
                  <c:v>24.5</c:v>
                </c:pt>
                <c:pt idx="6">
                  <c:v>7.1</c:v>
                </c:pt>
                <c:pt idx="7">
                  <c:v>0</c:v>
                </c:pt>
              </c:numCache>
            </c:numRef>
          </c:val>
        </c:ser>
        <c:dLbls>
          <c:showLegendKey val="0"/>
          <c:showVal val="1"/>
          <c:showCatName val="0"/>
          <c:showSerName val="0"/>
          <c:showPercent val="0"/>
          <c:showBubbleSize val="0"/>
        </c:dLbls>
        <c:gapWidth val="100"/>
        <c:axId val="224206848"/>
        <c:axId val="224208384"/>
      </c:barChart>
      <c:catAx>
        <c:axId val="22420684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4208384"/>
        <c:crosses val="autoZero"/>
        <c:auto val="1"/>
        <c:lblAlgn val="ctr"/>
        <c:lblOffset val="100"/>
        <c:noMultiLvlLbl val="0"/>
      </c:catAx>
      <c:valAx>
        <c:axId val="224208384"/>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420684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98420488138331"/>
          <c:y val="3.8354251629593647E-2"/>
          <c:w val="0.5056425537410445"/>
          <c:h val="0.93057339855473586"/>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3"/>
              <c:dLblPos val="outEnd"/>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Sheet1!$B$2:$I$2</c:f>
              <c:numCache>
                <c:formatCode>0.0_);[Red]\(0.0\)</c:formatCode>
                <c:ptCount val="8"/>
                <c:pt idx="0">
                  <c:v>40.9</c:v>
                </c:pt>
                <c:pt idx="1">
                  <c:v>44.6</c:v>
                </c:pt>
                <c:pt idx="2">
                  <c:v>40.200000000000003</c:v>
                </c:pt>
                <c:pt idx="3">
                  <c:v>19.7</c:v>
                </c:pt>
                <c:pt idx="4">
                  <c:v>20.7</c:v>
                </c:pt>
                <c:pt idx="5">
                  <c:v>14.5</c:v>
                </c:pt>
                <c:pt idx="6">
                  <c:v>11.2</c:v>
                </c:pt>
                <c:pt idx="7">
                  <c:v>0.70000000000000062</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c:txPr>
                <a:bodyPr/>
                <a:lstStyle/>
                <a:p>
                  <a:pPr>
                    <a:defRPr sz="800" b="0">
                      <a:latin typeface="ＭＳ 明朝" panose="02020609040205080304" pitchFamily="17" charset="-128"/>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dLbl>
              <c:idx val="2"/>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Sheet1!$B$3:$I$3</c:f>
              <c:numCache>
                <c:formatCode>0.0_);[Red]\(0.0\)</c:formatCode>
                <c:ptCount val="8"/>
                <c:pt idx="0">
                  <c:v>38.6</c:v>
                </c:pt>
                <c:pt idx="1">
                  <c:v>41.3</c:v>
                </c:pt>
                <c:pt idx="2">
                  <c:v>48.8</c:v>
                </c:pt>
                <c:pt idx="3">
                  <c:v>15.5</c:v>
                </c:pt>
                <c:pt idx="4">
                  <c:v>21.9</c:v>
                </c:pt>
                <c:pt idx="5">
                  <c:v>15</c:v>
                </c:pt>
                <c:pt idx="6">
                  <c:v>8</c:v>
                </c:pt>
                <c:pt idx="7">
                  <c:v>1.4</c:v>
                </c:pt>
              </c:numCache>
            </c:numRef>
          </c:val>
        </c:ser>
        <c:ser>
          <c:idx val="1"/>
          <c:order val="2"/>
          <c:tx>
            <c:strRef>
              <c:f>Sheet1!$A$4</c:f>
              <c:strCache>
                <c:ptCount val="1"/>
                <c:pt idx="0">
                  <c:v>平成26年度</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spPr/>
              <c:txPr>
                <a:bodyPr/>
                <a:lstStyle/>
                <a:p>
                  <a:pPr>
                    <a:defRPr sz="800" b="0">
                      <a:latin typeface="ＭＳ 明朝" panose="02020609040205080304" pitchFamily="17" charset="-128"/>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Sheet1!$B$4:$I$4</c:f>
              <c:numCache>
                <c:formatCode>0.0_);[Red]\(0.0\)</c:formatCode>
                <c:ptCount val="8"/>
                <c:pt idx="0">
                  <c:v>37.4</c:v>
                </c:pt>
                <c:pt idx="1">
                  <c:v>42.1</c:v>
                </c:pt>
                <c:pt idx="2">
                  <c:v>38.1</c:v>
                </c:pt>
                <c:pt idx="3">
                  <c:v>22.8</c:v>
                </c:pt>
                <c:pt idx="4">
                  <c:v>17.2</c:v>
                </c:pt>
                <c:pt idx="5">
                  <c:v>22.4</c:v>
                </c:pt>
                <c:pt idx="6">
                  <c:v>7.7</c:v>
                </c:pt>
                <c:pt idx="7">
                  <c:v>0.9</c:v>
                </c:pt>
              </c:numCache>
            </c:numRef>
          </c:val>
        </c:ser>
        <c:ser>
          <c:idx val="3"/>
          <c:order val="3"/>
          <c:tx>
            <c:strRef>
              <c:f>Sheet1!$A$5</c:f>
              <c:strCache>
                <c:ptCount val="1"/>
                <c:pt idx="0">
                  <c:v>平成25年度</c:v>
                </c:pt>
              </c:strCache>
            </c:strRef>
          </c:tx>
          <c:spPr>
            <a:solidFill>
              <a:sysClr val="window" lastClr="FFFFFF"/>
            </a:solidFill>
            <a:ln>
              <a:solidFill>
                <a:sysClr val="windowText" lastClr="000000"/>
              </a:solidFill>
            </a:ln>
          </c:spPr>
          <c:invertIfNegative val="0"/>
          <c:dLbls>
            <c:dLbl>
              <c:idx val="0"/>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Sheet1!$B$5:$I$5</c:f>
              <c:numCache>
                <c:formatCode>0.0_);[Red]\(0.0\)</c:formatCode>
                <c:ptCount val="8"/>
                <c:pt idx="0">
                  <c:v>38.800000000000004</c:v>
                </c:pt>
                <c:pt idx="1">
                  <c:v>41.9</c:v>
                </c:pt>
                <c:pt idx="2">
                  <c:v>36.6</c:v>
                </c:pt>
                <c:pt idx="3">
                  <c:v>22.6</c:v>
                </c:pt>
                <c:pt idx="4">
                  <c:v>17.3</c:v>
                </c:pt>
                <c:pt idx="5">
                  <c:v>21.8</c:v>
                </c:pt>
                <c:pt idx="6">
                  <c:v>9.2000000000000011</c:v>
                </c:pt>
                <c:pt idx="7">
                  <c:v>0.9</c:v>
                </c:pt>
              </c:numCache>
            </c:numRef>
          </c:val>
        </c:ser>
        <c:dLbls>
          <c:showLegendKey val="0"/>
          <c:showVal val="1"/>
          <c:showCatName val="0"/>
          <c:showSerName val="0"/>
          <c:showPercent val="0"/>
          <c:showBubbleSize val="0"/>
        </c:dLbls>
        <c:gapWidth val="75"/>
        <c:axId val="224272768"/>
        <c:axId val="224274304"/>
      </c:barChart>
      <c:catAx>
        <c:axId val="224272768"/>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4274304"/>
        <c:crosses val="autoZero"/>
        <c:auto val="1"/>
        <c:lblAlgn val="ctr"/>
        <c:lblOffset val="100"/>
        <c:noMultiLvlLbl val="0"/>
      </c:catAx>
      <c:valAx>
        <c:axId val="224274304"/>
        <c:scaling>
          <c:orientation val="minMax"/>
          <c:max val="50"/>
        </c:scaling>
        <c:delete val="0"/>
        <c:axPos val="t"/>
        <c:numFmt formatCode="#&quot;%&quot;;;&quot;0%&quot;;" sourceLinked="0"/>
        <c:majorTickMark val="in"/>
        <c:minorTickMark val="none"/>
        <c:tickLblPos val="nextTo"/>
        <c:spPr>
          <a:ln>
            <a:solidFill>
              <a:schemeClr val="tx1"/>
            </a:solidFill>
          </a:ln>
        </c:spPr>
        <c:crossAx val="224272768"/>
        <c:crosses val="autoZero"/>
        <c:crossBetween val="between"/>
        <c:majorUnit val="10"/>
      </c:valAx>
      <c:spPr>
        <a:ln>
          <a:noFill/>
        </a:ln>
      </c:spPr>
    </c:plotArea>
    <c:legend>
      <c:legendPos val="r"/>
      <c:layout>
        <c:manualLayout>
          <c:xMode val="edge"/>
          <c:yMode val="edge"/>
          <c:x val="0.69529529529529865"/>
          <c:y val="0.8025919859013213"/>
          <c:w val="0.23663663663663664"/>
          <c:h val="0.13895743663318991"/>
        </c:manualLayout>
      </c:layout>
      <c:overlay val="0"/>
    </c:legend>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ja-JP" altLang="en-US"/>
              <a:t>平成</a:t>
            </a:r>
            <a:r>
              <a:rPr lang="en-US" altLang="ja-JP"/>
              <a:t>29</a:t>
            </a:r>
            <a:r>
              <a:rPr lang="ja-JP" altLang="en-US"/>
              <a:t>年度</a:t>
            </a:r>
          </a:p>
        </c:rich>
      </c:tx>
      <c:layout>
        <c:manualLayout>
          <c:xMode val="edge"/>
          <c:yMode val="edge"/>
          <c:x val="0.70250730598971856"/>
          <c:y val="0.83306144643830671"/>
        </c:manualLayout>
      </c:layout>
      <c:overlay val="0"/>
      <c:spPr>
        <a:ln>
          <a:solidFill>
            <a:sysClr val="windowText" lastClr="000000"/>
          </a:solidFill>
        </a:ln>
      </c:spPr>
    </c:title>
    <c:autoTitleDeleted val="0"/>
    <c:plotArea>
      <c:layout>
        <c:manualLayout>
          <c:layoutTarget val="inner"/>
          <c:xMode val="edge"/>
          <c:yMode val="edge"/>
          <c:x val="0.38922051161515914"/>
          <c:y val="4.9931381895650023E-2"/>
          <c:w val="0.54413455167853175"/>
          <c:h val="0.94032560615238903"/>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layout>
                <c:manualLayout>
                  <c:x val="-1.5920398009950303E-2"/>
                  <c:y val="8.9212270304379352E-18"/>
                </c:manualLayout>
              </c:layout>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873168499744787E-2"/>
                  <c:y val="0"/>
                </c:manualLayout>
              </c:layout>
              <c:spPr/>
              <c:txPr>
                <a:bodyPr/>
                <a:lstStyle/>
                <a:p>
                  <a:pPr>
                    <a:defRPr>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Sheet1!$B$2:$I$2</c:f>
              <c:numCache>
                <c:formatCode>0.0</c:formatCode>
                <c:ptCount val="8"/>
                <c:pt idx="0">
                  <c:v>45.3</c:v>
                </c:pt>
                <c:pt idx="1">
                  <c:v>45.1</c:v>
                </c:pt>
                <c:pt idx="2">
                  <c:v>37.4</c:v>
                </c:pt>
                <c:pt idx="3">
                  <c:v>21.8</c:v>
                </c:pt>
                <c:pt idx="4">
                  <c:v>18.3</c:v>
                </c:pt>
                <c:pt idx="5">
                  <c:v>14.4</c:v>
                </c:pt>
                <c:pt idx="6">
                  <c:v>8.5</c:v>
                </c:pt>
                <c:pt idx="7">
                  <c:v>0.70000000000000062</c:v>
                </c:pt>
              </c:numCache>
            </c:numRef>
          </c:val>
        </c:ser>
        <c:dLbls>
          <c:showLegendKey val="0"/>
          <c:showVal val="1"/>
          <c:showCatName val="0"/>
          <c:showSerName val="0"/>
          <c:showPercent val="0"/>
          <c:showBubbleSize val="0"/>
        </c:dLbls>
        <c:gapWidth val="75"/>
        <c:axId val="224424704"/>
        <c:axId val="224426240"/>
      </c:barChart>
      <c:catAx>
        <c:axId val="224424704"/>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4426240"/>
        <c:crosses val="autoZero"/>
        <c:auto val="1"/>
        <c:lblAlgn val="ctr"/>
        <c:lblOffset val="100"/>
        <c:noMultiLvlLbl val="0"/>
      </c:catAx>
      <c:valAx>
        <c:axId val="224426240"/>
        <c:scaling>
          <c:orientation val="minMax"/>
          <c:max val="50"/>
        </c:scaling>
        <c:delete val="0"/>
        <c:axPos val="t"/>
        <c:numFmt formatCode="#&quot;%&quot;;;&quot;0%&quot;;" sourceLinked="0"/>
        <c:majorTickMark val="in"/>
        <c:minorTickMark val="none"/>
        <c:tickLblPos val="nextTo"/>
        <c:spPr>
          <a:ln>
            <a:solidFill>
              <a:schemeClr val="tx1"/>
            </a:solidFill>
          </a:ln>
        </c:spPr>
        <c:crossAx val="224424704"/>
        <c:crosses val="autoZero"/>
        <c:crossBetween val="between"/>
        <c:majorUnit val="10"/>
      </c:valAx>
      <c:spPr>
        <a:ln>
          <a:noFill/>
        </a:ln>
      </c:spPr>
    </c:plotArea>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13883295760893"/>
          <c:y val="4.5945260968926364E-2"/>
          <c:w val="0.73377680949732582"/>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Sheet1!$B$2:$B$9</c:f>
              <c:numCache>
                <c:formatCode>0.0_);[Red]\(0.0\)</c:formatCode>
                <c:ptCount val="8"/>
                <c:pt idx="0">
                  <c:v>42.9</c:v>
                </c:pt>
                <c:pt idx="1">
                  <c:v>42</c:v>
                </c:pt>
                <c:pt idx="2">
                  <c:v>38.4</c:v>
                </c:pt>
                <c:pt idx="3">
                  <c:v>21.7</c:v>
                </c:pt>
                <c:pt idx="4">
                  <c:v>20.399999999999999</c:v>
                </c:pt>
                <c:pt idx="5">
                  <c:v>15.4</c:v>
                </c:pt>
                <c:pt idx="6">
                  <c:v>10.1</c:v>
                </c:pt>
                <c:pt idx="7">
                  <c:v>0.70000000000000062</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Sheet1!$C$2:$C$9</c:f>
              <c:numCache>
                <c:formatCode>0.0_);[Red]\(0.0\)</c:formatCode>
                <c:ptCount val="8"/>
                <c:pt idx="0">
                  <c:v>47.2</c:v>
                </c:pt>
                <c:pt idx="1">
                  <c:v>47.9</c:v>
                </c:pt>
                <c:pt idx="2">
                  <c:v>36.800000000000004</c:v>
                </c:pt>
                <c:pt idx="3">
                  <c:v>21.7</c:v>
                </c:pt>
                <c:pt idx="4">
                  <c:v>16.5</c:v>
                </c:pt>
                <c:pt idx="5">
                  <c:v>13.7</c:v>
                </c:pt>
                <c:pt idx="6">
                  <c:v>7.3</c:v>
                </c:pt>
                <c:pt idx="7">
                  <c:v>0.60000000000000064</c:v>
                </c:pt>
              </c:numCache>
            </c:numRef>
          </c:val>
        </c:ser>
        <c:dLbls>
          <c:showLegendKey val="0"/>
          <c:showVal val="1"/>
          <c:showCatName val="0"/>
          <c:showSerName val="0"/>
          <c:showPercent val="0"/>
          <c:showBubbleSize val="0"/>
        </c:dLbls>
        <c:gapWidth val="100"/>
        <c:axId val="224535680"/>
        <c:axId val="224537216"/>
      </c:barChart>
      <c:catAx>
        <c:axId val="224535680"/>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4537216"/>
        <c:crosses val="autoZero"/>
        <c:auto val="1"/>
        <c:lblAlgn val="ctr"/>
        <c:lblOffset val="100"/>
        <c:noMultiLvlLbl val="0"/>
      </c:catAx>
      <c:valAx>
        <c:axId val="224537216"/>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4535680"/>
        <c:crosses val="autoZero"/>
        <c:crossBetween val="between"/>
        <c:majorUnit val="10"/>
      </c:valAx>
      <c:spPr>
        <a:ln>
          <a:solidFill>
            <a:schemeClr val="tx1"/>
          </a:solidFill>
        </a:ln>
      </c:spPr>
    </c:plotArea>
    <c:legend>
      <c:legendPos val="b"/>
      <c:layout>
        <c:manualLayout>
          <c:xMode val="edge"/>
          <c:yMode val="edge"/>
          <c:x val="0.85174590619100643"/>
          <c:y val="0.84530990523272376"/>
          <c:w val="8.7867943447708305E-2"/>
          <c:h val="0.114987570566120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1"/>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Sheet1!$B$2:$B$9</c:f>
              <c:numCache>
                <c:formatCode>0.0_);[Red]\(0.0\)</c:formatCode>
                <c:ptCount val="8"/>
                <c:pt idx="0">
                  <c:v>43.7</c:v>
                </c:pt>
                <c:pt idx="1">
                  <c:v>48.3</c:v>
                </c:pt>
                <c:pt idx="2">
                  <c:v>34.5</c:v>
                </c:pt>
                <c:pt idx="3">
                  <c:v>31</c:v>
                </c:pt>
                <c:pt idx="4">
                  <c:v>14.9</c:v>
                </c:pt>
                <c:pt idx="5">
                  <c:v>12.6</c:v>
                </c:pt>
                <c:pt idx="6">
                  <c:v>3.4</c:v>
                </c:pt>
                <c:pt idx="7">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1"/>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Sheet1!$C$2:$C$9</c:f>
              <c:numCache>
                <c:formatCode>0.0_);[Red]\(0.0\)</c:formatCode>
                <c:ptCount val="8"/>
                <c:pt idx="0">
                  <c:v>41.6</c:v>
                </c:pt>
                <c:pt idx="1">
                  <c:v>49.5</c:v>
                </c:pt>
                <c:pt idx="2">
                  <c:v>31.7</c:v>
                </c:pt>
                <c:pt idx="3">
                  <c:v>28.7</c:v>
                </c:pt>
                <c:pt idx="4">
                  <c:v>16.3</c:v>
                </c:pt>
                <c:pt idx="5">
                  <c:v>10.9</c:v>
                </c:pt>
                <c:pt idx="6">
                  <c:v>4.5</c:v>
                </c:pt>
                <c:pt idx="7">
                  <c:v>1</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1"/>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Sheet1!$D$2:$D$9</c:f>
              <c:numCache>
                <c:formatCode>0.0_);[Red]\(0.0\)</c:formatCode>
                <c:ptCount val="8"/>
                <c:pt idx="0">
                  <c:v>47</c:v>
                </c:pt>
                <c:pt idx="1">
                  <c:v>48.6</c:v>
                </c:pt>
                <c:pt idx="2">
                  <c:v>33.200000000000003</c:v>
                </c:pt>
                <c:pt idx="3">
                  <c:v>25.7</c:v>
                </c:pt>
                <c:pt idx="4">
                  <c:v>14.2</c:v>
                </c:pt>
                <c:pt idx="5">
                  <c:v>12.3</c:v>
                </c:pt>
                <c:pt idx="6">
                  <c:v>5.5</c:v>
                </c:pt>
                <c:pt idx="7">
                  <c:v>0.8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dLbl>
              <c:idx val="1"/>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Sheet1!$E$2:$E$9</c:f>
              <c:numCache>
                <c:formatCode>0.0_);[Red]\(0.0\)</c:formatCode>
                <c:ptCount val="8"/>
                <c:pt idx="0">
                  <c:v>49.1</c:v>
                </c:pt>
                <c:pt idx="1">
                  <c:v>43.1</c:v>
                </c:pt>
                <c:pt idx="2">
                  <c:v>41.4</c:v>
                </c:pt>
                <c:pt idx="3">
                  <c:v>22.3</c:v>
                </c:pt>
                <c:pt idx="4">
                  <c:v>14.9</c:v>
                </c:pt>
                <c:pt idx="5">
                  <c:v>17.7</c:v>
                </c:pt>
                <c:pt idx="6">
                  <c:v>6.9</c:v>
                </c:pt>
                <c:pt idx="7">
                  <c:v>0.60000000000000064</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1"/>
              <c:spPr>
                <a:noFill/>
                <a:ln>
                  <a:noFill/>
                </a:ln>
                <a:effectLst/>
              </c:spPr>
              <c:txPr>
                <a:bodyPr/>
                <a:lstStyle/>
                <a:p>
                  <a:pPr>
                    <a:defRPr sz="900">
                      <a:latin typeface="Arial Black" panose="020B0A04020102020204" pitchFamily="34" charset="0"/>
                      <a:ea typeface="ＭＳ 明朝" panose="02020609040205080304" pitchFamily="17" charset="-128"/>
                    </a:defRPr>
                  </a:pPr>
                  <a:endParaRPr lang="ja-JP"/>
                </a:p>
              </c:txPr>
              <c:dLblPos val="outEnd"/>
              <c:showLegendKey val="0"/>
              <c:showVal val="1"/>
              <c:showCatName val="0"/>
              <c:showSerName val="0"/>
              <c:showPercent val="0"/>
              <c:showBubbleSize val="0"/>
            </c:dLbl>
            <c:spPr>
              <a:noFill/>
              <a:ln>
                <a:noFill/>
              </a:ln>
              <a:effectLst/>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Sheet1!$F$2:$F$9</c:f>
              <c:numCache>
                <c:formatCode>0.0_);[Red]\(0.0\)</c:formatCode>
                <c:ptCount val="8"/>
                <c:pt idx="0">
                  <c:v>42.9</c:v>
                </c:pt>
                <c:pt idx="1">
                  <c:v>43.1</c:v>
                </c:pt>
                <c:pt idx="2">
                  <c:v>39.4</c:v>
                </c:pt>
                <c:pt idx="3">
                  <c:v>16.899999999999999</c:v>
                </c:pt>
                <c:pt idx="4">
                  <c:v>23.6</c:v>
                </c:pt>
                <c:pt idx="5">
                  <c:v>16.3</c:v>
                </c:pt>
                <c:pt idx="6">
                  <c:v>9.3000000000000007</c:v>
                </c:pt>
                <c:pt idx="7">
                  <c:v>0.9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1"/>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Sheet1!$G$2:$G$9</c:f>
              <c:numCache>
                <c:formatCode>0.0_);[Red]\(0.0\)</c:formatCode>
                <c:ptCount val="8"/>
                <c:pt idx="0">
                  <c:v>42.9</c:v>
                </c:pt>
                <c:pt idx="1">
                  <c:v>43.7</c:v>
                </c:pt>
                <c:pt idx="2">
                  <c:v>41.8</c:v>
                </c:pt>
                <c:pt idx="3">
                  <c:v>13</c:v>
                </c:pt>
                <c:pt idx="4">
                  <c:v>24.5</c:v>
                </c:pt>
                <c:pt idx="5">
                  <c:v>13.4</c:v>
                </c:pt>
                <c:pt idx="6">
                  <c:v>14.2</c:v>
                </c:pt>
                <c:pt idx="7">
                  <c:v>0.4</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dLbl>
              <c:idx val="1"/>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買い物や通院のための移
動手段の確保</c:v>
                </c:pt>
                <c:pt idx="1">
                  <c:v>地域での医療・介護の確
保</c:v>
                </c:pt>
                <c:pt idx="2">
                  <c:v>地域で収入を得ることが
できる産業づくり</c:v>
                </c:pt>
                <c:pt idx="3">
                  <c:v>食料品や日用品などの確
保</c:v>
                </c:pt>
                <c:pt idx="4">
                  <c:v>集落の維持・再生に向け
た地域の支え合いの仕組
みづくり</c:v>
                </c:pt>
                <c:pt idx="5">
                  <c:v>移住促進等による地域活
動などの担い手の確保</c:v>
                </c:pt>
                <c:pt idx="6">
                  <c:v>鳥獣被害への対策　　　</c:v>
                </c:pt>
                <c:pt idx="7">
                  <c:v>その他　　　　　　　　</c:v>
                </c:pt>
              </c:strCache>
            </c:strRef>
          </c:cat>
          <c:val>
            <c:numRef>
              <c:f>Sheet1!$H$2:$H$9</c:f>
              <c:numCache>
                <c:formatCode>0.0_);[Red]\(0.0\)</c:formatCode>
                <c:ptCount val="8"/>
                <c:pt idx="0">
                  <c:v>51</c:v>
                </c:pt>
                <c:pt idx="1">
                  <c:v>43.9</c:v>
                </c:pt>
                <c:pt idx="2">
                  <c:v>30.6</c:v>
                </c:pt>
                <c:pt idx="3">
                  <c:v>26.5</c:v>
                </c:pt>
                <c:pt idx="4">
                  <c:v>12.2</c:v>
                </c:pt>
                <c:pt idx="5">
                  <c:v>13.3</c:v>
                </c:pt>
                <c:pt idx="6">
                  <c:v>18.399999999999999</c:v>
                </c:pt>
                <c:pt idx="7">
                  <c:v>0</c:v>
                </c:pt>
              </c:numCache>
            </c:numRef>
          </c:val>
        </c:ser>
        <c:dLbls>
          <c:showLegendKey val="0"/>
          <c:showVal val="1"/>
          <c:showCatName val="0"/>
          <c:showSerName val="0"/>
          <c:showPercent val="0"/>
          <c:showBubbleSize val="0"/>
        </c:dLbls>
        <c:gapWidth val="100"/>
        <c:axId val="224631808"/>
        <c:axId val="224654080"/>
      </c:barChart>
      <c:catAx>
        <c:axId val="22463180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4654080"/>
        <c:crosses val="autoZero"/>
        <c:auto val="1"/>
        <c:lblAlgn val="ctr"/>
        <c:lblOffset val="100"/>
        <c:noMultiLvlLbl val="0"/>
      </c:catAx>
      <c:valAx>
        <c:axId val="224654080"/>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463180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38821898036125"/>
          <c:y val="3.8354251629593647E-2"/>
          <c:w val="0.54175174550143124"/>
          <c:h val="0.93057339855473586"/>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3"/>
              <c:dLblPos val="outEnd"/>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Sheet1!$B$1:$J$1</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Sheet1!$B$2:$J$2</c:f>
              <c:numCache>
                <c:formatCode>0.0_);[Red]\(0.0\)</c:formatCode>
                <c:ptCount val="9"/>
                <c:pt idx="0">
                  <c:v>44</c:v>
                </c:pt>
                <c:pt idx="1">
                  <c:v>29.6</c:v>
                </c:pt>
                <c:pt idx="2">
                  <c:v>26.6</c:v>
                </c:pt>
                <c:pt idx="3">
                  <c:v>23.9</c:v>
                </c:pt>
                <c:pt idx="4">
                  <c:v>25.1</c:v>
                </c:pt>
                <c:pt idx="5">
                  <c:v>19.600000000000001</c:v>
                </c:pt>
                <c:pt idx="6">
                  <c:v>18.600000000000001</c:v>
                </c:pt>
                <c:pt idx="7">
                  <c:v>5.3</c:v>
                </c:pt>
                <c:pt idx="8">
                  <c:v>0.8</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c:txPr>
                <a:bodyPr/>
                <a:lstStyle/>
                <a:p>
                  <a:pPr>
                    <a:defRPr sz="800" b="0">
                      <a:latin typeface="ＭＳ 明朝" panose="02020609040205080304" pitchFamily="17" charset="-128"/>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Sheet1!$B$1:$J$1</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Sheet1!$B$3:$J$3</c:f>
              <c:numCache>
                <c:formatCode>0.0_);[Red]\(0.0\)</c:formatCode>
                <c:ptCount val="9"/>
                <c:pt idx="0">
                  <c:v>47.5</c:v>
                </c:pt>
                <c:pt idx="1">
                  <c:v>35</c:v>
                </c:pt>
                <c:pt idx="2">
                  <c:v>39.300000000000004</c:v>
                </c:pt>
                <c:pt idx="4">
                  <c:v>17</c:v>
                </c:pt>
                <c:pt idx="5">
                  <c:v>9.6</c:v>
                </c:pt>
                <c:pt idx="6">
                  <c:v>15.8</c:v>
                </c:pt>
                <c:pt idx="7">
                  <c:v>6.8</c:v>
                </c:pt>
                <c:pt idx="8">
                  <c:v>1.9000000000000001</c:v>
                </c:pt>
              </c:numCache>
            </c:numRef>
          </c:val>
        </c:ser>
        <c:dLbls>
          <c:showLegendKey val="0"/>
          <c:showVal val="1"/>
          <c:showCatName val="0"/>
          <c:showSerName val="0"/>
          <c:showPercent val="0"/>
          <c:showBubbleSize val="0"/>
        </c:dLbls>
        <c:gapWidth val="75"/>
        <c:axId val="224696960"/>
        <c:axId val="224706944"/>
      </c:barChart>
      <c:catAx>
        <c:axId val="224696960"/>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4706944"/>
        <c:crosses val="autoZero"/>
        <c:auto val="1"/>
        <c:lblAlgn val="ctr"/>
        <c:lblOffset val="100"/>
        <c:noMultiLvlLbl val="0"/>
      </c:catAx>
      <c:valAx>
        <c:axId val="224706944"/>
        <c:scaling>
          <c:orientation val="minMax"/>
          <c:max val="60"/>
        </c:scaling>
        <c:delete val="0"/>
        <c:axPos val="t"/>
        <c:numFmt formatCode="#&quot;%&quot;;;&quot;0%&quot;;" sourceLinked="0"/>
        <c:majorTickMark val="in"/>
        <c:minorTickMark val="none"/>
        <c:tickLblPos val="nextTo"/>
        <c:spPr>
          <a:ln>
            <a:solidFill>
              <a:schemeClr val="tx1"/>
            </a:solidFill>
          </a:ln>
        </c:spPr>
        <c:crossAx val="224696960"/>
        <c:crosses val="autoZero"/>
        <c:crossBetween val="between"/>
        <c:majorUnit val="10"/>
      </c:valAx>
      <c:spPr>
        <a:ln>
          <a:noFill/>
        </a:ln>
      </c:spPr>
    </c:plotArea>
    <c:legend>
      <c:legendPos val="r"/>
      <c:layout>
        <c:manualLayout>
          <c:xMode val="edge"/>
          <c:yMode val="edge"/>
          <c:x val="0.69529516822769921"/>
          <c:y val="0.87315160210426623"/>
          <c:w val="0.23663663663663664"/>
          <c:h val="0.10642816311808199"/>
        </c:manualLayout>
      </c:layout>
      <c:overlay val="0"/>
    </c:legend>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ja-JP" altLang="en-US"/>
              <a:t>平成</a:t>
            </a:r>
            <a:r>
              <a:rPr lang="en-US" altLang="ja-JP"/>
              <a:t>29</a:t>
            </a:r>
            <a:r>
              <a:rPr lang="ja-JP" altLang="en-US"/>
              <a:t>年度</a:t>
            </a:r>
          </a:p>
        </c:rich>
      </c:tx>
      <c:layout>
        <c:manualLayout>
          <c:xMode val="edge"/>
          <c:yMode val="edge"/>
          <c:x val="0.70250730598971856"/>
          <c:y val="0.83306144643830671"/>
        </c:manualLayout>
      </c:layout>
      <c:overlay val="0"/>
      <c:spPr>
        <a:ln>
          <a:solidFill>
            <a:sysClr val="windowText" lastClr="000000"/>
          </a:solidFill>
        </a:ln>
      </c:spPr>
    </c:title>
    <c:autoTitleDeleted val="0"/>
    <c:plotArea>
      <c:layout>
        <c:manualLayout>
          <c:layoutTarget val="inner"/>
          <c:xMode val="edge"/>
          <c:yMode val="edge"/>
          <c:x val="0.38922051161515914"/>
          <c:y val="4.9931381895650023E-2"/>
          <c:w val="0.53223260507741599"/>
          <c:h val="0.94032560615238903"/>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layout>
                <c:manualLayout>
                  <c:x val="-1.5920398009950303E-2"/>
                  <c:y val="8.9212270304379352E-18"/>
                </c:manualLayout>
              </c:layout>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Sheet1!$B$1:$J$1</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Sheet1!$B$2:$J$2</c:f>
              <c:numCache>
                <c:formatCode>0.0</c:formatCode>
                <c:ptCount val="9"/>
                <c:pt idx="0">
                  <c:v>45.6</c:v>
                </c:pt>
                <c:pt idx="1">
                  <c:v>29.7</c:v>
                </c:pt>
                <c:pt idx="2">
                  <c:v>29.2</c:v>
                </c:pt>
                <c:pt idx="3">
                  <c:v>23.3</c:v>
                </c:pt>
                <c:pt idx="4">
                  <c:v>22.3</c:v>
                </c:pt>
                <c:pt idx="5">
                  <c:v>19.7</c:v>
                </c:pt>
                <c:pt idx="6">
                  <c:v>17</c:v>
                </c:pt>
                <c:pt idx="7">
                  <c:v>6.3</c:v>
                </c:pt>
                <c:pt idx="8">
                  <c:v>0.8</c:v>
                </c:pt>
              </c:numCache>
            </c:numRef>
          </c:val>
        </c:ser>
        <c:dLbls>
          <c:showLegendKey val="0"/>
          <c:showVal val="1"/>
          <c:showCatName val="0"/>
          <c:showSerName val="0"/>
          <c:showPercent val="0"/>
          <c:showBubbleSize val="0"/>
        </c:dLbls>
        <c:gapWidth val="75"/>
        <c:axId val="224348032"/>
        <c:axId val="224349568"/>
      </c:barChart>
      <c:catAx>
        <c:axId val="224348032"/>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4349568"/>
        <c:crosses val="autoZero"/>
        <c:auto val="1"/>
        <c:lblAlgn val="ctr"/>
        <c:lblOffset val="100"/>
        <c:noMultiLvlLbl val="0"/>
      </c:catAx>
      <c:valAx>
        <c:axId val="224349568"/>
        <c:scaling>
          <c:orientation val="minMax"/>
          <c:max val="60"/>
        </c:scaling>
        <c:delete val="0"/>
        <c:axPos val="t"/>
        <c:numFmt formatCode="#&quot;%&quot;;;&quot;0%&quot;;" sourceLinked="0"/>
        <c:majorTickMark val="in"/>
        <c:minorTickMark val="none"/>
        <c:tickLblPos val="nextTo"/>
        <c:spPr>
          <a:ln>
            <a:solidFill>
              <a:schemeClr val="tx1"/>
            </a:solidFill>
          </a:ln>
        </c:spPr>
        <c:crossAx val="224348032"/>
        <c:crosses val="autoZero"/>
        <c:crossBetween val="between"/>
        <c:majorUnit val="10"/>
      </c:valAx>
      <c:spPr>
        <a:ln>
          <a:noFill/>
        </a:ln>
      </c:spPr>
    </c:plotArea>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26273505074144"/>
          <c:y val="4.5945260968926364E-2"/>
          <c:w val="0.73165287424574565"/>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Sheet1!$B$2:$B$10</c:f>
              <c:numCache>
                <c:formatCode>0.0_);[Red]\(0.0\)</c:formatCode>
                <c:ptCount val="9"/>
                <c:pt idx="0">
                  <c:v>49.2</c:v>
                </c:pt>
                <c:pt idx="1">
                  <c:v>31.9</c:v>
                </c:pt>
                <c:pt idx="2">
                  <c:v>24.4</c:v>
                </c:pt>
                <c:pt idx="3">
                  <c:v>23</c:v>
                </c:pt>
                <c:pt idx="4">
                  <c:v>19.100000000000001</c:v>
                </c:pt>
                <c:pt idx="5">
                  <c:v>17.5</c:v>
                </c:pt>
                <c:pt idx="6">
                  <c:v>20.8</c:v>
                </c:pt>
                <c:pt idx="7">
                  <c:v>6.2</c:v>
                </c:pt>
                <c:pt idx="8">
                  <c:v>0.70000000000000062</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9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Sheet1!$C$2:$C$10</c:f>
              <c:numCache>
                <c:formatCode>0.0_);[Red]\(0.0\)</c:formatCode>
                <c:ptCount val="9"/>
                <c:pt idx="0">
                  <c:v>42.7</c:v>
                </c:pt>
                <c:pt idx="1">
                  <c:v>28.2</c:v>
                </c:pt>
                <c:pt idx="2">
                  <c:v>33.1</c:v>
                </c:pt>
                <c:pt idx="3">
                  <c:v>23.5</c:v>
                </c:pt>
                <c:pt idx="4">
                  <c:v>24.9</c:v>
                </c:pt>
                <c:pt idx="5">
                  <c:v>21.5</c:v>
                </c:pt>
                <c:pt idx="6">
                  <c:v>13.9</c:v>
                </c:pt>
                <c:pt idx="7">
                  <c:v>6.3</c:v>
                </c:pt>
                <c:pt idx="8">
                  <c:v>0.9</c:v>
                </c:pt>
              </c:numCache>
            </c:numRef>
          </c:val>
        </c:ser>
        <c:dLbls>
          <c:showLegendKey val="0"/>
          <c:showVal val="1"/>
          <c:showCatName val="0"/>
          <c:showSerName val="0"/>
          <c:showPercent val="0"/>
          <c:showBubbleSize val="0"/>
        </c:dLbls>
        <c:gapWidth val="100"/>
        <c:axId val="224758016"/>
        <c:axId val="224780288"/>
      </c:barChart>
      <c:catAx>
        <c:axId val="224758016"/>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4780288"/>
        <c:crosses val="autoZero"/>
        <c:auto val="1"/>
        <c:lblAlgn val="ctr"/>
        <c:lblOffset val="100"/>
        <c:noMultiLvlLbl val="0"/>
      </c:catAx>
      <c:valAx>
        <c:axId val="224780288"/>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4758016"/>
        <c:crosses val="autoZero"/>
        <c:crossBetween val="between"/>
        <c:majorUnit val="10"/>
      </c:valAx>
      <c:spPr>
        <a:ln>
          <a:solidFill>
            <a:schemeClr val="tx1"/>
          </a:solidFill>
        </a:ln>
      </c:spPr>
    </c:plotArea>
    <c:legend>
      <c:legendPos val="b"/>
      <c:layout>
        <c:manualLayout>
          <c:xMode val="edge"/>
          <c:yMode val="edge"/>
          <c:x val="0.85174590619100643"/>
          <c:y val="0.84530990523272376"/>
          <c:w val="8.7867943447708305E-2"/>
          <c:h val="0.114987570566120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3920695900721"/>
          <c:y val="4.5945260968926364E-2"/>
          <c:w val="0.72924973399728565"/>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Sheet1!$B$2:$B$10</c:f>
              <c:numCache>
                <c:formatCode>0.0_);[Red]\(0.0\)</c:formatCode>
                <c:ptCount val="9"/>
                <c:pt idx="0">
                  <c:v>50.6</c:v>
                </c:pt>
                <c:pt idx="1">
                  <c:v>25.3</c:v>
                </c:pt>
                <c:pt idx="2">
                  <c:v>31</c:v>
                </c:pt>
                <c:pt idx="3">
                  <c:v>34.5</c:v>
                </c:pt>
                <c:pt idx="4">
                  <c:v>9.2000000000000011</c:v>
                </c:pt>
                <c:pt idx="5">
                  <c:v>19.5</c:v>
                </c:pt>
                <c:pt idx="6">
                  <c:v>9.2000000000000011</c:v>
                </c:pt>
                <c:pt idx="7">
                  <c:v>12.6</c:v>
                </c:pt>
                <c:pt idx="8">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Sheet1!$C$2:$C$10</c:f>
              <c:numCache>
                <c:formatCode>0.0_);[Red]\(0.0\)</c:formatCode>
                <c:ptCount val="9"/>
                <c:pt idx="0">
                  <c:v>44.1</c:v>
                </c:pt>
                <c:pt idx="1">
                  <c:v>35.6</c:v>
                </c:pt>
                <c:pt idx="2">
                  <c:v>22.8</c:v>
                </c:pt>
                <c:pt idx="3">
                  <c:v>24.8</c:v>
                </c:pt>
                <c:pt idx="4">
                  <c:v>23.8</c:v>
                </c:pt>
                <c:pt idx="5">
                  <c:v>19.8</c:v>
                </c:pt>
                <c:pt idx="6">
                  <c:v>14.4</c:v>
                </c:pt>
                <c:pt idx="7">
                  <c:v>7.4</c:v>
                </c:pt>
                <c:pt idx="8">
                  <c:v>0.5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Sheet1!$D$2:$D$10</c:f>
              <c:numCache>
                <c:formatCode>0.0_);[Red]\(0.0\)</c:formatCode>
                <c:ptCount val="9"/>
                <c:pt idx="0">
                  <c:v>54.2</c:v>
                </c:pt>
                <c:pt idx="1">
                  <c:v>30</c:v>
                </c:pt>
                <c:pt idx="2">
                  <c:v>32.800000000000004</c:v>
                </c:pt>
                <c:pt idx="3">
                  <c:v>20.2</c:v>
                </c:pt>
                <c:pt idx="4">
                  <c:v>22.9</c:v>
                </c:pt>
                <c:pt idx="5">
                  <c:v>16.2</c:v>
                </c:pt>
                <c:pt idx="6">
                  <c:v>12.3</c:v>
                </c:pt>
                <c:pt idx="7">
                  <c:v>5.9</c:v>
                </c:pt>
                <c:pt idx="8">
                  <c:v>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Sheet1!$E$2:$E$10</c:f>
              <c:numCache>
                <c:formatCode>0.0_);[Red]\(0.0\)</c:formatCode>
                <c:ptCount val="9"/>
                <c:pt idx="0">
                  <c:v>51.4</c:v>
                </c:pt>
                <c:pt idx="1">
                  <c:v>29.1</c:v>
                </c:pt>
                <c:pt idx="2">
                  <c:v>30.9</c:v>
                </c:pt>
                <c:pt idx="3">
                  <c:v>20.9</c:v>
                </c:pt>
                <c:pt idx="4">
                  <c:v>20.6</c:v>
                </c:pt>
                <c:pt idx="5">
                  <c:v>17.399999999999999</c:v>
                </c:pt>
                <c:pt idx="6">
                  <c:v>15.7</c:v>
                </c:pt>
                <c:pt idx="7">
                  <c:v>6.3</c:v>
                </c:pt>
                <c:pt idx="8">
                  <c:v>0.9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Sheet1!$F$2:$F$10</c:f>
              <c:numCache>
                <c:formatCode>0.0_);[Red]\(0.0\)</c:formatCode>
                <c:ptCount val="9"/>
                <c:pt idx="0">
                  <c:v>38.800000000000004</c:v>
                </c:pt>
                <c:pt idx="1">
                  <c:v>30</c:v>
                </c:pt>
                <c:pt idx="2">
                  <c:v>31.2</c:v>
                </c:pt>
                <c:pt idx="3">
                  <c:v>23.3</c:v>
                </c:pt>
                <c:pt idx="4">
                  <c:v>25.7</c:v>
                </c:pt>
                <c:pt idx="5">
                  <c:v>20.100000000000001</c:v>
                </c:pt>
                <c:pt idx="6">
                  <c:v>17.2</c:v>
                </c:pt>
                <c:pt idx="7">
                  <c:v>6.7</c:v>
                </c:pt>
                <c:pt idx="8">
                  <c:v>0.60000000000000064</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Sheet1!$G$2:$G$10</c:f>
              <c:numCache>
                <c:formatCode>0.0_);[Red]\(0.0\)</c:formatCode>
                <c:ptCount val="9"/>
                <c:pt idx="0">
                  <c:v>42.9</c:v>
                </c:pt>
                <c:pt idx="1">
                  <c:v>28.4</c:v>
                </c:pt>
                <c:pt idx="2">
                  <c:v>26.4</c:v>
                </c:pt>
                <c:pt idx="3">
                  <c:v>24.1</c:v>
                </c:pt>
                <c:pt idx="4">
                  <c:v>23.4</c:v>
                </c:pt>
                <c:pt idx="5">
                  <c:v>23.4</c:v>
                </c:pt>
                <c:pt idx="6">
                  <c:v>19.5</c:v>
                </c:pt>
                <c:pt idx="7">
                  <c:v>4.5999999999999996</c:v>
                </c:pt>
                <c:pt idx="8">
                  <c:v>0.8</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6"/>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子育てや教育にかかる経
済的な負担の軽減</c:v>
                </c:pt>
                <c:pt idx="1">
                  <c:v>安心して妊娠・出産でき
る環境の整備</c:v>
                </c:pt>
                <c:pt idx="2">
                  <c:v>仕事と育児・介護などの
家庭生活の両立に理解が
ある職場づくり</c:v>
                </c:pt>
                <c:pt idx="3">
                  <c:v>地域や職場など社会全体
で結婚や子育てを応援す
る機運の醸成</c:v>
                </c:pt>
                <c:pt idx="4">
                  <c:v>子どもの預け先の確保な
ど子育て支援サービスの
充実</c:v>
                </c:pt>
                <c:pt idx="5">
                  <c:v>いったん子育て等に専念
しても、希望すれば再就
職できるための支援</c:v>
                </c:pt>
                <c:pt idx="6">
                  <c:v>結婚を希望する独身者へ
の出会い・結婚支援策の
充実</c:v>
                </c:pt>
                <c:pt idx="7">
                  <c:v>男性の家事・育児の分担
など家庭における男女共
同参画の推進</c:v>
                </c:pt>
                <c:pt idx="8">
                  <c:v>その他　　　　　　　　</c:v>
                </c:pt>
              </c:strCache>
            </c:strRef>
          </c:cat>
          <c:val>
            <c:numRef>
              <c:f>Sheet1!$H$2:$H$10</c:f>
              <c:numCache>
                <c:formatCode>0.0_);[Red]\(0.0\)</c:formatCode>
                <c:ptCount val="9"/>
                <c:pt idx="0">
                  <c:v>32.700000000000003</c:v>
                </c:pt>
                <c:pt idx="1">
                  <c:v>28.6</c:v>
                </c:pt>
                <c:pt idx="2">
                  <c:v>25.5</c:v>
                </c:pt>
                <c:pt idx="3">
                  <c:v>25.5</c:v>
                </c:pt>
                <c:pt idx="4">
                  <c:v>19.399999999999999</c:v>
                </c:pt>
                <c:pt idx="5">
                  <c:v>24.5</c:v>
                </c:pt>
                <c:pt idx="6">
                  <c:v>39.800000000000004</c:v>
                </c:pt>
                <c:pt idx="7">
                  <c:v>2</c:v>
                </c:pt>
                <c:pt idx="8">
                  <c:v>0</c:v>
                </c:pt>
              </c:numCache>
            </c:numRef>
          </c:val>
        </c:ser>
        <c:dLbls>
          <c:showLegendKey val="0"/>
          <c:showVal val="1"/>
          <c:showCatName val="0"/>
          <c:showSerName val="0"/>
          <c:showPercent val="0"/>
          <c:showBubbleSize val="0"/>
        </c:dLbls>
        <c:gapWidth val="100"/>
        <c:axId val="225286016"/>
        <c:axId val="225287552"/>
      </c:barChart>
      <c:catAx>
        <c:axId val="22528601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5287552"/>
        <c:crosses val="autoZero"/>
        <c:auto val="1"/>
        <c:lblAlgn val="ctr"/>
        <c:lblOffset val="100"/>
        <c:noMultiLvlLbl val="0"/>
      </c:catAx>
      <c:valAx>
        <c:axId val="225287552"/>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5286016"/>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0"/>
                  <c:y val="-7.2022866363272084E-3"/>
                </c:manualLayout>
              </c:layout>
              <c:dLblPos val="outEnd"/>
              <c:showLegendKey val="0"/>
              <c:showVal val="1"/>
              <c:showCatName val="0"/>
              <c:showSerName val="0"/>
              <c:showPercent val="0"/>
              <c:showBubbleSize val="0"/>
            </c:dLbl>
            <c:spPr>
              <a:solidFill>
                <a:sysClr val="window" lastClr="FFFFFF"/>
              </a:solidFill>
            </c:spPr>
            <c:txPr>
              <a:bodyPr/>
              <a:lstStyle/>
              <a:p>
                <a:pPr>
                  <a:defRPr b="1"/>
                </a:pPr>
                <a:endParaRPr lang="ja-JP"/>
              </a:p>
            </c:txPr>
            <c:dLblPos val="inBase"/>
            <c:showLegendKey val="0"/>
            <c:showVal val="1"/>
            <c:showCatName val="0"/>
            <c:showSerName val="0"/>
            <c:showPercent val="0"/>
            <c:showBubbleSize val="0"/>
            <c:showLeaderLines val="0"/>
          </c:dLbls>
          <c:cat>
            <c:strRef>
              <c:f>Sheet1!$B$1:$H$1</c:f>
              <c:strCache>
                <c:ptCount val="7"/>
                <c:pt idx="0">
                  <c:v>文化芸術を鑑賞・体験できる機会の充実</c:v>
                </c:pt>
                <c:pt idx="1">
                  <c:v>ホール・劇場、美術館、博物館等の文化施設の充実</c:v>
                </c:pt>
                <c:pt idx="2">
                  <c:v>高知固有の文化の継承や活用</c:v>
                </c:pt>
                <c:pt idx="3">
                  <c:v>文化芸術活動を支える人材の育成</c:v>
                </c:pt>
                <c:pt idx="4">
                  <c:v>文化芸術に関するイベント等の情報発信</c:v>
                </c:pt>
                <c:pt idx="5">
                  <c:v>文化芸術活動を発表する機会の拡充</c:v>
                </c:pt>
                <c:pt idx="6">
                  <c:v>その他</c:v>
                </c:pt>
              </c:strCache>
            </c:strRef>
          </c:cat>
          <c:val>
            <c:numRef>
              <c:f>Sheet1!$B$2:$H$2</c:f>
              <c:numCache>
                <c:formatCode>General</c:formatCode>
                <c:ptCount val="7"/>
                <c:pt idx="0">
                  <c:v>46.8</c:v>
                </c:pt>
                <c:pt idx="1">
                  <c:v>36.800000000000004</c:v>
                </c:pt>
                <c:pt idx="2">
                  <c:v>36.700000000000003</c:v>
                </c:pt>
                <c:pt idx="3">
                  <c:v>26.6</c:v>
                </c:pt>
                <c:pt idx="4">
                  <c:v>21.9</c:v>
                </c:pt>
                <c:pt idx="5">
                  <c:v>9.1</c:v>
                </c:pt>
                <c:pt idx="6">
                  <c:v>1.3</c:v>
                </c:pt>
              </c:numCache>
            </c:numRef>
          </c:val>
        </c:ser>
        <c:dLbls>
          <c:showLegendKey val="0"/>
          <c:showVal val="1"/>
          <c:showCatName val="0"/>
          <c:showSerName val="0"/>
          <c:showPercent val="0"/>
          <c:showBubbleSize val="0"/>
        </c:dLbls>
        <c:gapWidth val="100"/>
        <c:axId val="225482624"/>
        <c:axId val="22548416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4.0647837736917478E-2"/>
                  <c:y val="-3.26957672559662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732342236247133E-2"/>
                  <c:y val="-3.26957672559662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732342236247133E-2"/>
                  <c:y val="-2.84769585777770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ltLang="en-US"/>
                      <a:t>19</a:t>
                    </a:r>
                    <a:r>
                      <a:rPr lang="en-US" altLang="ja-JP"/>
                      <a:t>.0</a:t>
                    </a:r>
                    <a:endParaRPr lang="en-US" altLang="en-US"/>
                  </a:p>
                </c:rich>
              </c:tx>
              <c:dLblPos val="b"/>
              <c:showLegendKey val="0"/>
              <c:showVal val="1"/>
              <c:showCatName val="0"/>
              <c:showSerName val="0"/>
              <c:showPercent val="0"/>
              <c:showBubbleSize val="0"/>
            </c:dLbl>
            <c:dLbl>
              <c:idx val="5"/>
              <c:layout>
                <c:manualLayout>
                  <c:x val="-4.2732342236247133E-2"/>
                  <c:y val="-6.01180236641947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9605585487253778E-2"/>
                  <c:y val="-7.06650453596675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lumMod val="85000"/>
                </a:sysClr>
              </a:solidFill>
              <a:ln>
                <a:solidFill>
                  <a:sysClr val="windowText" lastClr="000000"/>
                </a:solidFill>
              </a:ln>
            </c:spPr>
            <c:txPr>
              <a:bodyPr/>
              <a:lstStyle/>
              <a:p>
                <a:pPr>
                  <a:defRPr sz="900" b="1"/>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Sheet1!$B$1:$H$1</c:f>
              <c:strCache>
                <c:ptCount val="7"/>
                <c:pt idx="0">
                  <c:v>文化芸術を鑑賞・体験できる機会の充実</c:v>
                </c:pt>
                <c:pt idx="1">
                  <c:v>ホール・劇場、美術館、博物館等の文化施設の充実</c:v>
                </c:pt>
                <c:pt idx="2">
                  <c:v>高知固有の文化の継承や活用</c:v>
                </c:pt>
                <c:pt idx="3">
                  <c:v>文化芸術活動を支える人材の育成</c:v>
                </c:pt>
                <c:pt idx="4">
                  <c:v>文化芸術に関するイベント等の情報発信</c:v>
                </c:pt>
                <c:pt idx="5">
                  <c:v>文化芸術活動を発表する機会の拡充</c:v>
                </c:pt>
                <c:pt idx="6">
                  <c:v>その他</c:v>
                </c:pt>
              </c:strCache>
            </c:strRef>
          </c:cat>
          <c:val>
            <c:numRef>
              <c:f>Sheet1!$B$3:$H$3</c:f>
              <c:numCache>
                <c:formatCode>General</c:formatCode>
                <c:ptCount val="7"/>
                <c:pt idx="0">
                  <c:v>40.6</c:v>
                </c:pt>
                <c:pt idx="1">
                  <c:v>38.800000000000004</c:v>
                </c:pt>
                <c:pt idx="2">
                  <c:v>38.9</c:v>
                </c:pt>
                <c:pt idx="3">
                  <c:v>29.9</c:v>
                </c:pt>
                <c:pt idx="4">
                  <c:v>19</c:v>
                </c:pt>
                <c:pt idx="5">
                  <c:v>10.1</c:v>
                </c:pt>
                <c:pt idx="6">
                  <c:v>1.2</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4.0647837736917478E-2"/>
                  <c:y val="3.26957672559662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47837736917478E-2"/>
                  <c:y val="4.74615976296275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647837736917478E-2"/>
                  <c:y val="3.26957672559662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521080987924456E-2"/>
                  <c:y val="2.63675542386812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5436576488595439E-2"/>
                  <c:y val="-0.112853132141558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Sheet1!$B$1:$H$1</c:f>
              <c:strCache>
                <c:ptCount val="7"/>
                <c:pt idx="0">
                  <c:v>文化芸術を鑑賞・体験できる機会の充実</c:v>
                </c:pt>
                <c:pt idx="1">
                  <c:v>ホール・劇場、美術館、博物館等の文化施設の充実</c:v>
                </c:pt>
                <c:pt idx="2">
                  <c:v>高知固有の文化の継承や活用</c:v>
                </c:pt>
                <c:pt idx="3">
                  <c:v>文化芸術活動を支える人材の育成</c:v>
                </c:pt>
                <c:pt idx="4">
                  <c:v>文化芸術に関するイベント等の情報発信</c:v>
                </c:pt>
                <c:pt idx="5">
                  <c:v>文化芸術活動を発表する機会の拡充</c:v>
                </c:pt>
                <c:pt idx="6">
                  <c:v>その他</c:v>
                </c:pt>
              </c:strCache>
            </c:strRef>
          </c:cat>
          <c:val>
            <c:numRef>
              <c:f>Sheet1!$B$4:$H$4</c:f>
              <c:numCache>
                <c:formatCode>General</c:formatCode>
                <c:ptCount val="7"/>
                <c:pt idx="0">
                  <c:v>52.2</c:v>
                </c:pt>
                <c:pt idx="1">
                  <c:v>35.4</c:v>
                </c:pt>
                <c:pt idx="2" formatCode="0.0">
                  <c:v>35</c:v>
                </c:pt>
                <c:pt idx="3">
                  <c:v>23.9</c:v>
                </c:pt>
                <c:pt idx="4">
                  <c:v>24.3</c:v>
                </c:pt>
                <c:pt idx="5">
                  <c:v>8.3000000000000007</c:v>
                </c:pt>
                <c:pt idx="6">
                  <c:v>1.3</c:v>
                </c:pt>
              </c:numCache>
            </c:numRef>
          </c:val>
          <c:smooth val="0"/>
        </c:ser>
        <c:dLbls>
          <c:showLegendKey val="0"/>
          <c:showVal val="0"/>
          <c:showCatName val="0"/>
          <c:showSerName val="0"/>
          <c:showPercent val="0"/>
          <c:showBubbleSize val="0"/>
        </c:dLbls>
        <c:marker val="1"/>
        <c:smooth val="0"/>
        <c:axId val="225482624"/>
        <c:axId val="225484160"/>
      </c:lineChart>
      <c:catAx>
        <c:axId val="225482624"/>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25484160"/>
        <c:crosses val="autoZero"/>
        <c:auto val="1"/>
        <c:lblAlgn val="ctr"/>
        <c:lblOffset val="100"/>
        <c:noMultiLvlLbl val="0"/>
      </c:catAx>
      <c:valAx>
        <c:axId val="225484160"/>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25482624"/>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74189285818829"/>
          <c:y val="4.5945260968926364E-2"/>
          <c:w val="0.66770446039887554"/>
          <c:h val="0.930060399946533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layout/>
              <c:tx>
                <c:rich>
                  <a:bodyPr/>
                  <a:lstStyle/>
                  <a:p>
                    <a:r>
                      <a:rPr lang="en-US" altLang="en-US" b="1">
                        <a:latin typeface="Arial Black" pitchFamily="34" charset="0"/>
                      </a:rPr>
                      <a:t>40.3 </a:t>
                    </a:r>
                  </a:p>
                </c:rich>
              </c:tx>
              <c:showLegendKey val="0"/>
              <c:showVal val="1"/>
              <c:showCatName val="0"/>
              <c:showSerName val="0"/>
              <c:showPercent val="0"/>
              <c:showBubbleSize val="0"/>
            </c:dLbl>
            <c:dLbl>
              <c:idx val="1"/>
              <c:spPr>
                <a:noFill/>
                <a:ln>
                  <a:noFill/>
                </a:ln>
                <a:effectLst/>
              </c:spPr>
              <c:txPr>
                <a:bodyPr horzOverflow="overflow"/>
                <a:lstStyle/>
                <a:p>
                  <a:pPr>
                    <a:defRPr sz="900" b="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900" b="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
業集積（地域産業クラス
ター）</c:v>
                </c:pt>
                <c:pt idx="5">
                  <c:v>企業の誘致                </c:v>
                </c:pt>
                <c:pt idx="6">
                  <c:v>県産品等の県外・海外での販
売促進支援</c:v>
                </c:pt>
                <c:pt idx="7">
                  <c:v>加工食品や機械などのものづ
くり産業の振興</c:v>
                </c:pt>
                <c:pt idx="8">
                  <c:v>県外からの移住の促進      </c:v>
                </c:pt>
                <c:pt idx="9">
                  <c:v>防災関連産業、コンテンツ関
連産業、IoT関連産業などの
新たな産業の創出</c:v>
                </c:pt>
                <c:pt idx="10">
                  <c:v>起業や新たな事業展開を志す
方への支援</c:v>
                </c:pt>
                <c:pt idx="11">
                  <c:v>その他                    </c:v>
                </c:pt>
              </c:strCache>
            </c:strRef>
          </c:cat>
          <c:val>
            <c:numRef>
              <c:f>Sheet1!$B$2:$B$13</c:f>
              <c:numCache>
                <c:formatCode>0.0_);[Red]\(0.0\)</c:formatCode>
                <c:ptCount val="12"/>
                <c:pt idx="0">
                  <c:v>40.300000000000004</c:v>
                </c:pt>
                <c:pt idx="1">
                  <c:v>40.300000000000004</c:v>
                </c:pt>
                <c:pt idx="2">
                  <c:v>33.5</c:v>
                </c:pt>
                <c:pt idx="3">
                  <c:v>25.5</c:v>
                </c:pt>
                <c:pt idx="4">
                  <c:v>25.8</c:v>
                </c:pt>
                <c:pt idx="5">
                  <c:v>28.9</c:v>
                </c:pt>
                <c:pt idx="6">
                  <c:v>18.100000000000001</c:v>
                </c:pt>
                <c:pt idx="7">
                  <c:v>19.100000000000001</c:v>
                </c:pt>
                <c:pt idx="8">
                  <c:v>20.100000000000001</c:v>
                </c:pt>
                <c:pt idx="9">
                  <c:v>14.5</c:v>
                </c:pt>
                <c:pt idx="10">
                  <c:v>15.5</c:v>
                </c:pt>
                <c:pt idx="11">
                  <c:v>1.2</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horzOverflow="overflow"/>
                <a:lstStyle/>
                <a:p>
                  <a:pPr>
                    <a:defRPr sz="900" b="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900" b="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
業集積（地域産業クラス
ター）</c:v>
                </c:pt>
                <c:pt idx="5">
                  <c:v>企業の誘致                </c:v>
                </c:pt>
                <c:pt idx="6">
                  <c:v>県産品等の県外・海外での販
売促進支援</c:v>
                </c:pt>
                <c:pt idx="7">
                  <c:v>加工食品や機械などのものづ
くり産業の振興</c:v>
                </c:pt>
                <c:pt idx="8">
                  <c:v>県外からの移住の促進      </c:v>
                </c:pt>
                <c:pt idx="9">
                  <c:v>防災関連産業、コンテンツ関
連産業、IoT関連産業などの
新たな産業の創出</c:v>
                </c:pt>
                <c:pt idx="10">
                  <c:v>起業や新たな事業展開を志す
方への支援</c:v>
                </c:pt>
                <c:pt idx="11">
                  <c:v>その他                    </c:v>
                </c:pt>
              </c:strCache>
            </c:strRef>
          </c:cat>
          <c:val>
            <c:numRef>
              <c:f>Sheet1!$C$2:$C$13</c:f>
              <c:numCache>
                <c:formatCode>0.0_);[Red]\(0.0\)</c:formatCode>
                <c:ptCount val="12"/>
                <c:pt idx="0">
                  <c:v>45.6</c:v>
                </c:pt>
                <c:pt idx="1">
                  <c:v>36.9</c:v>
                </c:pt>
                <c:pt idx="2">
                  <c:v>35.9</c:v>
                </c:pt>
                <c:pt idx="3">
                  <c:v>35.4</c:v>
                </c:pt>
                <c:pt idx="4">
                  <c:v>26.4</c:v>
                </c:pt>
                <c:pt idx="5">
                  <c:v>22.6</c:v>
                </c:pt>
                <c:pt idx="6">
                  <c:v>19</c:v>
                </c:pt>
                <c:pt idx="7">
                  <c:v>14.7</c:v>
                </c:pt>
                <c:pt idx="8">
                  <c:v>13.7</c:v>
                </c:pt>
                <c:pt idx="9">
                  <c:v>16.2</c:v>
                </c:pt>
                <c:pt idx="10">
                  <c:v>13.9</c:v>
                </c:pt>
                <c:pt idx="11">
                  <c:v>1.1000000000000001</c:v>
                </c:pt>
              </c:numCache>
            </c:numRef>
          </c:val>
        </c:ser>
        <c:dLbls>
          <c:showLegendKey val="0"/>
          <c:showVal val="1"/>
          <c:showCatName val="0"/>
          <c:showSerName val="0"/>
          <c:showPercent val="0"/>
          <c:showBubbleSize val="0"/>
        </c:dLbls>
        <c:gapWidth val="100"/>
        <c:axId val="220212224"/>
        <c:axId val="220230400"/>
      </c:barChart>
      <c:catAx>
        <c:axId val="220212224"/>
        <c:scaling>
          <c:orientation val="maxMin"/>
        </c:scaling>
        <c:delete val="0"/>
        <c:axPos val="l"/>
        <c:numFmt formatCode="General" sourceLinked="0"/>
        <c:majorTickMark val="in"/>
        <c:minorTickMark val="none"/>
        <c:tickLblPos val="nextTo"/>
        <c:spPr>
          <a:ln>
            <a:solidFill>
              <a:schemeClr val="tx1"/>
            </a:solidFill>
          </a:ln>
        </c:spPr>
        <c:txPr>
          <a:bodyPr horzOverflow="overflow" anchor="ctr"/>
          <a:lstStyle/>
          <a:p>
            <a:pPr algn="just" rtl="0">
              <a:defRPr sz="900">
                <a:solidFill>
                  <a:schemeClr val="tx1"/>
                </a:solidFill>
              </a:defRPr>
            </a:pPr>
            <a:endParaRPr lang="ja-JP"/>
          </a:p>
        </c:txPr>
        <c:crossAx val="220230400"/>
        <c:crosses val="autoZero"/>
        <c:auto val="1"/>
        <c:lblAlgn val="ctr"/>
        <c:lblOffset val="100"/>
        <c:noMultiLvlLbl val="0"/>
      </c:catAx>
      <c:valAx>
        <c:axId val="220230400"/>
        <c:scaling>
          <c:orientation val="minMax"/>
          <c:max val="6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chemeClr val="tx1"/>
                </a:solidFill>
              </a:defRPr>
            </a:pPr>
            <a:endParaRPr lang="ja-JP"/>
          </a:p>
        </c:txPr>
        <c:crossAx val="220212224"/>
        <c:crosses val="autoZero"/>
        <c:crossBetween val="between"/>
        <c:majorUnit val="10"/>
      </c:valAx>
      <c:spPr>
        <a:ln>
          <a:solidFill>
            <a:schemeClr val="tx1"/>
          </a:solidFill>
        </a:ln>
      </c:spPr>
    </c:plotArea>
    <c:legend>
      <c:legendPos val="b"/>
      <c:layout>
        <c:manualLayout>
          <c:xMode val="edge"/>
          <c:yMode val="edge"/>
          <c:x val="0.85174590619100643"/>
          <c:y val="0.84530990523272354"/>
          <c:w val="8.7867943447708305E-2"/>
          <c:h val="0.11498757056612099"/>
        </c:manualLayout>
      </c:layout>
      <c:overlay val="0"/>
      <c:spPr>
        <a:ln>
          <a:solidFill>
            <a:sysClr val="windowText" lastClr="000000"/>
          </a:solidFill>
        </a:ln>
      </c:spPr>
      <c:txPr>
        <a:bodyPr anchor="ctr"/>
        <a:lstStyle/>
        <a:p>
          <a:pPr algn="l" rtl="0">
            <a:defRPr sz="10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3920695900721"/>
          <c:y val="4.5945260968926364E-2"/>
          <c:w val="0.72924973399728565"/>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Sheet1!$B$2:$B$8</c:f>
              <c:numCache>
                <c:formatCode>0.0_);[Red]\(0.0\)</c:formatCode>
                <c:ptCount val="7"/>
                <c:pt idx="0">
                  <c:v>43.7</c:v>
                </c:pt>
                <c:pt idx="1">
                  <c:v>36.800000000000004</c:v>
                </c:pt>
                <c:pt idx="2">
                  <c:v>37.9</c:v>
                </c:pt>
                <c:pt idx="3">
                  <c:v>25.3</c:v>
                </c:pt>
                <c:pt idx="4">
                  <c:v>25.3</c:v>
                </c:pt>
                <c:pt idx="5">
                  <c:v>9.2000000000000011</c:v>
                </c:pt>
                <c:pt idx="6">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Sheet1!$C$2:$C$8</c:f>
              <c:numCache>
                <c:formatCode>0.0_);[Red]\(0.0\)</c:formatCode>
                <c:ptCount val="7"/>
                <c:pt idx="0">
                  <c:v>45</c:v>
                </c:pt>
                <c:pt idx="1">
                  <c:v>41.1</c:v>
                </c:pt>
                <c:pt idx="2">
                  <c:v>30.2</c:v>
                </c:pt>
                <c:pt idx="3">
                  <c:v>26.2</c:v>
                </c:pt>
                <c:pt idx="4">
                  <c:v>23.8</c:v>
                </c:pt>
                <c:pt idx="5">
                  <c:v>8.4</c:v>
                </c:pt>
                <c:pt idx="6">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Sheet1!$D$2:$D$8</c:f>
              <c:numCache>
                <c:formatCode>0.0_);[Red]\(0.0\)</c:formatCode>
                <c:ptCount val="7"/>
                <c:pt idx="0">
                  <c:v>47</c:v>
                </c:pt>
                <c:pt idx="1">
                  <c:v>36.4</c:v>
                </c:pt>
                <c:pt idx="2">
                  <c:v>35.6</c:v>
                </c:pt>
                <c:pt idx="3">
                  <c:v>23.3</c:v>
                </c:pt>
                <c:pt idx="4">
                  <c:v>24.9</c:v>
                </c:pt>
                <c:pt idx="5">
                  <c:v>8.3000000000000007</c:v>
                </c:pt>
                <c:pt idx="6">
                  <c:v>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Sheet1!$E$2:$E$8</c:f>
              <c:numCache>
                <c:formatCode>0.0_);[Red]\(0.0\)</c:formatCode>
                <c:ptCount val="7"/>
                <c:pt idx="0">
                  <c:v>50.6</c:v>
                </c:pt>
                <c:pt idx="1">
                  <c:v>35.1</c:v>
                </c:pt>
                <c:pt idx="2">
                  <c:v>35.700000000000003</c:v>
                </c:pt>
                <c:pt idx="3">
                  <c:v>23.7</c:v>
                </c:pt>
                <c:pt idx="4">
                  <c:v>23.4</c:v>
                </c:pt>
                <c:pt idx="5">
                  <c:v>10.6</c:v>
                </c:pt>
                <c:pt idx="6">
                  <c:v>2</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Sheet1!$F$2:$F$8</c:f>
              <c:numCache>
                <c:formatCode>0.0_);[Red]\(0.0\)</c:formatCode>
                <c:ptCount val="7"/>
                <c:pt idx="0">
                  <c:v>49.3</c:v>
                </c:pt>
                <c:pt idx="1">
                  <c:v>37.9</c:v>
                </c:pt>
                <c:pt idx="2">
                  <c:v>38.5</c:v>
                </c:pt>
                <c:pt idx="3">
                  <c:v>28.6</c:v>
                </c:pt>
                <c:pt idx="4">
                  <c:v>20.100000000000001</c:v>
                </c:pt>
                <c:pt idx="5">
                  <c:v>7.3</c:v>
                </c:pt>
                <c:pt idx="6">
                  <c:v>1.2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Sheet1!$G$2:$G$8</c:f>
              <c:numCache>
                <c:formatCode>0.0_);[Red]\(0.0\)</c:formatCode>
                <c:ptCount val="7"/>
                <c:pt idx="0">
                  <c:v>44.4</c:v>
                </c:pt>
                <c:pt idx="1">
                  <c:v>36.4</c:v>
                </c:pt>
                <c:pt idx="2">
                  <c:v>39.5</c:v>
                </c:pt>
                <c:pt idx="3">
                  <c:v>29.5</c:v>
                </c:pt>
                <c:pt idx="4">
                  <c:v>17.2</c:v>
                </c:pt>
                <c:pt idx="5">
                  <c:v>10.3</c:v>
                </c:pt>
                <c:pt idx="6">
                  <c:v>1.1000000000000001</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1"/>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2"/>
              <c:spPr>
                <a:noFill/>
                <a:ln>
                  <a:noFill/>
                </a:ln>
                <a:effectLst/>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文化芸術を鑑賞・体験で
きる機会の充実</c:v>
                </c:pt>
                <c:pt idx="1">
                  <c:v>ホール・劇場、美術館、
博物館等の文化施設の充
実</c:v>
                </c:pt>
                <c:pt idx="2">
                  <c:v>高知固有の文化の継承や
活用</c:v>
                </c:pt>
                <c:pt idx="3">
                  <c:v>文化芸術活動を支える人
材の育成</c:v>
                </c:pt>
                <c:pt idx="4">
                  <c:v>文化芸術に関するイベン
ト等の情報発信</c:v>
                </c:pt>
                <c:pt idx="5">
                  <c:v>文化芸術活動を発表する
機会の拡充</c:v>
                </c:pt>
                <c:pt idx="6">
                  <c:v>その他　　　　　　　　</c:v>
                </c:pt>
              </c:strCache>
            </c:strRef>
          </c:cat>
          <c:val>
            <c:numRef>
              <c:f>Sheet1!$H$2:$H$8</c:f>
              <c:numCache>
                <c:formatCode>0.0_);[Red]\(0.0\)</c:formatCode>
                <c:ptCount val="7"/>
                <c:pt idx="0">
                  <c:v>39.800000000000004</c:v>
                </c:pt>
                <c:pt idx="1">
                  <c:v>34.700000000000003</c:v>
                </c:pt>
                <c:pt idx="2">
                  <c:v>42.9</c:v>
                </c:pt>
                <c:pt idx="3">
                  <c:v>33.700000000000003</c:v>
                </c:pt>
                <c:pt idx="4">
                  <c:v>21.4</c:v>
                </c:pt>
                <c:pt idx="5">
                  <c:v>11.2</c:v>
                </c:pt>
                <c:pt idx="6">
                  <c:v>1</c:v>
                </c:pt>
              </c:numCache>
            </c:numRef>
          </c:val>
        </c:ser>
        <c:dLbls>
          <c:showLegendKey val="0"/>
          <c:showVal val="1"/>
          <c:showCatName val="0"/>
          <c:showSerName val="0"/>
          <c:showPercent val="0"/>
          <c:showBubbleSize val="0"/>
        </c:dLbls>
        <c:gapWidth val="100"/>
        <c:axId val="225584640"/>
        <c:axId val="225586176"/>
      </c:barChart>
      <c:catAx>
        <c:axId val="225584640"/>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5586176"/>
        <c:crosses val="autoZero"/>
        <c:auto val="1"/>
        <c:lblAlgn val="ctr"/>
        <c:lblOffset val="100"/>
        <c:noMultiLvlLbl val="0"/>
      </c:catAx>
      <c:valAx>
        <c:axId val="225586176"/>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5584640"/>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4"/>
              <c:layout>
                <c:manualLayout>
                  <c:x val="6.6704846274340326E-2"/>
                  <c:y val="2.4656140137020811E-2"/>
                </c:manualLayout>
              </c:layout>
              <c:spPr>
                <a:noFill/>
              </c:spPr>
              <c:txPr>
                <a:bodyPr/>
                <a:lstStyle/>
                <a:p>
                  <a:pPr>
                    <a:defRPr sz="1000" b="1"/>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ltLang="en-US" sz="1000" b="1"/>
                      <a:t>18</a:t>
                    </a:r>
                    <a:r>
                      <a:rPr lang="en-US" altLang="ja-JP" sz="1000" b="1"/>
                      <a:t>.0</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ltLang="en-US" sz="1000" b="1"/>
                      <a:t>15</a:t>
                    </a:r>
                    <a:r>
                      <a:rPr lang="en-US" altLang="ja-JP" sz="1000" b="1"/>
                      <a:t>.0</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834977906242732E-2"/>
                </c:manualLayout>
              </c:layout>
              <c:spPr>
                <a:noFill/>
              </c:spPr>
              <c:txPr>
                <a:bodyPr/>
                <a:lstStyle/>
                <a:p>
                  <a:pPr>
                    <a:defRPr sz="1000" b="1"/>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1000" b="1"/>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誰もが地域でスポーツに参加できるための環境づくり</c:v>
                </c:pt>
                <c:pt idx="1">
                  <c:v>選手や指導者の育成による競技力の向上</c:v>
                </c:pt>
                <c:pt idx="2">
                  <c:v>スポーツ施設などの充実</c:v>
                </c:pt>
                <c:pt idx="3">
                  <c:v>スポーツを通じた交流人口の拡大</c:v>
                </c:pt>
                <c:pt idx="4">
                  <c:v>その他</c:v>
                </c:pt>
              </c:strCache>
            </c:strRef>
          </c:cat>
          <c:val>
            <c:numRef>
              <c:f>Sheet1!$B$2:$F$2</c:f>
              <c:numCache>
                <c:formatCode>0.0_);[Red]\(0.0\)</c:formatCode>
                <c:ptCount val="5"/>
                <c:pt idx="0">
                  <c:v>51.8</c:v>
                </c:pt>
                <c:pt idx="1">
                  <c:v>51.3</c:v>
                </c:pt>
                <c:pt idx="2">
                  <c:v>46.1</c:v>
                </c:pt>
                <c:pt idx="3">
                  <c:v>24.9</c:v>
                </c:pt>
                <c:pt idx="4">
                  <c:v>1.6</c:v>
                </c:pt>
              </c:numCache>
            </c:numRef>
          </c:val>
        </c:ser>
        <c:dLbls>
          <c:showLegendKey val="0"/>
          <c:showVal val="1"/>
          <c:showCatName val="0"/>
          <c:showSerName val="0"/>
          <c:showPercent val="0"/>
          <c:showBubbleSize val="0"/>
        </c:dLbls>
        <c:gapWidth val="100"/>
        <c:axId val="224798592"/>
        <c:axId val="224800128"/>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4.0791666666666712E-2"/>
                  <c:y val="5.16877637130801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21461368961404E-2"/>
                  <c:y val="-4.74551199312633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41666666666672E-2"/>
                  <c:y val="-3.69198312236286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541666666666672E-2"/>
                  <c:y val="-3.270042194092822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833289448098632E-2"/>
                  <c:y val="-5.80020895399939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624999999999998E-2"/>
                  <c:y val="-3.05907172995780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875000000000003E-2"/>
                  <c:y val="-3.05907172995780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7624999999999999E-2"/>
                  <c:y val="-6.43459915611815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5541666666666812E-2"/>
                  <c:y val="-0.10021097046413628"/>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85000"/>
                </a:sysClr>
              </a:solidFill>
              <a:ln>
                <a:solidFill>
                  <a:sysClr val="windowText" lastClr="000000"/>
                </a:solidFill>
              </a:ln>
            </c:spPr>
            <c:txPr>
              <a:bodyPr/>
              <a:lstStyle/>
              <a:p>
                <a:pPr>
                  <a:defRPr sz="1000" b="1"/>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誰もが地域でスポーツに参加できるための環境づくり</c:v>
                </c:pt>
                <c:pt idx="1">
                  <c:v>選手や指導者の育成による競技力の向上</c:v>
                </c:pt>
                <c:pt idx="2">
                  <c:v>スポーツ施設などの充実</c:v>
                </c:pt>
                <c:pt idx="3">
                  <c:v>スポーツを通じた交流人口の拡大</c:v>
                </c:pt>
                <c:pt idx="4">
                  <c:v>その他</c:v>
                </c:pt>
              </c:strCache>
            </c:strRef>
          </c:cat>
          <c:val>
            <c:numRef>
              <c:f>Sheet1!$B$3:$F$3</c:f>
              <c:numCache>
                <c:formatCode>0.0_);[Red]\(0.0\)</c:formatCode>
                <c:ptCount val="5"/>
                <c:pt idx="0">
                  <c:v>47.1</c:v>
                </c:pt>
                <c:pt idx="1">
                  <c:v>52.9</c:v>
                </c:pt>
                <c:pt idx="2">
                  <c:v>47.1</c:v>
                </c:pt>
                <c:pt idx="3">
                  <c:v>28.3</c:v>
                </c:pt>
                <c:pt idx="4">
                  <c:v>2.8</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4.0648631684824639E-2"/>
                  <c:y val="3.2710050534826354E-2"/>
                </c:manualLayout>
              </c:layout>
              <c:dLblPos val="r"/>
              <c:showLegendKey val="0"/>
              <c:showVal val="1"/>
              <c:showCatName val="0"/>
              <c:showSerName val="0"/>
              <c:showPercent val="0"/>
              <c:showBubbleSize val="0"/>
            </c:dLbl>
            <c:dLbl>
              <c:idx val="2"/>
              <c:layout>
                <c:manualLayout>
                  <c:x val="-4.4817722114038568E-2"/>
                  <c:y val="3.9041028057695992E-2"/>
                </c:manualLayout>
              </c:layout>
              <c:dLblPos val="r"/>
              <c:showLegendKey val="0"/>
              <c:showVal val="1"/>
              <c:showCatName val="0"/>
              <c:showSerName val="0"/>
              <c:showPercent val="0"/>
              <c:showBubbleSize val="0"/>
            </c:dLbl>
            <c:dLbl>
              <c:idx val="3"/>
              <c:layout>
                <c:manualLayout>
                  <c:x val="-4.4817722114038568E-2"/>
                  <c:y val="3.6930702216739691E-2"/>
                </c:manualLayout>
              </c:layout>
              <c:dLblPos val="r"/>
              <c:showLegendKey val="0"/>
              <c:showVal val="1"/>
              <c:showCatName val="0"/>
              <c:showSerName val="0"/>
              <c:showPercent val="0"/>
              <c:showBubbleSize val="0"/>
            </c:dLbl>
            <c:dLbl>
              <c:idx val="4"/>
              <c:layout>
                <c:manualLayout>
                  <c:x val="2.9181331057203604E-2"/>
                  <c:y val="-4.3257065068195676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1000"/>
                </a:pPr>
                <a:endParaRPr lang="ja-JP"/>
              </a:p>
            </c:txPr>
            <c:dLblPos val="t"/>
            <c:showLegendKey val="0"/>
            <c:showVal val="1"/>
            <c:showCatName val="0"/>
            <c:showSerName val="0"/>
            <c:showPercent val="0"/>
            <c:showBubbleSize val="0"/>
            <c:showLeaderLines val="0"/>
          </c:dLbls>
          <c:cat>
            <c:strRef>
              <c:f>Sheet1!$B$1:$F$1</c:f>
              <c:strCache>
                <c:ptCount val="5"/>
                <c:pt idx="0">
                  <c:v>誰もが地域でスポーツに参加できるための環境づくり</c:v>
                </c:pt>
                <c:pt idx="1">
                  <c:v>選手や指導者の育成による競技力の向上</c:v>
                </c:pt>
                <c:pt idx="2">
                  <c:v>スポーツ施設などの充実</c:v>
                </c:pt>
                <c:pt idx="3">
                  <c:v>スポーツを通じた交流人口の拡大</c:v>
                </c:pt>
                <c:pt idx="4">
                  <c:v>その他</c:v>
                </c:pt>
              </c:strCache>
            </c:strRef>
          </c:cat>
          <c:val>
            <c:numRef>
              <c:f>Sheet1!$B$4:$F$4</c:f>
              <c:numCache>
                <c:formatCode>0.0_);[Red]\(0.0\)</c:formatCode>
                <c:ptCount val="5"/>
                <c:pt idx="0">
                  <c:v>55.7</c:v>
                </c:pt>
                <c:pt idx="1">
                  <c:v>50.1</c:v>
                </c:pt>
                <c:pt idx="2">
                  <c:v>45.7</c:v>
                </c:pt>
                <c:pt idx="3">
                  <c:v>22.3</c:v>
                </c:pt>
                <c:pt idx="4">
                  <c:v>0.70000000000000062</c:v>
                </c:pt>
              </c:numCache>
            </c:numRef>
          </c:val>
          <c:smooth val="0"/>
        </c:ser>
        <c:dLbls>
          <c:showLegendKey val="0"/>
          <c:showVal val="0"/>
          <c:showCatName val="0"/>
          <c:showSerName val="0"/>
          <c:showPercent val="0"/>
          <c:showBubbleSize val="0"/>
        </c:dLbls>
        <c:marker val="1"/>
        <c:smooth val="0"/>
        <c:axId val="224798592"/>
        <c:axId val="224800128"/>
      </c:lineChart>
      <c:catAx>
        <c:axId val="224798592"/>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24800128"/>
        <c:crosses val="autoZero"/>
        <c:auto val="1"/>
        <c:lblAlgn val="ctr"/>
        <c:lblOffset val="100"/>
        <c:noMultiLvlLbl val="0"/>
      </c:catAx>
      <c:valAx>
        <c:axId val="224800128"/>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24798592"/>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62145109616887"/>
          <c:y val="4.5945260968926364E-2"/>
          <c:w val="0.72549039665219395"/>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Sheet1!$B$2:$B$6</c:f>
              <c:numCache>
                <c:formatCode>0.0_);[Red]\(0.0\)</c:formatCode>
                <c:ptCount val="5"/>
                <c:pt idx="0">
                  <c:v>60.9</c:v>
                </c:pt>
                <c:pt idx="1">
                  <c:v>36.800000000000004</c:v>
                </c:pt>
                <c:pt idx="2">
                  <c:v>54</c:v>
                </c:pt>
                <c:pt idx="3">
                  <c:v>24.1</c:v>
                </c:pt>
                <c:pt idx="4">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2"/>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Sheet1!$C$2:$C$6</c:f>
              <c:numCache>
                <c:formatCode>0.0_);[Red]\(0.0\)</c:formatCode>
                <c:ptCount val="5"/>
                <c:pt idx="0">
                  <c:v>51</c:v>
                </c:pt>
                <c:pt idx="1">
                  <c:v>48.5</c:v>
                </c:pt>
                <c:pt idx="2">
                  <c:v>52</c:v>
                </c:pt>
                <c:pt idx="3">
                  <c:v>21.3</c:v>
                </c:pt>
                <c:pt idx="4">
                  <c:v>1.5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Sheet1!$D$2:$D$6</c:f>
              <c:numCache>
                <c:formatCode>0.0_);[Red]\(0.0\)</c:formatCode>
                <c:ptCount val="5"/>
                <c:pt idx="0">
                  <c:v>54.9</c:v>
                </c:pt>
                <c:pt idx="1">
                  <c:v>47</c:v>
                </c:pt>
                <c:pt idx="2">
                  <c:v>46.2</c:v>
                </c:pt>
                <c:pt idx="3">
                  <c:v>20.2</c:v>
                </c:pt>
                <c:pt idx="4">
                  <c:v>2.4</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Sheet1!$E$2:$E$6</c:f>
              <c:numCache>
                <c:formatCode>0.0_);[Red]\(0.0\)</c:formatCode>
                <c:ptCount val="5"/>
                <c:pt idx="0">
                  <c:v>48</c:v>
                </c:pt>
                <c:pt idx="1">
                  <c:v>55.1</c:v>
                </c:pt>
                <c:pt idx="2">
                  <c:v>46.6</c:v>
                </c:pt>
                <c:pt idx="3">
                  <c:v>26</c:v>
                </c:pt>
                <c:pt idx="4">
                  <c:v>2.6</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1"/>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Sheet1!$F$2:$F$6</c:f>
              <c:numCache>
                <c:formatCode>0.0_);[Red]\(0.0\)</c:formatCode>
                <c:ptCount val="5"/>
                <c:pt idx="0">
                  <c:v>50.4</c:v>
                </c:pt>
                <c:pt idx="1">
                  <c:v>52.2</c:v>
                </c:pt>
                <c:pt idx="2">
                  <c:v>46.1</c:v>
                </c:pt>
                <c:pt idx="3">
                  <c:v>25.1</c:v>
                </c:pt>
                <c:pt idx="4">
                  <c:v>1.7</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Sheet1!$G$2:$G$6</c:f>
              <c:numCache>
                <c:formatCode>0.0_);[Red]\(0.0\)</c:formatCode>
                <c:ptCount val="5"/>
                <c:pt idx="0">
                  <c:v>50.2</c:v>
                </c:pt>
                <c:pt idx="1">
                  <c:v>56.7</c:v>
                </c:pt>
                <c:pt idx="2">
                  <c:v>44.8</c:v>
                </c:pt>
                <c:pt idx="3">
                  <c:v>27.6</c:v>
                </c:pt>
                <c:pt idx="4">
                  <c:v>0.8</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wrap="square" lIns="38100" tIns="19050" rIns="38100" bIns="19050" anchor="ctr">
                  <a:spAutoFit/>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誰もが地域でスポーツに
参加できるための環境づ
くり</c:v>
                </c:pt>
                <c:pt idx="1">
                  <c:v>選手や指導者の育成によ
る競技力の向上</c:v>
                </c:pt>
                <c:pt idx="2">
                  <c:v>スポーツ施設などの充実</c:v>
                </c:pt>
                <c:pt idx="3">
                  <c:v>スポーツを通じた交流人
口の拡大</c:v>
                </c:pt>
                <c:pt idx="4">
                  <c:v>その他　　　　　　　　</c:v>
                </c:pt>
              </c:strCache>
            </c:strRef>
          </c:cat>
          <c:val>
            <c:numRef>
              <c:f>Sheet1!$H$2:$H$6</c:f>
              <c:numCache>
                <c:formatCode>0.0_);[Red]\(0.0\)</c:formatCode>
                <c:ptCount val="5"/>
                <c:pt idx="0">
                  <c:v>61.2</c:v>
                </c:pt>
                <c:pt idx="1">
                  <c:v>51</c:v>
                </c:pt>
                <c:pt idx="2">
                  <c:v>31.6</c:v>
                </c:pt>
                <c:pt idx="3">
                  <c:v>35.700000000000003</c:v>
                </c:pt>
                <c:pt idx="4">
                  <c:v>0</c:v>
                </c:pt>
              </c:numCache>
            </c:numRef>
          </c:val>
        </c:ser>
        <c:dLbls>
          <c:showLegendKey val="0"/>
          <c:showVal val="0"/>
          <c:showCatName val="0"/>
          <c:showSerName val="0"/>
          <c:showPercent val="0"/>
          <c:showBubbleSize val="0"/>
        </c:dLbls>
        <c:gapWidth val="100"/>
        <c:axId val="225018624"/>
        <c:axId val="225020160"/>
      </c:barChart>
      <c:catAx>
        <c:axId val="22501862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5020160"/>
        <c:crosses val="autoZero"/>
        <c:auto val="1"/>
        <c:lblAlgn val="ctr"/>
        <c:lblOffset val="100"/>
        <c:noMultiLvlLbl val="0"/>
      </c:catAx>
      <c:valAx>
        <c:axId val="225020160"/>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501862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経済の活性化　　　　　</c:v>
                </c:pt>
              </c:strCache>
            </c:strRef>
          </c:tx>
          <c:marker>
            <c:symbol val="diamond"/>
            <c:size val="10"/>
          </c:marker>
          <c:dLbls>
            <c:txPr>
              <a:bodyPr/>
              <a:lstStyle/>
              <a:p>
                <a:pPr>
                  <a:defRPr sz="900">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Sheet1!$B$2:$B$6</c:f>
              <c:numCache>
                <c:formatCode>0.0</c:formatCode>
                <c:ptCount val="5"/>
                <c:pt idx="0">
                  <c:v>62.6</c:v>
                </c:pt>
                <c:pt idx="1">
                  <c:v>63.5</c:v>
                </c:pt>
                <c:pt idx="2">
                  <c:v>63</c:v>
                </c:pt>
                <c:pt idx="3">
                  <c:v>56.3</c:v>
                </c:pt>
                <c:pt idx="4">
                  <c:v>56.3</c:v>
                </c:pt>
              </c:numCache>
            </c:numRef>
          </c:val>
          <c:smooth val="0"/>
        </c:ser>
        <c:ser>
          <c:idx val="1"/>
          <c:order val="1"/>
          <c:tx>
            <c:strRef>
              <c:f>Sheet1!$C$1</c:f>
              <c:strCache>
                <c:ptCount val="1"/>
                <c:pt idx="0">
                  <c:v>南海トラフ地震対策の抜
本強化・加速化</c:v>
                </c:pt>
              </c:strCache>
            </c:strRef>
          </c:tx>
          <c:marker>
            <c:symbol val="square"/>
            <c:size val="9"/>
          </c:marker>
          <c:dLbls>
            <c:dLbl>
              <c:idx val="1"/>
              <c:layout>
                <c:manualLayout>
                  <c:x val="-2.3850427668949382E-2"/>
                  <c:y val="-3.237680896953838E-2"/>
                </c:manualLayout>
              </c:layout>
              <c:dLblPos val="r"/>
              <c:showLegendKey val="0"/>
              <c:showVal val="1"/>
              <c:showCatName val="0"/>
              <c:showSerName val="0"/>
              <c:showPercent val="0"/>
              <c:showBubbleSize val="0"/>
            </c:dLbl>
            <c:dLbl>
              <c:idx val="2"/>
              <c:layout>
                <c:manualLayout>
                  <c:x val="-3.9426751592356687E-2"/>
                  <c:y val="3.2626103555237415E-2"/>
                </c:manualLayout>
              </c:layout>
              <c:dLblPos val="r"/>
              <c:showLegendKey val="0"/>
              <c:showVal val="1"/>
              <c:showCatName val="0"/>
              <c:showSerName val="0"/>
              <c:showPercent val="0"/>
              <c:showBubbleSize val="0"/>
            </c:dLbl>
            <c:dLbl>
              <c:idx val="3"/>
              <c:layout>
                <c:manualLayout>
                  <c:x val="-3.0201706798684606E-2"/>
                  <c:y val="3.0284748439508402E-2"/>
                </c:manualLayout>
              </c:layout>
              <c:dLblPos val="r"/>
              <c:showLegendKey val="0"/>
              <c:showVal val="1"/>
              <c:showCatName val="0"/>
              <c:showSerName val="0"/>
              <c:showPercent val="0"/>
              <c:showBubbleSize val="0"/>
            </c:dLbl>
            <c:spPr>
              <a:solidFill>
                <a:schemeClr val="bg1">
                  <a:lumMod val="85000"/>
                </a:schemeClr>
              </a:solidFill>
              <a:ln>
                <a:solidFill>
                  <a:schemeClr val="tx1"/>
                </a:solidFill>
              </a:ln>
            </c:spPr>
            <c:txPr>
              <a:bodyPr/>
              <a:lstStyle/>
              <a:p>
                <a:pPr>
                  <a:defRPr sz="900" b="1" i="0">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Sheet1!$C$2:$C$6</c:f>
              <c:numCache>
                <c:formatCode>0.0</c:formatCode>
                <c:ptCount val="5"/>
                <c:pt idx="0">
                  <c:v>43.1</c:v>
                </c:pt>
                <c:pt idx="1">
                  <c:v>30</c:v>
                </c:pt>
                <c:pt idx="2">
                  <c:v>27.6</c:v>
                </c:pt>
                <c:pt idx="3">
                  <c:v>33.800000000000004</c:v>
                </c:pt>
                <c:pt idx="4">
                  <c:v>34</c:v>
                </c:pt>
              </c:numCache>
            </c:numRef>
          </c:val>
          <c:smooth val="0"/>
        </c:ser>
        <c:ser>
          <c:idx val="2"/>
          <c:order val="2"/>
          <c:tx>
            <c:strRef>
              <c:f>Sheet1!$D$1</c:f>
              <c:strCache>
                <c:ptCount val="1"/>
                <c:pt idx="0">
                  <c:v>教育の充実と子育て支援</c:v>
                </c:pt>
              </c:strCache>
            </c:strRef>
          </c:tx>
          <c:marker>
            <c:symbol val="triangle"/>
            <c:size val="10"/>
            <c:spPr>
              <a:ln>
                <a:solidFill>
                  <a:schemeClr val="bg1"/>
                </a:solidFill>
              </a:ln>
            </c:spPr>
          </c:marker>
          <c:dPt>
            <c:idx val="0"/>
            <c:bubble3D val="0"/>
            <c:spPr>
              <a:ln>
                <a:solidFill>
                  <a:schemeClr val="bg1"/>
                </a:solidFill>
              </a:ln>
            </c:spPr>
          </c:dPt>
          <c:dLbls>
            <c:dLbl>
              <c:idx val="0"/>
              <c:layout>
                <c:manualLayout>
                  <c:x val="-4.9320594479830934E-2"/>
                  <c:y val="2.8257535989819879E-2"/>
                </c:manualLayout>
              </c:layout>
              <c:dLblPos val="r"/>
              <c:showLegendKey val="0"/>
              <c:showVal val="1"/>
              <c:showCatName val="0"/>
              <c:showSerName val="0"/>
              <c:showPercent val="0"/>
              <c:showBubbleSize val="0"/>
            </c:dLbl>
            <c:dLbl>
              <c:idx val="4"/>
              <c:layout>
                <c:manualLayout>
                  <c:x val="-3.0212314225053563E-2"/>
                  <c:y val="3.6338344070627616E-2"/>
                </c:manualLayout>
              </c:layout>
              <c:dLblPos val="r"/>
              <c:showLegendKey val="0"/>
              <c:showVal val="1"/>
              <c:showCatName val="0"/>
              <c:showSerName val="0"/>
              <c:showPercent val="0"/>
              <c:showBubbleSize val="0"/>
            </c:dLbl>
            <c:spPr>
              <a:ln>
                <a:solidFill>
                  <a:sysClr val="windowText" lastClr="000000"/>
                </a:solidFill>
              </a:ln>
            </c:spPr>
            <c:txPr>
              <a:bodyPr/>
              <a:lstStyle/>
              <a:p>
                <a:pPr>
                  <a:defRPr sz="900" b="0">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Sheet1!$D$2:$D$6</c:f>
              <c:numCache>
                <c:formatCode>0.0</c:formatCode>
                <c:ptCount val="5"/>
                <c:pt idx="0">
                  <c:v>41.2</c:v>
                </c:pt>
                <c:pt idx="1">
                  <c:v>35.200000000000003</c:v>
                </c:pt>
                <c:pt idx="2">
                  <c:v>36.300000000000004</c:v>
                </c:pt>
                <c:pt idx="3">
                  <c:v>35.700000000000003</c:v>
                </c:pt>
                <c:pt idx="4">
                  <c:v>33.4</c:v>
                </c:pt>
              </c:numCache>
            </c:numRef>
          </c:val>
          <c:smooth val="0"/>
        </c:ser>
        <c:ser>
          <c:idx val="3"/>
          <c:order val="3"/>
          <c:tx>
            <c:strRef>
              <c:f>Sheet1!$E$1</c:f>
              <c:strCache>
                <c:ptCount val="1"/>
                <c:pt idx="0">
                  <c:v>少子化対策の充実・強化
と女性の活躍の場の拡大</c:v>
                </c:pt>
              </c:strCache>
            </c:strRef>
          </c:tx>
          <c:spPr>
            <a:ln w="31750"/>
          </c:spPr>
          <c:marker>
            <c:symbol val="x"/>
            <c:size val="10"/>
          </c:marker>
          <c:dLbls>
            <c:dLbl>
              <c:idx val="0"/>
              <c:layout>
                <c:manualLayout>
                  <c:x val="-3.9278131634819552E-2"/>
                  <c:y val="-2.1919191919191918E-2"/>
                </c:manualLayout>
              </c:layout>
              <c:dLblPos val="r"/>
              <c:showLegendKey val="0"/>
              <c:showVal val="1"/>
              <c:showCatName val="0"/>
              <c:showSerName val="0"/>
              <c:showPercent val="0"/>
              <c:showBubbleSize val="0"/>
            </c:dLbl>
            <c:dLbl>
              <c:idx val="1"/>
              <c:layout>
                <c:manualLayout>
                  <c:x val="-4.2596268546219743E-2"/>
                  <c:y val="3.1629962775454219E-2"/>
                </c:manualLayout>
              </c:layout>
              <c:dLblPos val="r"/>
              <c:showLegendKey val="0"/>
              <c:showVal val="1"/>
              <c:showCatName val="0"/>
              <c:showSerName val="0"/>
              <c:showPercent val="0"/>
              <c:showBubbleSize val="0"/>
            </c:dLbl>
            <c:dLbl>
              <c:idx val="2"/>
              <c:layout>
                <c:manualLayout>
                  <c:x val="-3.4458598726114655E-2"/>
                  <c:y val="-2.830812057583711E-2"/>
                </c:manualLayout>
              </c:layout>
              <c:dLblPos val="r"/>
              <c:showLegendKey val="0"/>
              <c:showVal val="1"/>
              <c:showCatName val="0"/>
              <c:showSerName val="0"/>
              <c:showPercent val="0"/>
              <c:showBubbleSize val="0"/>
            </c:dLbl>
            <c:dLbl>
              <c:idx val="3"/>
              <c:layout>
                <c:manualLayout>
                  <c:x val="-4.293601727588036E-2"/>
                  <c:y val="-3.4383729351723819E-2"/>
                </c:manualLayout>
              </c:layout>
              <c:dLblPos val="r"/>
              <c:showLegendKey val="0"/>
              <c:showVal val="1"/>
              <c:showCatName val="0"/>
              <c:showSerName val="0"/>
              <c:showPercent val="0"/>
              <c:showBubbleSize val="0"/>
            </c:dLbl>
            <c:dLbl>
              <c:idx val="4"/>
              <c:layout>
                <c:manualLayout>
                  <c:x val="-2.9861958069024013E-2"/>
                  <c:y val="-2.0918218193351532E-2"/>
                </c:manualLayout>
              </c:layout>
              <c:dLblPos val="r"/>
              <c:showLegendKey val="0"/>
              <c:showVal val="1"/>
              <c:showCatName val="0"/>
              <c:showSerName val="0"/>
              <c:showPercent val="0"/>
              <c:showBubbleSize val="0"/>
            </c:dLbl>
            <c:spPr>
              <a:noFill/>
              <a:ln>
                <a:noFill/>
              </a:ln>
            </c:spPr>
            <c:txPr>
              <a:bodyPr/>
              <a:lstStyle/>
              <a:p>
                <a:pPr>
                  <a:defRPr sz="900" b="1">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Sheet1!$E$2:$E$6</c:f>
              <c:numCache>
                <c:formatCode>0.0</c:formatCode>
                <c:ptCount val="5"/>
                <c:pt idx="1">
                  <c:v>25</c:v>
                </c:pt>
                <c:pt idx="2">
                  <c:v>27.9</c:v>
                </c:pt>
                <c:pt idx="3">
                  <c:v>23.7</c:v>
                </c:pt>
                <c:pt idx="4">
                  <c:v>26</c:v>
                </c:pt>
              </c:numCache>
            </c:numRef>
          </c:val>
          <c:smooth val="0"/>
        </c:ser>
        <c:ser>
          <c:idx val="4"/>
          <c:order val="4"/>
          <c:tx>
            <c:strRef>
              <c:f>Sheet1!$F$1</c:f>
              <c:strCache>
                <c:ptCount val="1"/>
                <c:pt idx="0">
                  <c:v>中山間対策の充実・強化</c:v>
                </c:pt>
              </c:strCache>
            </c:strRef>
          </c:tx>
          <c:marker>
            <c:symbol val="star"/>
            <c:size val="10"/>
          </c:marker>
          <c:dLbls>
            <c:txPr>
              <a:bodyPr/>
              <a:lstStyle/>
              <a:p>
                <a:pPr>
                  <a:defRPr sz="9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Sheet1!$F$2:$F$6</c:f>
              <c:numCache>
                <c:formatCode>0.0</c:formatCode>
                <c:ptCount val="5"/>
                <c:pt idx="0">
                  <c:v>18.899999999999999</c:v>
                </c:pt>
                <c:pt idx="1">
                  <c:v>18.399999999999999</c:v>
                </c:pt>
                <c:pt idx="2">
                  <c:v>16.600000000000001</c:v>
                </c:pt>
                <c:pt idx="3">
                  <c:v>20.399999999999999</c:v>
                </c:pt>
                <c:pt idx="4">
                  <c:v>18.2</c:v>
                </c:pt>
              </c:numCache>
            </c:numRef>
          </c:val>
          <c:smooth val="0"/>
        </c:ser>
        <c:ser>
          <c:idx val="5"/>
          <c:order val="5"/>
          <c:tx>
            <c:strRef>
              <c:f>Sheet1!$G$1</c:f>
              <c:strCache>
                <c:ptCount val="1"/>
                <c:pt idx="0">
                  <c:v>インフラの充実と有効活
用</c:v>
                </c:pt>
              </c:strCache>
            </c:strRef>
          </c:tx>
          <c:marker>
            <c:symbol val="circle"/>
            <c:size val="10"/>
          </c:marker>
          <c:dLbls>
            <c:dLbl>
              <c:idx val="0"/>
              <c:layout>
                <c:manualLayout>
                  <c:x val="-5.5182012067848132E-2"/>
                  <c:y val="2.2939302076767195E-2"/>
                </c:manualLayout>
              </c:layout>
              <c:dLblPos val="r"/>
              <c:showLegendKey val="0"/>
              <c:showVal val="1"/>
              <c:showCatName val="0"/>
              <c:showSerName val="0"/>
              <c:showPercent val="0"/>
              <c:showBubbleSize val="0"/>
            </c:dLbl>
            <c:txPr>
              <a:bodyPr/>
              <a:lstStyle/>
              <a:p>
                <a:pPr>
                  <a:defRPr sz="9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Sheet1!$G$2:$G$6</c:f>
              <c:numCache>
                <c:formatCode>0.0</c:formatCode>
                <c:ptCount val="5"/>
                <c:pt idx="0">
                  <c:v>11.7</c:v>
                </c:pt>
                <c:pt idx="1">
                  <c:v>10.4</c:v>
                </c:pt>
                <c:pt idx="2">
                  <c:v>11.1</c:v>
                </c:pt>
                <c:pt idx="3">
                  <c:v>13.2</c:v>
                </c:pt>
                <c:pt idx="4">
                  <c:v>12.4</c:v>
                </c:pt>
              </c:numCache>
            </c:numRef>
          </c:val>
          <c:smooth val="0"/>
        </c:ser>
        <c:ser>
          <c:idx val="6"/>
          <c:order val="6"/>
          <c:tx>
            <c:strRef>
              <c:f>Sheet1!$H$1</c:f>
              <c:strCache>
                <c:ptCount val="1"/>
                <c:pt idx="0">
                  <c:v>日本一の健康長寿県づく
り</c:v>
                </c:pt>
              </c:strCache>
            </c:strRef>
          </c:tx>
          <c:marker>
            <c:symbol val="plus"/>
            <c:size val="10"/>
          </c:marker>
          <c:dLbls>
            <c:dLbl>
              <c:idx val="0"/>
              <c:layout>
                <c:manualLayout>
                  <c:x val="-3.4501228747680426E-2"/>
                  <c:y val="1.7878787878787879E-2"/>
                </c:manualLayout>
              </c:layout>
              <c:dLblPos val="r"/>
              <c:showLegendKey val="0"/>
              <c:showVal val="1"/>
              <c:showCatName val="0"/>
              <c:showSerName val="0"/>
              <c:showPercent val="0"/>
              <c:showBubbleSize val="0"/>
            </c:dLbl>
            <c:dLbl>
              <c:idx val="4"/>
              <c:layout>
                <c:manualLayout>
                  <c:x val="-1.6454352441613591E-2"/>
                  <c:y val="2.0909090909090912E-2"/>
                </c:manualLayout>
              </c:layout>
              <c:dLblPos val="r"/>
              <c:showLegendKey val="0"/>
              <c:showVal val="1"/>
              <c:showCatName val="0"/>
              <c:showSerName val="0"/>
              <c:showPercent val="0"/>
              <c:showBubbleSize val="0"/>
            </c:dLbl>
            <c:txPr>
              <a:bodyPr/>
              <a:lstStyle/>
              <a:p>
                <a:pPr>
                  <a:defRPr sz="9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Sheet1!$A$2:$A$6</c:f>
              <c:strCache>
                <c:ptCount val="5"/>
                <c:pt idx="0">
                  <c:v>平成25年度</c:v>
                </c:pt>
                <c:pt idx="1">
                  <c:v>平成26年度</c:v>
                </c:pt>
                <c:pt idx="2">
                  <c:v>平成27年度</c:v>
                </c:pt>
                <c:pt idx="3">
                  <c:v>平成28年度</c:v>
                </c:pt>
                <c:pt idx="4">
                  <c:v>平成29年度</c:v>
                </c:pt>
              </c:strCache>
            </c:strRef>
          </c:cat>
          <c:val>
            <c:numRef>
              <c:f>Sheet1!$H$2:$H$6</c:f>
              <c:numCache>
                <c:formatCode>0.0</c:formatCode>
                <c:ptCount val="5"/>
                <c:pt idx="0">
                  <c:v>7.6</c:v>
                </c:pt>
                <c:pt idx="1">
                  <c:v>4.0999999999999996</c:v>
                </c:pt>
                <c:pt idx="2">
                  <c:v>4.7</c:v>
                </c:pt>
                <c:pt idx="3">
                  <c:v>6.1</c:v>
                </c:pt>
                <c:pt idx="4">
                  <c:v>6</c:v>
                </c:pt>
              </c:numCache>
            </c:numRef>
          </c:val>
          <c:smooth val="0"/>
        </c:ser>
        <c:ser>
          <c:idx val="7"/>
          <c:order val="7"/>
          <c:tx>
            <c:strRef>
              <c:f>Sheet1!$I$1</c:f>
              <c:strCache>
                <c:ptCount val="1"/>
                <c:pt idx="0">
                  <c:v>文化芸術とスポーツの振
興</c:v>
                </c:pt>
              </c:strCache>
            </c:strRef>
          </c:tx>
          <c:cat>
            <c:strRef>
              <c:f>Sheet1!$A$2:$A$6</c:f>
              <c:strCache>
                <c:ptCount val="5"/>
                <c:pt idx="0">
                  <c:v>平成25年度</c:v>
                </c:pt>
                <c:pt idx="1">
                  <c:v>平成26年度</c:v>
                </c:pt>
                <c:pt idx="2">
                  <c:v>平成27年度</c:v>
                </c:pt>
                <c:pt idx="3">
                  <c:v>平成28年度</c:v>
                </c:pt>
                <c:pt idx="4">
                  <c:v>平成29年度</c:v>
                </c:pt>
              </c:strCache>
            </c:strRef>
          </c:cat>
          <c:val>
            <c:numRef>
              <c:f>Sheet1!$I$2:$I$6</c:f>
              <c:numCache>
                <c:formatCode>General</c:formatCode>
                <c:ptCount val="5"/>
                <c:pt idx="4" formatCode="0.0">
                  <c:v>2.9</c:v>
                </c:pt>
              </c:numCache>
            </c:numRef>
          </c:val>
          <c:smooth val="0"/>
        </c:ser>
        <c:dLbls>
          <c:showLegendKey val="0"/>
          <c:showVal val="0"/>
          <c:showCatName val="0"/>
          <c:showSerName val="0"/>
          <c:showPercent val="0"/>
          <c:showBubbleSize val="0"/>
        </c:dLbls>
        <c:marker val="1"/>
        <c:smooth val="0"/>
        <c:axId val="226153984"/>
        <c:axId val="226155520"/>
      </c:lineChart>
      <c:catAx>
        <c:axId val="226153984"/>
        <c:scaling>
          <c:orientation val="minMax"/>
        </c:scaling>
        <c:delete val="0"/>
        <c:axPos val="b"/>
        <c:majorTickMark val="in"/>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6155520"/>
        <c:crosses val="autoZero"/>
        <c:auto val="1"/>
        <c:lblAlgn val="ctr"/>
        <c:lblOffset val="100"/>
        <c:noMultiLvlLbl val="0"/>
      </c:catAx>
      <c:valAx>
        <c:axId val="226155520"/>
        <c:scaling>
          <c:orientation val="minMax"/>
        </c:scaling>
        <c:delete val="0"/>
        <c:axPos val="l"/>
        <c:numFmt formatCode="#&quot;%&quot;;;&quot;0%&quot;;" sourceLinked="0"/>
        <c:majorTickMark val="in"/>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6153984"/>
        <c:crosses val="autoZero"/>
        <c:crossBetween val="between"/>
      </c:valAx>
    </c:plotArea>
    <c:legend>
      <c:legendPos val="r"/>
      <c:overlay val="0"/>
      <c:txPr>
        <a:bodyPr/>
        <a:lstStyle/>
        <a:p>
          <a:pPr>
            <a:defRPr sz="900"/>
          </a:pPr>
          <a:endParaRPr lang="ja-JP"/>
        </a:p>
      </c:txPr>
    </c:legend>
    <c:plotVisOnly val="1"/>
    <c:dispBlanksAs val="gap"/>
    <c:showDLblsOverMax val="0"/>
  </c:chart>
  <c:spPr>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36913735923491"/>
          <c:y val="4.5945260968926364E-2"/>
          <c:w val="0.6955464767647539"/>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Sheet1!$B$2:$B$9</c:f>
              <c:numCache>
                <c:formatCode>0.0_);[Red]\(0.0\)</c:formatCode>
                <c:ptCount val="8"/>
                <c:pt idx="0">
                  <c:v>56.8</c:v>
                </c:pt>
                <c:pt idx="1">
                  <c:v>28.4</c:v>
                </c:pt>
                <c:pt idx="2">
                  <c:v>32.4</c:v>
                </c:pt>
                <c:pt idx="3">
                  <c:v>24.9</c:v>
                </c:pt>
                <c:pt idx="4">
                  <c:v>19.5</c:v>
                </c:pt>
                <c:pt idx="5">
                  <c:v>16.600000000000001</c:v>
                </c:pt>
                <c:pt idx="6">
                  <c:v>6.5</c:v>
                </c:pt>
                <c:pt idx="7">
                  <c:v>4.3</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Sheet1!$C$2:$C$9</c:f>
              <c:numCache>
                <c:formatCode>0.0_);[Red]\(0.0\)</c:formatCode>
                <c:ptCount val="8"/>
                <c:pt idx="0">
                  <c:v>55.9</c:v>
                </c:pt>
                <c:pt idx="1">
                  <c:v>38.5</c:v>
                </c:pt>
                <c:pt idx="2">
                  <c:v>34.5</c:v>
                </c:pt>
                <c:pt idx="3">
                  <c:v>27</c:v>
                </c:pt>
                <c:pt idx="4">
                  <c:v>16.899999999999999</c:v>
                </c:pt>
                <c:pt idx="5">
                  <c:v>9</c:v>
                </c:pt>
                <c:pt idx="6">
                  <c:v>5.7</c:v>
                </c:pt>
                <c:pt idx="7">
                  <c:v>1.8</c:v>
                </c:pt>
              </c:numCache>
            </c:numRef>
          </c:val>
        </c:ser>
        <c:dLbls>
          <c:showLegendKey val="0"/>
          <c:showVal val="0"/>
          <c:showCatName val="0"/>
          <c:showSerName val="0"/>
          <c:showPercent val="0"/>
          <c:showBubbleSize val="0"/>
        </c:dLbls>
        <c:gapWidth val="100"/>
        <c:axId val="226085888"/>
        <c:axId val="226173696"/>
      </c:barChart>
      <c:catAx>
        <c:axId val="226085888"/>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6173696"/>
        <c:crosses val="autoZero"/>
        <c:auto val="1"/>
        <c:lblAlgn val="ctr"/>
        <c:lblOffset val="100"/>
        <c:noMultiLvlLbl val="0"/>
      </c:catAx>
      <c:valAx>
        <c:axId val="226173696"/>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6085888"/>
        <c:crosses val="autoZero"/>
        <c:crossBetween val="between"/>
        <c:majorUnit val="10"/>
      </c:valAx>
      <c:spPr>
        <a:ln>
          <a:solidFill>
            <a:schemeClr val="tx1"/>
          </a:solidFill>
        </a:ln>
      </c:spPr>
    </c:plotArea>
    <c:legend>
      <c:legendPos val="b"/>
      <c:layout>
        <c:manualLayout>
          <c:xMode val="edge"/>
          <c:yMode val="edge"/>
          <c:x val="0.85174590619100643"/>
          <c:y val="0.84530990523272376"/>
          <c:w val="8.7867943447708305E-2"/>
          <c:h val="0.114987570566120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51402456867265"/>
          <c:y val="4.5945260968926364E-2"/>
          <c:w val="0.7169716020616268"/>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Sheet1!$B$2:$B$9</c:f>
              <c:numCache>
                <c:formatCode>0.0_);[Red]\(0.0\)</c:formatCode>
                <c:ptCount val="8"/>
                <c:pt idx="0">
                  <c:v>43.7</c:v>
                </c:pt>
                <c:pt idx="1">
                  <c:v>56.3</c:v>
                </c:pt>
                <c:pt idx="2">
                  <c:v>33.300000000000004</c:v>
                </c:pt>
                <c:pt idx="3">
                  <c:v>28.7</c:v>
                </c:pt>
                <c:pt idx="4">
                  <c:v>10.3</c:v>
                </c:pt>
                <c:pt idx="5">
                  <c:v>4.5999999999999996</c:v>
                </c:pt>
                <c:pt idx="6">
                  <c:v>4.5999999999999996</c:v>
                </c:pt>
                <c:pt idx="7">
                  <c:v>3.4</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Sheet1!$C$2:$C$9</c:f>
              <c:numCache>
                <c:formatCode>0.0_);[Red]\(0.0\)</c:formatCode>
                <c:ptCount val="8"/>
                <c:pt idx="0">
                  <c:v>48.5</c:v>
                </c:pt>
                <c:pt idx="1">
                  <c:v>41.1</c:v>
                </c:pt>
                <c:pt idx="2">
                  <c:v>32.200000000000003</c:v>
                </c:pt>
                <c:pt idx="3">
                  <c:v>30.7</c:v>
                </c:pt>
                <c:pt idx="4">
                  <c:v>10.4</c:v>
                </c:pt>
                <c:pt idx="5">
                  <c:v>12.4</c:v>
                </c:pt>
                <c:pt idx="6">
                  <c:v>4.5</c:v>
                </c:pt>
                <c:pt idx="7">
                  <c:v>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Sheet1!$D$2:$D$9</c:f>
              <c:numCache>
                <c:formatCode>0.0_);[Red]\(0.0\)</c:formatCode>
                <c:ptCount val="8"/>
                <c:pt idx="0">
                  <c:v>57.7</c:v>
                </c:pt>
                <c:pt idx="1">
                  <c:v>34.4</c:v>
                </c:pt>
                <c:pt idx="2">
                  <c:v>39.1</c:v>
                </c:pt>
                <c:pt idx="3">
                  <c:v>32.4</c:v>
                </c:pt>
                <c:pt idx="4">
                  <c:v>8.3000000000000007</c:v>
                </c:pt>
                <c:pt idx="5">
                  <c:v>9.1</c:v>
                </c:pt>
                <c:pt idx="6">
                  <c:v>6.7</c:v>
                </c:pt>
                <c:pt idx="7">
                  <c:v>2.4</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Sheet1!$E$2:$E$9</c:f>
              <c:numCache>
                <c:formatCode>0.0_);[Red]\(0.0\)</c:formatCode>
                <c:ptCount val="8"/>
                <c:pt idx="0">
                  <c:v>58</c:v>
                </c:pt>
                <c:pt idx="1">
                  <c:v>35.1</c:v>
                </c:pt>
                <c:pt idx="2">
                  <c:v>34.6</c:v>
                </c:pt>
                <c:pt idx="3">
                  <c:v>23.4</c:v>
                </c:pt>
                <c:pt idx="4">
                  <c:v>16.899999999999999</c:v>
                </c:pt>
                <c:pt idx="5">
                  <c:v>13.7</c:v>
                </c:pt>
                <c:pt idx="6">
                  <c:v>5.4</c:v>
                </c:pt>
                <c:pt idx="7">
                  <c:v>2.6</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Sheet1!$F$2:$F$9</c:f>
              <c:numCache>
                <c:formatCode>0.0_);[Red]\(0.0\)</c:formatCode>
                <c:ptCount val="8"/>
                <c:pt idx="0">
                  <c:v>58.6</c:v>
                </c:pt>
                <c:pt idx="1">
                  <c:v>30.3</c:v>
                </c:pt>
                <c:pt idx="2">
                  <c:v>30</c:v>
                </c:pt>
                <c:pt idx="3">
                  <c:v>21.6</c:v>
                </c:pt>
                <c:pt idx="4">
                  <c:v>23.6</c:v>
                </c:pt>
                <c:pt idx="5">
                  <c:v>17.2</c:v>
                </c:pt>
                <c:pt idx="6">
                  <c:v>5.2</c:v>
                </c:pt>
                <c:pt idx="7">
                  <c:v>3.5</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Sheet1!$G$2:$G$9</c:f>
              <c:numCache>
                <c:formatCode>0.0_);[Red]\(0.0\)</c:formatCode>
                <c:ptCount val="8"/>
                <c:pt idx="0">
                  <c:v>60.5</c:v>
                </c:pt>
                <c:pt idx="1">
                  <c:v>24.9</c:v>
                </c:pt>
                <c:pt idx="2">
                  <c:v>32.6</c:v>
                </c:pt>
                <c:pt idx="3">
                  <c:v>24.5</c:v>
                </c:pt>
                <c:pt idx="4">
                  <c:v>26.4</c:v>
                </c:pt>
                <c:pt idx="5">
                  <c:v>11.9</c:v>
                </c:pt>
                <c:pt idx="6">
                  <c:v>8</c:v>
                </c:pt>
                <c:pt idx="7">
                  <c:v>2.2999999999999998</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900">
                      <a:latin typeface="Arial Black" panose="020B0A04020102020204" pitchFamily="34" charset="0"/>
                    </a:defRPr>
                  </a:pPr>
                  <a:endParaRPr lang="ja-JP"/>
                </a:p>
              </c:txPr>
              <c:showLegendKey val="0"/>
              <c:showVal val="1"/>
              <c:showCatName val="0"/>
              <c:showSerName val="0"/>
              <c:showPercent val="0"/>
              <c:showBubbleSize val="0"/>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Sheet1!$A$2:$A$9</c:f>
              <c:strCache>
                <c:ptCount val="8"/>
                <c:pt idx="0">
                  <c:v>経済の活性化　　　　　</c:v>
                </c:pt>
                <c:pt idx="1">
                  <c:v>南海トラフ地震対策の抜
本強化・加速化</c:v>
                </c:pt>
                <c:pt idx="2">
                  <c:v>教育の充実と子育て支援</c:v>
                </c:pt>
                <c:pt idx="3">
                  <c:v>少子化対策の充実・強化
と女性の活躍の場の拡大</c:v>
                </c:pt>
                <c:pt idx="4">
                  <c:v>中山間対策の充実・強化</c:v>
                </c:pt>
                <c:pt idx="5">
                  <c:v>インフラの充実と有効活
用</c:v>
                </c:pt>
                <c:pt idx="6">
                  <c:v>日本一の健康長寿県づく
り</c:v>
                </c:pt>
                <c:pt idx="7">
                  <c:v>文化芸術とスポーツの振
興</c:v>
                </c:pt>
              </c:strCache>
            </c:strRef>
          </c:cat>
          <c:val>
            <c:numRef>
              <c:f>Sheet1!$H$2:$H$9</c:f>
              <c:numCache>
                <c:formatCode>0.0_);[Red]\(0.0\)</c:formatCode>
                <c:ptCount val="8"/>
                <c:pt idx="0">
                  <c:v>54.1</c:v>
                </c:pt>
                <c:pt idx="1">
                  <c:v>29.6</c:v>
                </c:pt>
                <c:pt idx="2">
                  <c:v>33.700000000000003</c:v>
                </c:pt>
                <c:pt idx="3">
                  <c:v>26.5</c:v>
                </c:pt>
                <c:pt idx="4">
                  <c:v>29.6</c:v>
                </c:pt>
                <c:pt idx="5">
                  <c:v>9.2000000000000011</c:v>
                </c:pt>
                <c:pt idx="6">
                  <c:v>9.2000000000000011</c:v>
                </c:pt>
                <c:pt idx="7">
                  <c:v>1</c:v>
                </c:pt>
              </c:numCache>
            </c:numRef>
          </c:val>
        </c:ser>
        <c:dLbls>
          <c:showLegendKey val="0"/>
          <c:showVal val="0"/>
          <c:showCatName val="0"/>
          <c:showSerName val="0"/>
          <c:showPercent val="0"/>
          <c:showBubbleSize val="0"/>
        </c:dLbls>
        <c:gapWidth val="100"/>
        <c:axId val="226302208"/>
        <c:axId val="226308096"/>
      </c:barChart>
      <c:catAx>
        <c:axId val="22630220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6308096"/>
        <c:crosses val="autoZero"/>
        <c:auto val="1"/>
        <c:lblAlgn val="ctr"/>
        <c:lblOffset val="100"/>
        <c:noMultiLvlLbl val="0"/>
      </c:catAx>
      <c:valAx>
        <c:axId val="226308096"/>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630220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津波で浸水が予測される地域である</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0.0_);[Red]\(0.0\)</c:formatCode>
                <c:ptCount val="12"/>
                <c:pt idx="0">
                  <c:v>38.700000000000003</c:v>
                </c:pt>
                <c:pt idx="1">
                  <c:v>38.4</c:v>
                </c:pt>
                <c:pt idx="2">
                  <c:v>39.1</c:v>
                </c:pt>
                <c:pt idx="3">
                  <c:v>37.9</c:v>
                </c:pt>
                <c:pt idx="4">
                  <c:v>37.6</c:v>
                </c:pt>
                <c:pt idx="5">
                  <c:v>35.6</c:v>
                </c:pt>
                <c:pt idx="6">
                  <c:v>38.9</c:v>
                </c:pt>
                <c:pt idx="7">
                  <c:v>43.1</c:v>
                </c:pt>
                <c:pt idx="8">
                  <c:v>37.9</c:v>
                </c:pt>
                <c:pt idx="9">
                  <c:v>36.700000000000003</c:v>
                </c:pt>
                <c:pt idx="10">
                  <c:v>77.2</c:v>
                </c:pt>
                <c:pt idx="11">
                  <c:v>18.100000000000001</c:v>
                </c:pt>
              </c:numCache>
            </c:numRef>
          </c:val>
        </c:ser>
        <c:ser>
          <c:idx val="1"/>
          <c:order val="1"/>
          <c:tx>
            <c:strRef>
              <c:f>Sheet1!$C$1</c:f>
              <c:strCache>
                <c:ptCount val="1"/>
                <c:pt idx="0">
                  <c:v>津波で浸水が予測される地域ではない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0.0_);[Red]\(0.0\)</c:formatCode>
                <c:ptCount val="12"/>
                <c:pt idx="0">
                  <c:v>49.3</c:v>
                </c:pt>
                <c:pt idx="1">
                  <c:v>50.6</c:v>
                </c:pt>
                <c:pt idx="2">
                  <c:v>48.6</c:v>
                </c:pt>
                <c:pt idx="3">
                  <c:v>51.7</c:v>
                </c:pt>
                <c:pt idx="4">
                  <c:v>50</c:v>
                </c:pt>
                <c:pt idx="5">
                  <c:v>49.8</c:v>
                </c:pt>
                <c:pt idx="6">
                  <c:v>51.7</c:v>
                </c:pt>
                <c:pt idx="7">
                  <c:v>46.4</c:v>
                </c:pt>
                <c:pt idx="8">
                  <c:v>50.6</c:v>
                </c:pt>
                <c:pt idx="9">
                  <c:v>45.9</c:v>
                </c:pt>
                <c:pt idx="10">
                  <c:v>12.8</c:v>
                </c:pt>
                <c:pt idx="11">
                  <c:v>69.5</c:v>
                </c:pt>
              </c:numCache>
            </c:numRef>
          </c:val>
        </c:ser>
        <c:ser>
          <c:idx val="2"/>
          <c:order val="2"/>
          <c:tx>
            <c:strRef>
              <c:f>Sheet1!$D$1</c:f>
              <c:strCache>
                <c:ptCount val="1"/>
                <c:pt idx="0">
                  <c:v>わからない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0.0_);[Red]\(0.0\)</c:formatCode>
                <c:ptCount val="12"/>
                <c:pt idx="0">
                  <c:v>8.2000000000000011</c:v>
                </c:pt>
                <c:pt idx="1">
                  <c:v>6.8</c:v>
                </c:pt>
                <c:pt idx="2">
                  <c:v>9</c:v>
                </c:pt>
                <c:pt idx="3">
                  <c:v>9.2000000000000011</c:v>
                </c:pt>
                <c:pt idx="4">
                  <c:v>7.9</c:v>
                </c:pt>
                <c:pt idx="5">
                  <c:v>10.7</c:v>
                </c:pt>
                <c:pt idx="6">
                  <c:v>6</c:v>
                </c:pt>
                <c:pt idx="7">
                  <c:v>7</c:v>
                </c:pt>
                <c:pt idx="8">
                  <c:v>6.9</c:v>
                </c:pt>
                <c:pt idx="9">
                  <c:v>13.3</c:v>
                </c:pt>
                <c:pt idx="10">
                  <c:v>6.3</c:v>
                </c:pt>
                <c:pt idx="11">
                  <c:v>8.8000000000000007</c:v>
                </c:pt>
              </c:numCache>
            </c:numRef>
          </c:val>
        </c:ser>
        <c:ser>
          <c:idx val="3"/>
          <c:order val="3"/>
          <c:tx>
            <c:strRef>
              <c:f>Sheet1!$E$1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3.5966602440590904E-2"/>
                </c:manualLayout>
              </c:layout>
              <c:showLegendKey val="0"/>
              <c:showVal val="1"/>
              <c:showCatName val="0"/>
              <c:showSerName val="0"/>
              <c:showPercent val="0"/>
              <c:showBubbleSize val="0"/>
            </c:dLbl>
            <c:dLbl>
              <c:idx val="1"/>
              <c:layout>
                <c:manualLayout>
                  <c:x val="0"/>
                  <c:y val="-2.8259473346178548E-2"/>
                </c:manualLayout>
              </c:layout>
              <c:showLegendKey val="0"/>
              <c:showVal val="1"/>
              <c:showCatName val="0"/>
              <c:showSerName val="0"/>
              <c:showPercent val="0"/>
              <c:showBubbleSize val="0"/>
            </c:dLbl>
            <c:dLbl>
              <c:idx val="2"/>
              <c:layout>
                <c:manualLayout>
                  <c:x val="0"/>
                  <c:y val="-3.3397559409120106E-2"/>
                </c:manualLayout>
              </c:layout>
              <c:showLegendKey val="0"/>
              <c:showVal val="1"/>
              <c:showCatName val="0"/>
              <c:showSerName val="0"/>
              <c:showPercent val="0"/>
              <c:showBubbleSize val="0"/>
            </c:dLbl>
            <c:dLbl>
              <c:idx val="3"/>
              <c:layout>
                <c:manualLayout>
                  <c:x val="0"/>
                  <c:y val="-3.3397559409120058E-2"/>
                </c:manualLayout>
              </c:layout>
              <c:showLegendKey val="0"/>
              <c:showVal val="1"/>
              <c:showCatName val="0"/>
              <c:showSerName val="0"/>
              <c:showPercent val="0"/>
              <c:showBubbleSize val="0"/>
            </c:dLbl>
            <c:dLbl>
              <c:idx val="4"/>
              <c:layout>
                <c:manualLayout>
                  <c:x val="2.136752136752137E-3"/>
                  <c:y val="-3.3397559409120106E-2"/>
                </c:manualLayout>
              </c:layout>
              <c:showLegendKey val="0"/>
              <c:showVal val="1"/>
              <c:showCatName val="0"/>
              <c:showSerName val="0"/>
              <c:showPercent val="0"/>
              <c:showBubbleSize val="0"/>
            </c:dLbl>
            <c:dLbl>
              <c:idx val="5"/>
              <c:layout>
                <c:manualLayout>
                  <c:x val="0"/>
                  <c:y val="-3.5966602440590877E-2"/>
                </c:manualLayout>
              </c:layout>
              <c:showLegendKey val="0"/>
              <c:showVal val="1"/>
              <c:showCatName val="0"/>
              <c:showSerName val="0"/>
              <c:showPercent val="0"/>
              <c:showBubbleSize val="0"/>
            </c:dLbl>
            <c:dLbl>
              <c:idx val="6"/>
              <c:layout>
                <c:manualLayout>
                  <c:x val="2.136752136752137E-3"/>
                  <c:y val="-3.8535645472062362E-2"/>
                </c:manualLayout>
              </c:layout>
              <c:showLegendKey val="0"/>
              <c:showVal val="1"/>
              <c:showCatName val="0"/>
              <c:showSerName val="0"/>
              <c:showPercent val="0"/>
              <c:showBubbleSize val="0"/>
            </c:dLbl>
            <c:dLbl>
              <c:idx val="7"/>
              <c:layout>
                <c:manualLayout>
                  <c:x val="-2.136752136752137E-3"/>
                  <c:y val="-3.8535645472062362E-2"/>
                </c:manualLayout>
              </c:layout>
              <c:showLegendKey val="0"/>
              <c:showVal val="1"/>
              <c:showCatName val="0"/>
              <c:showSerName val="0"/>
              <c:showPercent val="0"/>
              <c:showBubbleSize val="0"/>
            </c:dLbl>
            <c:dLbl>
              <c:idx val="8"/>
              <c:layout>
                <c:manualLayout>
                  <c:x val="0"/>
                  <c:y val="-3.8535645472062362E-2"/>
                </c:manualLayout>
              </c:layout>
              <c:showLegendKey val="0"/>
              <c:showVal val="1"/>
              <c:showCatName val="0"/>
              <c:showSerName val="0"/>
              <c:showPercent val="0"/>
              <c:showBubbleSize val="0"/>
            </c:dLbl>
            <c:dLbl>
              <c:idx val="9"/>
              <c:layout>
                <c:manualLayout>
                  <c:x val="0"/>
                  <c:y val="-3.5966602440590877E-2"/>
                </c:manualLayout>
              </c:layout>
              <c:showLegendKey val="0"/>
              <c:showVal val="1"/>
              <c:showCatName val="0"/>
              <c:showSerName val="0"/>
              <c:showPercent val="0"/>
              <c:showBubbleSize val="0"/>
            </c:dLbl>
            <c:dLbl>
              <c:idx val="10"/>
              <c:layout>
                <c:manualLayout>
                  <c:x val="4.2735042735042739E-3"/>
                  <c:y val="-3.5966602440590877E-2"/>
                </c:manualLayout>
              </c:layout>
              <c:showLegendKey val="0"/>
              <c:showVal val="1"/>
              <c:showCatName val="0"/>
              <c:showSerName val="0"/>
              <c:showPercent val="0"/>
              <c:showBubbleSize val="0"/>
            </c:dLbl>
            <c:dLbl>
              <c:idx val="11"/>
              <c:layout>
                <c:manualLayout>
                  <c:x val="2.136752136752137E-3"/>
                  <c:y val="-3.5966602440590877E-2"/>
                </c:manualLayout>
              </c:layout>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3.8</c:v>
                </c:pt>
                <c:pt idx="1">
                  <c:v>4.3</c:v>
                </c:pt>
                <c:pt idx="2">
                  <c:v>3.3</c:v>
                </c:pt>
                <c:pt idx="3">
                  <c:v>1.1000000000000001</c:v>
                </c:pt>
                <c:pt idx="4">
                  <c:v>4.5</c:v>
                </c:pt>
                <c:pt idx="5">
                  <c:v>4</c:v>
                </c:pt>
                <c:pt idx="6">
                  <c:v>3.4</c:v>
                </c:pt>
                <c:pt idx="7">
                  <c:v>3.5</c:v>
                </c:pt>
                <c:pt idx="8">
                  <c:v>4.5999999999999996</c:v>
                </c:pt>
                <c:pt idx="9">
                  <c:v>4.0999999999999996</c:v>
                </c:pt>
                <c:pt idx="10">
                  <c:v>3.6</c:v>
                </c:pt>
                <c:pt idx="11">
                  <c:v>3.7</c:v>
                </c:pt>
              </c:numCache>
            </c:numRef>
          </c:val>
        </c:ser>
        <c:dLbls>
          <c:showLegendKey val="0"/>
          <c:showVal val="1"/>
          <c:showCatName val="0"/>
          <c:showSerName val="0"/>
          <c:showPercent val="0"/>
          <c:showBubbleSize val="0"/>
        </c:dLbls>
        <c:gapWidth val="90"/>
        <c:overlap val="100"/>
        <c:axId val="226442624"/>
        <c:axId val="226452608"/>
      </c:barChart>
      <c:catAx>
        <c:axId val="22644262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6452608"/>
        <c:crosses val="autoZero"/>
        <c:auto val="1"/>
        <c:lblAlgn val="ctr"/>
        <c:lblOffset val="100"/>
        <c:noMultiLvlLbl val="0"/>
      </c:catAx>
      <c:valAx>
        <c:axId val="22645260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6442624"/>
        <c:crosses val="autoZero"/>
        <c:crossBetween val="between"/>
        <c:majorUnit val="0.1"/>
      </c:valAx>
    </c:plotArea>
    <c:legend>
      <c:legendPos val="r"/>
      <c:layout>
        <c:manualLayout>
          <c:xMode val="edge"/>
          <c:yMode val="edge"/>
          <c:x val="1.427451376270274E-2"/>
          <c:y val="1.8843625254239191E-3"/>
          <c:w val="0.98525641025641031"/>
          <c:h val="7.7790622992937292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津波で浸水が予測される地域である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16"/>
              <c:layout>
                <c:manualLayout>
                  <c:x val="1.2376566202760043E-2"/>
                  <c:y val="-2.105383461655769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8"/>
              <c:delete val="1"/>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0.0_);[Red]\(0.0\)</c:formatCode>
                <c:ptCount val="21"/>
                <c:pt idx="0">
                  <c:v>38.700000000000003</c:v>
                </c:pt>
                <c:pt idx="1">
                  <c:v>35.1</c:v>
                </c:pt>
                <c:pt idx="2">
                  <c:v>77.8</c:v>
                </c:pt>
                <c:pt idx="3">
                  <c:v>52.2</c:v>
                </c:pt>
                <c:pt idx="4">
                  <c:v>35.300000000000004</c:v>
                </c:pt>
                <c:pt idx="5">
                  <c:v>40.4</c:v>
                </c:pt>
                <c:pt idx="6">
                  <c:v>37.4</c:v>
                </c:pt>
                <c:pt idx="7">
                  <c:v>39.1</c:v>
                </c:pt>
                <c:pt idx="8">
                  <c:v>40.9</c:v>
                </c:pt>
                <c:pt idx="9">
                  <c:v>40.300000000000004</c:v>
                </c:pt>
                <c:pt idx="10">
                  <c:v>42.2</c:v>
                </c:pt>
                <c:pt idx="11">
                  <c:v>34.4</c:v>
                </c:pt>
                <c:pt idx="12">
                  <c:v>36.5</c:v>
                </c:pt>
                <c:pt idx="13">
                  <c:v>42.5</c:v>
                </c:pt>
                <c:pt idx="14">
                  <c:v>55.3</c:v>
                </c:pt>
                <c:pt idx="15">
                  <c:v>33.200000000000003</c:v>
                </c:pt>
                <c:pt idx="16">
                  <c:v>2.9</c:v>
                </c:pt>
                <c:pt idx="17">
                  <c:v>31</c:v>
                </c:pt>
                <c:pt idx="18">
                  <c:v>0</c:v>
                </c:pt>
                <c:pt idx="19">
                  <c:v>36.6</c:v>
                </c:pt>
                <c:pt idx="20">
                  <c:v>43.8</c:v>
                </c:pt>
              </c:numCache>
            </c:numRef>
          </c:val>
        </c:ser>
        <c:ser>
          <c:idx val="1"/>
          <c:order val="1"/>
          <c:tx>
            <c:strRef>
              <c:f>Sheet1!$C$1</c:f>
              <c:strCache>
                <c:ptCount val="1"/>
                <c:pt idx="0">
                  <c:v>津波で浸水が予測される地域ではない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0.0_);[Red]\(0.0\)</c:formatCode>
                <c:ptCount val="21"/>
                <c:pt idx="0">
                  <c:v>49.3</c:v>
                </c:pt>
                <c:pt idx="1">
                  <c:v>58.8</c:v>
                </c:pt>
                <c:pt idx="2">
                  <c:v>11.1</c:v>
                </c:pt>
                <c:pt idx="3">
                  <c:v>37.700000000000003</c:v>
                </c:pt>
                <c:pt idx="4">
                  <c:v>52.3</c:v>
                </c:pt>
                <c:pt idx="5">
                  <c:v>50.7</c:v>
                </c:pt>
                <c:pt idx="6">
                  <c:v>44.8</c:v>
                </c:pt>
                <c:pt idx="7">
                  <c:v>54.7</c:v>
                </c:pt>
                <c:pt idx="8">
                  <c:v>54.5</c:v>
                </c:pt>
                <c:pt idx="9">
                  <c:v>49</c:v>
                </c:pt>
                <c:pt idx="10">
                  <c:v>50.9</c:v>
                </c:pt>
                <c:pt idx="11">
                  <c:v>53.4</c:v>
                </c:pt>
                <c:pt idx="12">
                  <c:v>45.9</c:v>
                </c:pt>
                <c:pt idx="13">
                  <c:v>46.3</c:v>
                </c:pt>
                <c:pt idx="14">
                  <c:v>28.9</c:v>
                </c:pt>
                <c:pt idx="15">
                  <c:v>55</c:v>
                </c:pt>
                <c:pt idx="16">
                  <c:v>88.2</c:v>
                </c:pt>
                <c:pt idx="17">
                  <c:v>57.9</c:v>
                </c:pt>
                <c:pt idx="18">
                  <c:v>90.2</c:v>
                </c:pt>
                <c:pt idx="19">
                  <c:v>55.3</c:v>
                </c:pt>
                <c:pt idx="20">
                  <c:v>41.3</c:v>
                </c:pt>
              </c:numCache>
            </c:numRef>
          </c:val>
        </c:ser>
        <c:ser>
          <c:idx val="2"/>
          <c:order val="2"/>
          <c:tx>
            <c:strRef>
              <c:f>Sheet1!$D$1</c:f>
              <c:strCache>
                <c:ptCount val="1"/>
                <c:pt idx="0">
                  <c:v>わからない</c:v>
                </c:pt>
              </c:strCache>
            </c:strRef>
          </c:tx>
          <c:spPr>
            <a:pattFill prst="pct50">
              <a:fgClr>
                <a:sysClr val="windowText" lastClr="000000"/>
              </a:fgClr>
              <a:bgClr>
                <a:sysClr val="window" lastClr="FFFFFF"/>
              </a:bgClr>
            </a:pattFill>
            <a:ln>
              <a:solidFill>
                <a:sysClr val="windowText" lastClr="000000"/>
              </a:solidFill>
            </a:ln>
          </c:spPr>
          <c:invertIfNegative val="0"/>
          <c:dLbls>
            <c:dLbl>
              <c:idx val="1"/>
              <c:layout>
                <c:manualLayout>
                  <c:x val="0"/>
                  <c:y val="-1.9298107473407929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1919504643962852E-3"/>
                  <c:y val="-1.9297969332780787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10"/>
              <c:layout>
                <c:manualLayout>
                  <c:x val="4.1279669762641765E-3"/>
                  <c:y val="-1.929783119215368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1.786407968808733E-5"/>
                  <c:y val="-1.92982846414427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1.4616065199343681E-6"/>
                  <c:y val="-2.1052925375332689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2.063983488132162E-3"/>
                  <c:y val="-1.9298107473407929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0.0_);[Red]\(0.0\)</c:formatCode>
                <c:ptCount val="21"/>
                <c:pt idx="0">
                  <c:v>8.2000000000000011</c:v>
                </c:pt>
                <c:pt idx="1">
                  <c:v>4.0999999999999996</c:v>
                </c:pt>
                <c:pt idx="2">
                  <c:v>11.1</c:v>
                </c:pt>
                <c:pt idx="3">
                  <c:v>8.7000000000000011</c:v>
                </c:pt>
                <c:pt idx="4">
                  <c:v>9.6</c:v>
                </c:pt>
                <c:pt idx="5">
                  <c:v>7.1</c:v>
                </c:pt>
                <c:pt idx="6">
                  <c:v>7.4</c:v>
                </c:pt>
                <c:pt idx="7">
                  <c:v>1.6</c:v>
                </c:pt>
                <c:pt idx="8">
                  <c:v>0</c:v>
                </c:pt>
                <c:pt idx="9">
                  <c:v>6</c:v>
                </c:pt>
                <c:pt idx="10">
                  <c:v>5.2</c:v>
                </c:pt>
                <c:pt idx="11">
                  <c:v>10.6</c:v>
                </c:pt>
                <c:pt idx="12">
                  <c:v>12.4</c:v>
                </c:pt>
                <c:pt idx="13">
                  <c:v>7.9</c:v>
                </c:pt>
                <c:pt idx="14">
                  <c:v>9.6</c:v>
                </c:pt>
                <c:pt idx="15">
                  <c:v>8.7000000000000011</c:v>
                </c:pt>
                <c:pt idx="16">
                  <c:v>5.9</c:v>
                </c:pt>
                <c:pt idx="17">
                  <c:v>9.5</c:v>
                </c:pt>
                <c:pt idx="18">
                  <c:v>5.9</c:v>
                </c:pt>
                <c:pt idx="19">
                  <c:v>4.0999999999999996</c:v>
                </c:pt>
                <c:pt idx="20">
                  <c:v>9</c:v>
                </c:pt>
              </c:numCache>
            </c:numRef>
          </c:val>
        </c:ser>
        <c:ser>
          <c:idx val="3"/>
          <c:order val="3"/>
          <c:tx>
            <c:strRef>
              <c:f>Sheet1!$E$1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4.7611386038046649E-3"/>
                  <c:y val="-1.9298245614035241E-2"/>
                </c:manualLayout>
              </c:layout>
              <c:dLblPos val="ctr"/>
              <c:showLegendKey val="0"/>
              <c:showVal val="1"/>
              <c:showCatName val="0"/>
              <c:showSerName val="0"/>
              <c:showPercent val="0"/>
              <c:showBubbleSize val="0"/>
            </c:dLbl>
            <c:dLbl>
              <c:idx val="1"/>
              <c:layout>
                <c:manualLayout>
                  <c:x val="1.679432485799956E-2"/>
                  <c:y val="-1.7543859649123302E-2"/>
                </c:manualLayout>
              </c:layout>
              <c:dLblPos val="ctr"/>
              <c:showLegendKey val="0"/>
              <c:showVal val="1"/>
              <c:showCatName val="0"/>
              <c:showSerName val="0"/>
              <c:showPercent val="0"/>
              <c:showBubbleSize val="0"/>
            </c:dLbl>
            <c:dLbl>
              <c:idx val="2"/>
              <c:delete val="1"/>
            </c:dLbl>
            <c:dLbl>
              <c:idx val="3"/>
              <c:layout>
                <c:manualLayout>
                  <c:x val="-1.4504765851636981E-3"/>
                  <c:y val="-1.9298245614035241E-2"/>
                </c:manualLayout>
              </c:layout>
              <c:dLblPos val="ctr"/>
              <c:showLegendKey val="0"/>
              <c:showVal val="1"/>
              <c:showCatName val="0"/>
              <c:showSerName val="0"/>
              <c:showPercent val="0"/>
              <c:showBubbleSize val="0"/>
            </c:dLbl>
            <c:dLbl>
              <c:idx val="4"/>
              <c:layout>
                <c:manualLayout>
                  <c:x val="-2.1270406214703502E-3"/>
                  <c:y val="-2.1052631578947382E-2"/>
                </c:manualLayout>
              </c:layout>
              <c:dLblPos val="ctr"/>
              <c:showLegendKey val="0"/>
              <c:showVal val="1"/>
              <c:showCatName val="0"/>
              <c:showSerName val="0"/>
              <c:showPercent val="0"/>
              <c:showBubbleSize val="0"/>
            </c:dLbl>
            <c:dLbl>
              <c:idx val="5"/>
              <c:layout>
                <c:manualLayout>
                  <c:x val="3.3688406277242742E-3"/>
                  <c:y val="-1.9298837327712454E-2"/>
                </c:manualLayout>
              </c:layout>
              <c:dLblPos val="ctr"/>
              <c:showLegendKey val="0"/>
              <c:showVal val="1"/>
              <c:showCatName val="0"/>
              <c:showSerName val="0"/>
              <c:showPercent val="0"/>
              <c:showBubbleSize val="0"/>
            </c:dLbl>
            <c:dLbl>
              <c:idx val="6"/>
              <c:layout>
                <c:manualLayout>
                  <c:x val="7.370208754865562E-4"/>
                  <c:y val="0"/>
                </c:manualLayout>
              </c:layout>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7"/>
              <c:layout>
                <c:manualLayout>
                  <c:x val="1.6136612954340438E-2"/>
                  <c:y val="-2.1052493438320209E-2"/>
                </c:manualLayout>
              </c:layout>
              <c:dLblPos val="ctr"/>
              <c:showLegendKey val="0"/>
              <c:showVal val="1"/>
              <c:showCatName val="0"/>
              <c:showSerName val="0"/>
              <c:showPercent val="0"/>
              <c:showBubbleSize val="0"/>
            </c:dLbl>
            <c:dLbl>
              <c:idx val="8"/>
              <c:layout>
                <c:manualLayout>
                  <c:x val="1.059944906267522E-2"/>
                  <c:y val="-1.754385964912324E-2"/>
                </c:manualLayout>
              </c:layout>
              <c:dLblPos val="ctr"/>
              <c:showLegendKey val="0"/>
              <c:showVal val="1"/>
              <c:showCatName val="0"/>
              <c:showSerName val="0"/>
              <c:showPercent val="0"/>
              <c:showBubbleSize val="0"/>
            </c:dLbl>
            <c:dLbl>
              <c:idx val="9"/>
              <c:layout>
                <c:manualLayout>
                  <c:x val="9.9284106514549528E-3"/>
                  <c:y val="-1.9298245614035241E-2"/>
                </c:manualLayout>
              </c:layout>
              <c:dLblPos val="ctr"/>
              <c:showLegendKey val="0"/>
              <c:showVal val="1"/>
              <c:showCatName val="0"/>
              <c:showSerName val="0"/>
              <c:showPercent val="0"/>
              <c:showBubbleSize val="0"/>
            </c:dLbl>
            <c:dLbl>
              <c:idx val="10"/>
              <c:layout>
                <c:manualLayout>
                  <c:x val="2.022378781599669E-2"/>
                  <c:y val="-2.1052631578947441E-2"/>
                </c:manualLayout>
              </c:layout>
              <c:dLblPos val="ctr"/>
              <c:showLegendKey val="0"/>
              <c:showVal val="1"/>
              <c:showCatName val="0"/>
              <c:showSerName val="0"/>
              <c:showPercent val="0"/>
              <c:showBubbleSize val="0"/>
            </c:dLbl>
            <c:dLbl>
              <c:idx val="11"/>
              <c:layout>
                <c:manualLayout>
                  <c:x val="4.0528724790535554E-3"/>
                  <c:y val="-1.930560773451306E-2"/>
                </c:manualLayout>
              </c:layout>
              <c:dLblPos val="ctr"/>
              <c:showLegendKey val="0"/>
              <c:showVal val="1"/>
              <c:showCatName val="0"/>
              <c:showSerName val="0"/>
              <c:showPercent val="0"/>
              <c:showBubbleSize val="0"/>
            </c:dLbl>
            <c:dLbl>
              <c:idx val="12"/>
              <c:layout>
                <c:manualLayout>
                  <c:x val="9.951591592059994E-3"/>
                  <c:y val="-1.9298560984577429E-2"/>
                </c:manualLayout>
              </c:layout>
              <c:dLblPos val="ctr"/>
              <c:showLegendKey val="0"/>
              <c:showVal val="1"/>
              <c:showCatName val="0"/>
              <c:showSerName val="0"/>
              <c:showPercent val="0"/>
              <c:showBubbleSize val="0"/>
            </c:dLbl>
            <c:dLbl>
              <c:idx val="13"/>
              <c:layout>
                <c:manualLayout>
                  <c:x val="8.8731787783493266E-3"/>
                  <c:y val="-2.1052631578947382E-2"/>
                </c:manualLayout>
              </c:layout>
              <c:dLblPos val="ctr"/>
              <c:showLegendKey val="0"/>
              <c:showVal val="1"/>
              <c:showCatName val="0"/>
              <c:showSerName val="0"/>
              <c:showPercent val="0"/>
              <c:showBubbleSize val="0"/>
            </c:dLbl>
            <c:dLbl>
              <c:idx val="14"/>
              <c:layout>
                <c:manualLayout>
                  <c:x val="3.0391671571168692E-3"/>
                  <c:y val="-1.9298560984577429E-2"/>
                </c:manualLayout>
              </c:layout>
              <c:dLblPos val="ctr"/>
              <c:showLegendKey val="0"/>
              <c:showVal val="1"/>
              <c:showCatName val="0"/>
              <c:showSerName val="0"/>
              <c:showPercent val="0"/>
              <c:showBubbleSize val="0"/>
            </c:dLbl>
            <c:dLbl>
              <c:idx val="15"/>
              <c:layout>
                <c:manualLayout>
                  <c:x val="7.1633335541983183E-3"/>
                  <c:y val="-1.9298560984577429E-2"/>
                </c:manualLayout>
              </c:layout>
              <c:dLblPos val="ctr"/>
              <c:showLegendKey val="0"/>
              <c:showVal val="1"/>
              <c:showCatName val="0"/>
              <c:showSerName val="0"/>
              <c:showPercent val="0"/>
              <c:showBubbleSize val="0"/>
            </c:dLbl>
            <c:dLbl>
              <c:idx val="16"/>
              <c:layout>
                <c:manualLayout>
                  <c:x val="5.7951074508153164E-3"/>
                  <c:y val="-2.1052510860630622E-2"/>
                </c:manualLayout>
              </c:layout>
              <c:dLblPos val="ctr"/>
              <c:showLegendKey val="0"/>
              <c:showVal val="1"/>
              <c:showCatName val="0"/>
              <c:showSerName val="0"/>
              <c:showPercent val="0"/>
              <c:showBubbleSize val="0"/>
            </c:dLbl>
            <c:dLbl>
              <c:idx val="17"/>
              <c:layout>
                <c:manualLayout>
                  <c:x val="4.0551460891956794E-3"/>
                  <c:y val="-2.1053616233169602E-2"/>
                </c:manualLayout>
              </c:layout>
              <c:dLblPos val="ctr"/>
              <c:showLegendKey val="0"/>
              <c:showVal val="1"/>
              <c:showCatName val="0"/>
              <c:showSerName val="0"/>
              <c:showPercent val="0"/>
              <c:showBubbleSize val="0"/>
            </c:dLbl>
            <c:dLbl>
              <c:idx val="18"/>
              <c:layout>
                <c:manualLayout>
                  <c:x val="4.4178997749121512E-3"/>
                  <c:y val="-1.9298107473407929E-2"/>
                </c:manualLayout>
              </c:layout>
              <c:dLblPos val="ctr"/>
              <c:showLegendKey val="0"/>
              <c:showVal val="1"/>
              <c:showCatName val="0"/>
              <c:showSerName val="0"/>
              <c:showPercent val="0"/>
              <c:showBubbleSize val="0"/>
            </c:dLbl>
            <c:dLbl>
              <c:idx val="19"/>
              <c:layout>
                <c:manualLayout>
                  <c:x val="9.9376741993938058E-3"/>
                  <c:y val="-1.9298245614035241E-2"/>
                </c:manualLayout>
              </c:layout>
              <c:dLblPos val="ctr"/>
              <c:showLegendKey val="0"/>
              <c:showVal val="1"/>
              <c:showCatName val="0"/>
              <c:showSerName val="0"/>
              <c:showPercent val="0"/>
              <c:showBubbleSize val="0"/>
            </c:dLbl>
            <c:dLbl>
              <c:idx val="20"/>
              <c:layout>
                <c:manualLayout>
                  <c:x val="3.4237748145259719E-3"/>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3.8</c:v>
                </c:pt>
                <c:pt idx="1">
                  <c:v>2.1</c:v>
                </c:pt>
                <c:pt idx="2">
                  <c:v>0</c:v>
                </c:pt>
                <c:pt idx="3">
                  <c:v>1.4</c:v>
                </c:pt>
                <c:pt idx="4">
                  <c:v>2.8</c:v>
                </c:pt>
                <c:pt idx="5">
                  <c:v>1.8</c:v>
                </c:pt>
                <c:pt idx="6">
                  <c:v>10.3</c:v>
                </c:pt>
                <c:pt idx="7">
                  <c:v>4.7</c:v>
                </c:pt>
                <c:pt idx="8">
                  <c:v>4.5</c:v>
                </c:pt>
                <c:pt idx="9">
                  <c:v>4.7</c:v>
                </c:pt>
                <c:pt idx="10">
                  <c:v>1.7</c:v>
                </c:pt>
                <c:pt idx="11">
                  <c:v>1.6</c:v>
                </c:pt>
                <c:pt idx="12">
                  <c:v>5.3</c:v>
                </c:pt>
                <c:pt idx="13">
                  <c:v>3.2</c:v>
                </c:pt>
                <c:pt idx="14">
                  <c:v>6.1</c:v>
                </c:pt>
                <c:pt idx="15">
                  <c:v>3.1</c:v>
                </c:pt>
                <c:pt idx="16">
                  <c:v>2.9</c:v>
                </c:pt>
                <c:pt idx="17">
                  <c:v>1.6</c:v>
                </c:pt>
                <c:pt idx="18">
                  <c:v>3.9</c:v>
                </c:pt>
                <c:pt idx="19">
                  <c:v>4.0999999999999996</c:v>
                </c:pt>
                <c:pt idx="20">
                  <c:v>6</c:v>
                </c:pt>
              </c:numCache>
            </c:numRef>
          </c:val>
        </c:ser>
        <c:dLbls>
          <c:showLegendKey val="0"/>
          <c:showVal val="0"/>
          <c:showCatName val="0"/>
          <c:showSerName val="0"/>
          <c:showPercent val="0"/>
          <c:showBubbleSize val="0"/>
        </c:dLbls>
        <c:gapWidth val="70"/>
        <c:overlap val="100"/>
        <c:axId val="225911936"/>
        <c:axId val="225913472"/>
      </c:barChart>
      <c:catAx>
        <c:axId val="22591193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5913472"/>
        <c:crosses val="autoZero"/>
        <c:auto val="1"/>
        <c:lblAlgn val="ctr"/>
        <c:lblOffset val="100"/>
        <c:noMultiLvlLbl val="0"/>
      </c:catAx>
      <c:valAx>
        <c:axId val="22591347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5911936"/>
        <c:crosses val="autoZero"/>
        <c:crossBetween val="between"/>
      </c:valAx>
    </c:plotArea>
    <c:legend>
      <c:legendPos val="r"/>
      <c:layout>
        <c:manualLayout>
          <c:xMode val="edge"/>
          <c:yMode val="edge"/>
          <c:x val="1.5873454310302414E-2"/>
          <c:y val="1.4755659492010661E-3"/>
          <c:w val="0.98412650431080018"/>
          <c:h val="7.1368421052633552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8987614987433288"/>
          <c:w val="0.70210394373780149"/>
          <c:h val="0.79092743464871673"/>
        </c:manualLayout>
      </c:layout>
      <c:barChart>
        <c:barDir val="bar"/>
        <c:grouping val="percentStacked"/>
        <c:varyColors val="0"/>
        <c:ser>
          <c:idx val="0"/>
          <c:order val="0"/>
          <c:tx>
            <c:strRef>
              <c:f>Sheet1!$B$1</c:f>
              <c:strCache>
                <c:ptCount val="1"/>
                <c:pt idx="0">
                  <c:v>揺れがおさまった後、すぐに</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c:formatCode>
                <c:ptCount val="12"/>
                <c:pt idx="0">
                  <c:v>71.7</c:v>
                </c:pt>
                <c:pt idx="1">
                  <c:v>73.5</c:v>
                </c:pt>
                <c:pt idx="2">
                  <c:v>70.599999999999994</c:v>
                </c:pt>
                <c:pt idx="3">
                  <c:v>85.1</c:v>
                </c:pt>
                <c:pt idx="4">
                  <c:v>76.2</c:v>
                </c:pt>
                <c:pt idx="5">
                  <c:v>76.7</c:v>
                </c:pt>
                <c:pt idx="6">
                  <c:v>76</c:v>
                </c:pt>
                <c:pt idx="7">
                  <c:v>67.3</c:v>
                </c:pt>
                <c:pt idx="8">
                  <c:v>67</c:v>
                </c:pt>
                <c:pt idx="9">
                  <c:v>55.1</c:v>
                </c:pt>
                <c:pt idx="10">
                  <c:v>74.7</c:v>
                </c:pt>
                <c:pt idx="11">
                  <c:v>70.8</c:v>
                </c:pt>
              </c:numCache>
            </c:numRef>
          </c:val>
        </c:ser>
        <c:ser>
          <c:idx val="1"/>
          <c:order val="1"/>
          <c:tx>
            <c:strRef>
              <c:f>Sheet1!$C$1</c:f>
              <c:strCache>
                <c:ptCount val="1"/>
                <c:pt idx="0">
                  <c:v>津波警報が出たら</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c:formatCode>
                <c:ptCount val="12"/>
                <c:pt idx="0">
                  <c:v>13.6</c:v>
                </c:pt>
                <c:pt idx="1">
                  <c:v>14</c:v>
                </c:pt>
                <c:pt idx="2">
                  <c:v>13.3</c:v>
                </c:pt>
                <c:pt idx="3">
                  <c:v>6.9</c:v>
                </c:pt>
                <c:pt idx="4">
                  <c:v>12.4</c:v>
                </c:pt>
                <c:pt idx="5">
                  <c:v>10.7</c:v>
                </c:pt>
                <c:pt idx="6">
                  <c:v>12.6</c:v>
                </c:pt>
                <c:pt idx="7">
                  <c:v>19</c:v>
                </c:pt>
                <c:pt idx="8">
                  <c:v>13.8</c:v>
                </c:pt>
                <c:pt idx="9">
                  <c:v>14.3</c:v>
                </c:pt>
                <c:pt idx="10">
                  <c:v>13.9</c:v>
                </c:pt>
                <c:pt idx="11">
                  <c:v>13.4</c:v>
                </c:pt>
              </c:numCache>
            </c:numRef>
          </c:val>
        </c:ser>
        <c:ser>
          <c:idx val="2"/>
          <c:order val="2"/>
          <c:tx>
            <c:strRef>
              <c:f>Sheet1!$D$1</c:f>
              <c:strCache>
                <c:ptCount val="1"/>
                <c:pt idx="0">
                  <c:v>市町村から避難の呼びかけがあったら</c:v>
                </c:pt>
              </c:strCache>
            </c:strRef>
          </c:tx>
          <c:spPr>
            <a:pattFill prst="pct50">
              <a:fgClr>
                <a:sysClr val="windowText" lastClr="000000"/>
              </a:fgClr>
              <a:bgClr>
                <a:sysClr val="window" lastClr="FFFFFF"/>
              </a:bgClr>
            </a:pattFill>
            <a:ln>
              <a:solidFill>
                <a:sysClr val="windowText" lastClr="000000"/>
              </a:solidFill>
            </a:ln>
          </c:spPr>
          <c:invertIfNegative val="0"/>
          <c:dLbls>
            <c:dLbl>
              <c:idx val="3"/>
              <c:layout>
                <c:manualLayout>
                  <c:x val="-6.4102564102564534E-3"/>
                  <c:y val="-3.0828360804921292E-2"/>
                </c:manualLayout>
              </c:layout>
              <c:spPr>
                <a:no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4"/>
              <c:layout>
                <c:manualLayout>
                  <c:x val="-6.4102564102564534E-3"/>
                  <c:y val="-3.0828516377649346E-2"/>
                </c:manualLayout>
              </c:layout>
              <c:spPr>
                <a:no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layout>
                <c:manualLayout>
                  <c:x val="0"/>
                  <c:y val="-3.0828516377649346E-2"/>
                </c:manualLayout>
              </c:layout>
              <c:spPr>
                <a:no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c:formatCode>
                <c:ptCount val="12"/>
                <c:pt idx="0">
                  <c:v>8.7000000000000011</c:v>
                </c:pt>
                <c:pt idx="1">
                  <c:v>7.6</c:v>
                </c:pt>
                <c:pt idx="2">
                  <c:v>9.4</c:v>
                </c:pt>
                <c:pt idx="3">
                  <c:v>4.5999999999999996</c:v>
                </c:pt>
                <c:pt idx="4">
                  <c:v>5.4</c:v>
                </c:pt>
                <c:pt idx="5">
                  <c:v>5.5</c:v>
                </c:pt>
                <c:pt idx="6">
                  <c:v>7.7</c:v>
                </c:pt>
                <c:pt idx="7">
                  <c:v>8.2000000000000011</c:v>
                </c:pt>
                <c:pt idx="8">
                  <c:v>12.6</c:v>
                </c:pt>
                <c:pt idx="9">
                  <c:v>20.399999999999999</c:v>
                </c:pt>
                <c:pt idx="10">
                  <c:v>6.1</c:v>
                </c:pt>
                <c:pt idx="11">
                  <c:v>9.9</c:v>
                </c:pt>
              </c:numCache>
            </c:numRef>
          </c:val>
        </c:ser>
        <c:ser>
          <c:idx val="3"/>
          <c:order val="3"/>
          <c:tx>
            <c:strRef>
              <c:f>Sheet1!$E$1</c:f>
              <c:strCache>
                <c:ptCount val="1"/>
                <c:pt idx="0">
                  <c:v>周りの人が避難したら</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3.0828516377649346E-2"/>
                </c:manualLayout>
              </c:layout>
              <c:dLblPos val="ctr"/>
              <c:showLegendKey val="0"/>
              <c:showVal val="1"/>
              <c:showCatName val="0"/>
              <c:showSerName val="0"/>
              <c:showPercent val="0"/>
              <c:showBubbleSize val="0"/>
            </c:dLbl>
            <c:dLbl>
              <c:idx val="1"/>
              <c:layout>
                <c:manualLayout>
                  <c:x val="-8.5470085470085496E-3"/>
                  <c:y val="-3.0827956081884402E-2"/>
                </c:manualLayout>
              </c:layout>
              <c:dLblPos val="ctr"/>
              <c:showLegendKey val="0"/>
              <c:showVal val="1"/>
              <c:showCatName val="0"/>
              <c:showSerName val="0"/>
              <c:showPercent val="0"/>
              <c:showBubbleSize val="0"/>
            </c:dLbl>
            <c:dLbl>
              <c:idx val="2"/>
              <c:layout>
                <c:manualLayout>
                  <c:x val="0"/>
                  <c:y val="-3.3397559409120106E-2"/>
                </c:manualLayout>
              </c:layout>
              <c:dLblPos val="ctr"/>
              <c:showLegendKey val="0"/>
              <c:showVal val="1"/>
              <c:showCatName val="0"/>
              <c:showSerName val="0"/>
              <c:showPercent val="0"/>
              <c:showBubbleSize val="0"/>
            </c:dLbl>
            <c:dLbl>
              <c:idx val="3"/>
              <c:layout>
                <c:manualLayout>
                  <c:x val="0"/>
                  <c:y val="-3.0828314090796453E-2"/>
                </c:manualLayout>
              </c:layout>
              <c:dLblPos val="ctr"/>
              <c:showLegendKey val="0"/>
              <c:showVal val="1"/>
              <c:showCatName val="0"/>
              <c:showSerName val="0"/>
              <c:showPercent val="0"/>
              <c:showBubbleSize val="0"/>
            </c:dLbl>
            <c:dLbl>
              <c:idx val="4"/>
              <c:layout>
                <c:manualLayout>
                  <c:x val="0"/>
                  <c:y val="-3.0828516377649346E-2"/>
                </c:manualLayout>
              </c:layout>
              <c:dLblPos val="ctr"/>
              <c:showLegendKey val="0"/>
              <c:showVal val="1"/>
              <c:showCatName val="0"/>
              <c:showSerName val="0"/>
              <c:showPercent val="0"/>
              <c:showBubbleSize val="0"/>
            </c:dLbl>
            <c:dLbl>
              <c:idx val="5"/>
              <c:layout>
                <c:manualLayout>
                  <c:x val="0"/>
                  <c:y val="-3.3397559409120106E-2"/>
                </c:manualLayout>
              </c:layout>
              <c:dLblPos val="ctr"/>
              <c:showLegendKey val="0"/>
              <c:showVal val="1"/>
              <c:showCatName val="0"/>
              <c:showSerName val="0"/>
              <c:showPercent val="0"/>
              <c:showBubbleSize val="0"/>
            </c:dLbl>
            <c:dLbl>
              <c:idx val="6"/>
              <c:layout>
                <c:manualLayout>
                  <c:x val="-6.4102564102564534E-3"/>
                  <c:y val="-3.0828516377649346E-2"/>
                </c:manualLayout>
              </c:layout>
              <c:dLblPos val="ctr"/>
              <c:showLegendKey val="0"/>
              <c:showVal val="1"/>
              <c:showCatName val="0"/>
              <c:showSerName val="0"/>
              <c:showPercent val="0"/>
              <c:showBubbleSize val="0"/>
            </c:dLbl>
            <c:dLbl>
              <c:idx val="7"/>
              <c:layout>
                <c:manualLayout>
                  <c:x val="0"/>
                  <c:y val="-2.8259473346178548E-2"/>
                </c:manualLayout>
              </c:layout>
              <c:dLblPos val="ctr"/>
              <c:showLegendKey val="0"/>
              <c:showVal val="1"/>
              <c:showCatName val="0"/>
              <c:showSerName val="0"/>
              <c:showPercent val="0"/>
              <c:showBubbleSize val="0"/>
            </c:dLbl>
            <c:dLbl>
              <c:idx val="8"/>
              <c:layout>
                <c:manualLayout>
                  <c:x val="0"/>
                  <c:y val="-3.0828516377649346E-2"/>
                </c:manualLayout>
              </c:layout>
              <c:dLblPos val="ctr"/>
              <c:showLegendKey val="0"/>
              <c:showVal val="1"/>
              <c:showCatName val="0"/>
              <c:showSerName val="0"/>
              <c:showPercent val="0"/>
              <c:showBubbleSize val="0"/>
            </c:dLbl>
            <c:dLbl>
              <c:idx val="9"/>
              <c:layout>
                <c:manualLayout>
                  <c:x val="0"/>
                  <c:y val="-3.0828516377649346E-2"/>
                </c:manualLayout>
              </c:layout>
              <c:dLblPos val="ctr"/>
              <c:showLegendKey val="0"/>
              <c:showVal val="1"/>
              <c:showCatName val="0"/>
              <c:showSerName val="0"/>
              <c:showPercent val="0"/>
              <c:showBubbleSize val="0"/>
            </c:dLbl>
            <c:dLbl>
              <c:idx val="10"/>
              <c:layout>
                <c:manualLayout>
                  <c:x val="0"/>
                  <c:y val="-3.3397559409120106E-2"/>
                </c:manualLayout>
              </c:layout>
              <c:dLblPos val="ctr"/>
              <c:showLegendKey val="0"/>
              <c:showVal val="1"/>
              <c:showCatName val="0"/>
              <c:showSerName val="0"/>
              <c:showPercent val="0"/>
              <c:showBubbleSize val="0"/>
            </c:dLbl>
            <c:dLbl>
              <c:idx val="11"/>
              <c:layout>
                <c:manualLayout>
                  <c:x val="0"/>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2.8</c:v>
                </c:pt>
                <c:pt idx="1">
                  <c:v>2.1</c:v>
                </c:pt>
                <c:pt idx="2">
                  <c:v>3.4</c:v>
                </c:pt>
                <c:pt idx="3">
                  <c:v>3.4</c:v>
                </c:pt>
                <c:pt idx="4">
                  <c:v>3</c:v>
                </c:pt>
                <c:pt idx="5">
                  <c:v>5.0999999999999996</c:v>
                </c:pt>
                <c:pt idx="6">
                  <c:v>2</c:v>
                </c:pt>
                <c:pt idx="7">
                  <c:v>2.2999999999999998</c:v>
                </c:pt>
                <c:pt idx="8">
                  <c:v>1.5</c:v>
                </c:pt>
                <c:pt idx="9">
                  <c:v>3.1</c:v>
                </c:pt>
                <c:pt idx="10">
                  <c:v>2.7</c:v>
                </c:pt>
                <c:pt idx="11">
                  <c:v>2.8</c:v>
                </c:pt>
              </c:numCache>
            </c:numRef>
          </c:val>
        </c:ser>
        <c:ser>
          <c:idx val="4"/>
          <c:order val="4"/>
          <c:tx>
            <c:strRef>
              <c:f>Sheet1!$F$1</c:f>
              <c:strCache>
                <c:ptCount val="1"/>
                <c:pt idx="0">
                  <c:v>避難しない</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9.8270408506631445E-3"/>
                  <c:y val="-3.0828314090796453E-2"/>
                </c:manualLayout>
              </c:layout>
              <c:dLblPos val="ctr"/>
              <c:showLegendKey val="0"/>
              <c:showVal val="1"/>
              <c:showCatName val="0"/>
              <c:showSerName val="0"/>
              <c:showPercent val="0"/>
              <c:showBubbleSize val="0"/>
            </c:dLbl>
            <c:dLbl>
              <c:idx val="1"/>
              <c:layout>
                <c:manualLayout>
                  <c:x val="9.1087892859546566E-3"/>
                  <c:y val="-3.0827956081884402E-2"/>
                </c:manualLayout>
              </c:layout>
              <c:dLblPos val="ctr"/>
              <c:showLegendKey val="0"/>
              <c:showVal val="1"/>
              <c:showCatName val="0"/>
              <c:showSerName val="0"/>
              <c:showPercent val="0"/>
              <c:showBubbleSize val="0"/>
            </c:dLbl>
            <c:dLbl>
              <c:idx val="2"/>
              <c:layout>
                <c:manualLayout>
                  <c:x val="9.4725418938020611E-3"/>
                  <c:y val="-3.0828314090796453E-2"/>
                </c:manualLayout>
              </c:layout>
              <c:dLblPos val="ctr"/>
              <c:showLegendKey val="0"/>
              <c:showVal val="1"/>
              <c:showCatName val="0"/>
              <c:showSerName val="0"/>
              <c:showPercent val="0"/>
              <c:showBubbleSize val="0"/>
            </c:dLbl>
            <c:dLbl>
              <c:idx val="3"/>
              <c:delete val="1"/>
            </c:dLbl>
            <c:dLbl>
              <c:idx val="4"/>
              <c:layout>
                <c:manualLayout>
                  <c:x val="1.3081297530116429E-2"/>
                  <c:y val="-3.0828314090796453E-2"/>
                </c:manualLayout>
              </c:layout>
              <c:dLblPos val="ctr"/>
              <c:showLegendKey val="0"/>
              <c:showVal val="1"/>
              <c:showCatName val="0"/>
              <c:showSerName val="0"/>
              <c:showPercent val="0"/>
              <c:showBubbleSize val="0"/>
            </c:dLbl>
            <c:dLbl>
              <c:idx val="5"/>
              <c:layout>
                <c:manualLayout>
                  <c:x val="1.1988861969176983E-2"/>
                  <c:y val="-3.0828314090796453E-2"/>
                </c:manualLayout>
              </c:layout>
              <c:dLblPos val="ctr"/>
              <c:showLegendKey val="0"/>
              <c:showVal val="1"/>
              <c:showCatName val="0"/>
              <c:showSerName val="0"/>
              <c:showPercent val="0"/>
              <c:showBubbleSize val="0"/>
            </c:dLbl>
            <c:dLbl>
              <c:idx val="6"/>
              <c:layout>
                <c:manualLayout>
                  <c:x val="1.1606602059357965E-2"/>
                  <c:y val="-3.0828314090796453E-2"/>
                </c:manualLayout>
              </c:layout>
              <c:dLblPos val="ctr"/>
              <c:showLegendKey val="0"/>
              <c:showVal val="1"/>
              <c:showCatName val="0"/>
              <c:showSerName val="0"/>
              <c:showPercent val="0"/>
              <c:showBubbleSize val="0"/>
            </c:dLbl>
            <c:dLbl>
              <c:idx val="7"/>
              <c:layout>
                <c:manualLayout>
                  <c:x val="2.1205666599367411E-2"/>
                  <c:y val="-3.3397357122267241E-2"/>
                </c:manualLayout>
              </c:layout>
              <c:dLblPos val="ctr"/>
              <c:showLegendKey val="0"/>
              <c:showVal val="1"/>
              <c:showCatName val="0"/>
              <c:showSerName val="0"/>
              <c:showPercent val="0"/>
              <c:showBubbleSize val="0"/>
            </c:dLbl>
            <c:dLbl>
              <c:idx val="8"/>
              <c:layout>
                <c:manualLayout>
                  <c:x val="1.8306581869574279E-2"/>
                  <c:y val="-3.0828111803943601E-2"/>
                </c:manualLayout>
              </c:layout>
              <c:dLblPos val="ctr"/>
              <c:showLegendKey val="0"/>
              <c:showVal val="1"/>
              <c:showCatName val="0"/>
              <c:showSerName val="0"/>
              <c:showPercent val="0"/>
              <c:showBubbleSize val="0"/>
            </c:dLbl>
            <c:dLbl>
              <c:idx val="9"/>
              <c:layout>
                <c:manualLayout>
                  <c:x val="1.1336900195167941E-2"/>
                  <c:y val="-2.8259271059325696E-2"/>
                </c:manualLayout>
              </c:layout>
              <c:dLblPos val="ctr"/>
              <c:showLegendKey val="0"/>
              <c:showVal val="1"/>
              <c:showCatName val="0"/>
              <c:showSerName val="0"/>
              <c:showPercent val="0"/>
              <c:showBubbleSize val="0"/>
            </c:dLbl>
            <c:dLbl>
              <c:idx val="10"/>
              <c:layout>
                <c:manualLayout>
                  <c:x val="1.7733192004845549E-2"/>
                  <c:y val="-3.0828314090796453E-2"/>
                </c:manualLayout>
              </c:layout>
              <c:dLblPos val="ctr"/>
              <c:showLegendKey val="0"/>
              <c:showVal val="1"/>
              <c:showCatName val="0"/>
              <c:showSerName val="0"/>
              <c:showPercent val="0"/>
              <c:showBubbleSize val="0"/>
            </c:dLbl>
            <c:dLbl>
              <c:idx val="11"/>
              <c:layout>
                <c:manualLayout>
                  <c:x val="1.3362776768288894E-2"/>
                  <c:y val="-3.596640015373798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Sheet1!$F$2:$F$13</c:f>
              <c:numCache>
                <c:formatCode>0.0</c:formatCode>
                <c:ptCount val="12"/>
                <c:pt idx="0">
                  <c:v>2.2000000000000002</c:v>
                </c:pt>
                <c:pt idx="1">
                  <c:v>1.8</c:v>
                </c:pt>
                <c:pt idx="2">
                  <c:v>2.2999999999999998</c:v>
                </c:pt>
                <c:pt idx="3">
                  <c:v>0</c:v>
                </c:pt>
                <c:pt idx="4">
                  <c:v>2.5</c:v>
                </c:pt>
                <c:pt idx="5">
                  <c:v>1.6</c:v>
                </c:pt>
                <c:pt idx="6">
                  <c:v>1.1000000000000001</c:v>
                </c:pt>
                <c:pt idx="7">
                  <c:v>2</c:v>
                </c:pt>
                <c:pt idx="8">
                  <c:v>3.4</c:v>
                </c:pt>
                <c:pt idx="9">
                  <c:v>4.0999999999999996</c:v>
                </c:pt>
                <c:pt idx="10">
                  <c:v>2.4</c:v>
                </c:pt>
                <c:pt idx="11">
                  <c:v>1.8</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3"/>
              <c:delete val="1"/>
            </c:dLbl>
            <c:dLbl>
              <c:idx val="9"/>
              <c:layout>
                <c:manualLayout>
                  <c:x val="3.7472239047042201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Sheet1!$G$2:$G$13</c:f>
              <c:numCache>
                <c:formatCode>0.0</c:formatCode>
                <c:ptCount val="12"/>
                <c:pt idx="0">
                  <c:v>1.1000000000000001</c:v>
                </c:pt>
                <c:pt idx="1">
                  <c:v>1</c:v>
                </c:pt>
                <c:pt idx="2">
                  <c:v>1</c:v>
                </c:pt>
                <c:pt idx="3">
                  <c:v>0</c:v>
                </c:pt>
                <c:pt idx="4">
                  <c:v>0.5</c:v>
                </c:pt>
                <c:pt idx="5">
                  <c:v>0.4</c:v>
                </c:pt>
                <c:pt idx="6">
                  <c:v>0.60000000000000064</c:v>
                </c:pt>
                <c:pt idx="7">
                  <c:v>1.2</c:v>
                </c:pt>
                <c:pt idx="8">
                  <c:v>1.5</c:v>
                </c:pt>
                <c:pt idx="9">
                  <c:v>3.1</c:v>
                </c:pt>
                <c:pt idx="10">
                  <c:v>0.2</c:v>
                </c:pt>
                <c:pt idx="11">
                  <c:v>1.3</c:v>
                </c:pt>
              </c:numCache>
            </c:numRef>
          </c:val>
        </c:ser>
        <c:dLbls>
          <c:showLegendKey val="0"/>
          <c:showVal val="0"/>
          <c:showCatName val="0"/>
          <c:showSerName val="0"/>
          <c:showPercent val="0"/>
          <c:showBubbleSize val="0"/>
        </c:dLbls>
        <c:gapWidth val="90"/>
        <c:overlap val="100"/>
        <c:axId val="227258368"/>
        <c:axId val="227259904"/>
      </c:barChart>
      <c:catAx>
        <c:axId val="22725836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7259904"/>
        <c:crosses val="autoZero"/>
        <c:auto val="1"/>
        <c:lblAlgn val="ctr"/>
        <c:lblOffset val="100"/>
        <c:noMultiLvlLbl val="0"/>
      </c:catAx>
      <c:valAx>
        <c:axId val="22725990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7258368"/>
        <c:crosses val="autoZero"/>
        <c:crossBetween val="between"/>
        <c:majorUnit val="0.1"/>
      </c:valAx>
    </c:plotArea>
    <c:legend>
      <c:legendPos val="r"/>
      <c:layout>
        <c:manualLayout>
          <c:xMode val="edge"/>
          <c:yMode val="edge"/>
          <c:x val="1.427451376270274E-2"/>
          <c:y val="1.8843625254239191E-3"/>
          <c:w val="0.98525641025641031"/>
          <c:h val="0.13595375722543351"/>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揺れがおさまった後、すぐに</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71.7</c:v>
                </c:pt>
                <c:pt idx="1">
                  <c:v>70.099999999999994</c:v>
                </c:pt>
                <c:pt idx="2">
                  <c:v>77.8</c:v>
                </c:pt>
                <c:pt idx="3">
                  <c:v>63.8</c:v>
                </c:pt>
                <c:pt idx="4">
                  <c:v>70.599999999999994</c:v>
                </c:pt>
                <c:pt idx="5">
                  <c:v>79.099999999999994</c:v>
                </c:pt>
                <c:pt idx="6">
                  <c:v>71.900000000000006</c:v>
                </c:pt>
                <c:pt idx="7">
                  <c:v>82.8</c:v>
                </c:pt>
                <c:pt idx="8">
                  <c:v>86.4</c:v>
                </c:pt>
                <c:pt idx="9">
                  <c:v>67.8</c:v>
                </c:pt>
                <c:pt idx="10">
                  <c:v>84.5</c:v>
                </c:pt>
                <c:pt idx="11">
                  <c:v>65.099999999999994</c:v>
                </c:pt>
                <c:pt idx="12">
                  <c:v>64.099999999999994</c:v>
                </c:pt>
                <c:pt idx="13">
                  <c:v>72.7</c:v>
                </c:pt>
                <c:pt idx="14">
                  <c:v>72.8</c:v>
                </c:pt>
                <c:pt idx="15">
                  <c:v>76.400000000000006</c:v>
                </c:pt>
                <c:pt idx="16">
                  <c:v>58.8</c:v>
                </c:pt>
                <c:pt idx="17">
                  <c:v>63.5</c:v>
                </c:pt>
                <c:pt idx="18">
                  <c:v>66.7</c:v>
                </c:pt>
                <c:pt idx="19">
                  <c:v>74.8</c:v>
                </c:pt>
                <c:pt idx="20">
                  <c:v>71.099999999999994</c:v>
                </c:pt>
              </c:numCache>
            </c:numRef>
          </c:val>
        </c:ser>
        <c:ser>
          <c:idx val="1"/>
          <c:order val="1"/>
          <c:tx>
            <c:strRef>
              <c:f>Sheet1!$C$1</c:f>
              <c:strCache>
                <c:ptCount val="1"/>
                <c:pt idx="0">
                  <c:v>津波警報が出たら</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13.6</c:v>
                </c:pt>
                <c:pt idx="1">
                  <c:v>15.5</c:v>
                </c:pt>
                <c:pt idx="2">
                  <c:v>11.1</c:v>
                </c:pt>
                <c:pt idx="3">
                  <c:v>21.7</c:v>
                </c:pt>
                <c:pt idx="4">
                  <c:v>15.1</c:v>
                </c:pt>
                <c:pt idx="5">
                  <c:v>9.2000000000000011</c:v>
                </c:pt>
                <c:pt idx="6">
                  <c:v>17.7</c:v>
                </c:pt>
                <c:pt idx="7">
                  <c:v>7.8</c:v>
                </c:pt>
                <c:pt idx="8">
                  <c:v>9.1</c:v>
                </c:pt>
                <c:pt idx="9">
                  <c:v>13.4</c:v>
                </c:pt>
                <c:pt idx="10">
                  <c:v>7.8</c:v>
                </c:pt>
                <c:pt idx="11">
                  <c:v>10.1</c:v>
                </c:pt>
                <c:pt idx="12">
                  <c:v>19.399999999999999</c:v>
                </c:pt>
                <c:pt idx="13">
                  <c:v>15.1</c:v>
                </c:pt>
                <c:pt idx="14">
                  <c:v>13.2</c:v>
                </c:pt>
                <c:pt idx="15">
                  <c:v>10</c:v>
                </c:pt>
                <c:pt idx="16">
                  <c:v>8.8000000000000007</c:v>
                </c:pt>
                <c:pt idx="17">
                  <c:v>15.9</c:v>
                </c:pt>
                <c:pt idx="18">
                  <c:v>5.9</c:v>
                </c:pt>
                <c:pt idx="19">
                  <c:v>13.8</c:v>
                </c:pt>
                <c:pt idx="20">
                  <c:v>14.4</c:v>
                </c:pt>
              </c:numCache>
            </c:numRef>
          </c:val>
        </c:ser>
        <c:ser>
          <c:idx val="2"/>
          <c:order val="2"/>
          <c:tx>
            <c:strRef>
              <c:f>Sheet1!$D$1</c:f>
              <c:strCache>
                <c:ptCount val="1"/>
                <c:pt idx="0">
                  <c:v>市町村から避難の呼びかけがあったら</c:v>
                </c:pt>
              </c:strCache>
            </c:strRef>
          </c:tx>
          <c:spPr>
            <a:pattFill prst="pct50">
              <a:fgClr>
                <a:sysClr val="windowText" lastClr="000000"/>
              </a:fgClr>
              <a:bgClr>
                <a:sysClr val="window" lastClr="FFFFFF"/>
              </a:bgClr>
            </a:pattFill>
            <a:ln>
              <a:solidFill>
                <a:sysClr val="windowText" lastClr="000000"/>
              </a:solidFill>
            </a:ln>
          </c:spPr>
          <c:invertIfNegative val="0"/>
          <c:dLbls>
            <c:dLbl>
              <c:idx val="7"/>
              <c:layout>
                <c:manualLayout>
                  <c:x val="0"/>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8"/>
              <c:layout>
                <c:manualLayout>
                  <c:x val="-6.1919504643962852E-3"/>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layout>
                <c:manualLayout>
                  <c:x val="0"/>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8.7000000000000011</c:v>
                </c:pt>
                <c:pt idx="1">
                  <c:v>10.3</c:v>
                </c:pt>
                <c:pt idx="2">
                  <c:v>11.1</c:v>
                </c:pt>
                <c:pt idx="3">
                  <c:v>10.1</c:v>
                </c:pt>
                <c:pt idx="4">
                  <c:v>6.9</c:v>
                </c:pt>
                <c:pt idx="5">
                  <c:v>6.7</c:v>
                </c:pt>
                <c:pt idx="6">
                  <c:v>5.4</c:v>
                </c:pt>
                <c:pt idx="7">
                  <c:v>4.7</c:v>
                </c:pt>
                <c:pt idx="8">
                  <c:v>4.5</c:v>
                </c:pt>
                <c:pt idx="9">
                  <c:v>12.1</c:v>
                </c:pt>
                <c:pt idx="10">
                  <c:v>2.6</c:v>
                </c:pt>
                <c:pt idx="11">
                  <c:v>16.899999999999999</c:v>
                </c:pt>
                <c:pt idx="12">
                  <c:v>10</c:v>
                </c:pt>
                <c:pt idx="13">
                  <c:v>7.5</c:v>
                </c:pt>
                <c:pt idx="14">
                  <c:v>10.5</c:v>
                </c:pt>
                <c:pt idx="15">
                  <c:v>6.6</c:v>
                </c:pt>
                <c:pt idx="16">
                  <c:v>23.5</c:v>
                </c:pt>
                <c:pt idx="17">
                  <c:v>12.7</c:v>
                </c:pt>
                <c:pt idx="18">
                  <c:v>19.600000000000001</c:v>
                </c:pt>
                <c:pt idx="19">
                  <c:v>6.5</c:v>
                </c:pt>
                <c:pt idx="20">
                  <c:v>7.5</c:v>
                </c:pt>
              </c:numCache>
            </c:numRef>
          </c:val>
        </c:ser>
        <c:ser>
          <c:idx val="3"/>
          <c:order val="3"/>
          <c:tx>
            <c:strRef>
              <c:f>Sheet1!$E$1</c:f>
              <c:strCache>
                <c:ptCount val="1"/>
                <c:pt idx="0">
                  <c:v>周りの人が避難したら</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4.1279016137435185E-3"/>
                  <c:y val="-2.1052787203765352E-2"/>
                </c:manualLayout>
              </c:layout>
              <c:dLblPos val="ctr"/>
              <c:showLegendKey val="0"/>
              <c:showVal val="1"/>
              <c:showCatName val="0"/>
              <c:showSerName val="0"/>
              <c:showPercent val="0"/>
              <c:showBubbleSize val="0"/>
            </c:dLbl>
            <c:dLbl>
              <c:idx val="1"/>
              <c:delete val="1"/>
            </c:dLbl>
            <c:dLbl>
              <c:idx val="2"/>
              <c:delete val="1"/>
            </c:dLbl>
            <c:dLbl>
              <c:idx val="3"/>
              <c:layout>
                <c:manualLayout>
                  <c:x val="-8.2528800144475063E-3"/>
                  <c:y val="-2.1052510860630622E-2"/>
                </c:manualLayout>
              </c:layout>
              <c:dLblPos val="ctr"/>
              <c:showLegendKey val="0"/>
              <c:showVal val="1"/>
              <c:showCatName val="0"/>
              <c:showSerName val="0"/>
              <c:showPercent val="0"/>
              <c:showBubbleSize val="0"/>
            </c:dLbl>
            <c:dLbl>
              <c:idx val="4"/>
              <c:layout>
                <c:manualLayout>
                  <c:x val="0"/>
                  <c:y val="-2.1052631578947382E-2"/>
                </c:manualLayout>
              </c:layout>
              <c:dLblPos val="ctr"/>
              <c:showLegendKey val="0"/>
              <c:showVal val="1"/>
              <c:showCatName val="0"/>
              <c:showSerName val="0"/>
              <c:showPercent val="0"/>
              <c:showBubbleSize val="0"/>
            </c:dLbl>
            <c:dLbl>
              <c:idx val="5"/>
              <c:layout>
                <c:manualLayout>
                  <c:x val="0"/>
                  <c:y val="-1.9298245614035241E-2"/>
                </c:manualLayout>
              </c:layout>
              <c:dLblPos val="ctr"/>
              <c:showLegendKey val="0"/>
              <c:showVal val="1"/>
              <c:showCatName val="0"/>
              <c:showSerName val="0"/>
              <c:showPercent val="0"/>
              <c:showBubbleSize val="0"/>
            </c:dLbl>
            <c:dLbl>
              <c:idx val="6"/>
              <c:layout>
                <c:manualLayout>
                  <c:x val="0"/>
                  <c:y val="-2.1052631578947382E-2"/>
                </c:manualLayout>
              </c:layout>
              <c:dLblPos val="ctr"/>
              <c:showLegendKey val="0"/>
              <c:showVal val="1"/>
              <c:showCatName val="0"/>
              <c:showSerName val="0"/>
              <c:showPercent val="0"/>
              <c:showBubbleSize val="0"/>
            </c:dLbl>
            <c:dLbl>
              <c:idx val="7"/>
              <c:delete val="1"/>
            </c:dLbl>
            <c:dLbl>
              <c:idx val="8"/>
              <c:delete val="1"/>
            </c:dLbl>
            <c:dLbl>
              <c:idx val="9"/>
              <c:layout>
                <c:manualLayout>
                  <c:x val="-4.1249784007036504E-3"/>
                  <c:y val="-2.1052787203765352E-2"/>
                </c:manualLayout>
              </c:layout>
              <c:dLblPos val="ctr"/>
              <c:showLegendKey val="0"/>
              <c:showVal val="1"/>
              <c:showCatName val="0"/>
              <c:showSerName val="0"/>
              <c:showPercent val="0"/>
              <c:showBubbleSize val="0"/>
            </c:dLbl>
            <c:dLbl>
              <c:idx val="10"/>
              <c:layout>
                <c:manualLayout>
                  <c:x val="4.1324488340277587E-3"/>
                  <c:y val="-1.9297731955173279E-2"/>
                </c:manualLayout>
              </c:layout>
              <c:dLblPos val="ctr"/>
              <c:showLegendKey val="0"/>
              <c:showVal val="1"/>
              <c:showCatName val="0"/>
              <c:showSerName val="0"/>
              <c:showPercent val="0"/>
              <c:showBubbleSize val="0"/>
            </c:dLbl>
            <c:dLbl>
              <c:idx val="11"/>
              <c:layout>
                <c:manualLayout>
                  <c:x val="0"/>
                  <c:y val="-2.1052925375332689E-2"/>
                </c:manualLayout>
              </c:layout>
              <c:dLblPos val="ctr"/>
              <c:showLegendKey val="0"/>
              <c:showVal val="1"/>
              <c:showCatName val="0"/>
              <c:showSerName val="0"/>
              <c:showPercent val="0"/>
              <c:showBubbleSize val="0"/>
            </c:dLbl>
            <c:dLbl>
              <c:idx val="12"/>
              <c:layout>
                <c:manualLayout>
                  <c:x val="0"/>
                  <c:y val="-1.9298245614035241E-2"/>
                </c:manualLayout>
              </c:layout>
              <c:dLblPos val="ctr"/>
              <c:showLegendKey val="0"/>
              <c:showVal val="1"/>
              <c:showCatName val="0"/>
              <c:showSerName val="0"/>
              <c:showPercent val="0"/>
              <c:showBubbleSize val="0"/>
            </c:dLbl>
            <c:dLbl>
              <c:idx val="13"/>
              <c:layout>
                <c:manualLayout>
                  <c:x val="-2.063983488132162E-3"/>
                  <c:y val="-2.1052631578947382E-2"/>
                </c:manualLayout>
              </c:layout>
              <c:dLblPos val="ctr"/>
              <c:showLegendKey val="0"/>
              <c:showVal val="1"/>
              <c:showCatName val="0"/>
              <c:showSerName val="0"/>
              <c:showPercent val="0"/>
              <c:showBubbleSize val="0"/>
            </c:dLbl>
            <c:dLbl>
              <c:idx val="14"/>
              <c:layout>
                <c:manualLayout>
                  <c:x val="-2.063983488132162E-3"/>
                  <c:y val="-2.1052631578947382E-2"/>
                </c:manualLayout>
              </c:layout>
              <c:dLblPos val="ctr"/>
              <c:showLegendKey val="0"/>
              <c:showVal val="1"/>
              <c:showCatName val="0"/>
              <c:showSerName val="0"/>
              <c:showPercent val="0"/>
              <c:showBubbleSize val="0"/>
            </c:dLbl>
            <c:dLbl>
              <c:idx val="15"/>
              <c:layout>
                <c:manualLayout>
                  <c:x val="0"/>
                  <c:y val="-2.1052631578947382E-2"/>
                </c:manualLayout>
              </c:layout>
              <c:dLblPos val="ctr"/>
              <c:showLegendKey val="0"/>
              <c:showVal val="1"/>
              <c:showCatName val="0"/>
              <c:showSerName val="0"/>
              <c:showPercent val="0"/>
              <c:showBubbleSize val="0"/>
            </c:dLbl>
            <c:dLbl>
              <c:idx val="16"/>
              <c:layout>
                <c:manualLayout>
                  <c:x val="0"/>
                  <c:y val="-2.1052631578947382E-2"/>
                </c:manualLayout>
              </c:layout>
              <c:dLblPos val="ctr"/>
              <c:showLegendKey val="0"/>
              <c:showVal val="1"/>
              <c:showCatName val="0"/>
              <c:showSerName val="0"/>
              <c:showPercent val="0"/>
              <c:showBubbleSize val="0"/>
            </c:dLbl>
            <c:dLbl>
              <c:idx val="17"/>
              <c:layout>
                <c:manualLayout>
                  <c:x val="-6.1920148213397055E-3"/>
                  <c:y val="-2.1052096345928546E-2"/>
                </c:manualLayout>
              </c:layout>
              <c:dLblPos val="ctr"/>
              <c:showLegendKey val="0"/>
              <c:showVal val="1"/>
              <c:showCatName val="0"/>
              <c:showSerName val="0"/>
              <c:showPercent val="0"/>
              <c:showBubbleSize val="0"/>
            </c:dLbl>
            <c:dLbl>
              <c:idx val="18"/>
              <c:layout>
                <c:manualLayout>
                  <c:x val="0"/>
                  <c:y val="-1.9298560984577429E-2"/>
                </c:manualLayout>
              </c:layout>
              <c:dLblPos val="ctr"/>
              <c:showLegendKey val="0"/>
              <c:showVal val="1"/>
              <c:showCatName val="0"/>
              <c:showSerName val="0"/>
              <c:showPercent val="0"/>
              <c:showBubbleSize val="0"/>
            </c:dLbl>
            <c:dLbl>
              <c:idx val="19"/>
              <c:layout>
                <c:manualLayout>
                  <c:x val="-4.1220551876637816E-3"/>
                  <c:y val="-2.1052510860630751E-2"/>
                </c:manualLayout>
              </c:layout>
              <c:dLblPos val="ctr"/>
              <c:showLegendKey val="0"/>
              <c:showVal val="1"/>
              <c:showCatName val="0"/>
              <c:showSerName val="0"/>
              <c:showPercent val="0"/>
              <c:showBubbleSize val="0"/>
            </c:dLbl>
            <c:dLbl>
              <c:idx val="20"/>
              <c:layout>
                <c:manualLayout>
                  <c:x val="0"/>
                  <c:y val="-2.1052631578947382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2.8</c:v>
                </c:pt>
                <c:pt idx="1">
                  <c:v>0</c:v>
                </c:pt>
                <c:pt idx="2">
                  <c:v>0</c:v>
                </c:pt>
                <c:pt idx="3">
                  <c:v>1.4</c:v>
                </c:pt>
                <c:pt idx="4">
                  <c:v>3.7</c:v>
                </c:pt>
                <c:pt idx="5">
                  <c:v>2.5</c:v>
                </c:pt>
                <c:pt idx="6">
                  <c:v>3</c:v>
                </c:pt>
                <c:pt idx="7">
                  <c:v>0</c:v>
                </c:pt>
                <c:pt idx="8">
                  <c:v>0</c:v>
                </c:pt>
                <c:pt idx="9">
                  <c:v>2</c:v>
                </c:pt>
                <c:pt idx="10">
                  <c:v>4.3</c:v>
                </c:pt>
                <c:pt idx="11">
                  <c:v>3.7</c:v>
                </c:pt>
                <c:pt idx="12">
                  <c:v>4.0999999999999996</c:v>
                </c:pt>
                <c:pt idx="13">
                  <c:v>2.4</c:v>
                </c:pt>
                <c:pt idx="14">
                  <c:v>3.5</c:v>
                </c:pt>
                <c:pt idx="15">
                  <c:v>2.6</c:v>
                </c:pt>
                <c:pt idx="16">
                  <c:v>5.9</c:v>
                </c:pt>
                <c:pt idx="17">
                  <c:v>4</c:v>
                </c:pt>
                <c:pt idx="18">
                  <c:v>5.9</c:v>
                </c:pt>
                <c:pt idx="19">
                  <c:v>0.8</c:v>
                </c:pt>
                <c:pt idx="20">
                  <c:v>3.5</c:v>
                </c:pt>
              </c:numCache>
            </c:numRef>
          </c:val>
        </c:ser>
        <c:ser>
          <c:idx val="4"/>
          <c:order val="4"/>
          <c:tx>
            <c:strRef>
              <c:f>Sheet1!$F$1</c:f>
              <c:strCache>
                <c:ptCount val="1"/>
                <c:pt idx="0">
                  <c:v>避難しない</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7.3346663184796091E-3"/>
                  <c:y val="-1.929800829830839E-2"/>
                </c:manualLayout>
              </c:layout>
              <c:dLblPos val="ctr"/>
              <c:showLegendKey val="0"/>
              <c:showVal val="1"/>
              <c:showCatName val="0"/>
              <c:showSerName val="0"/>
              <c:showPercent val="0"/>
              <c:showBubbleSize val="0"/>
            </c:dLbl>
            <c:dLbl>
              <c:idx val="1"/>
              <c:layout>
                <c:manualLayout>
                  <c:x val="1.4390328192376001E-3"/>
                  <c:y val="-1.9302429788463998E-2"/>
                </c:manualLayout>
              </c:layout>
              <c:dLblPos val="ctr"/>
              <c:showLegendKey val="0"/>
              <c:showVal val="1"/>
              <c:showCatName val="0"/>
              <c:showSerName val="0"/>
              <c:showPercent val="0"/>
              <c:showBubbleSize val="0"/>
            </c:dLbl>
            <c:dLbl>
              <c:idx val="2"/>
              <c:delete val="1"/>
            </c:dLbl>
            <c:dLbl>
              <c:idx val="3"/>
              <c:layout>
                <c:manualLayout>
                  <c:x val="1.009482903101357E-2"/>
                  <c:y val="-2.1056932350786105E-2"/>
                </c:manualLayout>
              </c:layout>
              <c:dLblPos val="ctr"/>
              <c:showLegendKey val="0"/>
              <c:showVal val="1"/>
              <c:showCatName val="0"/>
              <c:showSerName val="0"/>
              <c:showPercent val="0"/>
              <c:showBubbleSize val="0"/>
            </c:dLbl>
            <c:dLbl>
              <c:idx val="4"/>
              <c:layout>
                <c:manualLayout>
                  <c:x val="9.0390619214474194E-3"/>
                  <c:y val="-1.93020152737617E-2"/>
                </c:manualLayout>
              </c:layout>
              <c:dLblPos val="ctr"/>
              <c:showLegendKey val="0"/>
              <c:showVal val="1"/>
              <c:showCatName val="0"/>
              <c:showSerName val="0"/>
              <c:showPercent val="0"/>
              <c:showBubbleSize val="0"/>
            </c:dLbl>
            <c:dLbl>
              <c:idx val="5"/>
              <c:layout>
                <c:manualLayout>
                  <c:x val="1.1869706548386981E-2"/>
                  <c:y val="-1.9302429788463998E-2"/>
                </c:manualLayout>
              </c:layout>
              <c:dLblPos val="ctr"/>
              <c:showLegendKey val="0"/>
              <c:showVal val="1"/>
              <c:showCatName val="0"/>
              <c:showSerName val="0"/>
              <c:showPercent val="0"/>
              <c:showBubbleSize val="0"/>
            </c:dLbl>
            <c:dLbl>
              <c:idx val="6"/>
              <c:layout>
                <c:manualLayout>
                  <c:x val="1.3928785333525904E-2"/>
                  <c:y val="-2.1057070522354289E-2"/>
                </c:manualLayout>
              </c:layout>
              <c:dLblPos val="ctr"/>
              <c:showLegendKey val="0"/>
              <c:showVal val="1"/>
              <c:showCatName val="0"/>
              <c:showSerName val="0"/>
              <c:showPercent val="0"/>
              <c:showBubbleSize val="0"/>
            </c:dLbl>
            <c:dLbl>
              <c:idx val="7"/>
              <c:layout>
                <c:manualLayout>
                  <c:x val="4.1733738165859223E-3"/>
                  <c:y val="-2.1057899551757641E-2"/>
                </c:manualLayout>
              </c:layout>
              <c:dLblPos val="ctr"/>
              <c:showLegendKey val="0"/>
              <c:showVal val="1"/>
              <c:showCatName val="0"/>
              <c:showSerName val="0"/>
              <c:showPercent val="0"/>
              <c:showBubbleSize val="0"/>
            </c:dLbl>
            <c:dLbl>
              <c:idx val="8"/>
              <c:delete val="1"/>
            </c:dLbl>
            <c:dLbl>
              <c:idx val="9"/>
              <c:layout>
                <c:manualLayout>
                  <c:x val="1.1715913062344978E-2"/>
                  <c:y val="-2.1056932350786171E-2"/>
                </c:manualLayout>
              </c:layout>
              <c:dLblPos val="ctr"/>
              <c:showLegendKey val="0"/>
              <c:showVal val="1"/>
              <c:showCatName val="0"/>
              <c:showSerName val="0"/>
              <c:showPercent val="0"/>
              <c:showBubbleSize val="0"/>
            </c:dLbl>
            <c:dLbl>
              <c:idx val="10"/>
              <c:layout>
                <c:manualLayout>
                  <c:x val="1.8076337434926031E-2"/>
                  <c:y val="-1.9302429788463998E-2"/>
                </c:manualLayout>
              </c:layout>
              <c:dLblPos val="ctr"/>
              <c:showLegendKey val="0"/>
              <c:showVal val="1"/>
              <c:showCatName val="0"/>
              <c:showSerName val="0"/>
              <c:showPercent val="0"/>
              <c:showBubbleSize val="0"/>
            </c:dLbl>
            <c:dLbl>
              <c:idx val="11"/>
              <c:layout>
                <c:manualLayout>
                  <c:x val="1.0081187370160621E-2"/>
                  <c:y val="-2.1056932350786105E-2"/>
                </c:manualLayout>
              </c:layout>
              <c:dLblPos val="ctr"/>
              <c:showLegendKey val="0"/>
              <c:showVal val="1"/>
              <c:showCatName val="0"/>
              <c:showSerName val="0"/>
              <c:showPercent val="0"/>
              <c:showBubbleSize val="0"/>
            </c:dLbl>
            <c:dLbl>
              <c:idx val="12"/>
              <c:layout>
                <c:manualLayout>
                  <c:x val="1.0826931496776021E-2"/>
                  <c:y val="-1.9302429788463998E-2"/>
                </c:manualLayout>
              </c:layout>
              <c:dLblPos val="ctr"/>
              <c:showLegendKey val="0"/>
              <c:showVal val="1"/>
              <c:showCatName val="0"/>
              <c:showSerName val="0"/>
              <c:showPercent val="0"/>
              <c:showBubbleSize val="0"/>
            </c:dLbl>
            <c:dLbl>
              <c:idx val="13"/>
              <c:layout>
                <c:manualLayout>
                  <c:x val="8.7706135239528082E-3"/>
                  <c:y val="-2.1057070522354289E-2"/>
                </c:manualLayout>
              </c:layout>
              <c:dLblPos val="ctr"/>
              <c:showLegendKey val="0"/>
              <c:showVal val="1"/>
              <c:showCatName val="0"/>
              <c:showSerName val="0"/>
              <c:showPercent val="0"/>
              <c:showBubbleSize val="0"/>
            </c:dLbl>
            <c:dLbl>
              <c:idx val="14"/>
              <c:delete val="1"/>
            </c:dLbl>
            <c:dLbl>
              <c:idx val="15"/>
              <c:layout>
                <c:manualLayout>
                  <c:x val="1.0393646363977698E-2"/>
                  <c:y val="-2.1057623208622901E-2"/>
                </c:manualLayout>
              </c:layout>
              <c:dLblPos val="ctr"/>
              <c:showLegendKey val="0"/>
              <c:showVal val="1"/>
              <c:showCatName val="0"/>
              <c:showSerName val="0"/>
              <c:showPercent val="0"/>
              <c:showBubbleSize val="0"/>
            </c:dLbl>
            <c:dLbl>
              <c:idx val="16"/>
              <c:delete val="1"/>
            </c:dLbl>
            <c:dLbl>
              <c:idx val="17"/>
              <c:layout>
                <c:manualLayout>
                  <c:x val="7.2947157402679739E-3"/>
                  <c:y val="-2.1057070522354289E-2"/>
                </c:manualLayout>
              </c:layout>
              <c:dLblPos val="ctr"/>
              <c:showLegendKey val="0"/>
              <c:showVal val="1"/>
              <c:showCatName val="0"/>
              <c:showSerName val="0"/>
              <c:showPercent val="0"/>
              <c:showBubbleSize val="0"/>
            </c:dLbl>
            <c:dLbl>
              <c:idx val="18"/>
              <c:delete val="1"/>
            </c:dLbl>
            <c:dLbl>
              <c:idx val="19"/>
              <c:layout>
                <c:manualLayout>
                  <c:x val="1.5358074109296986E-2"/>
                  <c:y val="-2.1056932350786234E-2"/>
                </c:manualLayout>
              </c:layout>
              <c:dLblPos val="ctr"/>
              <c:showLegendKey val="0"/>
              <c:showVal val="1"/>
              <c:showCatName val="0"/>
              <c:showSerName val="0"/>
              <c:showPercent val="0"/>
              <c:showBubbleSize val="0"/>
            </c:dLbl>
            <c:dLbl>
              <c:idx val="20"/>
              <c:layout>
                <c:manualLayout>
                  <c:x val="1.044058017334004E-2"/>
                  <c:y val="-2.07083254863400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2.2000000000000002</c:v>
                </c:pt>
                <c:pt idx="1">
                  <c:v>2.1</c:v>
                </c:pt>
                <c:pt idx="2">
                  <c:v>0</c:v>
                </c:pt>
                <c:pt idx="3">
                  <c:v>1.4</c:v>
                </c:pt>
                <c:pt idx="4">
                  <c:v>2.2999999999999998</c:v>
                </c:pt>
                <c:pt idx="5">
                  <c:v>2.1</c:v>
                </c:pt>
                <c:pt idx="6">
                  <c:v>1.5</c:v>
                </c:pt>
                <c:pt idx="7">
                  <c:v>3.1</c:v>
                </c:pt>
                <c:pt idx="8">
                  <c:v>0</c:v>
                </c:pt>
                <c:pt idx="9">
                  <c:v>2.7</c:v>
                </c:pt>
                <c:pt idx="10">
                  <c:v>0.9</c:v>
                </c:pt>
                <c:pt idx="11">
                  <c:v>3.2</c:v>
                </c:pt>
                <c:pt idx="12">
                  <c:v>1.8</c:v>
                </c:pt>
                <c:pt idx="13">
                  <c:v>1.8</c:v>
                </c:pt>
                <c:pt idx="14">
                  <c:v>0</c:v>
                </c:pt>
                <c:pt idx="15">
                  <c:v>3.1</c:v>
                </c:pt>
                <c:pt idx="16">
                  <c:v>0</c:v>
                </c:pt>
                <c:pt idx="17">
                  <c:v>1.6</c:v>
                </c:pt>
                <c:pt idx="18">
                  <c:v>0</c:v>
                </c:pt>
                <c:pt idx="19">
                  <c:v>4.0999999999999996</c:v>
                </c:pt>
                <c:pt idx="20">
                  <c:v>2.5</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layout>
                <c:manualLayout>
                  <c:x val="2.4408179280006152E-2"/>
                  <c:y val="0"/>
                </c:manualLayout>
              </c:layout>
              <c:dLblPos val="ctr"/>
              <c:showLegendKey val="0"/>
              <c:showVal val="1"/>
              <c:showCatName val="0"/>
              <c:showSerName val="0"/>
              <c:showPercent val="0"/>
              <c:showBubbleSize val="0"/>
            </c:dLbl>
            <c:dLbl>
              <c:idx val="2"/>
              <c:delete val="1"/>
            </c:dLbl>
            <c:dLbl>
              <c:idx val="8"/>
              <c:delete val="1"/>
            </c:dLbl>
            <c:dLbl>
              <c:idx val="9"/>
              <c:layout>
                <c:manualLayout>
                  <c:x val="2.8869164779570251E-2"/>
                  <c:y val="6.4341149925652822E-17"/>
                </c:manualLayout>
              </c:layout>
              <c:dLblPos val="ctr"/>
              <c:showLegendKey val="0"/>
              <c:showVal val="1"/>
              <c:showCatName val="0"/>
              <c:showSerName val="0"/>
              <c:showPercent val="0"/>
              <c:showBubbleSize val="0"/>
            </c:dLbl>
            <c:dLbl>
              <c:idx val="10"/>
              <c:delete val="1"/>
            </c:dLbl>
            <c:dLbl>
              <c:idx val="14"/>
              <c:delete val="1"/>
            </c:dLbl>
            <c:dLbl>
              <c:idx val="16"/>
              <c:layout>
                <c:manualLayout>
                  <c:x val="2.7833048157662049E-2"/>
                  <c:y val="0"/>
                </c:manualLayout>
              </c:layout>
              <c:dLblPos val="ctr"/>
              <c:showLegendKey val="0"/>
              <c:showVal val="1"/>
              <c:showCatName val="0"/>
              <c:showSerName val="0"/>
              <c:showPercent val="0"/>
              <c:showBubbleSize val="0"/>
            </c:dLbl>
            <c:dLbl>
              <c:idx val="17"/>
              <c:layout>
                <c:manualLayout>
                  <c:x val="2.5442184692497469E-2"/>
                  <c:y val="0"/>
                </c:manualLayout>
              </c:layout>
              <c:dLblPos val="ctr"/>
              <c:showLegendKey val="0"/>
              <c:showVal val="1"/>
              <c:showCatName val="0"/>
              <c:showSerName val="0"/>
              <c:showPercent val="0"/>
              <c:showBubbleSize val="0"/>
            </c:dLbl>
            <c:dLbl>
              <c:idx val="18"/>
              <c:layout>
                <c:manualLayout>
                  <c:x val="2.8875985609996612E-2"/>
                  <c:y val="0"/>
                </c:manualLayout>
              </c:layout>
              <c:dLblPos val="ctr"/>
              <c:showLegendKey val="0"/>
              <c:showVal val="1"/>
              <c:showCatName val="0"/>
              <c:showSerName val="0"/>
              <c:showPercent val="0"/>
              <c:showBubbleSize val="0"/>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1.1000000000000001</c:v>
                </c:pt>
                <c:pt idx="1">
                  <c:v>2.1</c:v>
                </c:pt>
                <c:pt idx="2">
                  <c:v>0</c:v>
                </c:pt>
                <c:pt idx="3">
                  <c:v>1.4</c:v>
                </c:pt>
                <c:pt idx="4">
                  <c:v>1.4</c:v>
                </c:pt>
                <c:pt idx="5">
                  <c:v>0.4</c:v>
                </c:pt>
                <c:pt idx="6">
                  <c:v>0.5</c:v>
                </c:pt>
                <c:pt idx="7">
                  <c:v>1.6</c:v>
                </c:pt>
                <c:pt idx="8">
                  <c:v>0</c:v>
                </c:pt>
                <c:pt idx="9">
                  <c:v>2</c:v>
                </c:pt>
                <c:pt idx="10">
                  <c:v>0</c:v>
                </c:pt>
                <c:pt idx="11">
                  <c:v>1.1000000000000001</c:v>
                </c:pt>
                <c:pt idx="12">
                  <c:v>0.60000000000000064</c:v>
                </c:pt>
                <c:pt idx="13">
                  <c:v>0.60000000000000064</c:v>
                </c:pt>
                <c:pt idx="14">
                  <c:v>0</c:v>
                </c:pt>
                <c:pt idx="15">
                  <c:v>1.3</c:v>
                </c:pt>
                <c:pt idx="16">
                  <c:v>2.9</c:v>
                </c:pt>
                <c:pt idx="17">
                  <c:v>2.4</c:v>
                </c:pt>
                <c:pt idx="18">
                  <c:v>2</c:v>
                </c:pt>
                <c:pt idx="19">
                  <c:v>0</c:v>
                </c:pt>
                <c:pt idx="20">
                  <c:v>1</c:v>
                </c:pt>
              </c:numCache>
            </c:numRef>
          </c:val>
        </c:ser>
        <c:dLbls>
          <c:showLegendKey val="0"/>
          <c:showVal val="0"/>
          <c:showCatName val="0"/>
          <c:showSerName val="0"/>
          <c:showPercent val="0"/>
          <c:showBubbleSize val="0"/>
        </c:dLbls>
        <c:gapWidth val="70"/>
        <c:overlap val="100"/>
        <c:axId val="226840960"/>
        <c:axId val="226842496"/>
      </c:barChart>
      <c:catAx>
        <c:axId val="22684096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6842496"/>
        <c:crosses val="autoZero"/>
        <c:auto val="1"/>
        <c:lblAlgn val="ctr"/>
        <c:lblOffset val="100"/>
        <c:noMultiLvlLbl val="0"/>
      </c:catAx>
      <c:valAx>
        <c:axId val="22684249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6840960"/>
        <c:crosses val="autoZero"/>
        <c:crossBetween val="between"/>
      </c:valAx>
    </c:plotArea>
    <c:legend>
      <c:legendPos val="r"/>
      <c:layout>
        <c:manualLayout>
          <c:xMode val="edge"/>
          <c:yMode val="edge"/>
          <c:x val="1.7935898674726093E-2"/>
          <c:y val="1.4755659492010661E-3"/>
          <c:w val="0.98206414600651659"/>
          <c:h val="7.6332423437857524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layout>
                <c:manualLayout>
                  <c:x val="0"/>
                  <c:y val="3.279030945660922E-3"/>
                </c:manualLayout>
              </c:layout>
              <c:spPr>
                <a:noFill/>
                <a:ln>
                  <a:noFill/>
                </a:ln>
                <a:effectLst/>
              </c:spPr>
              <c:txPr>
                <a:bodyPr horzOverflow="overflow"/>
                <a:lstStyle/>
                <a:p>
                  <a:pPr>
                    <a:defRPr sz="800" b="0">
                      <a:solidFill>
                        <a:schemeClr val="tx1"/>
                      </a:solidFill>
                    </a:defRPr>
                  </a:pPr>
                  <a:endParaRPr lang="ja-JP"/>
                </a:p>
              </c:txPr>
              <c:showLegendKey val="0"/>
              <c:showVal val="1"/>
              <c:showCatName val="0"/>
              <c:showSerName val="0"/>
              <c:showPercent val="0"/>
              <c:showBubbleSize val="0"/>
            </c:dLbl>
            <c:dLbl>
              <c:idx val="1"/>
              <c:layout>
                <c:manualLayout>
                  <c:x val="0"/>
                  <c:y val="1.6395154728304417E-3"/>
                </c:manualLayout>
              </c:layout>
              <c:spPr>
                <a:noFill/>
                <a:ln>
                  <a:noFill/>
                </a:ln>
                <a:effectLst/>
              </c:spPr>
              <c:txPr>
                <a:bodyPr horzOverflow="overflow"/>
                <a:lstStyle/>
                <a:p>
                  <a:pPr>
                    <a:defRPr sz="800" b="0">
                      <a:solidFill>
                        <a:schemeClr val="tx1"/>
                      </a:solidFill>
                    </a:defRPr>
                  </a:pPr>
                  <a:endParaRPr lang="ja-JP"/>
                </a:p>
              </c:txPr>
              <c:showLegendKey val="0"/>
              <c:showVal val="1"/>
              <c:showCatName val="0"/>
              <c:showSerName val="0"/>
              <c:showPercent val="0"/>
              <c:showBubbleSize val="0"/>
            </c:dLbl>
            <c:dLbl>
              <c:idx val="2"/>
              <c:layout>
                <c:manualLayout>
                  <c:x val="0"/>
                  <c:y val="3.2786995279246492E-3"/>
                </c:manualLayout>
              </c:layout>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dLbl>
              <c:idx val="11"/>
              <c:layout>
                <c:manualLayout>
                  <c:x val="0"/>
                  <c:y val="1.639414302750682E-3"/>
                </c:manualLayout>
              </c:layout>
              <c:spPr>
                <a:noFill/>
                <a:ln>
                  <a:noFill/>
                </a:ln>
                <a:effectLst/>
              </c:spPr>
              <c:txPr>
                <a:bodyPr horzOverflow="overflow"/>
                <a:lstStyle/>
                <a:p>
                  <a:pPr>
                    <a:defRPr sz="800" b="0">
                      <a:solidFill>
                        <a:schemeClr val="tx1"/>
                      </a:solidFill>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b="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Sheet1!$B$2:$B$13</c:f>
              <c:numCache>
                <c:formatCode>0.0_);[Red]\(0.0\)</c:formatCode>
                <c:ptCount val="12"/>
                <c:pt idx="0">
                  <c:v>33.300000000000004</c:v>
                </c:pt>
                <c:pt idx="1">
                  <c:v>25.3</c:v>
                </c:pt>
                <c:pt idx="2">
                  <c:v>48.3</c:v>
                </c:pt>
                <c:pt idx="3">
                  <c:v>29.9</c:v>
                </c:pt>
                <c:pt idx="4">
                  <c:v>16.100000000000001</c:v>
                </c:pt>
                <c:pt idx="5">
                  <c:v>16.100000000000001</c:v>
                </c:pt>
                <c:pt idx="6">
                  <c:v>16.100000000000001</c:v>
                </c:pt>
                <c:pt idx="7">
                  <c:v>14.9</c:v>
                </c:pt>
                <c:pt idx="8">
                  <c:v>28.7</c:v>
                </c:pt>
                <c:pt idx="9">
                  <c:v>24.1</c:v>
                </c:pt>
                <c:pt idx="10">
                  <c:v>12.6</c:v>
                </c:pt>
                <c:pt idx="11">
                  <c:v>1.1000000000000001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layout>
                <c:manualLayout>
                  <c:x val="0"/>
                  <c:y val="3.279030945660922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dLbl>
              <c:idx val="1"/>
              <c:layout>
                <c:manualLayout>
                  <c:x val="-1.6769280690089572E-7"/>
                  <c:y val="4.9195817735897904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dLbl>
              <c:idx val="2"/>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Sheet1!$C$2:$C$13</c:f>
              <c:numCache>
                <c:formatCode>0.0_);[Red]\(0.0\)</c:formatCode>
                <c:ptCount val="12"/>
                <c:pt idx="0">
                  <c:v>39.1</c:v>
                </c:pt>
                <c:pt idx="1">
                  <c:v>32.200000000000003</c:v>
                </c:pt>
                <c:pt idx="2">
                  <c:v>43.1</c:v>
                </c:pt>
                <c:pt idx="3">
                  <c:v>37.1</c:v>
                </c:pt>
                <c:pt idx="4">
                  <c:v>14.9</c:v>
                </c:pt>
                <c:pt idx="5">
                  <c:v>24.8</c:v>
                </c:pt>
                <c:pt idx="6">
                  <c:v>20.3</c:v>
                </c:pt>
                <c:pt idx="7">
                  <c:v>11.4</c:v>
                </c:pt>
                <c:pt idx="8">
                  <c:v>18.8</c:v>
                </c:pt>
                <c:pt idx="9">
                  <c:v>22.8</c:v>
                </c:pt>
                <c:pt idx="10">
                  <c:v>12.9</c:v>
                </c:pt>
                <c:pt idx="11">
                  <c:v>1</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layout>
                <c:manualLayout>
                  <c:x val="7.8078883046779247E-17"/>
                  <c:y val="1.6395154728304653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horzOverflow="overflow"/>
                <a:lstStyle/>
                <a:p>
                  <a:pPr>
                    <a:defRPr sz="800" b="0">
                      <a:solidFill>
                        <a:schemeClr val="tx1"/>
                      </a:solidFill>
                    </a:defRPr>
                  </a:pPr>
                  <a:endParaRPr lang="ja-JP"/>
                </a:p>
              </c:txPr>
              <c:showLegendKey val="0"/>
              <c:showVal val="1"/>
              <c:showCatName val="0"/>
              <c:showSerName val="0"/>
              <c:showPercent val="0"/>
              <c:showBubbleSize val="0"/>
            </c:dLbl>
            <c:dLbl>
              <c:idx val="2"/>
              <c:spPr>
                <a:noFill/>
                <a:ln>
                  <a:noFill/>
                </a:ln>
                <a:effectLst/>
              </c:spPr>
              <c:txPr>
                <a:bodyPr horzOverflow="overflow"/>
                <a:lstStyle/>
                <a:p>
                  <a:pPr>
                    <a:defRPr sz="80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Sheet1!$D$2:$D$13</c:f>
              <c:numCache>
                <c:formatCode>0.0_);[Red]\(0.0\)</c:formatCode>
                <c:ptCount val="12"/>
                <c:pt idx="0">
                  <c:v>37.9</c:v>
                </c:pt>
                <c:pt idx="1">
                  <c:v>32</c:v>
                </c:pt>
                <c:pt idx="2">
                  <c:v>38.300000000000004</c:v>
                </c:pt>
                <c:pt idx="3">
                  <c:v>34</c:v>
                </c:pt>
                <c:pt idx="4">
                  <c:v>20.6</c:v>
                </c:pt>
                <c:pt idx="5">
                  <c:v>27.7</c:v>
                </c:pt>
                <c:pt idx="6">
                  <c:v>19.399999999999999</c:v>
                </c:pt>
                <c:pt idx="7">
                  <c:v>16.600000000000001</c:v>
                </c:pt>
                <c:pt idx="8">
                  <c:v>16.600000000000001</c:v>
                </c:pt>
                <c:pt idx="9">
                  <c:v>17.8</c:v>
                </c:pt>
                <c:pt idx="10">
                  <c:v>17.399999999999999</c:v>
                </c:pt>
                <c:pt idx="11">
                  <c:v>1.2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horzOverflow="overflow"/>
                <a:lstStyle/>
                <a:p>
                  <a:pPr>
                    <a:defRPr sz="800">
                      <a:solidFill>
                        <a:schemeClr val="tx1"/>
                      </a:solidFill>
                      <a:latin typeface="Arial Black"/>
                    </a:defRPr>
                  </a:pPr>
                  <a:endParaRPr lang="ja-JP"/>
                </a:p>
              </c:txPr>
              <c:showLegendKey val="0"/>
              <c:showVal val="1"/>
              <c:showCatName val="0"/>
              <c:showSerName val="0"/>
              <c:showPercent val="0"/>
              <c:showBubbleSize val="0"/>
            </c:dLbl>
            <c:dLbl>
              <c:idx val="1"/>
              <c:layout>
                <c:manualLayout>
                  <c:x val="0"/>
                  <c:y val="1.6395154728304575E-3"/>
                </c:manualLayout>
              </c:layout>
              <c:spPr>
                <a:noFill/>
                <a:ln>
                  <a:noFill/>
                </a:ln>
                <a:effectLst/>
              </c:spPr>
              <c:txPr>
                <a:bodyPr horzOverflow="overflow"/>
                <a:lstStyle/>
                <a:p>
                  <a:pPr>
                    <a:defRPr sz="800" b="0">
                      <a:solidFill>
                        <a:schemeClr val="tx1"/>
                      </a:solidFill>
                    </a:defRPr>
                  </a:pPr>
                  <a:endParaRPr lang="ja-JP"/>
                </a:p>
              </c:txPr>
              <c:showLegendKey val="0"/>
              <c:showVal val="1"/>
              <c:showCatName val="0"/>
              <c:showSerName val="0"/>
              <c:showPercent val="0"/>
              <c:showBubbleSize val="0"/>
            </c:dLbl>
            <c:dLbl>
              <c:idx val="2"/>
              <c:layout>
                <c:manualLayout>
                  <c:x val="7.8082653647183192E-17"/>
                  <c:y val="-3.2785704503477753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Sheet1!$E$2:$E$13</c:f>
              <c:numCache>
                <c:formatCode>0.0_);[Red]\(0.0\)</c:formatCode>
                <c:ptCount val="12"/>
                <c:pt idx="0">
                  <c:v>42.9</c:v>
                </c:pt>
                <c:pt idx="1">
                  <c:v>35.4</c:v>
                </c:pt>
                <c:pt idx="2">
                  <c:v>38.9</c:v>
                </c:pt>
                <c:pt idx="3">
                  <c:v>31.1</c:v>
                </c:pt>
                <c:pt idx="4">
                  <c:v>28.3</c:v>
                </c:pt>
                <c:pt idx="5">
                  <c:v>25.4</c:v>
                </c:pt>
                <c:pt idx="6">
                  <c:v>19.100000000000001</c:v>
                </c:pt>
                <c:pt idx="7">
                  <c:v>16.600000000000001</c:v>
                </c:pt>
                <c:pt idx="8">
                  <c:v>16.3</c:v>
                </c:pt>
                <c:pt idx="9">
                  <c:v>14.3</c:v>
                </c:pt>
                <c:pt idx="10">
                  <c:v>15.7</c:v>
                </c:pt>
                <c:pt idx="11">
                  <c:v>1.4</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dLbl>
              <c:idx val="1"/>
              <c:layout>
                <c:manualLayout>
                  <c:x val="-6.3883460471480073E-3"/>
                  <c:y val="4.9186755141978934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dLbl>
              <c:idx val="2"/>
              <c:layout>
                <c:manualLayout>
                  <c:x val="7.8082653647201866E-17"/>
                  <c:y val="-1.6392852251739813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Sheet1!$F$2:$F$13</c:f>
              <c:numCache>
                <c:formatCode>0.0_);[Red]\(0.0\)</c:formatCode>
                <c:ptCount val="12"/>
                <c:pt idx="0">
                  <c:v>48.1</c:v>
                </c:pt>
                <c:pt idx="1">
                  <c:v>42.6</c:v>
                </c:pt>
                <c:pt idx="2">
                  <c:v>30</c:v>
                </c:pt>
                <c:pt idx="3">
                  <c:v>25.1</c:v>
                </c:pt>
                <c:pt idx="4">
                  <c:v>32.700000000000003</c:v>
                </c:pt>
                <c:pt idx="5">
                  <c:v>25.7</c:v>
                </c:pt>
                <c:pt idx="6">
                  <c:v>17.2</c:v>
                </c:pt>
                <c:pt idx="7">
                  <c:v>19.8</c:v>
                </c:pt>
                <c:pt idx="8">
                  <c:v>15.2</c:v>
                </c:pt>
                <c:pt idx="9">
                  <c:v>15.5</c:v>
                </c:pt>
                <c:pt idx="10">
                  <c:v>13.4</c:v>
                </c:pt>
                <c:pt idx="11">
                  <c:v>0.9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horzOverflow="overflow"/>
                <a:lstStyle/>
                <a:p>
                  <a:pPr>
                    <a:defRPr sz="800" b="0">
                      <a:solidFill>
                        <a:schemeClr val="tx1"/>
                      </a:solidFill>
                      <a:latin typeface="Arial Black"/>
                    </a:defRPr>
                  </a:pPr>
                  <a:endParaRPr lang="ja-JP"/>
                </a:p>
              </c:txPr>
              <c:showLegendKey val="0"/>
              <c:showVal val="1"/>
              <c:showCatName val="0"/>
              <c:showSerName val="0"/>
              <c:showPercent val="0"/>
              <c:showBubbleSize val="0"/>
            </c:dLbl>
            <c:dLbl>
              <c:idx val="1"/>
              <c:layout>
                <c:manualLayout>
                  <c:x val="0"/>
                  <c:y val="3.279030945660922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dLbl>
              <c:idx val="2"/>
              <c:layout>
                <c:manualLayout>
                  <c:x val="8.5180383912864793E-3"/>
                  <c:y val="5.1631030714138721E-7"/>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dLbl>
              <c:idx val="5"/>
              <c:layout>
                <c:manualLayout>
                  <c:x val="0"/>
                  <c:y val="-1.639285225174013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Sheet1!$G$2:$G$13</c:f>
              <c:numCache>
                <c:formatCode>0.0_);[Red]\(0.0\)</c:formatCode>
                <c:ptCount val="12"/>
                <c:pt idx="0">
                  <c:v>48.7</c:v>
                </c:pt>
                <c:pt idx="1">
                  <c:v>45.6</c:v>
                </c:pt>
                <c:pt idx="2">
                  <c:v>24.9</c:v>
                </c:pt>
                <c:pt idx="3">
                  <c:v>28</c:v>
                </c:pt>
                <c:pt idx="4">
                  <c:v>33</c:v>
                </c:pt>
                <c:pt idx="5">
                  <c:v>27.6</c:v>
                </c:pt>
                <c:pt idx="6">
                  <c:v>19.899999999999999</c:v>
                </c:pt>
                <c:pt idx="7">
                  <c:v>17.2</c:v>
                </c:pt>
                <c:pt idx="8">
                  <c:v>12.6</c:v>
                </c:pt>
                <c:pt idx="9">
                  <c:v>8.8000000000000007</c:v>
                </c:pt>
                <c:pt idx="10">
                  <c:v>13.8</c:v>
                </c:pt>
                <c:pt idx="11">
                  <c:v>1.9000000000000001</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horzOverflow="overflow"/>
                <a:lstStyle/>
                <a:p>
                  <a:pPr>
                    <a:defRPr sz="800" b="0">
                      <a:solidFill>
                        <a:schemeClr val="tx1"/>
                      </a:solidFill>
                    </a:defRPr>
                  </a:pPr>
                  <a:endParaRPr lang="ja-JP"/>
                </a:p>
              </c:txPr>
              <c:showLegendKey val="0"/>
              <c:showVal val="1"/>
              <c:showCatName val="0"/>
              <c:showSerName val="0"/>
              <c:showPercent val="0"/>
              <c:showBubbleSize val="0"/>
            </c:dLbl>
            <c:dLbl>
              <c:idx val="1"/>
              <c:spPr>
                <a:noFill/>
                <a:ln>
                  <a:noFill/>
                </a:ln>
                <a:effectLst/>
              </c:spPr>
              <c:txPr>
                <a:bodyPr horzOverflow="overflow"/>
                <a:lstStyle/>
                <a:p>
                  <a:pPr>
                    <a:defRPr sz="800">
                      <a:solidFill>
                        <a:schemeClr val="tx1"/>
                      </a:solidFill>
                      <a:latin typeface="Arial Black"/>
                    </a:defRPr>
                  </a:pPr>
                  <a:endParaRPr lang="ja-JP"/>
                </a:p>
              </c:txPr>
              <c:showLegendKey val="0"/>
              <c:showVal val="1"/>
              <c:showCatName val="0"/>
              <c:showSerName val="0"/>
              <c:showPercent val="0"/>
              <c:showBubbleSize val="0"/>
            </c:dLbl>
            <c:dLbl>
              <c:idx val="2"/>
              <c:layout>
                <c:manualLayout>
                  <c:x val="0"/>
                  <c:y val="-3.2783122951942252E-3"/>
                </c:manualLayout>
              </c:layout>
              <c:spPr>
                <a:noFill/>
                <a:ln>
                  <a:noFill/>
                </a:ln>
                <a:effectLst/>
              </c:spPr>
              <c:txPr>
                <a:bodyPr horzOverflow="overflow"/>
                <a:lstStyle/>
                <a:p>
                  <a:pPr>
                    <a:defRPr sz="800">
                      <a:solidFill>
                        <a:schemeClr val="tx1"/>
                      </a:solidFill>
                    </a:defRPr>
                  </a:pPr>
                  <a:endParaRPr lang="ja-JP"/>
                </a:p>
              </c:txPr>
              <c:showLegendKey val="0"/>
              <c:showVal val="1"/>
              <c:showCatName val="0"/>
              <c:showSerName val="0"/>
              <c:showPercent val="0"/>
              <c:showBubbleSize val="0"/>
            </c:dLbl>
            <c:spPr>
              <a:noFill/>
              <a:ln>
                <a:noFill/>
              </a:ln>
              <a:effectLst/>
            </c:spPr>
            <c:txPr>
              <a:bodyPr rot="0" horzOverflow="overflow" anchor="ctr"/>
              <a:lstStyle/>
              <a:p>
                <a:pPr algn="ctr" rtl="0">
                  <a:defRPr sz="800">
                    <a:solidFill>
                      <a:schemeClr val="tx1"/>
                    </a:solidFill>
                  </a:defRPr>
                </a:pPr>
                <a:endParaRPr lang="ja-JP"/>
              </a:p>
            </c:txPr>
            <c:showLegendKey val="0"/>
            <c:showVal val="1"/>
            <c:showCatName val="0"/>
            <c:showSerName val="0"/>
            <c:showPercent val="0"/>
            <c:showBubbleSize val="0"/>
            <c:showLeaderLines val="0"/>
          </c:dLbls>
          <c:cat>
            <c:strRef>
              <c:f>Sheet1!$A$2:$A$13</c:f>
              <c:strCache>
                <c:ptCount val="12"/>
                <c:pt idx="0">
                  <c:v>産業の担い手の育成・確保　 </c:v>
                </c:pt>
                <c:pt idx="1">
                  <c:v>農林漁業の生産地の強化     </c:v>
                </c:pt>
                <c:pt idx="2">
                  <c:v>観光の振興                 </c:v>
                </c:pt>
                <c:pt idx="3">
                  <c:v>地域の商店街等の活性化     </c:v>
                </c:pt>
                <c:pt idx="4">
                  <c:v>第一次産業などを核とした産業集積（地域産業クラスター）</c:v>
                </c:pt>
                <c:pt idx="5">
                  <c:v>企業の誘致                 </c:v>
                </c:pt>
                <c:pt idx="6">
                  <c:v>県産品等の県外・海外での販売促進支援</c:v>
                </c:pt>
                <c:pt idx="7">
                  <c:v>加工食品や機械などのものづくり産業の振興</c:v>
                </c:pt>
                <c:pt idx="8">
                  <c:v>県外からの移住の促進       </c:v>
                </c:pt>
                <c:pt idx="9">
                  <c:v>防災関連産業、コンテンツ関連産業、IoT関連産業などの新たな産業の創出</c:v>
                </c:pt>
                <c:pt idx="10">
                  <c:v>起業や新たな事業展開を志す方への支援</c:v>
                </c:pt>
                <c:pt idx="11">
                  <c:v>その他                     </c:v>
                </c:pt>
              </c:strCache>
            </c:strRef>
          </c:cat>
          <c:val>
            <c:numRef>
              <c:f>Sheet1!$H$2:$H$13</c:f>
              <c:numCache>
                <c:formatCode>0.0_);[Red]\(0.0\)</c:formatCode>
                <c:ptCount val="12"/>
                <c:pt idx="0">
                  <c:v>44.9</c:v>
                </c:pt>
                <c:pt idx="1">
                  <c:v>58.2</c:v>
                </c:pt>
                <c:pt idx="2">
                  <c:v>26.5</c:v>
                </c:pt>
                <c:pt idx="3">
                  <c:v>37.800000000000004</c:v>
                </c:pt>
                <c:pt idx="4">
                  <c:v>24.5</c:v>
                </c:pt>
                <c:pt idx="5">
                  <c:v>23.5</c:v>
                </c:pt>
                <c:pt idx="6">
                  <c:v>15.3</c:v>
                </c:pt>
                <c:pt idx="7">
                  <c:v>17.3</c:v>
                </c:pt>
                <c:pt idx="8">
                  <c:v>16.3</c:v>
                </c:pt>
                <c:pt idx="9">
                  <c:v>8.2000000000000011</c:v>
                </c:pt>
                <c:pt idx="10">
                  <c:v>16.3</c:v>
                </c:pt>
                <c:pt idx="11">
                  <c:v>0</c:v>
                </c:pt>
              </c:numCache>
            </c:numRef>
          </c:val>
        </c:ser>
        <c:dLbls>
          <c:showLegendKey val="0"/>
          <c:showVal val="1"/>
          <c:showCatName val="0"/>
          <c:showSerName val="0"/>
          <c:showPercent val="0"/>
          <c:showBubbleSize val="0"/>
        </c:dLbls>
        <c:gapWidth val="100"/>
        <c:axId val="221505408"/>
        <c:axId val="221506944"/>
      </c:barChart>
      <c:catAx>
        <c:axId val="22150540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chemeClr val="tx1"/>
                </a:solidFill>
              </a:defRPr>
            </a:pPr>
            <a:endParaRPr lang="ja-JP"/>
          </a:p>
        </c:txPr>
        <c:crossAx val="221506944"/>
        <c:crosses val="autoZero"/>
        <c:auto val="1"/>
        <c:lblAlgn val="ctr"/>
        <c:lblOffset val="100"/>
        <c:noMultiLvlLbl val="0"/>
      </c:catAx>
      <c:valAx>
        <c:axId val="221506944"/>
        <c:scaling>
          <c:orientation val="minMax"/>
          <c:max val="7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chemeClr val="tx1"/>
                </a:solidFill>
              </a:defRPr>
            </a:pPr>
            <a:endParaRPr lang="ja-JP"/>
          </a:p>
        </c:txPr>
        <c:crossAx val="22150540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txPr>
        <a:bodyPr anchor="ctr"/>
        <a:lstStyle/>
        <a:p>
          <a:pPr algn="l" rtl="0">
            <a:defRPr sz="10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6675476259109492"/>
          <c:w val="0.70210394373780149"/>
          <c:h val="0.8140488219319405"/>
        </c:manualLayout>
      </c:layout>
      <c:barChart>
        <c:barDir val="bar"/>
        <c:grouping val="percentStacked"/>
        <c:varyColors val="0"/>
        <c:ser>
          <c:idx val="0"/>
          <c:order val="0"/>
          <c:tx>
            <c:strRef>
              <c:f>Sheet1!$B$1</c:f>
              <c:strCache>
                <c:ptCount val="1"/>
                <c:pt idx="0">
                  <c:v>固定している</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c:formatCode>
                <c:ptCount val="12"/>
                <c:pt idx="0">
                  <c:v>14.7</c:v>
                </c:pt>
                <c:pt idx="1">
                  <c:v>15.4</c:v>
                </c:pt>
                <c:pt idx="2">
                  <c:v>14.2</c:v>
                </c:pt>
                <c:pt idx="3">
                  <c:v>20.7</c:v>
                </c:pt>
                <c:pt idx="4">
                  <c:v>16.3</c:v>
                </c:pt>
                <c:pt idx="5">
                  <c:v>11.5</c:v>
                </c:pt>
                <c:pt idx="6">
                  <c:v>15.7</c:v>
                </c:pt>
                <c:pt idx="7">
                  <c:v>12</c:v>
                </c:pt>
                <c:pt idx="8">
                  <c:v>15.3</c:v>
                </c:pt>
                <c:pt idx="9">
                  <c:v>19.399999999999999</c:v>
                </c:pt>
                <c:pt idx="10">
                  <c:v>12.8</c:v>
                </c:pt>
                <c:pt idx="11">
                  <c:v>15.7</c:v>
                </c:pt>
              </c:numCache>
            </c:numRef>
          </c:val>
        </c:ser>
        <c:ser>
          <c:idx val="1"/>
          <c:order val="1"/>
          <c:tx>
            <c:strRef>
              <c:f>Sheet1!$C$1</c:f>
              <c:strCache>
                <c:ptCount val="1"/>
                <c:pt idx="0">
                  <c:v>寝室（子供部屋を含む）だけは固定している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c:formatCode>
                <c:ptCount val="12"/>
                <c:pt idx="0">
                  <c:v>8.5</c:v>
                </c:pt>
                <c:pt idx="1">
                  <c:v>8.6</c:v>
                </c:pt>
                <c:pt idx="2">
                  <c:v>8.6</c:v>
                </c:pt>
                <c:pt idx="3">
                  <c:v>9.2000000000000011</c:v>
                </c:pt>
                <c:pt idx="4">
                  <c:v>5.4</c:v>
                </c:pt>
                <c:pt idx="5">
                  <c:v>7.1</c:v>
                </c:pt>
                <c:pt idx="6">
                  <c:v>8.9</c:v>
                </c:pt>
                <c:pt idx="7">
                  <c:v>8.2000000000000011</c:v>
                </c:pt>
                <c:pt idx="8">
                  <c:v>11.5</c:v>
                </c:pt>
                <c:pt idx="9">
                  <c:v>11.2</c:v>
                </c:pt>
                <c:pt idx="10">
                  <c:v>8.7000000000000011</c:v>
                </c:pt>
                <c:pt idx="11">
                  <c:v>8.6</c:v>
                </c:pt>
              </c:numCache>
            </c:numRef>
          </c:val>
        </c:ser>
        <c:ser>
          <c:idx val="2"/>
          <c:order val="2"/>
          <c:tx>
            <c:strRef>
              <c:f>Sheet1!$D$1</c:f>
              <c:strCache>
                <c:ptCount val="1"/>
                <c:pt idx="0">
                  <c:v>固定が必要な家具や家電などがあるが固定していない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c:formatCode>
                <c:ptCount val="12"/>
                <c:pt idx="0">
                  <c:v>66.7</c:v>
                </c:pt>
                <c:pt idx="1">
                  <c:v>64.7</c:v>
                </c:pt>
                <c:pt idx="2">
                  <c:v>68.5</c:v>
                </c:pt>
                <c:pt idx="3">
                  <c:v>64.400000000000006</c:v>
                </c:pt>
                <c:pt idx="4">
                  <c:v>70.8</c:v>
                </c:pt>
                <c:pt idx="5">
                  <c:v>70</c:v>
                </c:pt>
                <c:pt idx="6">
                  <c:v>66.599999999999994</c:v>
                </c:pt>
                <c:pt idx="7">
                  <c:v>70.3</c:v>
                </c:pt>
                <c:pt idx="8">
                  <c:v>63.6</c:v>
                </c:pt>
                <c:pt idx="9">
                  <c:v>48</c:v>
                </c:pt>
                <c:pt idx="10">
                  <c:v>68.7</c:v>
                </c:pt>
                <c:pt idx="11">
                  <c:v>65.900000000000006</c:v>
                </c:pt>
              </c:numCache>
            </c:numRef>
          </c:val>
        </c:ser>
        <c:ser>
          <c:idx val="3"/>
          <c:order val="3"/>
          <c:tx>
            <c:strRef>
              <c:f>Sheet1!$E$1</c:f>
              <c:strCache>
                <c:ptCount val="1"/>
                <c:pt idx="0">
                  <c:v>固定が必要な家具や家電などを居室内に置いていない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9.6</c:v>
                </c:pt>
                <c:pt idx="1">
                  <c:v>10.8</c:v>
                </c:pt>
                <c:pt idx="2">
                  <c:v>8.5</c:v>
                </c:pt>
                <c:pt idx="3">
                  <c:v>5.7</c:v>
                </c:pt>
                <c:pt idx="4">
                  <c:v>6.9</c:v>
                </c:pt>
                <c:pt idx="5">
                  <c:v>11.5</c:v>
                </c:pt>
                <c:pt idx="6">
                  <c:v>8.3000000000000007</c:v>
                </c:pt>
                <c:pt idx="7">
                  <c:v>9.3000000000000007</c:v>
                </c:pt>
                <c:pt idx="8">
                  <c:v>8.8000000000000007</c:v>
                </c:pt>
                <c:pt idx="9">
                  <c:v>20.399999999999999</c:v>
                </c:pt>
                <c:pt idx="10">
                  <c:v>9.6</c:v>
                </c:pt>
                <c:pt idx="11">
                  <c:v>9.4</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3"/>
              <c:delete val="1"/>
            </c:dLbl>
            <c:dLbl>
              <c:idx val="5"/>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Sheet1!$F$2:$F$13</c:f>
              <c:numCache>
                <c:formatCode>0.0</c:formatCode>
                <c:ptCount val="12"/>
                <c:pt idx="0">
                  <c:v>0.5</c:v>
                </c:pt>
                <c:pt idx="1">
                  <c:v>0.60000000000000064</c:v>
                </c:pt>
                <c:pt idx="2">
                  <c:v>0.30000000000000032</c:v>
                </c:pt>
                <c:pt idx="3">
                  <c:v>0</c:v>
                </c:pt>
                <c:pt idx="4">
                  <c:v>0.5</c:v>
                </c:pt>
                <c:pt idx="5">
                  <c:v>0</c:v>
                </c:pt>
                <c:pt idx="6">
                  <c:v>0.60000000000000064</c:v>
                </c:pt>
                <c:pt idx="7">
                  <c:v>0.30000000000000032</c:v>
                </c:pt>
                <c:pt idx="8">
                  <c:v>0.8</c:v>
                </c:pt>
                <c:pt idx="9">
                  <c:v>1</c:v>
                </c:pt>
                <c:pt idx="10">
                  <c:v>0.2</c:v>
                </c:pt>
                <c:pt idx="11">
                  <c:v>0.5</c:v>
                </c:pt>
              </c:numCache>
            </c:numRef>
          </c:val>
        </c:ser>
        <c:dLbls>
          <c:showLegendKey val="0"/>
          <c:showVal val="0"/>
          <c:showCatName val="0"/>
          <c:showSerName val="0"/>
          <c:showPercent val="0"/>
          <c:showBubbleSize val="0"/>
        </c:dLbls>
        <c:gapWidth val="90"/>
        <c:overlap val="100"/>
        <c:axId val="226927744"/>
        <c:axId val="226929280"/>
      </c:barChart>
      <c:catAx>
        <c:axId val="22692774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6929280"/>
        <c:crosses val="autoZero"/>
        <c:auto val="1"/>
        <c:lblAlgn val="ctr"/>
        <c:lblOffset val="100"/>
        <c:noMultiLvlLbl val="0"/>
      </c:catAx>
      <c:valAx>
        <c:axId val="22692928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6927744"/>
        <c:crosses val="autoZero"/>
        <c:crossBetween val="between"/>
        <c:majorUnit val="0.1"/>
      </c:valAx>
    </c:plotArea>
    <c:legend>
      <c:legendPos val="r"/>
      <c:layout>
        <c:manualLayout>
          <c:xMode val="edge"/>
          <c:yMode val="edge"/>
          <c:x val="1.427451376270274E-2"/>
          <c:y val="1.8843625254239191E-3"/>
          <c:w val="0.98572548623729761"/>
          <c:h val="0.12357096981374438"/>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固定している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2"/>
              <c:delete val="1"/>
            </c:dLbl>
            <c:dLbl>
              <c:idx val="16"/>
              <c:layout>
                <c:manualLayout>
                  <c:x val="-1.238390092879257E-2"/>
                  <c:y val="4.1442188147534194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14.7</c:v>
                </c:pt>
                <c:pt idx="1">
                  <c:v>12.4</c:v>
                </c:pt>
                <c:pt idx="2">
                  <c:v>0</c:v>
                </c:pt>
                <c:pt idx="3">
                  <c:v>20.3</c:v>
                </c:pt>
                <c:pt idx="4">
                  <c:v>17.399999999999999</c:v>
                </c:pt>
                <c:pt idx="5">
                  <c:v>13.1</c:v>
                </c:pt>
                <c:pt idx="6">
                  <c:v>8.9</c:v>
                </c:pt>
                <c:pt idx="7">
                  <c:v>18.8</c:v>
                </c:pt>
                <c:pt idx="8">
                  <c:v>22.7</c:v>
                </c:pt>
                <c:pt idx="9">
                  <c:v>16.8</c:v>
                </c:pt>
                <c:pt idx="10">
                  <c:v>18.100000000000001</c:v>
                </c:pt>
                <c:pt idx="11">
                  <c:v>19</c:v>
                </c:pt>
                <c:pt idx="12">
                  <c:v>10</c:v>
                </c:pt>
                <c:pt idx="13">
                  <c:v>15.8</c:v>
                </c:pt>
                <c:pt idx="14">
                  <c:v>10.5</c:v>
                </c:pt>
                <c:pt idx="15">
                  <c:v>15.7</c:v>
                </c:pt>
                <c:pt idx="16">
                  <c:v>17.600000000000001</c:v>
                </c:pt>
                <c:pt idx="17">
                  <c:v>14.3</c:v>
                </c:pt>
                <c:pt idx="18">
                  <c:v>13.7</c:v>
                </c:pt>
                <c:pt idx="19">
                  <c:v>13.8</c:v>
                </c:pt>
                <c:pt idx="20">
                  <c:v>13.4</c:v>
                </c:pt>
              </c:numCache>
            </c:numRef>
          </c:val>
        </c:ser>
        <c:ser>
          <c:idx val="1"/>
          <c:order val="1"/>
          <c:tx>
            <c:strRef>
              <c:f>Sheet1!$C$1</c:f>
              <c:strCache>
                <c:ptCount val="1"/>
                <c:pt idx="0">
                  <c:v>寝室（子供部屋を含む）だけは固定している</c:v>
                </c:pt>
              </c:strCache>
            </c:strRef>
          </c:tx>
          <c:spPr>
            <a:pattFill prst="pct20">
              <a:fgClr>
                <a:sysClr val="windowText" lastClr="000000"/>
              </a:fgClr>
              <a:bgClr>
                <a:sysClr val="window" lastClr="FFFFFF"/>
              </a:bgClr>
            </a:pattFill>
            <a:ln>
              <a:solidFill>
                <a:sysClr val="windowText" lastClr="000000"/>
              </a:solidFill>
            </a:ln>
          </c:spPr>
          <c:invertIfNegative val="0"/>
          <c:dLbls>
            <c:dLbl>
              <c:idx val="1"/>
              <c:layout>
                <c:manualLayout>
                  <c:x val="0"/>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2"/>
              <c:layout>
                <c:manualLayout>
                  <c:x val="2.063983488132162E-3"/>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8.5</c:v>
                </c:pt>
                <c:pt idx="1">
                  <c:v>5.2</c:v>
                </c:pt>
                <c:pt idx="2">
                  <c:v>11.1</c:v>
                </c:pt>
                <c:pt idx="3">
                  <c:v>7.2</c:v>
                </c:pt>
                <c:pt idx="4">
                  <c:v>10.6</c:v>
                </c:pt>
                <c:pt idx="5">
                  <c:v>7.1</c:v>
                </c:pt>
                <c:pt idx="6">
                  <c:v>8.9</c:v>
                </c:pt>
                <c:pt idx="7">
                  <c:v>14.1</c:v>
                </c:pt>
                <c:pt idx="8">
                  <c:v>9.1</c:v>
                </c:pt>
                <c:pt idx="9">
                  <c:v>10.1</c:v>
                </c:pt>
                <c:pt idx="10">
                  <c:v>9.5</c:v>
                </c:pt>
                <c:pt idx="11">
                  <c:v>9.5</c:v>
                </c:pt>
                <c:pt idx="12">
                  <c:v>5.9</c:v>
                </c:pt>
                <c:pt idx="13">
                  <c:v>10.1</c:v>
                </c:pt>
                <c:pt idx="14">
                  <c:v>5.3</c:v>
                </c:pt>
                <c:pt idx="15">
                  <c:v>7</c:v>
                </c:pt>
                <c:pt idx="16">
                  <c:v>8.8000000000000007</c:v>
                </c:pt>
                <c:pt idx="17">
                  <c:v>4.8</c:v>
                </c:pt>
                <c:pt idx="18">
                  <c:v>9.8000000000000007</c:v>
                </c:pt>
                <c:pt idx="19">
                  <c:v>12.2</c:v>
                </c:pt>
                <c:pt idx="20">
                  <c:v>7</c:v>
                </c:pt>
              </c:numCache>
            </c:numRef>
          </c:val>
        </c:ser>
        <c:ser>
          <c:idx val="2"/>
          <c:order val="2"/>
          <c:tx>
            <c:strRef>
              <c:f>Sheet1!$D$1</c:f>
              <c:strCache>
                <c:ptCount val="1"/>
                <c:pt idx="0">
                  <c:v>固定が必要な家具や家電などがあるが固定していない</c:v>
                </c:pt>
              </c:strCache>
            </c:strRef>
          </c:tx>
          <c:spPr>
            <a:pattFill prst="pct50">
              <a:fgClr>
                <a:sysClr val="windowText" lastClr="000000"/>
              </a:fgClr>
              <a:bgClr>
                <a:sysClr val="window" lastClr="FFFFFF"/>
              </a:bgClr>
            </a:pattFill>
            <a:ln>
              <a:solidFill>
                <a:sysClr val="windowText" lastClr="000000"/>
              </a:solidFill>
            </a:ln>
          </c:spPr>
          <c:invertIfNegative val="0"/>
          <c:dLbls>
            <c:dLbl>
              <c:idx val="1"/>
              <c:layout>
                <c:manualLayout>
                  <c:x val="3.095975232198142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70381836945379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087719298245612E-2"/>
                  <c:y val="-6.4326742272105588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715170278637850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3.7151776201242249E-2"/>
                  <c:y val="4.1450118581880888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3.0959759361762939E-2"/>
                  <c:y val="-5.5266824775842942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66.7</c:v>
                </c:pt>
                <c:pt idx="1">
                  <c:v>72.2</c:v>
                </c:pt>
                <c:pt idx="2">
                  <c:v>66.7</c:v>
                </c:pt>
                <c:pt idx="3">
                  <c:v>60.9</c:v>
                </c:pt>
                <c:pt idx="4">
                  <c:v>64.2</c:v>
                </c:pt>
                <c:pt idx="5">
                  <c:v>68.400000000000006</c:v>
                </c:pt>
                <c:pt idx="6">
                  <c:v>69.5</c:v>
                </c:pt>
                <c:pt idx="7">
                  <c:v>59.4</c:v>
                </c:pt>
                <c:pt idx="8">
                  <c:v>59.1</c:v>
                </c:pt>
                <c:pt idx="9">
                  <c:v>68.5</c:v>
                </c:pt>
                <c:pt idx="10">
                  <c:v>67.2</c:v>
                </c:pt>
                <c:pt idx="11">
                  <c:v>59.8</c:v>
                </c:pt>
                <c:pt idx="12">
                  <c:v>72.400000000000006</c:v>
                </c:pt>
                <c:pt idx="13">
                  <c:v>65.5</c:v>
                </c:pt>
                <c:pt idx="14">
                  <c:v>77.2</c:v>
                </c:pt>
                <c:pt idx="15">
                  <c:v>64.599999999999994</c:v>
                </c:pt>
                <c:pt idx="16">
                  <c:v>64.7</c:v>
                </c:pt>
                <c:pt idx="17">
                  <c:v>73.8</c:v>
                </c:pt>
                <c:pt idx="18">
                  <c:v>60.8</c:v>
                </c:pt>
                <c:pt idx="19">
                  <c:v>62.6</c:v>
                </c:pt>
                <c:pt idx="20">
                  <c:v>67.7</c:v>
                </c:pt>
              </c:numCache>
            </c:numRef>
          </c:val>
        </c:ser>
        <c:ser>
          <c:idx val="3"/>
          <c:order val="3"/>
          <c:tx>
            <c:strRef>
              <c:f>Sheet1!$E$1</c:f>
              <c:strCache>
                <c:ptCount val="1"/>
                <c:pt idx="0">
                  <c:v>固定が必要な家具や家電などを居室内に置いていない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8"/>
              <c:layout>
                <c:manualLayout>
                  <c:x val="-2.0342357689975563E-3"/>
                  <c:y val="-1.754737225364597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layout>
                <c:manualLayout>
                  <c:x val="2.4200254671136412E-5"/>
                  <c:y val="-1.9301662218839014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layout>
                <c:manualLayout>
                  <c:x val="4.1496127959253877E-3"/>
                  <c:y val="-1.93018003859010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9.6</c:v>
                </c:pt>
                <c:pt idx="1">
                  <c:v>10.3</c:v>
                </c:pt>
                <c:pt idx="2">
                  <c:v>22.2</c:v>
                </c:pt>
                <c:pt idx="3">
                  <c:v>11.6</c:v>
                </c:pt>
                <c:pt idx="4">
                  <c:v>6.4</c:v>
                </c:pt>
                <c:pt idx="5">
                  <c:v>11</c:v>
                </c:pt>
                <c:pt idx="6">
                  <c:v>12.3</c:v>
                </c:pt>
                <c:pt idx="7">
                  <c:v>6.3</c:v>
                </c:pt>
                <c:pt idx="8">
                  <c:v>4.5</c:v>
                </c:pt>
                <c:pt idx="9">
                  <c:v>4.7</c:v>
                </c:pt>
                <c:pt idx="10">
                  <c:v>5.2</c:v>
                </c:pt>
                <c:pt idx="11">
                  <c:v>11.6</c:v>
                </c:pt>
                <c:pt idx="12">
                  <c:v>11.8</c:v>
                </c:pt>
                <c:pt idx="13">
                  <c:v>8.3000000000000007</c:v>
                </c:pt>
                <c:pt idx="14">
                  <c:v>7</c:v>
                </c:pt>
                <c:pt idx="15">
                  <c:v>11.8</c:v>
                </c:pt>
                <c:pt idx="16">
                  <c:v>8.8000000000000007</c:v>
                </c:pt>
                <c:pt idx="17">
                  <c:v>7.1</c:v>
                </c:pt>
                <c:pt idx="18">
                  <c:v>15.7</c:v>
                </c:pt>
                <c:pt idx="19">
                  <c:v>10.6</c:v>
                </c:pt>
                <c:pt idx="20">
                  <c:v>11.4</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1"/>
              <c:delete val="1"/>
            </c:dLbl>
            <c:dLbl>
              <c:idx val="2"/>
              <c:delete val="1"/>
            </c:dLbl>
            <c:dLbl>
              <c:idx val="3"/>
              <c:delete val="1"/>
            </c:dLbl>
            <c:dLbl>
              <c:idx val="8"/>
              <c:layout>
                <c:manualLayout>
                  <c:x val="3.7398488864634497E-2"/>
                  <c:y val="-6.4339051926329514E-17"/>
                </c:manualLayout>
              </c:layout>
              <c:dLblPos val="ctr"/>
              <c:showLegendKey val="0"/>
              <c:showVal val="1"/>
              <c:showCatName val="0"/>
              <c:showSerName val="0"/>
              <c:showPercent val="0"/>
              <c:showBubbleSize val="0"/>
            </c:dLbl>
            <c:dLbl>
              <c:idx val="9"/>
              <c:delete val="1"/>
            </c:dLbl>
            <c:dLbl>
              <c:idx val="10"/>
              <c:delete val="1"/>
            </c:dLbl>
            <c:dLbl>
              <c:idx val="11"/>
              <c:delete val="1"/>
            </c:dLbl>
            <c:dLbl>
              <c:idx val="12"/>
              <c:delete val="1"/>
            </c:dLbl>
            <c:dLbl>
              <c:idx val="14"/>
              <c:delete val="1"/>
            </c:dLbl>
            <c:dLbl>
              <c:idx val="16"/>
              <c:delete val="1"/>
            </c:dLbl>
            <c:dLbl>
              <c:idx val="17"/>
              <c:delete val="1"/>
            </c:dLbl>
            <c:dLbl>
              <c:idx val="18"/>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0.5</c:v>
                </c:pt>
                <c:pt idx="1">
                  <c:v>0</c:v>
                </c:pt>
                <c:pt idx="2">
                  <c:v>0</c:v>
                </c:pt>
                <c:pt idx="3">
                  <c:v>0</c:v>
                </c:pt>
                <c:pt idx="4">
                  <c:v>1.4</c:v>
                </c:pt>
                <c:pt idx="5">
                  <c:v>0.4</c:v>
                </c:pt>
                <c:pt idx="6">
                  <c:v>0.5</c:v>
                </c:pt>
                <c:pt idx="7">
                  <c:v>1.6</c:v>
                </c:pt>
                <c:pt idx="8">
                  <c:v>4.5</c:v>
                </c:pt>
                <c:pt idx="9">
                  <c:v>0</c:v>
                </c:pt>
                <c:pt idx="10">
                  <c:v>0</c:v>
                </c:pt>
                <c:pt idx="11">
                  <c:v>0</c:v>
                </c:pt>
                <c:pt idx="12">
                  <c:v>0</c:v>
                </c:pt>
                <c:pt idx="13">
                  <c:v>0.30000000000000032</c:v>
                </c:pt>
                <c:pt idx="14">
                  <c:v>0</c:v>
                </c:pt>
                <c:pt idx="15">
                  <c:v>0.9</c:v>
                </c:pt>
                <c:pt idx="16">
                  <c:v>0</c:v>
                </c:pt>
                <c:pt idx="17">
                  <c:v>0</c:v>
                </c:pt>
                <c:pt idx="18">
                  <c:v>0</c:v>
                </c:pt>
                <c:pt idx="19">
                  <c:v>0.8</c:v>
                </c:pt>
                <c:pt idx="20">
                  <c:v>0.5</c:v>
                </c:pt>
              </c:numCache>
            </c:numRef>
          </c:val>
        </c:ser>
        <c:dLbls>
          <c:showLegendKey val="0"/>
          <c:showVal val="0"/>
          <c:showCatName val="0"/>
          <c:showSerName val="0"/>
          <c:showPercent val="0"/>
          <c:showBubbleSize val="0"/>
        </c:dLbls>
        <c:gapWidth val="70"/>
        <c:overlap val="100"/>
        <c:axId val="225109504"/>
        <c:axId val="225111040"/>
      </c:barChart>
      <c:catAx>
        <c:axId val="22510950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5111040"/>
        <c:crosses val="autoZero"/>
        <c:auto val="1"/>
        <c:lblAlgn val="ctr"/>
        <c:lblOffset val="100"/>
        <c:noMultiLvlLbl val="0"/>
      </c:catAx>
      <c:valAx>
        <c:axId val="22511104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5109504"/>
        <c:crosses val="autoZero"/>
        <c:crossBetween val="between"/>
      </c:valAx>
    </c:plotArea>
    <c:legend>
      <c:legendPos val="r"/>
      <c:layout>
        <c:manualLayout>
          <c:xMode val="edge"/>
          <c:yMode val="edge"/>
          <c:x val="1.5873454310302414E-2"/>
          <c:y val="1.4755659492010661E-3"/>
          <c:w val="0.98412650431080018"/>
          <c:h val="7.9268684465244904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関わりたい</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
                </c:manualLayout>
              </c:layout>
              <c:dLblPos val="ctr"/>
              <c:showLegendKey val="0"/>
              <c:showVal val="1"/>
              <c:showCatName val="0"/>
              <c:showSerName val="0"/>
              <c:showPercent val="0"/>
              <c:showBubbleSize val="0"/>
            </c:dLbl>
            <c:dLbl>
              <c:idx val="8"/>
              <c:layout>
                <c:manualLayout>
                  <c:x val="0"/>
                  <c:y val="-9.4197156313676546E-17"/>
                </c:manualLayout>
              </c:layout>
              <c:dLblPos val="ctr"/>
              <c:showLegendKey val="0"/>
              <c:showVal val="1"/>
              <c:showCatName val="0"/>
              <c:showSerName val="0"/>
              <c:showPercent val="0"/>
              <c:showBubbleSize val="0"/>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c:formatCode>
                <c:ptCount val="12"/>
                <c:pt idx="0">
                  <c:v>32</c:v>
                </c:pt>
                <c:pt idx="1">
                  <c:v>32.4</c:v>
                </c:pt>
                <c:pt idx="2">
                  <c:v>31.9</c:v>
                </c:pt>
                <c:pt idx="3">
                  <c:v>40.200000000000003</c:v>
                </c:pt>
                <c:pt idx="4">
                  <c:v>33.200000000000003</c:v>
                </c:pt>
                <c:pt idx="5">
                  <c:v>23.3</c:v>
                </c:pt>
                <c:pt idx="6">
                  <c:v>29.1</c:v>
                </c:pt>
                <c:pt idx="7">
                  <c:v>32.9</c:v>
                </c:pt>
                <c:pt idx="8">
                  <c:v>40.200000000000003</c:v>
                </c:pt>
                <c:pt idx="9">
                  <c:v>31.6</c:v>
                </c:pt>
                <c:pt idx="10">
                  <c:v>32.200000000000003</c:v>
                </c:pt>
                <c:pt idx="11">
                  <c:v>32.200000000000003</c:v>
                </c:pt>
              </c:numCache>
            </c:numRef>
          </c:val>
        </c:ser>
        <c:ser>
          <c:idx val="1"/>
          <c:order val="1"/>
          <c:tx>
            <c:strRef>
              <c:f>Sheet1!$C$1</c:f>
              <c:strCache>
                <c:ptCount val="1"/>
                <c:pt idx="0">
                  <c:v>関わりたいが、やり方がわからない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c:formatCode>
                <c:ptCount val="12"/>
                <c:pt idx="0">
                  <c:v>37.9</c:v>
                </c:pt>
                <c:pt idx="1">
                  <c:v>36</c:v>
                </c:pt>
                <c:pt idx="2">
                  <c:v>39.200000000000003</c:v>
                </c:pt>
                <c:pt idx="3">
                  <c:v>36.800000000000004</c:v>
                </c:pt>
                <c:pt idx="4">
                  <c:v>39.6</c:v>
                </c:pt>
                <c:pt idx="5">
                  <c:v>42.7</c:v>
                </c:pt>
                <c:pt idx="6">
                  <c:v>41.4</c:v>
                </c:pt>
                <c:pt idx="7">
                  <c:v>37</c:v>
                </c:pt>
                <c:pt idx="8">
                  <c:v>32.200000000000003</c:v>
                </c:pt>
                <c:pt idx="9">
                  <c:v>26.5</c:v>
                </c:pt>
                <c:pt idx="10">
                  <c:v>34.4</c:v>
                </c:pt>
                <c:pt idx="11">
                  <c:v>39.6</c:v>
                </c:pt>
              </c:numCache>
            </c:numRef>
          </c:val>
        </c:ser>
        <c:ser>
          <c:idx val="2"/>
          <c:order val="2"/>
          <c:tx>
            <c:strRef>
              <c:f>Sheet1!$D$1</c:f>
              <c:strCache>
                <c:ptCount val="1"/>
                <c:pt idx="0">
                  <c:v>できれば関わりたくない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c:formatCode>
                <c:ptCount val="12"/>
                <c:pt idx="0">
                  <c:v>11.7</c:v>
                </c:pt>
                <c:pt idx="1">
                  <c:v>13.3</c:v>
                </c:pt>
                <c:pt idx="2">
                  <c:v>10.3</c:v>
                </c:pt>
                <c:pt idx="3">
                  <c:v>8</c:v>
                </c:pt>
                <c:pt idx="4">
                  <c:v>12.9</c:v>
                </c:pt>
                <c:pt idx="5">
                  <c:v>16.600000000000001</c:v>
                </c:pt>
                <c:pt idx="6">
                  <c:v>10.9</c:v>
                </c:pt>
                <c:pt idx="7">
                  <c:v>11.1</c:v>
                </c:pt>
                <c:pt idx="8">
                  <c:v>8.8000000000000007</c:v>
                </c:pt>
                <c:pt idx="9">
                  <c:v>11.2</c:v>
                </c:pt>
                <c:pt idx="10">
                  <c:v>14.3</c:v>
                </c:pt>
                <c:pt idx="11">
                  <c:v>10.200000000000001</c:v>
                </c:pt>
              </c:numCache>
            </c:numRef>
          </c:val>
        </c:ser>
        <c:ser>
          <c:idx val="3"/>
          <c:order val="3"/>
          <c:tx>
            <c:strRef>
              <c:f>Sheet1!$E$1</c:f>
              <c:strCache>
                <c:ptCount val="1"/>
                <c:pt idx="0">
                  <c:v>関わりたくない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3.0828516377649356E-2"/>
                </c:manualLayout>
              </c:layout>
              <c:dLblPos val="ctr"/>
              <c:showLegendKey val="0"/>
              <c:showVal val="1"/>
              <c:showCatName val="0"/>
              <c:showSerName val="0"/>
              <c:showPercent val="0"/>
              <c:showBubbleSize val="0"/>
            </c:dLbl>
            <c:dLbl>
              <c:idx val="1"/>
              <c:layout>
                <c:manualLayout>
                  <c:x val="-2.136752136752137E-3"/>
                  <c:y val="-3.3397559409120106E-2"/>
                </c:manualLayout>
              </c:layout>
              <c:dLblPos val="ctr"/>
              <c:showLegendKey val="0"/>
              <c:showVal val="1"/>
              <c:showCatName val="0"/>
              <c:showSerName val="0"/>
              <c:showPercent val="0"/>
              <c:showBubbleSize val="0"/>
            </c:dLbl>
            <c:dLbl>
              <c:idx val="2"/>
              <c:layout>
                <c:manualLayout>
                  <c:x val="0"/>
                  <c:y val="-3.3397559409120106E-2"/>
                </c:manualLayout>
              </c:layout>
              <c:dLblPos val="ctr"/>
              <c:showLegendKey val="0"/>
              <c:showVal val="1"/>
              <c:showCatName val="0"/>
              <c:showSerName val="0"/>
              <c:showPercent val="0"/>
              <c:showBubbleSize val="0"/>
            </c:dLbl>
            <c:dLbl>
              <c:idx val="3"/>
              <c:delete val="1"/>
            </c:dLbl>
            <c:dLbl>
              <c:idx val="4"/>
              <c:layout>
                <c:manualLayout>
                  <c:x val="0"/>
                  <c:y val="-3.8535645472062362E-2"/>
                </c:manualLayout>
              </c:layout>
              <c:dLblPos val="ctr"/>
              <c:showLegendKey val="0"/>
              <c:showVal val="1"/>
              <c:showCatName val="0"/>
              <c:showSerName val="0"/>
              <c:showPercent val="0"/>
              <c:showBubbleSize val="0"/>
            </c:dLbl>
            <c:dLbl>
              <c:idx val="5"/>
              <c:layout>
                <c:manualLayout>
                  <c:x val="-6.4102564102564534E-3"/>
                  <c:y val="-3.0828516377649346E-2"/>
                </c:manualLayout>
              </c:layout>
              <c:dLblPos val="ctr"/>
              <c:showLegendKey val="0"/>
              <c:showVal val="1"/>
              <c:showCatName val="0"/>
              <c:showSerName val="0"/>
              <c:showPercent val="0"/>
              <c:showBubbleSize val="0"/>
            </c:dLbl>
            <c:dLbl>
              <c:idx val="6"/>
              <c:layout>
                <c:manualLayout>
                  <c:x val="0"/>
                  <c:y val="-3.0828516377649346E-2"/>
                </c:manualLayout>
              </c:layout>
              <c:dLblPos val="ctr"/>
              <c:showLegendKey val="0"/>
              <c:showVal val="1"/>
              <c:showCatName val="0"/>
              <c:showSerName val="0"/>
              <c:showPercent val="0"/>
              <c:showBubbleSize val="0"/>
            </c:dLbl>
            <c:dLbl>
              <c:idx val="7"/>
              <c:layout>
                <c:manualLayout>
                  <c:x val="0"/>
                  <c:y val="-3.5966602440590877E-2"/>
                </c:manualLayout>
              </c:layout>
              <c:dLblPos val="ctr"/>
              <c:showLegendKey val="0"/>
              <c:showVal val="1"/>
              <c:showCatName val="0"/>
              <c:showSerName val="0"/>
              <c:showPercent val="0"/>
              <c:showBubbleSize val="0"/>
            </c:dLbl>
            <c:dLbl>
              <c:idx val="8"/>
              <c:layout>
                <c:manualLayout>
                  <c:x val="-2.136752136752137E-3"/>
                  <c:y val="-3.8535645472062362E-2"/>
                </c:manualLayout>
              </c:layout>
              <c:dLblPos val="ctr"/>
              <c:showLegendKey val="0"/>
              <c:showVal val="1"/>
              <c:showCatName val="0"/>
              <c:showSerName val="0"/>
              <c:showPercent val="0"/>
              <c:showBubbleSize val="0"/>
            </c:dLbl>
            <c:dLbl>
              <c:idx val="9"/>
              <c:layout>
                <c:manualLayout>
                  <c:x val="-4.2735042735042739E-3"/>
                  <c:y val="-3.3397559409120106E-2"/>
                </c:manualLayout>
              </c:layout>
              <c:dLblPos val="ctr"/>
              <c:showLegendKey val="0"/>
              <c:showVal val="1"/>
              <c:showCatName val="0"/>
              <c:showSerName val="0"/>
              <c:showPercent val="0"/>
              <c:showBubbleSize val="0"/>
            </c:dLbl>
            <c:dLbl>
              <c:idx val="10"/>
              <c:layout>
                <c:manualLayout>
                  <c:x val="-4.2735042735042739E-3"/>
                  <c:y val="-3.3397559409120106E-2"/>
                </c:manualLayout>
              </c:layout>
              <c:dLblPos val="ctr"/>
              <c:showLegendKey val="0"/>
              <c:showVal val="1"/>
              <c:showCatName val="0"/>
              <c:showSerName val="0"/>
              <c:showPercent val="0"/>
              <c:showBubbleSize val="0"/>
            </c:dLbl>
            <c:dLbl>
              <c:idx val="11"/>
              <c:layout>
                <c:manualLayout>
                  <c:x val="0"/>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2.8</c:v>
                </c:pt>
                <c:pt idx="1">
                  <c:v>3.6</c:v>
                </c:pt>
                <c:pt idx="2">
                  <c:v>2.2000000000000002</c:v>
                </c:pt>
                <c:pt idx="3">
                  <c:v>0</c:v>
                </c:pt>
                <c:pt idx="4">
                  <c:v>2.5</c:v>
                </c:pt>
                <c:pt idx="5">
                  <c:v>2.8</c:v>
                </c:pt>
                <c:pt idx="6">
                  <c:v>2.2999999999999998</c:v>
                </c:pt>
                <c:pt idx="7">
                  <c:v>3.5</c:v>
                </c:pt>
                <c:pt idx="8">
                  <c:v>3.4</c:v>
                </c:pt>
                <c:pt idx="9">
                  <c:v>4.0999999999999996</c:v>
                </c:pt>
                <c:pt idx="10">
                  <c:v>2</c:v>
                </c:pt>
                <c:pt idx="11">
                  <c:v>3.3</c:v>
                </c:pt>
              </c:numCache>
            </c:numRef>
          </c:val>
        </c:ser>
        <c:ser>
          <c:idx val="4"/>
          <c:order val="4"/>
          <c:tx>
            <c:strRef>
              <c:f>Sheet1!$F$1</c:f>
              <c:strCache>
                <c:ptCount val="1"/>
                <c:pt idx="0">
                  <c:v>わからない</c:v>
                </c:pt>
              </c:strCache>
            </c:strRef>
          </c:tx>
          <c:spPr>
            <a:pattFill prst="pct10">
              <a:fgClr>
                <a:sysClr val="windowText" lastClr="000000"/>
              </a:fgClr>
              <a:bgClr>
                <a:srgbClr val="FFFF00"/>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Sheet1!$F$2:$F$13</c:f>
              <c:numCache>
                <c:formatCode>0.0</c:formatCode>
                <c:ptCount val="12"/>
                <c:pt idx="0">
                  <c:v>14.9</c:v>
                </c:pt>
                <c:pt idx="1">
                  <c:v>14</c:v>
                </c:pt>
                <c:pt idx="2">
                  <c:v>15.9</c:v>
                </c:pt>
                <c:pt idx="3">
                  <c:v>14.9</c:v>
                </c:pt>
                <c:pt idx="4">
                  <c:v>11.4</c:v>
                </c:pt>
                <c:pt idx="5">
                  <c:v>14.2</c:v>
                </c:pt>
                <c:pt idx="6">
                  <c:v>16</c:v>
                </c:pt>
                <c:pt idx="7">
                  <c:v>14.6</c:v>
                </c:pt>
                <c:pt idx="8">
                  <c:v>14.9</c:v>
                </c:pt>
                <c:pt idx="9">
                  <c:v>23.5</c:v>
                </c:pt>
                <c:pt idx="10">
                  <c:v>16.3</c:v>
                </c:pt>
                <c:pt idx="11">
                  <c:v>14.3</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3"/>
              <c:delete val="1"/>
            </c:dLbl>
            <c:dLbl>
              <c:idx val="9"/>
              <c:layout>
                <c:manualLayout>
                  <c:x val="3.1031705057035459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Sheet1!$G$2:$G$13</c:f>
              <c:numCache>
                <c:formatCode>0.0</c:formatCode>
                <c:ptCount val="12"/>
                <c:pt idx="0">
                  <c:v>0.70000000000000062</c:v>
                </c:pt>
                <c:pt idx="1">
                  <c:v>0.70000000000000062</c:v>
                </c:pt>
                <c:pt idx="2">
                  <c:v>0.60000000000000064</c:v>
                </c:pt>
                <c:pt idx="3">
                  <c:v>0</c:v>
                </c:pt>
                <c:pt idx="4">
                  <c:v>0.5</c:v>
                </c:pt>
                <c:pt idx="5">
                  <c:v>0.4</c:v>
                </c:pt>
                <c:pt idx="6">
                  <c:v>0.30000000000000032</c:v>
                </c:pt>
                <c:pt idx="7">
                  <c:v>0.9</c:v>
                </c:pt>
                <c:pt idx="8">
                  <c:v>0.4</c:v>
                </c:pt>
                <c:pt idx="9">
                  <c:v>3.1</c:v>
                </c:pt>
                <c:pt idx="10">
                  <c:v>0.9</c:v>
                </c:pt>
                <c:pt idx="11">
                  <c:v>0.4</c:v>
                </c:pt>
              </c:numCache>
            </c:numRef>
          </c:val>
        </c:ser>
        <c:dLbls>
          <c:showLegendKey val="0"/>
          <c:showVal val="0"/>
          <c:showCatName val="0"/>
          <c:showSerName val="0"/>
          <c:showPercent val="0"/>
          <c:showBubbleSize val="0"/>
        </c:dLbls>
        <c:gapWidth val="90"/>
        <c:overlap val="100"/>
        <c:axId val="227004416"/>
        <c:axId val="227005952"/>
      </c:barChart>
      <c:catAx>
        <c:axId val="2270044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7005952"/>
        <c:crosses val="autoZero"/>
        <c:auto val="1"/>
        <c:lblAlgn val="ctr"/>
        <c:lblOffset val="100"/>
        <c:noMultiLvlLbl val="0"/>
      </c:catAx>
      <c:valAx>
        <c:axId val="22700595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7004416"/>
        <c:crosses val="autoZero"/>
        <c:crossBetween val="between"/>
        <c:majorUnit val="0.1"/>
      </c:valAx>
    </c:plotArea>
    <c:legend>
      <c:legendPos val="r"/>
      <c:layout>
        <c:manualLayout>
          <c:xMode val="edge"/>
          <c:yMode val="edge"/>
          <c:x val="7.6221717740786579E-2"/>
          <c:y val="1.8838974607943051E-3"/>
          <c:w val="0.91858898790354448"/>
          <c:h val="9.3675400401539766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関わりたい</c:v>
                </c:pt>
              </c:strCache>
            </c:strRef>
          </c:tx>
          <c:spPr>
            <a:pattFill prst="pct80">
              <a:fgClr>
                <a:sysClr val="windowText" lastClr="000000"/>
              </a:fgClr>
              <a:bgClr>
                <a:sysClr val="window" lastClr="FFFFFF"/>
              </a:bgClr>
            </a:pattFill>
            <a:ln>
              <a:solidFill>
                <a:sysClr val="windowText" lastClr="000000"/>
              </a:solidFill>
            </a:ln>
          </c:spPr>
          <c:invertIfNegative val="0"/>
          <c:dLbls>
            <c:dLbl>
              <c:idx val="16"/>
              <c:layout>
                <c:manualLayout>
                  <c:x val="-1.8575882063294708E-2"/>
                  <c:y val="4.1451470207653902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8"/>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32</c:v>
                </c:pt>
                <c:pt idx="1">
                  <c:v>34</c:v>
                </c:pt>
                <c:pt idx="2">
                  <c:v>55.6</c:v>
                </c:pt>
                <c:pt idx="3">
                  <c:v>39.1</c:v>
                </c:pt>
                <c:pt idx="4">
                  <c:v>35.300000000000004</c:v>
                </c:pt>
                <c:pt idx="5">
                  <c:v>37.6</c:v>
                </c:pt>
                <c:pt idx="6">
                  <c:v>25.1</c:v>
                </c:pt>
                <c:pt idx="7">
                  <c:v>31.3</c:v>
                </c:pt>
                <c:pt idx="8">
                  <c:v>40.9</c:v>
                </c:pt>
                <c:pt idx="9">
                  <c:v>26.8</c:v>
                </c:pt>
                <c:pt idx="10">
                  <c:v>40.5</c:v>
                </c:pt>
                <c:pt idx="11">
                  <c:v>26.5</c:v>
                </c:pt>
                <c:pt idx="12">
                  <c:v>27.1</c:v>
                </c:pt>
                <c:pt idx="13">
                  <c:v>29.6</c:v>
                </c:pt>
                <c:pt idx="14">
                  <c:v>27.2</c:v>
                </c:pt>
                <c:pt idx="15">
                  <c:v>33.200000000000003</c:v>
                </c:pt>
                <c:pt idx="16">
                  <c:v>38.200000000000003</c:v>
                </c:pt>
                <c:pt idx="17">
                  <c:v>26.2</c:v>
                </c:pt>
                <c:pt idx="18">
                  <c:v>39.200000000000003</c:v>
                </c:pt>
                <c:pt idx="19">
                  <c:v>35</c:v>
                </c:pt>
                <c:pt idx="20">
                  <c:v>42.8</c:v>
                </c:pt>
              </c:numCache>
            </c:numRef>
          </c:val>
        </c:ser>
        <c:ser>
          <c:idx val="1"/>
          <c:order val="1"/>
          <c:tx>
            <c:strRef>
              <c:f>Sheet1!$C$1</c:f>
              <c:strCache>
                <c:ptCount val="1"/>
                <c:pt idx="0">
                  <c:v>関わりたいが、やり方がわからない</c:v>
                </c:pt>
              </c:strCache>
            </c:strRef>
          </c:tx>
          <c:spPr>
            <a:pattFill prst="pct20">
              <a:fgClr>
                <a:sysClr val="windowText" lastClr="000000"/>
              </a:fgClr>
              <a:bgClr>
                <a:sysClr val="window" lastClr="FFFFFF"/>
              </a:bgClr>
            </a:pattFill>
            <a:ln>
              <a:solidFill>
                <a:sysClr val="windowText" lastClr="000000"/>
              </a:solidFill>
            </a:ln>
          </c:spPr>
          <c:invertIfNegative val="0"/>
          <c:dLbls>
            <c:dLbl>
              <c:idx val="2"/>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37.9</c:v>
                </c:pt>
                <c:pt idx="1">
                  <c:v>39.200000000000003</c:v>
                </c:pt>
                <c:pt idx="2">
                  <c:v>0</c:v>
                </c:pt>
                <c:pt idx="3">
                  <c:v>33.300000000000004</c:v>
                </c:pt>
                <c:pt idx="4">
                  <c:v>36.200000000000003</c:v>
                </c:pt>
                <c:pt idx="5">
                  <c:v>40.800000000000004</c:v>
                </c:pt>
                <c:pt idx="6">
                  <c:v>39.9</c:v>
                </c:pt>
                <c:pt idx="7">
                  <c:v>35.9</c:v>
                </c:pt>
                <c:pt idx="8">
                  <c:v>45.5</c:v>
                </c:pt>
                <c:pt idx="9">
                  <c:v>42.3</c:v>
                </c:pt>
                <c:pt idx="10">
                  <c:v>37.1</c:v>
                </c:pt>
                <c:pt idx="11">
                  <c:v>32.800000000000004</c:v>
                </c:pt>
                <c:pt idx="12">
                  <c:v>36.5</c:v>
                </c:pt>
                <c:pt idx="13">
                  <c:v>40.700000000000003</c:v>
                </c:pt>
                <c:pt idx="14">
                  <c:v>44.7</c:v>
                </c:pt>
                <c:pt idx="15">
                  <c:v>31.9</c:v>
                </c:pt>
                <c:pt idx="16">
                  <c:v>32.4</c:v>
                </c:pt>
                <c:pt idx="17">
                  <c:v>40.5</c:v>
                </c:pt>
                <c:pt idx="18">
                  <c:v>31.4</c:v>
                </c:pt>
                <c:pt idx="19">
                  <c:v>42.3</c:v>
                </c:pt>
                <c:pt idx="20">
                  <c:v>29.4</c:v>
                </c:pt>
              </c:numCache>
            </c:numRef>
          </c:val>
        </c:ser>
        <c:ser>
          <c:idx val="2"/>
          <c:order val="2"/>
          <c:tx>
            <c:strRef>
              <c:f>Sheet1!$D$1</c:f>
              <c:strCache>
                <c:ptCount val="1"/>
                <c:pt idx="0">
                  <c:v>できれば関わりたくない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11.7</c:v>
                </c:pt>
                <c:pt idx="1">
                  <c:v>9.3000000000000007</c:v>
                </c:pt>
                <c:pt idx="2">
                  <c:v>22.2</c:v>
                </c:pt>
                <c:pt idx="3">
                  <c:v>13</c:v>
                </c:pt>
                <c:pt idx="4">
                  <c:v>12.4</c:v>
                </c:pt>
                <c:pt idx="5">
                  <c:v>9.2000000000000011</c:v>
                </c:pt>
                <c:pt idx="6">
                  <c:v>16.7</c:v>
                </c:pt>
                <c:pt idx="7">
                  <c:v>18.8</c:v>
                </c:pt>
                <c:pt idx="8">
                  <c:v>9.1</c:v>
                </c:pt>
                <c:pt idx="9">
                  <c:v>8.7000000000000011</c:v>
                </c:pt>
                <c:pt idx="10">
                  <c:v>6.9</c:v>
                </c:pt>
                <c:pt idx="11">
                  <c:v>12.2</c:v>
                </c:pt>
                <c:pt idx="12">
                  <c:v>11.8</c:v>
                </c:pt>
                <c:pt idx="13">
                  <c:v>13.1</c:v>
                </c:pt>
                <c:pt idx="14">
                  <c:v>13.2</c:v>
                </c:pt>
                <c:pt idx="15">
                  <c:v>10</c:v>
                </c:pt>
                <c:pt idx="16">
                  <c:v>11.8</c:v>
                </c:pt>
                <c:pt idx="17">
                  <c:v>12.7</c:v>
                </c:pt>
                <c:pt idx="18">
                  <c:v>13.7</c:v>
                </c:pt>
                <c:pt idx="19">
                  <c:v>6.5</c:v>
                </c:pt>
                <c:pt idx="20">
                  <c:v>9.5</c:v>
                </c:pt>
              </c:numCache>
            </c:numRef>
          </c:val>
        </c:ser>
        <c:ser>
          <c:idx val="3"/>
          <c:order val="3"/>
          <c:tx>
            <c:strRef>
              <c:f>Sheet1!$E$1</c:f>
              <c:strCache>
                <c:ptCount val="1"/>
                <c:pt idx="0">
                  <c:v>関わりたくない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2.1052631578947382E-2"/>
                </c:manualLayout>
              </c:layout>
              <c:dLblPos val="ctr"/>
              <c:showLegendKey val="0"/>
              <c:showVal val="1"/>
              <c:showCatName val="0"/>
              <c:showSerName val="0"/>
              <c:showPercent val="0"/>
              <c:showBubbleSize val="0"/>
            </c:dLbl>
            <c:dLbl>
              <c:idx val="1"/>
              <c:layout>
                <c:manualLayout>
                  <c:x val="-2.063983488132162E-3"/>
                  <c:y val="-1.9298245614035241E-2"/>
                </c:manualLayout>
              </c:layout>
              <c:dLblPos val="ctr"/>
              <c:showLegendKey val="0"/>
              <c:showVal val="1"/>
              <c:showCatName val="0"/>
              <c:showSerName val="0"/>
              <c:showPercent val="0"/>
              <c:showBubbleSize val="0"/>
            </c:dLbl>
            <c:dLbl>
              <c:idx val="2"/>
              <c:delete val="1"/>
            </c:dLbl>
            <c:dLbl>
              <c:idx val="3"/>
              <c:layout>
                <c:manualLayout>
                  <c:x val="0"/>
                  <c:y val="-2.1052631578947382E-2"/>
                </c:manualLayout>
              </c:layout>
              <c:dLblPos val="ctr"/>
              <c:showLegendKey val="0"/>
              <c:showVal val="1"/>
              <c:showCatName val="0"/>
              <c:showSerName val="0"/>
              <c:showPercent val="0"/>
              <c:showBubbleSize val="0"/>
            </c:dLbl>
            <c:dLbl>
              <c:idx val="4"/>
              <c:layout>
                <c:manualLayout>
                  <c:x val="0"/>
                  <c:y val="-1.9298245614035241E-2"/>
                </c:manualLayout>
              </c:layout>
              <c:dLblPos val="ctr"/>
              <c:showLegendKey val="0"/>
              <c:showVal val="1"/>
              <c:showCatName val="0"/>
              <c:showSerName val="0"/>
              <c:showPercent val="0"/>
              <c:showBubbleSize val="0"/>
            </c:dLbl>
            <c:dLbl>
              <c:idx val="5"/>
              <c:layout>
                <c:manualLayout>
                  <c:x val="-2.063983488132162E-3"/>
                  <c:y val="-2.1052631578947382E-2"/>
                </c:manualLayout>
              </c:layout>
              <c:dLblPos val="ctr"/>
              <c:showLegendKey val="0"/>
              <c:showVal val="1"/>
              <c:showCatName val="0"/>
              <c:showSerName val="0"/>
              <c:showPercent val="0"/>
              <c:showBubbleSize val="0"/>
            </c:dLbl>
            <c:dLbl>
              <c:idx val="6"/>
              <c:layout>
                <c:manualLayout>
                  <c:x val="2.063983488132162E-3"/>
                  <c:y val="-2.1052631578947382E-2"/>
                </c:manualLayout>
              </c:layout>
              <c:dLblPos val="ctr"/>
              <c:showLegendKey val="0"/>
              <c:showVal val="1"/>
              <c:showCatName val="0"/>
              <c:showSerName val="0"/>
              <c:showPercent val="0"/>
              <c:showBubbleSize val="0"/>
            </c:dLbl>
            <c:dLbl>
              <c:idx val="7"/>
              <c:layout>
                <c:manualLayout>
                  <c:x val="0"/>
                  <c:y val="-1.9298245614035241E-2"/>
                </c:manualLayout>
              </c:layout>
              <c:dLblPos val="ctr"/>
              <c:showLegendKey val="0"/>
              <c:showVal val="1"/>
              <c:showCatName val="0"/>
              <c:showSerName val="0"/>
              <c:showPercent val="0"/>
              <c:showBubbleSize val="0"/>
            </c:dLbl>
            <c:dLbl>
              <c:idx val="8"/>
              <c:delete val="1"/>
            </c:dLbl>
            <c:dLbl>
              <c:idx val="9"/>
              <c:layout>
                <c:manualLayout>
                  <c:x val="0"/>
                  <c:y val="-1.9298245614035241E-2"/>
                </c:manualLayout>
              </c:layout>
              <c:dLblPos val="ctr"/>
              <c:showLegendKey val="0"/>
              <c:showVal val="1"/>
              <c:showCatName val="0"/>
              <c:showSerName val="0"/>
              <c:showPercent val="0"/>
              <c:showBubbleSize val="0"/>
            </c:dLbl>
            <c:dLbl>
              <c:idx val="10"/>
              <c:delete val="1"/>
            </c:dLbl>
            <c:dLbl>
              <c:idx val="11"/>
              <c:layout>
                <c:manualLayout>
                  <c:x val="2.063983488132162E-3"/>
                  <c:y val="-2.1052631578947382E-2"/>
                </c:manualLayout>
              </c:layout>
              <c:dLblPos val="ctr"/>
              <c:showLegendKey val="0"/>
              <c:showVal val="1"/>
              <c:showCatName val="0"/>
              <c:showSerName val="0"/>
              <c:showPercent val="0"/>
              <c:showBubbleSize val="0"/>
            </c:dLbl>
            <c:dLbl>
              <c:idx val="12"/>
              <c:layout>
                <c:manualLayout>
                  <c:x val="0"/>
                  <c:y val="-2.1052631578947382E-2"/>
                </c:manualLayout>
              </c:layout>
              <c:dLblPos val="ctr"/>
              <c:showLegendKey val="0"/>
              <c:showVal val="1"/>
              <c:showCatName val="0"/>
              <c:showSerName val="0"/>
              <c:showPercent val="0"/>
              <c:showBubbleSize val="0"/>
            </c:dLbl>
            <c:dLbl>
              <c:idx val="13"/>
              <c:layout>
                <c:manualLayout>
                  <c:x val="-2.063983488132162E-3"/>
                  <c:y val="-2.2807017543860619E-2"/>
                </c:manualLayout>
              </c:layout>
              <c:dLblPos val="ctr"/>
              <c:showLegendKey val="0"/>
              <c:showVal val="1"/>
              <c:showCatName val="0"/>
              <c:showSerName val="0"/>
              <c:showPercent val="0"/>
              <c:showBubbleSize val="0"/>
            </c:dLbl>
            <c:dLbl>
              <c:idx val="14"/>
              <c:delete val="1"/>
            </c:dLbl>
            <c:dLbl>
              <c:idx val="15"/>
              <c:layout>
                <c:manualLayout>
                  <c:x val="0"/>
                  <c:y val="-2.1052631578947382E-2"/>
                </c:manualLayout>
              </c:layout>
              <c:dLblPos val="ctr"/>
              <c:showLegendKey val="0"/>
              <c:showVal val="1"/>
              <c:showCatName val="0"/>
              <c:showSerName val="0"/>
              <c:showPercent val="0"/>
              <c:showBubbleSize val="0"/>
            </c:dLbl>
            <c:dLbl>
              <c:idx val="16"/>
              <c:delete val="1"/>
            </c:dLbl>
            <c:dLbl>
              <c:idx val="17"/>
              <c:layout>
                <c:manualLayout>
                  <c:x val="2.063983488132162E-3"/>
                  <c:y val="-2.1052631578947382E-2"/>
                </c:manualLayout>
              </c:layout>
              <c:dLblPos val="ctr"/>
              <c:showLegendKey val="0"/>
              <c:showVal val="1"/>
              <c:showCatName val="0"/>
              <c:showSerName val="0"/>
              <c:showPercent val="0"/>
              <c:showBubbleSize val="0"/>
            </c:dLbl>
            <c:dLbl>
              <c:idx val="18"/>
              <c:layout>
                <c:manualLayout>
                  <c:x val="0"/>
                  <c:y val="-1.9298245614035241E-2"/>
                </c:manualLayout>
              </c:layout>
              <c:dLblPos val="ctr"/>
              <c:showLegendKey val="0"/>
              <c:showVal val="1"/>
              <c:showCatName val="0"/>
              <c:showSerName val="0"/>
              <c:showPercent val="0"/>
              <c:showBubbleSize val="0"/>
            </c:dLbl>
            <c:dLbl>
              <c:idx val="19"/>
              <c:layout>
                <c:manualLayout>
                  <c:x val="0"/>
                  <c:y val="-2.1052631578947382E-2"/>
                </c:manualLayout>
              </c:layout>
              <c:dLblPos val="ctr"/>
              <c:showLegendKey val="0"/>
              <c:showVal val="1"/>
              <c:showCatName val="0"/>
              <c:showSerName val="0"/>
              <c:showPercent val="0"/>
              <c:showBubbleSize val="0"/>
            </c:dLbl>
            <c:dLbl>
              <c:idx val="20"/>
              <c:layout>
                <c:manualLayout>
                  <c:x val="0"/>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2.8</c:v>
                </c:pt>
                <c:pt idx="1">
                  <c:v>1</c:v>
                </c:pt>
                <c:pt idx="2">
                  <c:v>0</c:v>
                </c:pt>
                <c:pt idx="3">
                  <c:v>4.3</c:v>
                </c:pt>
                <c:pt idx="4">
                  <c:v>3.7</c:v>
                </c:pt>
                <c:pt idx="5">
                  <c:v>1.4</c:v>
                </c:pt>
                <c:pt idx="6">
                  <c:v>2</c:v>
                </c:pt>
                <c:pt idx="7">
                  <c:v>4.7</c:v>
                </c:pt>
                <c:pt idx="8">
                  <c:v>0</c:v>
                </c:pt>
                <c:pt idx="9">
                  <c:v>2.7</c:v>
                </c:pt>
                <c:pt idx="10">
                  <c:v>0</c:v>
                </c:pt>
                <c:pt idx="11">
                  <c:v>7.4</c:v>
                </c:pt>
                <c:pt idx="12">
                  <c:v>2.4</c:v>
                </c:pt>
                <c:pt idx="13">
                  <c:v>3.1</c:v>
                </c:pt>
                <c:pt idx="14">
                  <c:v>0</c:v>
                </c:pt>
                <c:pt idx="15">
                  <c:v>3.5</c:v>
                </c:pt>
                <c:pt idx="16">
                  <c:v>0</c:v>
                </c:pt>
                <c:pt idx="17">
                  <c:v>4.8</c:v>
                </c:pt>
                <c:pt idx="18">
                  <c:v>2</c:v>
                </c:pt>
                <c:pt idx="19">
                  <c:v>0.8</c:v>
                </c:pt>
                <c:pt idx="20">
                  <c:v>2.5</c:v>
                </c:pt>
              </c:numCache>
            </c:numRef>
          </c:val>
        </c:ser>
        <c:ser>
          <c:idx val="4"/>
          <c:order val="4"/>
          <c:tx>
            <c:strRef>
              <c:f>Sheet1!$F$1</c:f>
              <c:strCache>
                <c:ptCount val="1"/>
                <c:pt idx="0">
                  <c:v>わからない</c:v>
                </c:pt>
              </c:strCache>
            </c:strRef>
          </c:tx>
          <c:spPr>
            <a:pattFill prst="pct10">
              <a:fgClr>
                <a:sysClr val="windowText" lastClr="000000"/>
              </a:fgClr>
              <a:bgClr>
                <a:srgbClr val="FFFF00"/>
              </a:bgClr>
            </a:pattFill>
            <a:ln>
              <a:solidFill>
                <a:sysClr val="windowText" lastClr="000000"/>
              </a:solidFill>
            </a:ln>
          </c:spPr>
          <c:invertIfNegative val="0"/>
          <c:dLbls>
            <c:dLbl>
              <c:idx val="8"/>
              <c:layout>
                <c:manualLayout>
                  <c:x val="2.3063329955042749E-5"/>
                  <c:y val="-1.7547078699268158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14.9</c:v>
                </c:pt>
                <c:pt idx="1">
                  <c:v>15.5</c:v>
                </c:pt>
                <c:pt idx="2">
                  <c:v>22.2</c:v>
                </c:pt>
                <c:pt idx="3">
                  <c:v>10.1</c:v>
                </c:pt>
                <c:pt idx="4">
                  <c:v>11.5</c:v>
                </c:pt>
                <c:pt idx="5">
                  <c:v>10.6</c:v>
                </c:pt>
                <c:pt idx="6">
                  <c:v>16.3</c:v>
                </c:pt>
                <c:pt idx="7">
                  <c:v>6.3</c:v>
                </c:pt>
                <c:pt idx="8">
                  <c:v>4.5</c:v>
                </c:pt>
                <c:pt idx="9">
                  <c:v>18.8</c:v>
                </c:pt>
                <c:pt idx="10">
                  <c:v>15.5</c:v>
                </c:pt>
                <c:pt idx="11">
                  <c:v>20.6</c:v>
                </c:pt>
                <c:pt idx="12">
                  <c:v>21.2</c:v>
                </c:pt>
                <c:pt idx="13">
                  <c:v>13</c:v>
                </c:pt>
                <c:pt idx="14">
                  <c:v>14</c:v>
                </c:pt>
                <c:pt idx="15">
                  <c:v>20.5</c:v>
                </c:pt>
                <c:pt idx="16">
                  <c:v>17.600000000000001</c:v>
                </c:pt>
                <c:pt idx="17">
                  <c:v>15.9</c:v>
                </c:pt>
                <c:pt idx="18">
                  <c:v>13.7</c:v>
                </c:pt>
                <c:pt idx="19">
                  <c:v>15.4</c:v>
                </c:pt>
                <c:pt idx="20">
                  <c:v>15.4</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2"/>
              <c:delete val="1"/>
            </c:dLbl>
            <c:dLbl>
              <c:idx val="3"/>
              <c:delete val="1"/>
            </c:dLbl>
            <c:dLbl>
              <c:idx val="6"/>
              <c:delete val="1"/>
            </c:dLbl>
            <c:dLbl>
              <c:idx val="7"/>
              <c:layout>
                <c:manualLayout>
                  <c:x val="3.3978132065175096E-2"/>
                  <c:y val="0"/>
                </c:manualLayout>
              </c:layout>
              <c:dLblPos val="ctr"/>
              <c:showLegendKey val="0"/>
              <c:showVal val="1"/>
              <c:showCatName val="0"/>
              <c:showSerName val="0"/>
              <c:showPercent val="0"/>
              <c:showBubbleSize val="0"/>
            </c:dLbl>
            <c:dLbl>
              <c:idx val="8"/>
              <c:delete val="1"/>
            </c:dLbl>
            <c:dLbl>
              <c:idx val="10"/>
              <c:delete val="1"/>
            </c:dLbl>
            <c:dLbl>
              <c:idx val="16"/>
              <c:delete val="1"/>
            </c:dLbl>
            <c:dLbl>
              <c:idx val="17"/>
              <c:delete val="1"/>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0.70000000000000062</c:v>
                </c:pt>
                <c:pt idx="1">
                  <c:v>1</c:v>
                </c:pt>
                <c:pt idx="2">
                  <c:v>0</c:v>
                </c:pt>
                <c:pt idx="3">
                  <c:v>0</c:v>
                </c:pt>
                <c:pt idx="4">
                  <c:v>0.9</c:v>
                </c:pt>
                <c:pt idx="5">
                  <c:v>0.4</c:v>
                </c:pt>
                <c:pt idx="6">
                  <c:v>0</c:v>
                </c:pt>
                <c:pt idx="7">
                  <c:v>3.1</c:v>
                </c:pt>
                <c:pt idx="8">
                  <c:v>0</c:v>
                </c:pt>
                <c:pt idx="9">
                  <c:v>0.70000000000000062</c:v>
                </c:pt>
                <c:pt idx="10">
                  <c:v>0</c:v>
                </c:pt>
                <c:pt idx="11">
                  <c:v>0.5</c:v>
                </c:pt>
                <c:pt idx="12">
                  <c:v>1.2</c:v>
                </c:pt>
                <c:pt idx="13">
                  <c:v>0.60000000000000064</c:v>
                </c:pt>
                <c:pt idx="14">
                  <c:v>0.9</c:v>
                </c:pt>
                <c:pt idx="15">
                  <c:v>0.9</c:v>
                </c:pt>
                <c:pt idx="16">
                  <c:v>0</c:v>
                </c:pt>
                <c:pt idx="17">
                  <c:v>0</c:v>
                </c:pt>
                <c:pt idx="18">
                  <c:v>0</c:v>
                </c:pt>
                <c:pt idx="19">
                  <c:v>0</c:v>
                </c:pt>
                <c:pt idx="20">
                  <c:v>0.5</c:v>
                </c:pt>
              </c:numCache>
            </c:numRef>
          </c:val>
        </c:ser>
        <c:dLbls>
          <c:showLegendKey val="0"/>
          <c:showVal val="0"/>
          <c:showCatName val="0"/>
          <c:showSerName val="0"/>
          <c:showPercent val="0"/>
          <c:showBubbleSize val="0"/>
        </c:dLbls>
        <c:gapWidth val="70"/>
        <c:overlap val="100"/>
        <c:axId val="227619200"/>
        <c:axId val="227620736"/>
      </c:barChart>
      <c:catAx>
        <c:axId val="22761920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7620736"/>
        <c:crosses val="autoZero"/>
        <c:auto val="1"/>
        <c:lblAlgn val="ctr"/>
        <c:lblOffset val="100"/>
        <c:noMultiLvlLbl val="0"/>
      </c:catAx>
      <c:valAx>
        <c:axId val="22762073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7619200"/>
        <c:crosses val="autoZero"/>
        <c:crossBetween val="between"/>
      </c:valAx>
    </c:plotArea>
    <c:legend>
      <c:legendPos val="r"/>
      <c:layout>
        <c:manualLayout>
          <c:xMode val="edge"/>
          <c:yMode val="edge"/>
          <c:x val="2.8248366448264412E-2"/>
          <c:y val="1.4755659492010661E-3"/>
          <c:w val="0.96996467464601765"/>
          <c:h val="7.9829983125050713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１日～２日分を備蓄している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c:formatCode>
                <c:ptCount val="12"/>
                <c:pt idx="0">
                  <c:v>40.5</c:v>
                </c:pt>
                <c:pt idx="1">
                  <c:v>37.1</c:v>
                </c:pt>
                <c:pt idx="2">
                  <c:v>43.3</c:v>
                </c:pt>
                <c:pt idx="3">
                  <c:v>36.800000000000004</c:v>
                </c:pt>
                <c:pt idx="4">
                  <c:v>37.6</c:v>
                </c:pt>
                <c:pt idx="5">
                  <c:v>37.9</c:v>
                </c:pt>
                <c:pt idx="6">
                  <c:v>43.4</c:v>
                </c:pt>
                <c:pt idx="7">
                  <c:v>43.1</c:v>
                </c:pt>
                <c:pt idx="8">
                  <c:v>38.700000000000003</c:v>
                </c:pt>
                <c:pt idx="9">
                  <c:v>41.8</c:v>
                </c:pt>
                <c:pt idx="10">
                  <c:v>42.1</c:v>
                </c:pt>
                <c:pt idx="11">
                  <c:v>39.700000000000003</c:v>
                </c:pt>
              </c:numCache>
            </c:numRef>
          </c:val>
        </c:ser>
        <c:ser>
          <c:idx val="1"/>
          <c:order val="1"/>
          <c:tx>
            <c:strRef>
              <c:f>Sheet1!$C$1</c:f>
              <c:strCache>
                <c:ptCount val="1"/>
                <c:pt idx="0">
                  <c:v>３日～６日分を備蓄している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c:formatCode>
                <c:ptCount val="12"/>
                <c:pt idx="0">
                  <c:v>19.399999999999999</c:v>
                </c:pt>
                <c:pt idx="1">
                  <c:v>21.9</c:v>
                </c:pt>
                <c:pt idx="2">
                  <c:v>17.5</c:v>
                </c:pt>
                <c:pt idx="3">
                  <c:v>16.100000000000001</c:v>
                </c:pt>
                <c:pt idx="4">
                  <c:v>18.8</c:v>
                </c:pt>
                <c:pt idx="5">
                  <c:v>15.4</c:v>
                </c:pt>
                <c:pt idx="6">
                  <c:v>17.7</c:v>
                </c:pt>
                <c:pt idx="7">
                  <c:v>21</c:v>
                </c:pt>
                <c:pt idx="8">
                  <c:v>24.1</c:v>
                </c:pt>
                <c:pt idx="9">
                  <c:v>22.4</c:v>
                </c:pt>
                <c:pt idx="10">
                  <c:v>18.399999999999999</c:v>
                </c:pt>
                <c:pt idx="11">
                  <c:v>19.8</c:v>
                </c:pt>
              </c:numCache>
            </c:numRef>
          </c:val>
        </c:ser>
        <c:ser>
          <c:idx val="2"/>
          <c:order val="2"/>
          <c:tx>
            <c:strRef>
              <c:f>Sheet1!$D$1</c:f>
              <c:strCache>
                <c:ptCount val="1"/>
                <c:pt idx="0">
                  <c:v>７日分以上を備蓄している</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2.136752136752137E-3"/>
                  <c:y val="-3.5966602440590904E-2"/>
                </c:manualLayout>
              </c:layout>
              <c:dLblPos val="ctr"/>
              <c:showLegendKey val="0"/>
              <c:showVal val="1"/>
              <c:showCatName val="0"/>
              <c:showSerName val="0"/>
              <c:showPercent val="0"/>
              <c:showBubbleSize val="0"/>
            </c:dLbl>
            <c:dLbl>
              <c:idx val="1"/>
              <c:layout>
                <c:manualLayout>
                  <c:x val="0"/>
                  <c:y val="-3.3397559409120106E-2"/>
                </c:manualLayout>
              </c:layout>
              <c:dLblPos val="ctr"/>
              <c:showLegendKey val="0"/>
              <c:showVal val="1"/>
              <c:showCatName val="0"/>
              <c:showSerName val="0"/>
              <c:showPercent val="0"/>
              <c:showBubbleSize val="0"/>
            </c:dLbl>
            <c:dLbl>
              <c:idx val="2"/>
              <c:layout>
                <c:manualLayout>
                  <c:x val="0"/>
                  <c:y val="-3.5966602440590877E-2"/>
                </c:manualLayout>
              </c:layout>
              <c:dLblPos val="ctr"/>
              <c:showLegendKey val="0"/>
              <c:showVal val="1"/>
              <c:showCatName val="0"/>
              <c:showSerName val="0"/>
              <c:showPercent val="0"/>
              <c:showBubbleSize val="0"/>
            </c:dLbl>
            <c:dLbl>
              <c:idx val="3"/>
              <c:layout>
                <c:manualLayout>
                  <c:x val="-2.136752136752137E-3"/>
                  <c:y val="-3.3397559409120058E-2"/>
                </c:manualLayout>
              </c:layout>
              <c:dLblPos val="ctr"/>
              <c:showLegendKey val="0"/>
              <c:showVal val="1"/>
              <c:showCatName val="0"/>
              <c:showSerName val="0"/>
              <c:showPercent val="0"/>
              <c:showBubbleSize val="0"/>
            </c:dLbl>
            <c:dLbl>
              <c:idx val="4"/>
              <c:layout>
                <c:manualLayout>
                  <c:x val="0"/>
                  <c:y val="-3.3397559409120106E-2"/>
                </c:manualLayout>
              </c:layout>
              <c:dLblPos val="ctr"/>
              <c:showLegendKey val="0"/>
              <c:showVal val="1"/>
              <c:showCatName val="0"/>
              <c:showSerName val="0"/>
              <c:showPercent val="0"/>
              <c:showBubbleSize val="0"/>
            </c:dLbl>
            <c:dLbl>
              <c:idx val="5"/>
              <c:layout>
                <c:manualLayout>
                  <c:x val="0"/>
                  <c:y val="-3.5966602440590877E-2"/>
                </c:manualLayout>
              </c:layout>
              <c:dLblPos val="ctr"/>
              <c:showLegendKey val="0"/>
              <c:showVal val="1"/>
              <c:showCatName val="0"/>
              <c:showSerName val="0"/>
              <c:showPercent val="0"/>
              <c:showBubbleSize val="0"/>
            </c:dLbl>
            <c:dLbl>
              <c:idx val="6"/>
              <c:layout>
                <c:manualLayout>
                  <c:x val="-6.4102564102564291E-3"/>
                  <c:y val="-3.5966602440590877E-2"/>
                </c:manualLayout>
              </c:layout>
              <c:dLblPos val="ctr"/>
              <c:showLegendKey val="0"/>
              <c:showVal val="1"/>
              <c:showCatName val="0"/>
              <c:showSerName val="0"/>
              <c:showPercent val="0"/>
              <c:showBubbleSize val="0"/>
            </c:dLbl>
            <c:dLbl>
              <c:idx val="7"/>
              <c:layout>
                <c:manualLayout>
                  <c:x val="-6.4102564102564534E-3"/>
                  <c:y val="-3.8535645472062362E-2"/>
                </c:manualLayout>
              </c:layout>
              <c:dLblPos val="ctr"/>
              <c:showLegendKey val="0"/>
              <c:showVal val="1"/>
              <c:showCatName val="0"/>
              <c:showSerName val="0"/>
              <c:showPercent val="0"/>
              <c:showBubbleSize val="0"/>
            </c:dLbl>
            <c:dLbl>
              <c:idx val="8"/>
              <c:layout>
                <c:manualLayout>
                  <c:x val="0"/>
                  <c:y val="-3.5966602440590877E-2"/>
                </c:manualLayout>
              </c:layout>
              <c:dLblPos val="ctr"/>
              <c:showLegendKey val="0"/>
              <c:showVal val="1"/>
              <c:showCatName val="0"/>
              <c:showSerName val="0"/>
              <c:showPercent val="0"/>
              <c:showBubbleSize val="0"/>
            </c:dLbl>
            <c:dLbl>
              <c:idx val="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layout>
                <c:manualLayout>
                  <c:x val="0"/>
                  <c:y val="-3.3397559409120106E-2"/>
                </c:manualLayout>
              </c:layout>
              <c:dLblPos val="ctr"/>
              <c:showLegendKey val="0"/>
              <c:showVal val="1"/>
              <c:showCatName val="0"/>
              <c:showSerName val="0"/>
              <c:showPercent val="0"/>
              <c:showBubbleSize val="0"/>
            </c:dLbl>
            <c:dLbl>
              <c:idx val="11"/>
              <c:layout>
                <c:manualLayout>
                  <c:x val="-4.273504273504352E-3"/>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c:formatCode>
                <c:ptCount val="12"/>
                <c:pt idx="0">
                  <c:v>3.5</c:v>
                </c:pt>
                <c:pt idx="1">
                  <c:v>4.7</c:v>
                </c:pt>
                <c:pt idx="2">
                  <c:v>2.6</c:v>
                </c:pt>
                <c:pt idx="3">
                  <c:v>1.1000000000000001</c:v>
                </c:pt>
                <c:pt idx="4">
                  <c:v>3.5</c:v>
                </c:pt>
                <c:pt idx="5">
                  <c:v>1.6</c:v>
                </c:pt>
                <c:pt idx="6">
                  <c:v>2.6</c:v>
                </c:pt>
                <c:pt idx="7">
                  <c:v>6.1</c:v>
                </c:pt>
                <c:pt idx="8">
                  <c:v>2.7</c:v>
                </c:pt>
                <c:pt idx="9">
                  <c:v>8.2000000000000011</c:v>
                </c:pt>
                <c:pt idx="10">
                  <c:v>1.8</c:v>
                </c:pt>
                <c:pt idx="11">
                  <c:v>4.5</c:v>
                </c:pt>
              </c:numCache>
            </c:numRef>
          </c:val>
        </c:ser>
        <c:ser>
          <c:idx val="3"/>
          <c:order val="3"/>
          <c:tx>
            <c:strRef>
              <c:f>Sheet1!$E$1</c:f>
              <c:strCache>
                <c:ptCount val="1"/>
                <c:pt idx="0">
                  <c:v>備蓄していない　</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36</c:v>
                </c:pt>
                <c:pt idx="1">
                  <c:v>35.700000000000003</c:v>
                </c:pt>
                <c:pt idx="2">
                  <c:v>36.200000000000003</c:v>
                </c:pt>
                <c:pt idx="3">
                  <c:v>44.8</c:v>
                </c:pt>
                <c:pt idx="4">
                  <c:v>39.1</c:v>
                </c:pt>
                <c:pt idx="5">
                  <c:v>45.1</c:v>
                </c:pt>
                <c:pt idx="6">
                  <c:v>36</c:v>
                </c:pt>
                <c:pt idx="7">
                  <c:v>29.4</c:v>
                </c:pt>
                <c:pt idx="8">
                  <c:v>34.5</c:v>
                </c:pt>
                <c:pt idx="9">
                  <c:v>25.5</c:v>
                </c:pt>
                <c:pt idx="10">
                  <c:v>37.4</c:v>
                </c:pt>
                <c:pt idx="11">
                  <c:v>35.5</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5"/>
              <c:delete val="1"/>
            </c:dLbl>
            <c:dLbl>
              <c:idx val="8"/>
              <c:delete val="1"/>
            </c:dLbl>
            <c:dLbl>
              <c:idx val="9"/>
              <c:layout>
                <c:manualLayout>
                  <c:x val="3.2750400664607146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Sheet1!$F$2:$F$13</c:f>
              <c:numCache>
                <c:formatCode>0.0</c:formatCode>
                <c:ptCount val="12"/>
                <c:pt idx="0">
                  <c:v>0.5</c:v>
                </c:pt>
                <c:pt idx="1">
                  <c:v>0.60000000000000064</c:v>
                </c:pt>
                <c:pt idx="2">
                  <c:v>0.30000000000000032</c:v>
                </c:pt>
                <c:pt idx="3">
                  <c:v>1.1000000000000001</c:v>
                </c:pt>
                <c:pt idx="4">
                  <c:v>1</c:v>
                </c:pt>
                <c:pt idx="5">
                  <c:v>0</c:v>
                </c:pt>
                <c:pt idx="6">
                  <c:v>0.30000000000000032</c:v>
                </c:pt>
                <c:pt idx="7">
                  <c:v>0.30000000000000032</c:v>
                </c:pt>
                <c:pt idx="8">
                  <c:v>0</c:v>
                </c:pt>
                <c:pt idx="9">
                  <c:v>2</c:v>
                </c:pt>
                <c:pt idx="10">
                  <c:v>0.2</c:v>
                </c:pt>
                <c:pt idx="11">
                  <c:v>0.5</c:v>
                </c:pt>
              </c:numCache>
            </c:numRef>
          </c:val>
        </c:ser>
        <c:dLbls>
          <c:showLegendKey val="0"/>
          <c:showVal val="0"/>
          <c:showCatName val="0"/>
          <c:showSerName val="0"/>
          <c:showPercent val="0"/>
          <c:showBubbleSize val="0"/>
        </c:dLbls>
        <c:gapWidth val="90"/>
        <c:overlap val="100"/>
        <c:axId val="227739520"/>
        <c:axId val="227741056"/>
      </c:barChart>
      <c:catAx>
        <c:axId val="22773952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7741056"/>
        <c:crosses val="autoZero"/>
        <c:auto val="1"/>
        <c:lblAlgn val="ctr"/>
        <c:lblOffset val="100"/>
        <c:noMultiLvlLbl val="0"/>
      </c:catAx>
      <c:valAx>
        <c:axId val="227741056"/>
        <c:scaling>
          <c:orientation val="minMax"/>
          <c:max val="1"/>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7739520"/>
        <c:crosses val="autoZero"/>
        <c:crossBetween val="between"/>
        <c:majorUnit val="0.1"/>
      </c:valAx>
    </c:plotArea>
    <c:legend>
      <c:legendPos val="r"/>
      <c:layout>
        <c:manualLayout>
          <c:xMode val="edge"/>
          <c:yMode val="edge"/>
          <c:x val="1.427451376270274E-2"/>
          <c:y val="1.8843625254239191E-3"/>
          <c:w val="0.98052593430950363"/>
          <c:h val="9.904007483257142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１日～２日分を備蓄している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16"/>
              <c:layout>
                <c:manualLayout>
                  <c:x val="-6.2009468611837594E-3"/>
                  <c:y val="4.0069754534065594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8"/>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40.5</c:v>
                </c:pt>
                <c:pt idx="1">
                  <c:v>27.8</c:v>
                </c:pt>
                <c:pt idx="2">
                  <c:v>44.4</c:v>
                </c:pt>
                <c:pt idx="3">
                  <c:v>37.700000000000003</c:v>
                </c:pt>
                <c:pt idx="4">
                  <c:v>42.2</c:v>
                </c:pt>
                <c:pt idx="5">
                  <c:v>45.7</c:v>
                </c:pt>
                <c:pt idx="6">
                  <c:v>37.9</c:v>
                </c:pt>
                <c:pt idx="7">
                  <c:v>53.1</c:v>
                </c:pt>
                <c:pt idx="8">
                  <c:v>36.4</c:v>
                </c:pt>
                <c:pt idx="9">
                  <c:v>49</c:v>
                </c:pt>
                <c:pt idx="10">
                  <c:v>38.800000000000004</c:v>
                </c:pt>
                <c:pt idx="11">
                  <c:v>40.200000000000003</c:v>
                </c:pt>
                <c:pt idx="12">
                  <c:v>31.8</c:v>
                </c:pt>
                <c:pt idx="13">
                  <c:v>42.4</c:v>
                </c:pt>
                <c:pt idx="14">
                  <c:v>33.300000000000004</c:v>
                </c:pt>
                <c:pt idx="15">
                  <c:v>40.200000000000003</c:v>
                </c:pt>
                <c:pt idx="16">
                  <c:v>32.4</c:v>
                </c:pt>
                <c:pt idx="17">
                  <c:v>42.1</c:v>
                </c:pt>
                <c:pt idx="18">
                  <c:v>27.5</c:v>
                </c:pt>
                <c:pt idx="19">
                  <c:v>39</c:v>
                </c:pt>
                <c:pt idx="20">
                  <c:v>43.3</c:v>
                </c:pt>
              </c:numCache>
            </c:numRef>
          </c:val>
        </c:ser>
        <c:ser>
          <c:idx val="1"/>
          <c:order val="1"/>
          <c:tx>
            <c:strRef>
              <c:f>Sheet1!$C$1</c:f>
              <c:strCache>
                <c:ptCount val="1"/>
                <c:pt idx="0">
                  <c:v>３日～６日分を備蓄している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19.399999999999999</c:v>
                </c:pt>
                <c:pt idx="1">
                  <c:v>21.6</c:v>
                </c:pt>
                <c:pt idx="2">
                  <c:v>22.2</c:v>
                </c:pt>
                <c:pt idx="3">
                  <c:v>24.6</c:v>
                </c:pt>
                <c:pt idx="4">
                  <c:v>24.8</c:v>
                </c:pt>
                <c:pt idx="5">
                  <c:v>16.3</c:v>
                </c:pt>
                <c:pt idx="6">
                  <c:v>20.2</c:v>
                </c:pt>
                <c:pt idx="7">
                  <c:v>17.2</c:v>
                </c:pt>
                <c:pt idx="8">
                  <c:v>27.3</c:v>
                </c:pt>
                <c:pt idx="9">
                  <c:v>20.8</c:v>
                </c:pt>
                <c:pt idx="10">
                  <c:v>16.399999999999999</c:v>
                </c:pt>
                <c:pt idx="11">
                  <c:v>19.600000000000001</c:v>
                </c:pt>
                <c:pt idx="12">
                  <c:v>14.1</c:v>
                </c:pt>
                <c:pt idx="13">
                  <c:v>18.899999999999999</c:v>
                </c:pt>
                <c:pt idx="14">
                  <c:v>25.4</c:v>
                </c:pt>
                <c:pt idx="15">
                  <c:v>20.100000000000001</c:v>
                </c:pt>
                <c:pt idx="16">
                  <c:v>17.600000000000001</c:v>
                </c:pt>
                <c:pt idx="17">
                  <c:v>20.6</c:v>
                </c:pt>
                <c:pt idx="18">
                  <c:v>21.6</c:v>
                </c:pt>
                <c:pt idx="19">
                  <c:v>16.3</c:v>
                </c:pt>
                <c:pt idx="20">
                  <c:v>18.399999999999999</c:v>
                </c:pt>
              </c:numCache>
            </c:numRef>
          </c:val>
        </c:ser>
        <c:ser>
          <c:idx val="2"/>
          <c:order val="2"/>
          <c:tx>
            <c:strRef>
              <c:f>Sheet1!$D$1</c:f>
              <c:strCache>
                <c:ptCount val="1"/>
                <c:pt idx="0">
                  <c:v>７日分以上を備蓄している</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2.063983488132162E-3"/>
                  <c:y val="-2.1052631578947382E-2"/>
                </c:manualLayout>
              </c:layout>
              <c:dLblPos val="ctr"/>
              <c:showLegendKey val="0"/>
              <c:showVal val="1"/>
              <c:showCatName val="0"/>
              <c:showSerName val="0"/>
              <c:showPercent val="0"/>
              <c:showBubbleSize val="0"/>
            </c:dLbl>
            <c:dLbl>
              <c:idx val="1"/>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2"/>
              <c:delete val="1"/>
            </c:dLbl>
            <c:dLbl>
              <c:idx val="3"/>
              <c:layout>
                <c:manualLayout>
                  <c:x val="0"/>
                  <c:y val="-2.2807017543860619E-2"/>
                </c:manualLayout>
              </c:layout>
              <c:dLblPos val="ctr"/>
              <c:showLegendKey val="0"/>
              <c:showVal val="1"/>
              <c:showCatName val="0"/>
              <c:showSerName val="0"/>
              <c:showPercent val="0"/>
              <c:showBubbleSize val="0"/>
            </c:dLbl>
            <c:dLbl>
              <c:idx val="4"/>
              <c:layout>
                <c:manualLayout>
                  <c:x val="-2.063983488132162E-3"/>
                  <c:y val="-2.2807017543860619E-2"/>
                </c:manualLayout>
              </c:layout>
              <c:dLblPos val="ctr"/>
              <c:showLegendKey val="0"/>
              <c:showVal val="1"/>
              <c:showCatName val="0"/>
              <c:showSerName val="0"/>
              <c:showPercent val="0"/>
              <c:showBubbleSize val="0"/>
            </c:dLbl>
            <c:dLbl>
              <c:idx val="5"/>
              <c:layout>
                <c:manualLayout>
                  <c:x val="0"/>
                  <c:y val="-2.1052493438320209E-2"/>
                </c:manualLayout>
              </c:layout>
              <c:dLblPos val="ctr"/>
              <c:showLegendKey val="0"/>
              <c:showVal val="1"/>
              <c:showCatName val="0"/>
              <c:showSerName val="0"/>
              <c:showPercent val="0"/>
              <c:showBubbleSize val="0"/>
            </c:dLbl>
            <c:dLbl>
              <c:idx val="6"/>
              <c:layout>
                <c:manualLayout>
                  <c:x val="-7.5678520320124081E-17"/>
                  <c:y val="-2.1052631578947382E-2"/>
                </c:manualLayout>
              </c:layout>
              <c:dLblPos val="ctr"/>
              <c:showLegendKey val="0"/>
              <c:showVal val="1"/>
              <c:showCatName val="0"/>
              <c:showSerName val="0"/>
              <c:showPercent val="0"/>
              <c:showBubbleSize val="0"/>
            </c:dLbl>
            <c:dLbl>
              <c:idx val="7"/>
              <c:layout>
                <c:manualLayout>
                  <c:x val="0"/>
                  <c:y val="-1.9298245614035241E-2"/>
                </c:manualLayout>
              </c:layout>
              <c:dLblPos val="ctr"/>
              <c:showLegendKey val="0"/>
              <c:showVal val="1"/>
              <c:showCatName val="0"/>
              <c:showSerName val="0"/>
              <c:showPercent val="0"/>
              <c:showBubbleSize val="0"/>
            </c:dLbl>
            <c:dLbl>
              <c:idx val="8"/>
              <c:layout>
                <c:manualLayout>
                  <c:x val="0"/>
                  <c:y val="-2.1052631578947312E-2"/>
                </c:manualLayout>
              </c:layout>
              <c:dLblPos val="ctr"/>
              <c:showLegendKey val="0"/>
              <c:showVal val="1"/>
              <c:showCatName val="0"/>
              <c:showSerName val="0"/>
              <c:showPercent val="0"/>
              <c:showBubbleSize val="0"/>
            </c:dLbl>
            <c:dLbl>
              <c:idx val="9"/>
              <c:layout>
                <c:manualLayout>
                  <c:x val="-6.1919504643962852E-3"/>
                  <c:y val="-1.9298245614035241E-2"/>
                </c:manualLayout>
              </c:layout>
              <c:dLblPos val="ctr"/>
              <c:showLegendKey val="0"/>
              <c:showVal val="1"/>
              <c:showCatName val="0"/>
              <c:showSerName val="0"/>
              <c:showPercent val="0"/>
              <c:showBubbleSize val="0"/>
            </c:dLbl>
            <c:dLbl>
              <c:idx val="10"/>
              <c:layout>
                <c:manualLayout>
                  <c:x val="0"/>
                  <c:y val="-1.9298245614035241E-2"/>
                </c:manualLayout>
              </c:layout>
              <c:dLblPos val="ctr"/>
              <c:showLegendKey val="0"/>
              <c:showVal val="1"/>
              <c:showCatName val="0"/>
              <c:showSerName val="0"/>
              <c:showPercent val="0"/>
              <c:showBubbleSize val="0"/>
            </c:dLbl>
            <c:dLbl>
              <c:idx val="11"/>
              <c:layout>
                <c:manualLayout>
                  <c:x val="0"/>
                  <c:y val="-2.1052631578947382E-2"/>
                </c:manualLayout>
              </c:layout>
              <c:dLblPos val="ctr"/>
              <c:showLegendKey val="0"/>
              <c:showVal val="1"/>
              <c:showCatName val="0"/>
              <c:showSerName val="0"/>
              <c:showPercent val="0"/>
              <c:showBubbleSize val="0"/>
            </c:dLbl>
            <c:dLbl>
              <c:idx val="12"/>
              <c:layout>
                <c:manualLayout>
                  <c:x val="-7.5678520320124081E-17"/>
                  <c:y val="-2.1052631578947382E-2"/>
                </c:manualLayout>
              </c:layout>
              <c:dLblPos val="ctr"/>
              <c:showLegendKey val="0"/>
              <c:showVal val="1"/>
              <c:showCatName val="0"/>
              <c:showSerName val="0"/>
              <c:showPercent val="0"/>
              <c:showBubbleSize val="0"/>
            </c:dLbl>
            <c:dLbl>
              <c:idx val="13"/>
              <c:layout>
                <c:manualLayout>
                  <c:x val="0"/>
                  <c:y val="-2.1052631578947382E-2"/>
                </c:manualLayout>
              </c:layout>
              <c:dLblPos val="ctr"/>
              <c:showLegendKey val="0"/>
              <c:showVal val="1"/>
              <c:showCatName val="0"/>
              <c:showSerName val="0"/>
              <c:showPercent val="0"/>
              <c:showBubbleSize val="0"/>
            </c:dLbl>
            <c:dLbl>
              <c:idx val="14"/>
              <c:layout>
                <c:manualLayout>
                  <c:x val="0"/>
                  <c:y val="-2.2807017543860619E-2"/>
                </c:manualLayout>
              </c:layout>
              <c:dLblPos val="ctr"/>
              <c:showLegendKey val="0"/>
              <c:showVal val="1"/>
              <c:showCatName val="0"/>
              <c:showSerName val="0"/>
              <c:showPercent val="0"/>
              <c:showBubbleSize val="0"/>
            </c:dLbl>
            <c:dLbl>
              <c:idx val="15"/>
              <c:layout>
                <c:manualLayout>
                  <c:x val="0"/>
                  <c:y val="-1.9298245614035241E-2"/>
                </c:manualLayout>
              </c:layout>
              <c:dLblPos val="ctr"/>
              <c:showLegendKey val="0"/>
              <c:showVal val="1"/>
              <c:showCatName val="0"/>
              <c:showSerName val="0"/>
              <c:showPercent val="0"/>
              <c:showBubbleSize val="0"/>
            </c:dLbl>
            <c:dLbl>
              <c:idx val="16"/>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7"/>
              <c:layout>
                <c:manualLayout>
                  <c:x val="0"/>
                  <c:y val="-2.1052631578947382E-2"/>
                </c:manualLayout>
              </c:layout>
              <c:dLblPos val="ctr"/>
              <c:showLegendKey val="0"/>
              <c:showVal val="1"/>
              <c:showCatName val="0"/>
              <c:showSerName val="0"/>
              <c:showPercent val="0"/>
              <c:showBubbleSize val="0"/>
            </c:dLbl>
            <c:dLbl>
              <c:idx val="18"/>
              <c:layout>
                <c:manualLayout>
                  <c:x val="0"/>
                  <c:y val="-2.1052631578947382E-2"/>
                </c:manualLayout>
              </c:layout>
              <c:dLblPos val="ctr"/>
              <c:showLegendKey val="0"/>
              <c:showVal val="1"/>
              <c:showCatName val="0"/>
              <c:showSerName val="0"/>
              <c:showPercent val="0"/>
              <c:showBubbleSize val="0"/>
            </c:dLbl>
            <c:dLbl>
              <c:idx val="19"/>
              <c:layout>
                <c:manualLayout>
                  <c:x val="-6.1919504643962852E-3"/>
                  <c:y val="-2.1052631578947382E-2"/>
                </c:manualLayout>
              </c:layout>
              <c:dLblPos val="ctr"/>
              <c:showLegendKey val="0"/>
              <c:showVal val="1"/>
              <c:showCatName val="0"/>
              <c:showSerName val="0"/>
              <c:showPercent val="0"/>
              <c:showBubbleSize val="0"/>
            </c:dLbl>
            <c:dLbl>
              <c:idx val="20"/>
              <c:layout>
                <c:manualLayout>
                  <c:x val="-2.063983488132162E-3"/>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3.5</c:v>
                </c:pt>
                <c:pt idx="1">
                  <c:v>15.5</c:v>
                </c:pt>
                <c:pt idx="2">
                  <c:v>0</c:v>
                </c:pt>
                <c:pt idx="3">
                  <c:v>5.8</c:v>
                </c:pt>
                <c:pt idx="4">
                  <c:v>0.9</c:v>
                </c:pt>
                <c:pt idx="5">
                  <c:v>2.5</c:v>
                </c:pt>
                <c:pt idx="6">
                  <c:v>1</c:v>
                </c:pt>
                <c:pt idx="7">
                  <c:v>3.1</c:v>
                </c:pt>
                <c:pt idx="8">
                  <c:v>4.5</c:v>
                </c:pt>
                <c:pt idx="9">
                  <c:v>6</c:v>
                </c:pt>
                <c:pt idx="10">
                  <c:v>4.3</c:v>
                </c:pt>
                <c:pt idx="11">
                  <c:v>4.2</c:v>
                </c:pt>
                <c:pt idx="12">
                  <c:v>1.2</c:v>
                </c:pt>
                <c:pt idx="13">
                  <c:v>2.4</c:v>
                </c:pt>
                <c:pt idx="14">
                  <c:v>6.1</c:v>
                </c:pt>
                <c:pt idx="15">
                  <c:v>3.9</c:v>
                </c:pt>
                <c:pt idx="16">
                  <c:v>14.7</c:v>
                </c:pt>
                <c:pt idx="17">
                  <c:v>1.6</c:v>
                </c:pt>
                <c:pt idx="18">
                  <c:v>5.9</c:v>
                </c:pt>
                <c:pt idx="19">
                  <c:v>3.3</c:v>
                </c:pt>
                <c:pt idx="20">
                  <c:v>5</c:v>
                </c:pt>
              </c:numCache>
            </c:numRef>
          </c:val>
        </c:ser>
        <c:ser>
          <c:idx val="3"/>
          <c:order val="3"/>
          <c:tx>
            <c:strRef>
              <c:f>Sheet1!$E$1</c:f>
              <c:strCache>
                <c:ptCount val="1"/>
                <c:pt idx="0">
                  <c:v>備蓄していない　</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36</c:v>
                </c:pt>
                <c:pt idx="1">
                  <c:v>34</c:v>
                </c:pt>
                <c:pt idx="2">
                  <c:v>33.300000000000004</c:v>
                </c:pt>
                <c:pt idx="3">
                  <c:v>31.9</c:v>
                </c:pt>
                <c:pt idx="4">
                  <c:v>31.2</c:v>
                </c:pt>
                <c:pt idx="5">
                  <c:v>35.1</c:v>
                </c:pt>
                <c:pt idx="6">
                  <c:v>39.9</c:v>
                </c:pt>
                <c:pt idx="7">
                  <c:v>25</c:v>
                </c:pt>
                <c:pt idx="8">
                  <c:v>31.8</c:v>
                </c:pt>
                <c:pt idx="9">
                  <c:v>24.2</c:v>
                </c:pt>
                <c:pt idx="10">
                  <c:v>40.5</c:v>
                </c:pt>
                <c:pt idx="11">
                  <c:v>36</c:v>
                </c:pt>
                <c:pt idx="12">
                  <c:v>52.9</c:v>
                </c:pt>
                <c:pt idx="13">
                  <c:v>36.1</c:v>
                </c:pt>
                <c:pt idx="14">
                  <c:v>35.1</c:v>
                </c:pt>
                <c:pt idx="15">
                  <c:v>34.9</c:v>
                </c:pt>
                <c:pt idx="16">
                  <c:v>35.300000000000004</c:v>
                </c:pt>
                <c:pt idx="17">
                  <c:v>35.700000000000003</c:v>
                </c:pt>
                <c:pt idx="18">
                  <c:v>45.1</c:v>
                </c:pt>
                <c:pt idx="19">
                  <c:v>41.5</c:v>
                </c:pt>
                <c:pt idx="20">
                  <c:v>32.300000000000004</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2"/>
              <c:delete val="1"/>
            </c:dLbl>
            <c:dLbl>
              <c:idx val="3"/>
              <c:delete val="1"/>
            </c:dLbl>
            <c:dLbl>
              <c:idx val="8"/>
              <c:delete val="1"/>
            </c:dLbl>
            <c:dLbl>
              <c:idx val="9"/>
              <c:delete val="1"/>
            </c:dLbl>
            <c:dLbl>
              <c:idx val="10"/>
              <c:delete val="1"/>
            </c:dLbl>
            <c:dLbl>
              <c:idx val="11"/>
              <c:delete val="1"/>
            </c:dLbl>
            <c:dLbl>
              <c:idx val="12"/>
              <c:delete val="1"/>
            </c:dLbl>
            <c:dLbl>
              <c:idx val="14"/>
              <c:delete val="1"/>
            </c:dLbl>
            <c:dLbl>
              <c:idx val="16"/>
              <c:delete val="1"/>
            </c:dLbl>
            <c:dLbl>
              <c:idx val="17"/>
              <c:delete val="1"/>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0.5</c:v>
                </c:pt>
                <c:pt idx="1">
                  <c:v>1</c:v>
                </c:pt>
                <c:pt idx="2">
                  <c:v>0</c:v>
                </c:pt>
                <c:pt idx="3">
                  <c:v>0</c:v>
                </c:pt>
                <c:pt idx="4">
                  <c:v>0.9</c:v>
                </c:pt>
                <c:pt idx="5">
                  <c:v>0.4</c:v>
                </c:pt>
                <c:pt idx="6">
                  <c:v>1</c:v>
                </c:pt>
                <c:pt idx="7">
                  <c:v>1.6</c:v>
                </c:pt>
                <c:pt idx="8">
                  <c:v>0</c:v>
                </c:pt>
                <c:pt idx="9">
                  <c:v>0</c:v>
                </c:pt>
                <c:pt idx="10">
                  <c:v>0</c:v>
                </c:pt>
                <c:pt idx="11">
                  <c:v>0</c:v>
                </c:pt>
                <c:pt idx="12">
                  <c:v>0</c:v>
                </c:pt>
                <c:pt idx="13">
                  <c:v>0.30000000000000032</c:v>
                </c:pt>
                <c:pt idx="14">
                  <c:v>0</c:v>
                </c:pt>
                <c:pt idx="15">
                  <c:v>0.9</c:v>
                </c:pt>
                <c:pt idx="16">
                  <c:v>0</c:v>
                </c:pt>
                <c:pt idx="17">
                  <c:v>0</c:v>
                </c:pt>
                <c:pt idx="18">
                  <c:v>0</c:v>
                </c:pt>
                <c:pt idx="19">
                  <c:v>0</c:v>
                </c:pt>
                <c:pt idx="20">
                  <c:v>1</c:v>
                </c:pt>
              </c:numCache>
            </c:numRef>
          </c:val>
        </c:ser>
        <c:dLbls>
          <c:showLegendKey val="0"/>
          <c:showVal val="0"/>
          <c:showCatName val="0"/>
          <c:showSerName val="0"/>
          <c:showPercent val="0"/>
          <c:showBubbleSize val="0"/>
        </c:dLbls>
        <c:gapWidth val="70"/>
        <c:overlap val="100"/>
        <c:axId val="227848960"/>
        <c:axId val="227850496"/>
      </c:barChart>
      <c:catAx>
        <c:axId val="22784896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7850496"/>
        <c:crosses val="autoZero"/>
        <c:auto val="1"/>
        <c:lblAlgn val="ctr"/>
        <c:lblOffset val="100"/>
        <c:noMultiLvlLbl val="0"/>
      </c:catAx>
      <c:valAx>
        <c:axId val="22785049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7848960"/>
        <c:crosses val="autoZero"/>
        <c:crossBetween val="between"/>
      </c:valAx>
    </c:plotArea>
    <c:legend>
      <c:legendPos val="r"/>
      <c:layout>
        <c:manualLayout>
          <c:xMode val="edge"/>
          <c:yMode val="edge"/>
          <c:x val="6.3293704766227726E-2"/>
          <c:y val="1.4755659492010661E-3"/>
          <c:w val="0.86238207278907864"/>
          <c:h val="8.3554952513926126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１日～２日分を備蓄している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c:formatCode>
                <c:ptCount val="12"/>
                <c:pt idx="0">
                  <c:v>38.9</c:v>
                </c:pt>
                <c:pt idx="1">
                  <c:v>36.1</c:v>
                </c:pt>
                <c:pt idx="2">
                  <c:v>41.6</c:v>
                </c:pt>
                <c:pt idx="3">
                  <c:v>37.9</c:v>
                </c:pt>
                <c:pt idx="4">
                  <c:v>31.2</c:v>
                </c:pt>
                <c:pt idx="5">
                  <c:v>37.200000000000003</c:v>
                </c:pt>
                <c:pt idx="6">
                  <c:v>42.3</c:v>
                </c:pt>
                <c:pt idx="7">
                  <c:v>38.5</c:v>
                </c:pt>
                <c:pt idx="8">
                  <c:v>41</c:v>
                </c:pt>
                <c:pt idx="9">
                  <c:v>49</c:v>
                </c:pt>
                <c:pt idx="10">
                  <c:v>42</c:v>
                </c:pt>
                <c:pt idx="11">
                  <c:v>37.6</c:v>
                </c:pt>
              </c:numCache>
            </c:numRef>
          </c:val>
        </c:ser>
        <c:ser>
          <c:idx val="1"/>
          <c:order val="1"/>
          <c:tx>
            <c:strRef>
              <c:f>Sheet1!$C$1</c:f>
              <c:strCache>
                <c:ptCount val="1"/>
                <c:pt idx="0">
                  <c:v>３日～６日分を備蓄している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c:formatCode>
                <c:ptCount val="12"/>
                <c:pt idx="0">
                  <c:v>16.5</c:v>
                </c:pt>
                <c:pt idx="1">
                  <c:v>19.100000000000001</c:v>
                </c:pt>
                <c:pt idx="2">
                  <c:v>14.3</c:v>
                </c:pt>
                <c:pt idx="3">
                  <c:v>16.100000000000001</c:v>
                </c:pt>
                <c:pt idx="4">
                  <c:v>18.3</c:v>
                </c:pt>
                <c:pt idx="5">
                  <c:v>11.9</c:v>
                </c:pt>
                <c:pt idx="6">
                  <c:v>15.4</c:v>
                </c:pt>
                <c:pt idx="7">
                  <c:v>17.8</c:v>
                </c:pt>
                <c:pt idx="8">
                  <c:v>17.600000000000001</c:v>
                </c:pt>
                <c:pt idx="9">
                  <c:v>20.399999999999999</c:v>
                </c:pt>
                <c:pt idx="10">
                  <c:v>15.7</c:v>
                </c:pt>
                <c:pt idx="11">
                  <c:v>16.8</c:v>
                </c:pt>
              </c:numCache>
            </c:numRef>
          </c:val>
        </c:ser>
        <c:ser>
          <c:idx val="2"/>
          <c:order val="2"/>
          <c:tx>
            <c:strRef>
              <c:f>Sheet1!$D$1</c:f>
              <c:strCache>
                <c:ptCount val="1"/>
                <c:pt idx="0">
                  <c:v>７日分以上を備蓄している</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0"/>
                  <c:y val="-3.5966602440590904E-2"/>
                </c:manualLayout>
              </c:layout>
              <c:dLblPos val="ctr"/>
              <c:showLegendKey val="0"/>
              <c:showVal val="1"/>
              <c:showCatName val="0"/>
              <c:showSerName val="0"/>
              <c:showPercent val="0"/>
              <c:showBubbleSize val="0"/>
            </c:dLbl>
            <c:dLbl>
              <c:idx val="1"/>
              <c:layout>
                <c:manualLayout>
                  <c:x val="0"/>
                  <c:y val="-3.5966602440590877E-2"/>
                </c:manualLayout>
              </c:layout>
              <c:dLblPos val="ctr"/>
              <c:showLegendKey val="0"/>
              <c:showVal val="1"/>
              <c:showCatName val="0"/>
              <c:showSerName val="0"/>
              <c:showPercent val="0"/>
              <c:showBubbleSize val="0"/>
            </c:dLbl>
            <c:dLbl>
              <c:idx val="2"/>
              <c:layout>
                <c:manualLayout>
                  <c:x val="0"/>
                  <c:y val="-3.3397559409120106E-2"/>
                </c:manualLayout>
              </c:layout>
              <c:dLblPos val="ctr"/>
              <c:showLegendKey val="0"/>
              <c:showVal val="1"/>
              <c:showCatName val="0"/>
              <c:showSerName val="0"/>
              <c:showPercent val="0"/>
              <c:showBubbleSize val="0"/>
            </c:dLbl>
            <c:dLbl>
              <c:idx val="3"/>
              <c:layout>
                <c:manualLayout>
                  <c:x val="-7.8346673280129128E-17"/>
                  <c:y val="-3.8535645472062299E-2"/>
                </c:manualLayout>
              </c:layout>
              <c:dLblPos val="ctr"/>
              <c:showLegendKey val="0"/>
              <c:showVal val="1"/>
              <c:showCatName val="0"/>
              <c:showSerName val="0"/>
              <c:showPercent val="0"/>
              <c:showBubbleSize val="0"/>
            </c:dLbl>
            <c:dLbl>
              <c:idx val="4"/>
              <c:layout>
                <c:manualLayout>
                  <c:x val="0"/>
                  <c:y val="-3.5966602440590877E-2"/>
                </c:manualLayout>
              </c:layout>
              <c:dLblPos val="ctr"/>
              <c:showLegendKey val="0"/>
              <c:showVal val="1"/>
              <c:showCatName val="0"/>
              <c:showSerName val="0"/>
              <c:showPercent val="0"/>
              <c:showBubbleSize val="0"/>
            </c:dLbl>
            <c:dLbl>
              <c:idx val="5"/>
              <c:layout>
                <c:manualLayout>
                  <c:x val="0"/>
                  <c:y val="-3.3397559409120106E-2"/>
                </c:manualLayout>
              </c:layout>
              <c:dLblPos val="ctr"/>
              <c:showLegendKey val="0"/>
              <c:showVal val="1"/>
              <c:showCatName val="0"/>
              <c:showSerName val="0"/>
              <c:showPercent val="0"/>
              <c:showBubbleSize val="0"/>
            </c:dLbl>
            <c:dLbl>
              <c:idx val="6"/>
              <c:layout>
                <c:manualLayout>
                  <c:x val="-2.136752136752137E-3"/>
                  <c:y val="-3.0828516377649346E-2"/>
                </c:manualLayout>
              </c:layout>
              <c:dLblPos val="ctr"/>
              <c:showLegendKey val="0"/>
              <c:showVal val="1"/>
              <c:showCatName val="0"/>
              <c:showSerName val="0"/>
              <c:showPercent val="0"/>
              <c:showBubbleSize val="0"/>
            </c:dLbl>
            <c:dLbl>
              <c:idx val="7"/>
              <c:layout>
                <c:manualLayout>
                  <c:x val="0"/>
                  <c:y val="-3.3397559409120106E-2"/>
                </c:manualLayout>
              </c:layout>
              <c:dLblPos val="ctr"/>
              <c:showLegendKey val="0"/>
              <c:showVal val="1"/>
              <c:showCatName val="0"/>
              <c:showSerName val="0"/>
              <c:showPercent val="0"/>
              <c:showBubbleSize val="0"/>
            </c:dLbl>
            <c:dLbl>
              <c:idx val="8"/>
              <c:layout>
                <c:manualLayout>
                  <c:x val="0"/>
                  <c:y val="-3.3397559409120106E-2"/>
                </c:manualLayout>
              </c:layout>
              <c:dLblPos val="ctr"/>
              <c:showLegendKey val="0"/>
              <c:showVal val="1"/>
              <c:showCatName val="0"/>
              <c:showSerName val="0"/>
              <c:showPercent val="0"/>
              <c:showBubbleSize val="0"/>
            </c:dLbl>
            <c:dLbl>
              <c:idx val="9"/>
              <c:layout>
                <c:manualLayout>
                  <c:x val="-2.136752136752137E-3"/>
                  <c:y val="-3.3397559409120106E-2"/>
                </c:manualLayout>
              </c:layout>
              <c:dLblPos val="ctr"/>
              <c:showLegendKey val="0"/>
              <c:showVal val="1"/>
              <c:showCatName val="0"/>
              <c:showSerName val="0"/>
              <c:showPercent val="0"/>
              <c:showBubbleSize val="0"/>
            </c:dLbl>
            <c:dLbl>
              <c:idx val="10"/>
              <c:layout>
                <c:manualLayout>
                  <c:x val="4.2735042735042739E-3"/>
                  <c:y val="-3.0828516377649346E-2"/>
                </c:manualLayout>
              </c:layout>
              <c:dLblPos val="ctr"/>
              <c:showLegendKey val="0"/>
              <c:showVal val="1"/>
              <c:showCatName val="0"/>
              <c:showSerName val="0"/>
              <c:showPercent val="0"/>
              <c:showBubbleSize val="0"/>
            </c:dLbl>
            <c:dLbl>
              <c:idx val="11"/>
              <c:layout>
                <c:manualLayout>
                  <c:x val="0"/>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c:formatCode>
                <c:ptCount val="12"/>
                <c:pt idx="0">
                  <c:v>4.5</c:v>
                </c:pt>
                <c:pt idx="1">
                  <c:v>5.0999999999999996</c:v>
                </c:pt>
                <c:pt idx="2">
                  <c:v>4</c:v>
                </c:pt>
                <c:pt idx="3">
                  <c:v>2.2999999999999998</c:v>
                </c:pt>
                <c:pt idx="4">
                  <c:v>5.4</c:v>
                </c:pt>
                <c:pt idx="5">
                  <c:v>4.3</c:v>
                </c:pt>
                <c:pt idx="6">
                  <c:v>4.3</c:v>
                </c:pt>
                <c:pt idx="7">
                  <c:v>4.7</c:v>
                </c:pt>
                <c:pt idx="8">
                  <c:v>4.5999999999999996</c:v>
                </c:pt>
                <c:pt idx="9">
                  <c:v>5.0999999999999996</c:v>
                </c:pt>
                <c:pt idx="10">
                  <c:v>3.4</c:v>
                </c:pt>
                <c:pt idx="11">
                  <c:v>5.0999999999999996</c:v>
                </c:pt>
              </c:numCache>
            </c:numRef>
          </c:val>
        </c:ser>
        <c:ser>
          <c:idx val="3"/>
          <c:order val="3"/>
          <c:tx>
            <c:strRef>
              <c:f>Sheet1!$E$1</c:f>
              <c:strCache>
                <c:ptCount val="1"/>
                <c:pt idx="0">
                  <c:v>備蓄していない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39.4</c:v>
                </c:pt>
                <c:pt idx="1">
                  <c:v>39.200000000000003</c:v>
                </c:pt>
                <c:pt idx="2">
                  <c:v>39.5</c:v>
                </c:pt>
                <c:pt idx="3">
                  <c:v>42.5</c:v>
                </c:pt>
                <c:pt idx="4">
                  <c:v>44.6</c:v>
                </c:pt>
                <c:pt idx="5">
                  <c:v>46.6</c:v>
                </c:pt>
                <c:pt idx="6">
                  <c:v>37.700000000000003</c:v>
                </c:pt>
                <c:pt idx="7">
                  <c:v>38.800000000000004</c:v>
                </c:pt>
                <c:pt idx="8">
                  <c:v>36.4</c:v>
                </c:pt>
                <c:pt idx="9">
                  <c:v>22.4</c:v>
                </c:pt>
                <c:pt idx="10">
                  <c:v>38.300000000000004</c:v>
                </c:pt>
                <c:pt idx="11">
                  <c:v>40.1</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5"/>
              <c:delete val="1"/>
            </c:dLbl>
            <c:dLbl>
              <c:idx val="9"/>
              <c:layout>
                <c:manualLayout>
                  <c:x val="2.8895948284416242E-2"/>
                  <c:y val="2.5691329398851211E-3"/>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Sheet1!$F$2:$F$13</c:f>
              <c:numCache>
                <c:formatCode>0.0</c:formatCode>
                <c:ptCount val="12"/>
                <c:pt idx="0">
                  <c:v>0.60000000000000064</c:v>
                </c:pt>
                <c:pt idx="1">
                  <c:v>0.4</c:v>
                </c:pt>
                <c:pt idx="2">
                  <c:v>0.60000000000000064</c:v>
                </c:pt>
                <c:pt idx="3">
                  <c:v>1.1000000000000001</c:v>
                </c:pt>
                <c:pt idx="4">
                  <c:v>0.5</c:v>
                </c:pt>
                <c:pt idx="5">
                  <c:v>0</c:v>
                </c:pt>
                <c:pt idx="6">
                  <c:v>0.30000000000000032</c:v>
                </c:pt>
                <c:pt idx="7">
                  <c:v>0.30000000000000032</c:v>
                </c:pt>
                <c:pt idx="8">
                  <c:v>0.4</c:v>
                </c:pt>
                <c:pt idx="9">
                  <c:v>3.1</c:v>
                </c:pt>
                <c:pt idx="10">
                  <c:v>0.5</c:v>
                </c:pt>
                <c:pt idx="11">
                  <c:v>0.4</c:v>
                </c:pt>
              </c:numCache>
            </c:numRef>
          </c:val>
        </c:ser>
        <c:dLbls>
          <c:showLegendKey val="0"/>
          <c:showVal val="0"/>
          <c:showCatName val="0"/>
          <c:showSerName val="0"/>
          <c:showPercent val="0"/>
          <c:showBubbleSize val="0"/>
        </c:dLbls>
        <c:gapWidth val="90"/>
        <c:overlap val="100"/>
        <c:axId val="228296576"/>
        <c:axId val="228298112"/>
      </c:barChart>
      <c:catAx>
        <c:axId val="22829657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8298112"/>
        <c:crosses val="autoZero"/>
        <c:auto val="1"/>
        <c:lblAlgn val="ctr"/>
        <c:lblOffset val="100"/>
        <c:noMultiLvlLbl val="0"/>
      </c:catAx>
      <c:valAx>
        <c:axId val="22829811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8296576"/>
        <c:crosses val="autoZero"/>
        <c:crossBetween val="between"/>
        <c:majorUnit val="0.1"/>
      </c:valAx>
    </c:plotArea>
    <c:legend>
      <c:legendPos val="r"/>
      <c:layout>
        <c:manualLayout>
          <c:xMode val="edge"/>
          <c:yMode val="edge"/>
          <c:x val="8.8996202050957068E-2"/>
          <c:y val="1.8836951739414388E-3"/>
          <c:w val="0.80518486529157363"/>
          <c:h val="9.6443451567928482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１日～２日分を備蓄している</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38.9</c:v>
                </c:pt>
                <c:pt idx="1">
                  <c:v>28.9</c:v>
                </c:pt>
                <c:pt idx="2">
                  <c:v>55.6</c:v>
                </c:pt>
                <c:pt idx="3">
                  <c:v>40.6</c:v>
                </c:pt>
                <c:pt idx="4">
                  <c:v>39</c:v>
                </c:pt>
                <c:pt idx="5">
                  <c:v>38.700000000000003</c:v>
                </c:pt>
                <c:pt idx="6">
                  <c:v>39.9</c:v>
                </c:pt>
                <c:pt idx="7">
                  <c:v>45.3</c:v>
                </c:pt>
                <c:pt idx="8">
                  <c:v>31.8</c:v>
                </c:pt>
                <c:pt idx="9">
                  <c:v>47.7</c:v>
                </c:pt>
                <c:pt idx="10">
                  <c:v>37.9</c:v>
                </c:pt>
                <c:pt idx="11">
                  <c:v>40.700000000000003</c:v>
                </c:pt>
                <c:pt idx="12">
                  <c:v>34.700000000000003</c:v>
                </c:pt>
                <c:pt idx="13">
                  <c:v>43.2</c:v>
                </c:pt>
                <c:pt idx="14">
                  <c:v>37.700000000000003</c:v>
                </c:pt>
                <c:pt idx="15">
                  <c:v>30.6</c:v>
                </c:pt>
                <c:pt idx="16">
                  <c:v>8.8000000000000007</c:v>
                </c:pt>
                <c:pt idx="17">
                  <c:v>38.1</c:v>
                </c:pt>
                <c:pt idx="18">
                  <c:v>37.300000000000004</c:v>
                </c:pt>
                <c:pt idx="19">
                  <c:v>35.800000000000004</c:v>
                </c:pt>
                <c:pt idx="20">
                  <c:v>43.3</c:v>
                </c:pt>
              </c:numCache>
            </c:numRef>
          </c:val>
        </c:ser>
        <c:ser>
          <c:idx val="1"/>
          <c:order val="1"/>
          <c:tx>
            <c:strRef>
              <c:f>Sheet1!$C$1</c:f>
              <c:strCache>
                <c:ptCount val="1"/>
                <c:pt idx="0">
                  <c:v>３日～６日分を備蓄している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16.5</c:v>
                </c:pt>
                <c:pt idx="1">
                  <c:v>13.4</c:v>
                </c:pt>
                <c:pt idx="2">
                  <c:v>22.2</c:v>
                </c:pt>
                <c:pt idx="3">
                  <c:v>15.9</c:v>
                </c:pt>
                <c:pt idx="4">
                  <c:v>21.1</c:v>
                </c:pt>
                <c:pt idx="5">
                  <c:v>15.2</c:v>
                </c:pt>
                <c:pt idx="6">
                  <c:v>14.8</c:v>
                </c:pt>
                <c:pt idx="7">
                  <c:v>18.8</c:v>
                </c:pt>
                <c:pt idx="8">
                  <c:v>22.7</c:v>
                </c:pt>
                <c:pt idx="9">
                  <c:v>16.100000000000001</c:v>
                </c:pt>
                <c:pt idx="10">
                  <c:v>17.2</c:v>
                </c:pt>
                <c:pt idx="11">
                  <c:v>15.9</c:v>
                </c:pt>
                <c:pt idx="12">
                  <c:v>15.3</c:v>
                </c:pt>
                <c:pt idx="13">
                  <c:v>16.8</c:v>
                </c:pt>
                <c:pt idx="14">
                  <c:v>15.8</c:v>
                </c:pt>
                <c:pt idx="15">
                  <c:v>19.2</c:v>
                </c:pt>
                <c:pt idx="16">
                  <c:v>23.5</c:v>
                </c:pt>
                <c:pt idx="17">
                  <c:v>13.5</c:v>
                </c:pt>
                <c:pt idx="18">
                  <c:v>15.7</c:v>
                </c:pt>
                <c:pt idx="19">
                  <c:v>17.100000000000001</c:v>
                </c:pt>
                <c:pt idx="20">
                  <c:v>13.4</c:v>
                </c:pt>
              </c:numCache>
            </c:numRef>
          </c:val>
        </c:ser>
        <c:ser>
          <c:idx val="2"/>
          <c:order val="2"/>
          <c:tx>
            <c:strRef>
              <c:f>Sheet1!$D$1</c:f>
              <c:strCache>
                <c:ptCount val="1"/>
                <c:pt idx="0">
                  <c:v>７日分以上を備蓄している</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0"/>
                  <c:y val="-2.1052631578947382E-2"/>
                </c:manualLayout>
              </c:layout>
              <c:dLblPos val="ctr"/>
              <c:showLegendKey val="0"/>
              <c:showVal val="1"/>
              <c:showCatName val="0"/>
              <c:showSerName val="0"/>
              <c:showPercent val="0"/>
              <c:showBubbleSize val="0"/>
            </c:dLbl>
            <c:dLbl>
              <c:idx val="1"/>
              <c:layout>
                <c:manualLayout>
                  <c:x val="7.5678520320124081E-17"/>
                  <c:y val="-2.1052631578947382E-2"/>
                </c:manualLayout>
              </c:layout>
              <c:dLblPos val="ctr"/>
              <c:showLegendKey val="0"/>
              <c:showVal val="1"/>
              <c:showCatName val="0"/>
              <c:showSerName val="0"/>
              <c:showPercent val="0"/>
              <c:showBubbleSize val="0"/>
            </c:dLbl>
            <c:dLbl>
              <c:idx val="2"/>
              <c:delete val="1"/>
            </c:dLbl>
            <c:dLbl>
              <c:idx val="3"/>
              <c:layout>
                <c:manualLayout>
                  <c:x val="0"/>
                  <c:y val="-2.1052631578947382E-2"/>
                </c:manualLayout>
              </c:layout>
              <c:dLblPos val="ctr"/>
              <c:showLegendKey val="0"/>
              <c:showVal val="1"/>
              <c:showCatName val="0"/>
              <c:showSerName val="0"/>
              <c:showPercent val="0"/>
              <c:showBubbleSize val="0"/>
            </c:dLbl>
            <c:dLbl>
              <c:idx val="4"/>
              <c:layout>
                <c:manualLayout>
                  <c:x val="-6.1919504643962852E-3"/>
                  <c:y val="-1.9298245614035241E-2"/>
                </c:manualLayout>
              </c:layout>
              <c:dLblPos val="ctr"/>
              <c:showLegendKey val="0"/>
              <c:showVal val="1"/>
              <c:showCatName val="0"/>
              <c:showSerName val="0"/>
              <c:showPercent val="0"/>
              <c:showBubbleSize val="0"/>
            </c:dLbl>
            <c:dLbl>
              <c:idx val="5"/>
              <c:layout>
                <c:manualLayout>
                  <c:x val="0"/>
                  <c:y val="-2.1052631578947382E-2"/>
                </c:manualLayout>
              </c:layout>
              <c:dLblPos val="ctr"/>
              <c:showLegendKey val="0"/>
              <c:showVal val="1"/>
              <c:showCatName val="0"/>
              <c:showSerName val="0"/>
              <c:showPercent val="0"/>
              <c:showBubbleSize val="0"/>
            </c:dLbl>
            <c:dLbl>
              <c:idx val="6"/>
              <c:layout>
                <c:manualLayout>
                  <c:x val="-2.063983488132162E-3"/>
                  <c:y val="-1.9298245614035241E-2"/>
                </c:manualLayout>
              </c:layout>
              <c:dLblPos val="ctr"/>
              <c:showLegendKey val="0"/>
              <c:showVal val="1"/>
              <c:showCatName val="0"/>
              <c:showSerName val="0"/>
              <c:showPercent val="0"/>
              <c:showBubbleSize val="0"/>
            </c:dLbl>
            <c:dLbl>
              <c:idx val="7"/>
              <c:layout>
                <c:manualLayout>
                  <c:x val="0"/>
                  <c:y val="-2.1052631578947382E-2"/>
                </c:manualLayout>
              </c:layout>
              <c:dLblPos val="ctr"/>
              <c:showLegendKey val="0"/>
              <c:showVal val="1"/>
              <c:showCatName val="0"/>
              <c:showSerName val="0"/>
              <c:showPercent val="0"/>
              <c:showBubbleSize val="0"/>
            </c:dLbl>
            <c:dLbl>
              <c:idx val="8"/>
              <c:layout>
                <c:manualLayout>
                  <c:x val="7.5678520320124081E-17"/>
                  <c:y val="-1.9298245614035241E-2"/>
                </c:manualLayout>
              </c:layout>
              <c:dLblPos val="ctr"/>
              <c:showLegendKey val="0"/>
              <c:showVal val="1"/>
              <c:showCatName val="0"/>
              <c:showSerName val="0"/>
              <c:showPercent val="0"/>
              <c:showBubbleSize val="0"/>
            </c:dLbl>
            <c:dLbl>
              <c:idx val="9"/>
              <c:layout>
                <c:manualLayout>
                  <c:x val="-2.063983488132162E-3"/>
                  <c:y val="-1.9298245614035241E-2"/>
                </c:manualLayout>
              </c:layout>
              <c:dLblPos val="ctr"/>
              <c:showLegendKey val="0"/>
              <c:showVal val="1"/>
              <c:showCatName val="0"/>
              <c:showSerName val="0"/>
              <c:showPercent val="0"/>
              <c:showBubbleSize val="0"/>
            </c:dLbl>
            <c:dLbl>
              <c:idx val="10"/>
              <c:layout>
                <c:manualLayout>
                  <c:x val="-7.5678520320124081E-17"/>
                  <c:y val="-2.1052631578947441E-2"/>
                </c:manualLayout>
              </c:layout>
              <c:dLblPos val="ctr"/>
              <c:showLegendKey val="0"/>
              <c:showVal val="1"/>
              <c:showCatName val="0"/>
              <c:showSerName val="0"/>
              <c:showPercent val="0"/>
              <c:showBubbleSize val="0"/>
            </c:dLbl>
            <c:dLbl>
              <c:idx val="11"/>
              <c:layout>
                <c:manualLayout>
                  <c:x val="-7.5678520320124081E-17"/>
                  <c:y val="-2.1052631578947382E-2"/>
                </c:manualLayout>
              </c:layout>
              <c:dLblPos val="ctr"/>
              <c:showLegendKey val="0"/>
              <c:showVal val="1"/>
              <c:showCatName val="0"/>
              <c:showSerName val="0"/>
              <c:showPercent val="0"/>
              <c:showBubbleSize val="0"/>
            </c:dLbl>
            <c:dLbl>
              <c:idx val="12"/>
              <c:layout>
                <c:manualLayout>
                  <c:x val="0"/>
                  <c:y val="-2.1052631578947382E-2"/>
                </c:manualLayout>
              </c:layout>
              <c:dLblPos val="ctr"/>
              <c:showLegendKey val="0"/>
              <c:showVal val="1"/>
              <c:showCatName val="0"/>
              <c:showSerName val="0"/>
              <c:showPercent val="0"/>
              <c:showBubbleSize val="0"/>
            </c:dLbl>
            <c:dLbl>
              <c:idx val="13"/>
              <c:layout>
                <c:manualLayout>
                  <c:x val="0"/>
                  <c:y val="-2.2807017543860619E-2"/>
                </c:manualLayout>
              </c:layout>
              <c:dLblPos val="ctr"/>
              <c:showLegendKey val="0"/>
              <c:showVal val="1"/>
              <c:showCatName val="0"/>
              <c:showSerName val="0"/>
              <c:showPercent val="0"/>
              <c:showBubbleSize val="0"/>
            </c:dLbl>
            <c:dLbl>
              <c:idx val="14"/>
              <c:layout>
                <c:manualLayout>
                  <c:x val="-7.5678520320124081E-17"/>
                  <c:y val="-1.9298245614035241E-2"/>
                </c:manualLayout>
              </c:layout>
              <c:dLblPos val="ctr"/>
              <c:showLegendKey val="0"/>
              <c:showVal val="1"/>
              <c:showCatName val="0"/>
              <c:showSerName val="0"/>
              <c:showPercent val="0"/>
              <c:showBubbleSize val="0"/>
            </c:dLbl>
            <c:dLbl>
              <c:idx val="15"/>
              <c:layout>
                <c:manualLayout>
                  <c:x val="2.0608956388191413E-3"/>
                  <c:y val="-1.9296587926509189E-2"/>
                </c:manualLayout>
              </c:layout>
              <c:dLblPos val="ctr"/>
              <c:showLegendKey val="0"/>
              <c:showVal val="1"/>
              <c:showCatName val="0"/>
              <c:showSerName val="0"/>
              <c:showPercent val="0"/>
              <c:showBubbleSize val="0"/>
            </c:dLbl>
            <c:dLbl>
              <c:idx val="16"/>
              <c:layout>
                <c:manualLayout>
                  <c:x val="0"/>
                  <c:y val="-2.1052631578947382E-2"/>
                </c:manualLayout>
              </c:layout>
              <c:dLblPos val="ctr"/>
              <c:showLegendKey val="0"/>
              <c:showVal val="1"/>
              <c:showCatName val="0"/>
              <c:showSerName val="0"/>
              <c:showPercent val="0"/>
              <c:showBubbleSize val="0"/>
            </c:dLbl>
            <c:dLbl>
              <c:idx val="17"/>
              <c:layout>
                <c:manualLayout>
                  <c:x val="-4.1279669762641765E-3"/>
                  <c:y val="-1.7543859649123302E-2"/>
                </c:manualLayout>
              </c:layout>
              <c:dLblPos val="ctr"/>
              <c:showLegendKey val="0"/>
              <c:showVal val="1"/>
              <c:showCatName val="0"/>
              <c:showSerName val="0"/>
              <c:showPercent val="0"/>
              <c:showBubbleSize val="0"/>
            </c:dLbl>
            <c:dLbl>
              <c:idx val="18"/>
              <c:layout>
                <c:manualLayout>
                  <c:x val="-4.1279669762641765E-3"/>
                  <c:y val="-2.1052631578947382E-2"/>
                </c:manualLayout>
              </c:layout>
              <c:dLblPos val="ctr"/>
              <c:showLegendKey val="0"/>
              <c:showVal val="1"/>
              <c:showCatName val="0"/>
              <c:showSerName val="0"/>
              <c:showPercent val="0"/>
              <c:showBubbleSize val="0"/>
            </c:dLbl>
            <c:dLbl>
              <c:idx val="19"/>
              <c:layout>
                <c:manualLayout>
                  <c:x val="0"/>
                  <c:y val="-1.9298245614035241E-2"/>
                </c:manualLayout>
              </c:layout>
              <c:dLblPos val="ctr"/>
              <c:showLegendKey val="0"/>
              <c:showVal val="1"/>
              <c:showCatName val="0"/>
              <c:showSerName val="0"/>
              <c:showPercent val="0"/>
              <c:showBubbleSize val="0"/>
            </c:dLbl>
            <c:dLbl>
              <c:idx val="20"/>
              <c:layout>
                <c:manualLayout>
                  <c:x val="-4.1279669762641046E-3"/>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4.5</c:v>
                </c:pt>
                <c:pt idx="1">
                  <c:v>7.2</c:v>
                </c:pt>
                <c:pt idx="2">
                  <c:v>0</c:v>
                </c:pt>
                <c:pt idx="3">
                  <c:v>7.2</c:v>
                </c:pt>
                <c:pt idx="4">
                  <c:v>3.2</c:v>
                </c:pt>
                <c:pt idx="5">
                  <c:v>5</c:v>
                </c:pt>
                <c:pt idx="6">
                  <c:v>3.4</c:v>
                </c:pt>
                <c:pt idx="7">
                  <c:v>7.8</c:v>
                </c:pt>
                <c:pt idx="8">
                  <c:v>9.1</c:v>
                </c:pt>
                <c:pt idx="9">
                  <c:v>6.7</c:v>
                </c:pt>
                <c:pt idx="10">
                  <c:v>3.4</c:v>
                </c:pt>
                <c:pt idx="11">
                  <c:v>4.2</c:v>
                </c:pt>
                <c:pt idx="12">
                  <c:v>1.8</c:v>
                </c:pt>
                <c:pt idx="13">
                  <c:v>4.4000000000000004</c:v>
                </c:pt>
                <c:pt idx="14">
                  <c:v>6.1</c:v>
                </c:pt>
                <c:pt idx="15">
                  <c:v>3.9</c:v>
                </c:pt>
                <c:pt idx="16">
                  <c:v>5.9</c:v>
                </c:pt>
                <c:pt idx="17">
                  <c:v>4.8</c:v>
                </c:pt>
                <c:pt idx="18">
                  <c:v>3.9</c:v>
                </c:pt>
                <c:pt idx="19">
                  <c:v>4.9000000000000004</c:v>
                </c:pt>
                <c:pt idx="20">
                  <c:v>4.5</c:v>
                </c:pt>
              </c:numCache>
            </c:numRef>
          </c:val>
        </c:ser>
        <c:ser>
          <c:idx val="3"/>
          <c:order val="3"/>
          <c:tx>
            <c:strRef>
              <c:f>Sheet1!$E$1</c:f>
              <c:strCache>
                <c:ptCount val="1"/>
                <c:pt idx="0">
                  <c:v>備蓄していない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39.4</c:v>
                </c:pt>
                <c:pt idx="1">
                  <c:v>49.5</c:v>
                </c:pt>
                <c:pt idx="2">
                  <c:v>22.2</c:v>
                </c:pt>
                <c:pt idx="3">
                  <c:v>36.200000000000003</c:v>
                </c:pt>
                <c:pt idx="4">
                  <c:v>35.800000000000004</c:v>
                </c:pt>
                <c:pt idx="5">
                  <c:v>40.800000000000004</c:v>
                </c:pt>
                <c:pt idx="6">
                  <c:v>41.4</c:v>
                </c:pt>
                <c:pt idx="7">
                  <c:v>26.6</c:v>
                </c:pt>
                <c:pt idx="8">
                  <c:v>36.4</c:v>
                </c:pt>
                <c:pt idx="9">
                  <c:v>28.9</c:v>
                </c:pt>
                <c:pt idx="10">
                  <c:v>41.4</c:v>
                </c:pt>
                <c:pt idx="11">
                  <c:v>38.6</c:v>
                </c:pt>
                <c:pt idx="12">
                  <c:v>48.2</c:v>
                </c:pt>
                <c:pt idx="13">
                  <c:v>35.5</c:v>
                </c:pt>
                <c:pt idx="14">
                  <c:v>40.4</c:v>
                </c:pt>
                <c:pt idx="15">
                  <c:v>44.5</c:v>
                </c:pt>
                <c:pt idx="16">
                  <c:v>61.8</c:v>
                </c:pt>
                <c:pt idx="17">
                  <c:v>43.7</c:v>
                </c:pt>
                <c:pt idx="18">
                  <c:v>43.1</c:v>
                </c:pt>
                <c:pt idx="19">
                  <c:v>42.3</c:v>
                </c:pt>
                <c:pt idx="20">
                  <c:v>37.800000000000004</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2"/>
              <c:delete val="1"/>
            </c:dLbl>
            <c:dLbl>
              <c:idx val="3"/>
              <c:delete val="1"/>
            </c:dLbl>
            <c:dLbl>
              <c:idx val="7"/>
              <c:layout>
                <c:manualLayout>
                  <c:x val="2.8807236038564492E-2"/>
                  <c:y val="0"/>
                </c:manualLayout>
              </c:layout>
              <c:dLblPos val="ctr"/>
              <c:showLegendKey val="0"/>
              <c:showVal val="1"/>
              <c:showCatName val="0"/>
              <c:showSerName val="0"/>
              <c:showPercent val="0"/>
              <c:showBubbleSize val="0"/>
            </c:dLbl>
            <c:dLbl>
              <c:idx val="8"/>
              <c:delete val="1"/>
            </c:dLbl>
            <c:dLbl>
              <c:idx val="10"/>
              <c:delete val="1"/>
            </c:dLbl>
            <c:dLbl>
              <c:idx val="12"/>
              <c:delete val="1"/>
            </c:dLbl>
            <c:dLbl>
              <c:idx val="14"/>
              <c:delete val="1"/>
            </c:dLbl>
            <c:dLbl>
              <c:idx val="15"/>
              <c:layout>
                <c:manualLayout>
                  <c:x val="2.4327265403705802E-2"/>
                  <c:y val="0"/>
                </c:manualLayout>
              </c:layout>
              <c:dLblPos val="ctr"/>
              <c:showLegendKey val="0"/>
              <c:showVal val="1"/>
              <c:showCatName val="0"/>
              <c:showSerName val="0"/>
              <c:showPercent val="0"/>
              <c:showBubbleSize val="0"/>
            </c:dLbl>
            <c:dLbl>
              <c:idx val="16"/>
              <c:delete val="1"/>
            </c:dLbl>
            <c:dLbl>
              <c:idx val="17"/>
              <c:delete val="1"/>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0.60000000000000064</c:v>
                </c:pt>
                <c:pt idx="1">
                  <c:v>1</c:v>
                </c:pt>
                <c:pt idx="2">
                  <c:v>0</c:v>
                </c:pt>
                <c:pt idx="3">
                  <c:v>0</c:v>
                </c:pt>
                <c:pt idx="4">
                  <c:v>0.9</c:v>
                </c:pt>
                <c:pt idx="5">
                  <c:v>0.4</c:v>
                </c:pt>
                <c:pt idx="6">
                  <c:v>0.5</c:v>
                </c:pt>
                <c:pt idx="7">
                  <c:v>1.6</c:v>
                </c:pt>
                <c:pt idx="8">
                  <c:v>0</c:v>
                </c:pt>
                <c:pt idx="9">
                  <c:v>0.70000000000000062</c:v>
                </c:pt>
                <c:pt idx="10">
                  <c:v>0</c:v>
                </c:pt>
                <c:pt idx="11">
                  <c:v>0.5</c:v>
                </c:pt>
                <c:pt idx="12">
                  <c:v>0</c:v>
                </c:pt>
                <c:pt idx="13">
                  <c:v>0.1</c:v>
                </c:pt>
                <c:pt idx="14">
                  <c:v>0</c:v>
                </c:pt>
                <c:pt idx="15">
                  <c:v>1.7</c:v>
                </c:pt>
                <c:pt idx="16">
                  <c:v>0</c:v>
                </c:pt>
                <c:pt idx="17">
                  <c:v>0</c:v>
                </c:pt>
                <c:pt idx="18">
                  <c:v>0</c:v>
                </c:pt>
                <c:pt idx="19">
                  <c:v>0</c:v>
                </c:pt>
                <c:pt idx="20">
                  <c:v>1</c:v>
                </c:pt>
              </c:numCache>
            </c:numRef>
          </c:val>
        </c:ser>
        <c:dLbls>
          <c:showLegendKey val="0"/>
          <c:showVal val="0"/>
          <c:showCatName val="0"/>
          <c:showSerName val="0"/>
          <c:showPercent val="0"/>
          <c:showBubbleSize val="0"/>
        </c:dLbls>
        <c:gapWidth val="70"/>
        <c:overlap val="100"/>
        <c:axId val="228101120"/>
        <c:axId val="228139776"/>
      </c:barChart>
      <c:catAx>
        <c:axId val="22810112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8139776"/>
        <c:crosses val="autoZero"/>
        <c:auto val="1"/>
        <c:lblAlgn val="ctr"/>
        <c:lblOffset val="100"/>
        <c:noMultiLvlLbl val="0"/>
      </c:catAx>
      <c:valAx>
        <c:axId val="22813977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8101120"/>
        <c:crosses val="autoZero"/>
        <c:crossBetween val="between"/>
      </c:valAx>
    </c:plotArea>
    <c:legend>
      <c:legendPos val="r"/>
      <c:layout>
        <c:manualLayout>
          <c:xMode val="edge"/>
          <c:yMode val="edge"/>
          <c:x val="0.11693558930069289"/>
          <c:y val="1.4755659492010661E-3"/>
          <c:w val="0.78839056777300776"/>
          <c:h val="7.9967351811977228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参加した</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Sheet1!$B$2:$B$13</c:f>
              <c:numCache>
                <c:formatCode>0.0</c:formatCode>
                <c:ptCount val="12"/>
                <c:pt idx="0">
                  <c:v>42.2</c:v>
                </c:pt>
                <c:pt idx="1">
                  <c:v>43.2</c:v>
                </c:pt>
                <c:pt idx="2">
                  <c:v>41.4</c:v>
                </c:pt>
                <c:pt idx="3">
                  <c:v>50.6</c:v>
                </c:pt>
                <c:pt idx="4">
                  <c:v>41.1</c:v>
                </c:pt>
                <c:pt idx="5">
                  <c:v>39.5</c:v>
                </c:pt>
                <c:pt idx="6">
                  <c:v>42</c:v>
                </c:pt>
                <c:pt idx="7">
                  <c:v>39.9</c:v>
                </c:pt>
                <c:pt idx="8">
                  <c:v>43.7</c:v>
                </c:pt>
                <c:pt idx="9">
                  <c:v>50</c:v>
                </c:pt>
                <c:pt idx="10">
                  <c:v>48.3</c:v>
                </c:pt>
                <c:pt idx="11">
                  <c:v>38.800000000000004</c:v>
                </c:pt>
              </c:numCache>
            </c:numRef>
          </c:val>
        </c:ser>
        <c:ser>
          <c:idx val="1"/>
          <c:order val="1"/>
          <c:tx>
            <c:strRef>
              <c:f>Sheet1!$C$1</c:f>
              <c:strCache>
                <c:ptCount val="1"/>
                <c:pt idx="0">
                  <c:v>都合が合わず参加できなかった</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Sheet1!$C$2:$C$13</c:f>
              <c:numCache>
                <c:formatCode>0.0</c:formatCode>
                <c:ptCount val="12"/>
                <c:pt idx="0">
                  <c:v>21</c:v>
                </c:pt>
                <c:pt idx="1">
                  <c:v>18</c:v>
                </c:pt>
                <c:pt idx="2">
                  <c:v>23.5</c:v>
                </c:pt>
                <c:pt idx="3">
                  <c:v>11.5</c:v>
                </c:pt>
                <c:pt idx="4">
                  <c:v>16.8</c:v>
                </c:pt>
                <c:pt idx="5">
                  <c:v>20.2</c:v>
                </c:pt>
                <c:pt idx="6">
                  <c:v>19.100000000000001</c:v>
                </c:pt>
                <c:pt idx="7">
                  <c:v>26.5</c:v>
                </c:pt>
                <c:pt idx="8">
                  <c:v>26.1</c:v>
                </c:pt>
                <c:pt idx="9">
                  <c:v>15.3</c:v>
                </c:pt>
                <c:pt idx="10">
                  <c:v>25.3</c:v>
                </c:pt>
                <c:pt idx="11">
                  <c:v>18.8</c:v>
                </c:pt>
              </c:numCache>
            </c:numRef>
          </c:val>
        </c:ser>
        <c:ser>
          <c:idx val="2"/>
          <c:order val="2"/>
          <c:tx>
            <c:strRef>
              <c:f>Sheet1!$D$1</c:f>
              <c:strCache>
                <c:ptCount val="1"/>
                <c:pt idx="0">
                  <c:v>訓練がなかった、またはあったかわからない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Sheet1!$D$2:$D$13</c:f>
              <c:numCache>
                <c:formatCode>0.0</c:formatCode>
                <c:ptCount val="12"/>
                <c:pt idx="0">
                  <c:v>27.7</c:v>
                </c:pt>
                <c:pt idx="1">
                  <c:v>28.9</c:v>
                </c:pt>
                <c:pt idx="2">
                  <c:v>26.7</c:v>
                </c:pt>
                <c:pt idx="3">
                  <c:v>27.6</c:v>
                </c:pt>
                <c:pt idx="4">
                  <c:v>31.7</c:v>
                </c:pt>
                <c:pt idx="5">
                  <c:v>30</c:v>
                </c:pt>
                <c:pt idx="6">
                  <c:v>30</c:v>
                </c:pt>
                <c:pt idx="7">
                  <c:v>25.1</c:v>
                </c:pt>
                <c:pt idx="8">
                  <c:v>24.1</c:v>
                </c:pt>
                <c:pt idx="9">
                  <c:v>23.5</c:v>
                </c:pt>
                <c:pt idx="10">
                  <c:v>17.899999999999999</c:v>
                </c:pt>
                <c:pt idx="11">
                  <c:v>33.1</c:v>
                </c:pt>
              </c:numCache>
            </c:numRef>
          </c:val>
        </c:ser>
        <c:ser>
          <c:idx val="3"/>
          <c:order val="3"/>
          <c:tx>
            <c:strRef>
              <c:f>Sheet1!$E$1</c:f>
              <c:strCache>
                <c:ptCount val="1"/>
                <c:pt idx="0">
                  <c:v>参加しようと思わなかった</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Sheet1!$E$2:$E$13</c:f>
              <c:numCache>
                <c:formatCode>0.0</c:formatCode>
                <c:ptCount val="12"/>
                <c:pt idx="0">
                  <c:v>8.7000000000000011</c:v>
                </c:pt>
                <c:pt idx="1">
                  <c:v>9.4</c:v>
                </c:pt>
                <c:pt idx="2">
                  <c:v>8.1</c:v>
                </c:pt>
                <c:pt idx="3">
                  <c:v>10.3</c:v>
                </c:pt>
                <c:pt idx="4">
                  <c:v>9.9</c:v>
                </c:pt>
                <c:pt idx="5">
                  <c:v>10.3</c:v>
                </c:pt>
                <c:pt idx="6">
                  <c:v>8.6</c:v>
                </c:pt>
                <c:pt idx="7">
                  <c:v>8.2000000000000011</c:v>
                </c:pt>
                <c:pt idx="8">
                  <c:v>6.1</c:v>
                </c:pt>
                <c:pt idx="9">
                  <c:v>9.2000000000000011</c:v>
                </c:pt>
                <c:pt idx="10">
                  <c:v>8.3000000000000007</c:v>
                </c:pt>
                <c:pt idx="11">
                  <c:v>8.9</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3"/>
              <c:delete val="1"/>
            </c:dLbl>
            <c:dLbl>
              <c:idx val="5"/>
              <c:delete val="1"/>
            </c:dLbl>
            <c:dLbl>
              <c:idx val="8"/>
              <c:delete val="1"/>
            </c:dLbl>
            <c:dLbl>
              <c:idx val="9"/>
              <c:layout>
                <c:manualLayout>
                  <c:x val="3.2757463797241003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沿岸部(n=553)</c:v>
                </c:pt>
                <c:pt idx="11">
                  <c:v>非沿岸部(n=1,035)</c:v>
                </c:pt>
              </c:strCache>
            </c:strRef>
          </c:cat>
          <c:val>
            <c:numRef>
              <c:f>Sheet1!$F$2:$F$13</c:f>
              <c:numCache>
                <c:formatCode>0.0</c:formatCode>
                <c:ptCount val="12"/>
                <c:pt idx="0">
                  <c:v>0.4</c:v>
                </c:pt>
                <c:pt idx="1">
                  <c:v>0.4</c:v>
                </c:pt>
                <c:pt idx="2">
                  <c:v>0.2</c:v>
                </c:pt>
                <c:pt idx="3">
                  <c:v>0</c:v>
                </c:pt>
                <c:pt idx="4">
                  <c:v>0.5</c:v>
                </c:pt>
                <c:pt idx="5">
                  <c:v>0</c:v>
                </c:pt>
                <c:pt idx="6">
                  <c:v>0.30000000000000032</c:v>
                </c:pt>
                <c:pt idx="7">
                  <c:v>0.30000000000000032</c:v>
                </c:pt>
                <c:pt idx="8">
                  <c:v>0</c:v>
                </c:pt>
                <c:pt idx="9">
                  <c:v>2</c:v>
                </c:pt>
                <c:pt idx="10">
                  <c:v>0.2</c:v>
                </c:pt>
                <c:pt idx="11">
                  <c:v>0.30000000000000032</c:v>
                </c:pt>
              </c:numCache>
            </c:numRef>
          </c:val>
        </c:ser>
        <c:dLbls>
          <c:showLegendKey val="0"/>
          <c:showVal val="0"/>
          <c:showCatName val="0"/>
          <c:showSerName val="0"/>
          <c:showPercent val="0"/>
          <c:showBubbleSize val="0"/>
        </c:dLbls>
        <c:gapWidth val="90"/>
        <c:overlap val="100"/>
        <c:axId val="228217600"/>
        <c:axId val="228219136"/>
      </c:barChart>
      <c:catAx>
        <c:axId val="22821760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8219136"/>
        <c:crosses val="autoZero"/>
        <c:auto val="1"/>
        <c:lblAlgn val="ctr"/>
        <c:lblOffset val="100"/>
        <c:noMultiLvlLbl val="0"/>
      </c:catAx>
      <c:valAx>
        <c:axId val="22821913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8217600"/>
        <c:crosses val="autoZero"/>
        <c:crossBetween val="between"/>
        <c:majorUnit val="0.1"/>
      </c:valAx>
    </c:plotArea>
    <c:legend>
      <c:legendPos val="r"/>
      <c:layout>
        <c:manualLayout>
          <c:xMode val="edge"/>
          <c:yMode val="edge"/>
          <c:x val="1.427451376270274E-2"/>
          <c:y val="1.8843625254239191E-3"/>
          <c:w val="0.98495485481058265"/>
          <c:h val="0.10045309794950805"/>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参加した</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42.2</c:v>
                </c:pt>
                <c:pt idx="1">
                  <c:v>42.3</c:v>
                </c:pt>
                <c:pt idx="2">
                  <c:v>66.7</c:v>
                </c:pt>
                <c:pt idx="3">
                  <c:v>27.5</c:v>
                </c:pt>
                <c:pt idx="4">
                  <c:v>45.9</c:v>
                </c:pt>
                <c:pt idx="5">
                  <c:v>57.8</c:v>
                </c:pt>
                <c:pt idx="6">
                  <c:v>34</c:v>
                </c:pt>
                <c:pt idx="7">
                  <c:v>45.3</c:v>
                </c:pt>
                <c:pt idx="8">
                  <c:v>36.4</c:v>
                </c:pt>
                <c:pt idx="9">
                  <c:v>35.6</c:v>
                </c:pt>
                <c:pt idx="10">
                  <c:v>45.7</c:v>
                </c:pt>
                <c:pt idx="11">
                  <c:v>34.9</c:v>
                </c:pt>
                <c:pt idx="12">
                  <c:v>37.6</c:v>
                </c:pt>
                <c:pt idx="13">
                  <c:v>37.300000000000004</c:v>
                </c:pt>
                <c:pt idx="14">
                  <c:v>47.4</c:v>
                </c:pt>
                <c:pt idx="15">
                  <c:v>42.8</c:v>
                </c:pt>
                <c:pt idx="16">
                  <c:v>47.1</c:v>
                </c:pt>
                <c:pt idx="17">
                  <c:v>40.5</c:v>
                </c:pt>
                <c:pt idx="18">
                  <c:v>39.200000000000003</c:v>
                </c:pt>
                <c:pt idx="19">
                  <c:v>50.4</c:v>
                </c:pt>
                <c:pt idx="20">
                  <c:v>53.2</c:v>
                </c:pt>
              </c:numCache>
            </c:numRef>
          </c:val>
        </c:ser>
        <c:ser>
          <c:idx val="1"/>
          <c:order val="1"/>
          <c:tx>
            <c:strRef>
              <c:f>Sheet1!$C$1</c:f>
              <c:strCache>
                <c:ptCount val="1"/>
                <c:pt idx="0">
                  <c:v>都合が合わず参加できなかった</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21</c:v>
                </c:pt>
                <c:pt idx="1">
                  <c:v>25.8</c:v>
                </c:pt>
                <c:pt idx="2">
                  <c:v>11.1</c:v>
                </c:pt>
                <c:pt idx="3">
                  <c:v>27.5</c:v>
                </c:pt>
                <c:pt idx="4">
                  <c:v>20.6</c:v>
                </c:pt>
                <c:pt idx="5">
                  <c:v>18.100000000000001</c:v>
                </c:pt>
                <c:pt idx="6">
                  <c:v>19.7</c:v>
                </c:pt>
                <c:pt idx="7">
                  <c:v>17.2</c:v>
                </c:pt>
                <c:pt idx="8">
                  <c:v>18.2</c:v>
                </c:pt>
                <c:pt idx="9">
                  <c:v>22.1</c:v>
                </c:pt>
                <c:pt idx="10">
                  <c:v>15.5</c:v>
                </c:pt>
                <c:pt idx="11">
                  <c:v>20.6</c:v>
                </c:pt>
                <c:pt idx="12">
                  <c:v>28.2</c:v>
                </c:pt>
                <c:pt idx="13">
                  <c:v>22</c:v>
                </c:pt>
                <c:pt idx="14">
                  <c:v>28.9</c:v>
                </c:pt>
                <c:pt idx="15">
                  <c:v>20.100000000000001</c:v>
                </c:pt>
                <c:pt idx="16">
                  <c:v>20.6</c:v>
                </c:pt>
                <c:pt idx="17">
                  <c:v>17.5</c:v>
                </c:pt>
                <c:pt idx="18">
                  <c:v>13.7</c:v>
                </c:pt>
                <c:pt idx="19">
                  <c:v>19.5</c:v>
                </c:pt>
                <c:pt idx="20">
                  <c:v>19.399999999999999</c:v>
                </c:pt>
              </c:numCache>
            </c:numRef>
          </c:val>
        </c:ser>
        <c:ser>
          <c:idx val="2"/>
          <c:order val="2"/>
          <c:tx>
            <c:strRef>
              <c:f>Sheet1!$D$1</c:f>
              <c:strCache>
                <c:ptCount val="1"/>
                <c:pt idx="0">
                  <c:v>訓練がなかった、またはあったかわからない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27.7</c:v>
                </c:pt>
                <c:pt idx="1">
                  <c:v>23.7</c:v>
                </c:pt>
                <c:pt idx="2">
                  <c:v>11.1</c:v>
                </c:pt>
                <c:pt idx="3">
                  <c:v>34.800000000000004</c:v>
                </c:pt>
                <c:pt idx="4">
                  <c:v>23.9</c:v>
                </c:pt>
                <c:pt idx="5">
                  <c:v>19.100000000000001</c:v>
                </c:pt>
                <c:pt idx="6">
                  <c:v>35.5</c:v>
                </c:pt>
                <c:pt idx="7">
                  <c:v>28.1</c:v>
                </c:pt>
                <c:pt idx="8">
                  <c:v>31.8</c:v>
                </c:pt>
                <c:pt idx="9">
                  <c:v>34.200000000000003</c:v>
                </c:pt>
                <c:pt idx="10">
                  <c:v>29.3</c:v>
                </c:pt>
                <c:pt idx="11">
                  <c:v>31.2</c:v>
                </c:pt>
                <c:pt idx="12">
                  <c:v>26.5</c:v>
                </c:pt>
                <c:pt idx="13">
                  <c:v>32.1</c:v>
                </c:pt>
                <c:pt idx="14">
                  <c:v>14.9</c:v>
                </c:pt>
                <c:pt idx="15">
                  <c:v>25.3</c:v>
                </c:pt>
                <c:pt idx="16">
                  <c:v>29.4</c:v>
                </c:pt>
                <c:pt idx="17">
                  <c:v>36.5</c:v>
                </c:pt>
                <c:pt idx="18">
                  <c:v>35.300000000000004</c:v>
                </c:pt>
                <c:pt idx="19">
                  <c:v>17.899999999999999</c:v>
                </c:pt>
                <c:pt idx="20">
                  <c:v>21.9</c:v>
                </c:pt>
              </c:numCache>
            </c:numRef>
          </c:val>
        </c:ser>
        <c:ser>
          <c:idx val="3"/>
          <c:order val="3"/>
          <c:tx>
            <c:strRef>
              <c:f>Sheet1!$E$1</c:f>
              <c:strCache>
                <c:ptCount val="1"/>
                <c:pt idx="0">
                  <c:v>参加しようと思わなかった</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5"/>
              <c:layout>
                <c:manualLayout>
                  <c:x val="0"/>
                  <c:y val="-1.93019385529626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6"/>
              <c:layout>
                <c:manualLayout>
                  <c:x val="-2.0627062706271154E-3"/>
                  <c:y val="-1.93019385529626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7"/>
              <c:layout>
                <c:manualLayout>
                  <c:x val="0"/>
                  <c:y val="-1.93019385529626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20"/>
              <c:layout>
                <c:manualLayout>
                  <c:x val="0"/>
                  <c:y val="-1.93019385529626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8.7000000000000011</c:v>
                </c:pt>
                <c:pt idx="1">
                  <c:v>7.2</c:v>
                </c:pt>
                <c:pt idx="2">
                  <c:v>11.1</c:v>
                </c:pt>
                <c:pt idx="3">
                  <c:v>10.1</c:v>
                </c:pt>
                <c:pt idx="4">
                  <c:v>8.7000000000000011</c:v>
                </c:pt>
                <c:pt idx="5">
                  <c:v>4.5999999999999996</c:v>
                </c:pt>
                <c:pt idx="6">
                  <c:v>10.8</c:v>
                </c:pt>
                <c:pt idx="7">
                  <c:v>7.8</c:v>
                </c:pt>
                <c:pt idx="8">
                  <c:v>13.6</c:v>
                </c:pt>
                <c:pt idx="9">
                  <c:v>8.1</c:v>
                </c:pt>
                <c:pt idx="10">
                  <c:v>9.5</c:v>
                </c:pt>
                <c:pt idx="11">
                  <c:v>13.2</c:v>
                </c:pt>
                <c:pt idx="12">
                  <c:v>7.6</c:v>
                </c:pt>
                <c:pt idx="13">
                  <c:v>8.5</c:v>
                </c:pt>
                <c:pt idx="14">
                  <c:v>8.8000000000000007</c:v>
                </c:pt>
                <c:pt idx="15">
                  <c:v>10.9</c:v>
                </c:pt>
                <c:pt idx="16">
                  <c:v>2.9</c:v>
                </c:pt>
                <c:pt idx="17">
                  <c:v>5.6</c:v>
                </c:pt>
                <c:pt idx="18">
                  <c:v>11.8</c:v>
                </c:pt>
                <c:pt idx="19">
                  <c:v>12.2</c:v>
                </c:pt>
                <c:pt idx="20">
                  <c:v>5</c:v>
                </c:pt>
              </c:numCache>
            </c:numRef>
          </c:val>
        </c:ser>
        <c:ser>
          <c:idx val="4"/>
          <c:order val="4"/>
          <c:tx>
            <c:strRef>
              <c:f>Sheet1!$F$1</c:f>
              <c:strCache>
                <c:ptCount val="1"/>
                <c:pt idx="0">
                  <c:v>無回答</c:v>
                </c:pt>
              </c:strCache>
            </c:strRef>
          </c:tx>
          <c:spPr>
            <a:pattFill prst="pct10">
              <a:fgClr>
                <a:sysClr val="windowText" lastClr="000000"/>
              </a:fgClr>
              <a:bgClr>
                <a:srgbClr val="FFFF00"/>
              </a:bgClr>
            </a:pattFill>
            <a:ln>
              <a:solidFill>
                <a:sysClr val="windowText" lastClr="000000"/>
              </a:solidFill>
            </a:ln>
          </c:spPr>
          <c:invertIfNegative val="0"/>
          <c:dLbls>
            <c:dLbl>
              <c:idx val="2"/>
              <c:delete val="1"/>
            </c:dLbl>
            <c:dLbl>
              <c:idx val="3"/>
              <c:delete val="1"/>
            </c:dLbl>
            <c:dLbl>
              <c:idx val="6"/>
              <c:delete val="1"/>
            </c:dLbl>
            <c:dLbl>
              <c:idx val="8"/>
              <c:delete val="1"/>
            </c:dLbl>
            <c:dLbl>
              <c:idx val="9"/>
              <c:delete val="1"/>
            </c:dLbl>
            <c:dLbl>
              <c:idx val="10"/>
              <c:delete val="1"/>
            </c:dLbl>
            <c:dLbl>
              <c:idx val="11"/>
              <c:delete val="1"/>
            </c:dLbl>
            <c:dLbl>
              <c:idx val="12"/>
              <c:delete val="1"/>
            </c:dLbl>
            <c:dLbl>
              <c:idx val="14"/>
              <c:delete val="1"/>
            </c:dLbl>
            <c:dLbl>
              <c:idx val="16"/>
              <c:delete val="1"/>
            </c:dLbl>
            <c:dLbl>
              <c:idx val="17"/>
              <c:delete val="1"/>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0.4</c:v>
                </c:pt>
                <c:pt idx="1">
                  <c:v>1</c:v>
                </c:pt>
                <c:pt idx="2">
                  <c:v>0</c:v>
                </c:pt>
                <c:pt idx="3">
                  <c:v>0</c:v>
                </c:pt>
                <c:pt idx="4">
                  <c:v>0.9</c:v>
                </c:pt>
                <c:pt idx="5">
                  <c:v>0.4</c:v>
                </c:pt>
                <c:pt idx="6">
                  <c:v>0</c:v>
                </c:pt>
                <c:pt idx="7">
                  <c:v>1.6</c:v>
                </c:pt>
                <c:pt idx="8">
                  <c:v>0</c:v>
                </c:pt>
                <c:pt idx="9">
                  <c:v>0</c:v>
                </c:pt>
                <c:pt idx="10">
                  <c:v>0</c:v>
                </c:pt>
                <c:pt idx="11">
                  <c:v>0</c:v>
                </c:pt>
                <c:pt idx="12">
                  <c:v>0</c:v>
                </c:pt>
                <c:pt idx="13">
                  <c:v>0.1</c:v>
                </c:pt>
                <c:pt idx="14">
                  <c:v>0</c:v>
                </c:pt>
                <c:pt idx="15">
                  <c:v>0.9</c:v>
                </c:pt>
                <c:pt idx="16">
                  <c:v>0</c:v>
                </c:pt>
                <c:pt idx="17">
                  <c:v>0</c:v>
                </c:pt>
                <c:pt idx="18">
                  <c:v>0</c:v>
                </c:pt>
                <c:pt idx="19">
                  <c:v>0</c:v>
                </c:pt>
                <c:pt idx="20">
                  <c:v>0.5</c:v>
                </c:pt>
              </c:numCache>
            </c:numRef>
          </c:val>
        </c:ser>
        <c:dLbls>
          <c:showLegendKey val="0"/>
          <c:showVal val="0"/>
          <c:showCatName val="0"/>
          <c:showSerName val="0"/>
          <c:showPercent val="0"/>
          <c:showBubbleSize val="0"/>
        </c:dLbls>
        <c:gapWidth val="70"/>
        <c:overlap val="100"/>
        <c:axId val="228392320"/>
        <c:axId val="228414592"/>
      </c:barChart>
      <c:catAx>
        <c:axId val="22839232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8414592"/>
        <c:crosses val="autoZero"/>
        <c:auto val="1"/>
        <c:lblAlgn val="ctr"/>
        <c:lblOffset val="100"/>
        <c:noMultiLvlLbl val="0"/>
      </c:catAx>
      <c:valAx>
        <c:axId val="22841459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8392320"/>
        <c:crosses val="autoZero"/>
        <c:crossBetween val="between"/>
      </c:valAx>
    </c:plotArea>
    <c:legend>
      <c:legendPos val="r"/>
      <c:layout>
        <c:manualLayout>
          <c:xMode val="edge"/>
          <c:yMode val="edge"/>
          <c:x val="2.6185872893556682E-2"/>
          <c:y val="3.2304398380842052E-3"/>
          <c:w val="0.92971814462271418"/>
          <c:h val="7.5894611847864862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099761178501772"/>
          <c:y val="3.8354251629593647E-2"/>
          <c:w val="0.50914252835512686"/>
          <c:h val="0.93057339855473586"/>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horzOverflow="overflow"/>
                <a:lstStyle/>
                <a:p>
                  <a:pPr>
                    <a:defRPr sz="900">
                      <a:solidFill>
                        <a:schemeClr val="tx1"/>
                      </a:solidFill>
                      <a:latin typeface="Arial Black"/>
                    </a:defRPr>
                  </a:pPr>
                  <a:endParaRPr lang="ja-JP"/>
                </a:p>
              </c:txPr>
              <c:dLblPos val="outEnd"/>
              <c:showLegendKey val="0"/>
              <c:showVal val="1"/>
              <c:showCatName val="0"/>
              <c:showSerName val="0"/>
              <c:showPercent val="0"/>
              <c:showBubbleSize val="0"/>
            </c:dLbl>
            <c:dLbl>
              <c:idx val="1"/>
              <c:spPr>
                <a:noFill/>
                <a:ln>
                  <a:noFill/>
                </a:ln>
                <a:effectLst/>
              </c:spPr>
              <c:txPr>
                <a:bodyPr horzOverflow="overflow"/>
                <a:lstStyle/>
                <a:p>
                  <a:pPr>
                    <a:defRPr sz="900">
                      <a:solidFill>
                        <a:schemeClr val="tx1"/>
                      </a:solidFill>
                      <a:latin typeface="Arial Black"/>
                    </a:defRPr>
                  </a:pPr>
                  <a:endParaRPr lang="ja-JP"/>
                </a:p>
              </c:txPr>
              <c:dLblPos val="outEnd"/>
              <c:showLegendKey val="0"/>
              <c:showVal val="1"/>
              <c:showCatName val="0"/>
              <c:showSerName val="0"/>
              <c:showPercent val="0"/>
              <c:showBubbleSize val="0"/>
            </c:dLbl>
            <c:spPr>
              <a:noFill/>
              <a:ln>
                <a:noFill/>
              </a:ln>
              <a:effectLst/>
            </c:spPr>
            <c:txPr>
              <a:bodyPr rot="0" anchor="ctr"/>
              <a:lstStyle/>
              <a:p>
                <a:pPr algn="ctr" rtl="0">
                  <a:defRPr sz="900">
                    <a:solidFill>
                      <a:schemeClr val="tx1"/>
                    </a:solidFill>
                  </a:defRPr>
                </a:pPr>
                <a:endParaRPr lang="ja-JP"/>
              </a:p>
            </c:txPr>
            <c:dLblPos val="outEnd"/>
            <c:showLegendKey val="0"/>
            <c:showVal val="1"/>
            <c:showCatName val="0"/>
            <c:showSerName val="0"/>
            <c:showPercent val="0"/>
            <c:showBubbleSize val="0"/>
            <c:showLeaderLines val="0"/>
          </c:dLbls>
          <c:cat>
            <c:strRef>
              <c:f>Sheet1!$B$1:$L$1</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Sheet1!$B$2:$L$2</c:f>
              <c:numCache>
                <c:formatCode>0.0_);[Red]\(0.0\)</c:formatCode>
                <c:ptCount val="11"/>
                <c:pt idx="0">
                  <c:v>35.4</c:v>
                </c:pt>
                <c:pt idx="1">
                  <c:v>35.4</c:v>
                </c:pt>
                <c:pt idx="2">
                  <c:v>32.4</c:v>
                </c:pt>
                <c:pt idx="3">
                  <c:v>33.800000000000004</c:v>
                </c:pt>
                <c:pt idx="4">
                  <c:v>27</c:v>
                </c:pt>
                <c:pt idx="5">
                  <c:v>28.9</c:v>
                </c:pt>
                <c:pt idx="6">
                  <c:v>28</c:v>
                </c:pt>
                <c:pt idx="7">
                  <c:v>24</c:v>
                </c:pt>
                <c:pt idx="8">
                  <c:v>20.3</c:v>
                </c:pt>
                <c:pt idx="9">
                  <c:v>12.4</c:v>
                </c:pt>
                <c:pt idx="10">
                  <c:v>1.5</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horzOverflow="overflow"/>
                <a:lstStyle/>
                <a:p>
                  <a:pPr>
                    <a:defRPr sz="900">
                      <a:solidFill>
                        <a:schemeClr val="tx1"/>
                      </a:solidFill>
                      <a:latin typeface="Arial Black"/>
                    </a:defRPr>
                  </a:pPr>
                  <a:endParaRPr lang="ja-JP"/>
                </a:p>
              </c:txPr>
              <c:dLblPos val="outEnd"/>
              <c:showLegendKey val="0"/>
              <c:showVal val="1"/>
              <c:showCatName val="0"/>
              <c:showSerName val="0"/>
              <c:showPercent val="0"/>
              <c:showBubbleSize val="0"/>
            </c:dLbl>
            <c:dLbl>
              <c:idx val="7"/>
              <c:spPr>
                <a:noFill/>
                <a:ln>
                  <a:noFill/>
                </a:ln>
                <a:effectLst/>
              </c:spPr>
              <c:txPr>
                <a:bodyPr horzOverflow="overflow"/>
                <a:lstStyle/>
                <a:p>
                  <a:pPr>
                    <a:defRPr sz="900">
                      <a:solidFill>
                        <a:schemeClr val="tx1"/>
                      </a:solidFill>
                      <a:latin typeface="Arial Black"/>
                    </a:defRPr>
                  </a:pPr>
                  <a:endParaRPr lang="ja-JP"/>
                </a:p>
              </c:txPr>
              <c:dLblPos val="outEnd"/>
              <c:showLegendKey val="0"/>
              <c:showVal val="1"/>
              <c:showCatName val="0"/>
              <c:showSerName val="0"/>
              <c:showPercent val="0"/>
              <c:showBubbleSize val="0"/>
            </c:dLbl>
            <c:spPr>
              <a:noFill/>
              <a:ln>
                <a:noFill/>
              </a:ln>
              <a:effectLst/>
            </c:spPr>
            <c:txPr>
              <a:bodyPr rot="0" anchor="ctr"/>
              <a:lstStyle/>
              <a:p>
                <a:pPr algn="ctr" rtl="0">
                  <a:defRPr sz="900">
                    <a:solidFill>
                      <a:schemeClr val="tx1"/>
                    </a:solidFill>
                  </a:defRPr>
                </a:pPr>
                <a:endParaRPr lang="ja-JP"/>
              </a:p>
            </c:txPr>
            <c:dLblPos val="outEnd"/>
            <c:showLegendKey val="0"/>
            <c:showVal val="1"/>
            <c:showCatName val="0"/>
            <c:showSerName val="0"/>
            <c:showPercent val="0"/>
            <c:showBubbleSize val="0"/>
            <c:showLeaderLines val="0"/>
          </c:dLbls>
          <c:cat>
            <c:strRef>
              <c:f>Sheet1!$B$1:$L$1</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Sheet1!$B$3:$L$3</c:f>
              <c:numCache>
                <c:formatCode>0.0_);[Red]\(0.0\)</c:formatCode>
                <c:ptCount val="11"/>
                <c:pt idx="0">
                  <c:v>34.200000000000003</c:v>
                </c:pt>
                <c:pt idx="1">
                  <c:v>31.6</c:v>
                </c:pt>
                <c:pt idx="2">
                  <c:v>28.9</c:v>
                </c:pt>
                <c:pt idx="4">
                  <c:v>16.2</c:v>
                </c:pt>
                <c:pt idx="5">
                  <c:v>18.600000000000001</c:v>
                </c:pt>
                <c:pt idx="6">
                  <c:v>9.5</c:v>
                </c:pt>
                <c:pt idx="7">
                  <c:v>34.200000000000003</c:v>
                </c:pt>
                <c:pt idx="8">
                  <c:v>11</c:v>
                </c:pt>
                <c:pt idx="9">
                  <c:v>5.3</c:v>
                </c:pt>
                <c:pt idx="10">
                  <c:v>2</c:v>
                </c:pt>
              </c:numCache>
            </c:numRef>
          </c:val>
        </c:ser>
        <c:dLbls>
          <c:showLegendKey val="0"/>
          <c:showVal val="1"/>
          <c:showCatName val="0"/>
          <c:showSerName val="0"/>
          <c:showPercent val="0"/>
          <c:showBubbleSize val="0"/>
        </c:dLbls>
        <c:gapWidth val="75"/>
        <c:axId val="221615232"/>
        <c:axId val="221616768"/>
      </c:barChart>
      <c:catAx>
        <c:axId val="221615232"/>
        <c:scaling>
          <c:orientation val="maxMin"/>
        </c:scaling>
        <c:delete val="0"/>
        <c:axPos val="l"/>
        <c:numFmt formatCode="0.0_);[Red]\(0.0\)" sourceLinked="1"/>
        <c:majorTickMark val="in"/>
        <c:minorTickMark val="none"/>
        <c:tickLblPos val="nextTo"/>
        <c:spPr>
          <a:ln>
            <a:solidFill>
              <a:schemeClr val="tx1"/>
            </a:solidFill>
          </a:ln>
        </c:spPr>
        <c:txPr>
          <a:bodyPr horzOverflow="overflow" anchor="ctr"/>
          <a:lstStyle/>
          <a:p>
            <a:pPr algn="just" rtl="0">
              <a:defRPr sz="800">
                <a:solidFill>
                  <a:schemeClr val="tx1"/>
                </a:solidFill>
              </a:defRPr>
            </a:pPr>
            <a:endParaRPr lang="ja-JP"/>
          </a:p>
        </c:txPr>
        <c:crossAx val="221616768"/>
        <c:crosses val="autoZero"/>
        <c:auto val="1"/>
        <c:lblAlgn val="ctr"/>
        <c:lblOffset val="100"/>
        <c:noMultiLvlLbl val="0"/>
      </c:catAx>
      <c:valAx>
        <c:axId val="221616768"/>
        <c:scaling>
          <c:orientation val="minMax"/>
          <c:max val="50"/>
        </c:scaling>
        <c:delete val="0"/>
        <c:axPos val="t"/>
        <c:numFmt formatCode="#&quot;%&quot;;;&quot;0%&quot;;" sourceLinked="0"/>
        <c:majorTickMark val="in"/>
        <c:minorTickMark val="none"/>
        <c:tickLblPos val="nextTo"/>
        <c:spPr>
          <a:ln>
            <a:solidFill>
              <a:schemeClr val="tx1"/>
            </a:solidFill>
          </a:ln>
        </c:spPr>
        <c:txPr>
          <a:bodyPr anchor="ctr"/>
          <a:lstStyle/>
          <a:p>
            <a:pPr algn="ctr" rtl="0">
              <a:defRPr sz="900">
                <a:solidFill>
                  <a:schemeClr val="tx1"/>
                </a:solidFill>
              </a:defRPr>
            </a:pPr>
            <a:endParaRPr lang="ja-JP"/>
          </a:p>
        </c:txPr>
        <c:crossAx val="221615232"/>
        <c:crosses val="autoZero"/>
        <c:crossBetween val="between"/>
        <c:majorUnit val="10"/>
      </c:valAx>
      <c:spPr>
        <a:ln>
          <a:noFill/>
        </a:ln>
      </c:spPr>
    </c:plotArea>
    <c:legend>
      <c:legendPos val="r"/>
      <c:layout>
        <c:manualLayout>
          <c:xMode val="edge"/>
          <c:yMode val="edge"/>
          <c:x val="0.70353414371092182"/>
          <c:y val="0.7988127178015455"/>
          <c:w val="0.22838912881124784"/>
          <c:h val="7.3874053921340332E-2"/>
        </c:manualLayout>
      </c:layout>
      <c:overlay val="0"/>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900">
          <a:solidFill>
            <a:schemeClr val="tx1"/>
          </a:solidFill>
          <a:latin typeface="ＭＳ 明朝"/>
          <a:ea typeface="ＭＳ 明朝"/>
        </a:defRPr>
      </a:pPr>
      <a:endParaRPr lang="ja-JP"/>
    </a:p>
  </c:txPr>
  <c:externalData r:id="rId2">
    <c:autoUpdate val="0"/>
  </c:externalData>
  <c:userShapes r:id="rId3"/>
  <c:extLst/>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3.9593868316011901E-2"/>
                  <c:y val="4.3135166931526733E-2"/>
                </c:manualLayout>
              </c:layout>
              <c:dLblPos val="outEnd"/>
              <c:showLegendKey val="0"/>
              <c:showVal val="1"/>
              <c:showCatName val="0"/>
              <c:showSerName val="0"/>
              <c:showPercent val="0"/>
              <c:showBubbleSize val="0"/>
            </c:dLbl>
            <c:spPr>
              <a:solidFill>
                <a:sysClr val="window" lastClr="FFFFFF"/>
              </a:solidFill>
            </c:spPr>
            <c:txPr>
              <a:bodyPr/>
              <a:lstStyle/>
              <a:p>
                <a:pPr>
                  <a:defRPr sz="900" b="1"/>
                </a:pPr>
                <a:endParaRPr lang="ja-JP"/>
              </a:p>
            </c:txPr>
            <c:dLblPos val="inBase"/>
            <c:showLegendKey val="0"/>
            <c:showVal val="1"/>
            <c:showCatName val="0"/>
            <c:showSerName val="0"/>
            <c:showPercent val="0"/>
            <c:showBubbleSize val="0"/>
            <c:showLeaderLines val="0"/>
          </c:dLbls>
          <c:cat>
            <c:strRef>
              <c:f>Sheet1!$B$1:$H$1</c:f>
              <c:strCache>
                <c:ptCount val="7"/>
                <c:pt idx="0">
                  <c:v>近所同士で声を掛け合って一緒に参加する</c:v>
                </c:pt>
                <c:pt idx="1">
                  <c:v>他のイベントと一緒に行う</c:v>
                </c:pt>
                <c:pt idx="2">
                  <c:v>訓練の回数を増やす、参加しやすい日に開催する</c:v>
                </c:pt>
                <c:pt idx="3">
                  <c:v>参加を義務化する</c:v>
                </c:pt>
                <c:pt idx="4">
                  <c:v>参加賞（非常食など）を出す</c:v>
                </c:pt>
                <c:pt idx="5">
                  <c:v>パンフレットやチラシ、テレビＣＭなどで訓練の広報を行う</c:v>
                </c:pt>
                <c:pt idx="6">
                  <c:v>その他</c:v>
                </c:pt>
              </c:strCache>
            </c:strRef>
          </c:cat>
          <c:val>
            <c:numRef>
              <c:f>Sheet1!$B$2:$H$2</c:f>
              <c:numCache>
                <c:formatCode>0.0</c:formatCode>
                <c:ptCount val="7"/>
                <c:pt idx="0">
                  <c:v>36.200000000000003</c:v>
                </c:pt>
                <c:pt idx="1">
                  <c:v>33.300000000000004</c:v>
                </c:pt>
                <c:pt idx="2">
                  <c:v>29.4</c:v>
                </c:pt>
                <c:pt idx="3">
                  <c:v>24</c:v>
                </c:pt>
                <c:pt idx="4">
                  <c:v>23.9</c:v>
                </c:pt>
                <c:pt idx="5">
                  <c:v>16.3</c:v>
                </c:pt>
                <c:pt idx="6">
                  <c:v>2.2999999999999998</c:v>
                </c:pt>
              </c:numCache>
            </c:numRef>
          </c:val>
        </c:ser>
        <c:dLbls>
          <c:showLegendKey val="0"/>
          <c:showVal val="1"/>
          <c:showCatName val="0"/>
          <c:showSerName val="0"/>
          <c:showPercent val="0"/>
          <c:showBubbleSize val="0"/>
        </c:dLbls>
        <c:gapWidth val="100"/>
        <c:axId val="228772096"/>
        <c:axId val="22878208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2"/>
              <c:layout>
                <c:manualLayout>
                  <c:x val="-3.8687500000000014E-2"/>
                  <c:y val="-4.0400843881856517E-2"/>
                </c:manualLayout>
              </c:layout>
              <c:dLblPos val="r"/>
              <c:showLegendKey val="0"/>
              <c:showVal val="1"/>
              <c:showCatName val="0"/>
              <c:showSerName val="0"/>
              <c:showPercent val="0"/>
              <c:showBubbleSize val="0"/>
            </c:dLbl>
            <c:dLbl>
              <c:idx val="3"/>
              <c:layout>
                <c:manualLayout>
                  <c:x val="-3.6584710034460032E-2"/>
                  <c:y val="-3.342148390779582E-2"/>
                </c:manualLayout>
              </c:layout>
              <c:dLblPos val="r"/>
              <c:showLegendKey val="0"/>
              <c:showVal val="1"/>
              <c:showCatName val="0"/>
              <c:showSerName val="0"/>
              <c:showPercent val="0"/>
              <c:showBubbleSize val="0"/>
            </c:dLbl>
            <c:dLbl>
              <c:idx val="4"/>
              <c:layout>
                <c:manualLayout>
                  <c:x val="-4.0770833333333513E-2"/>
                  <c:y val="-4.2510548523206772E-2"/>
                </c:manualLayout>
              </c:layout>
              <c:dLblPos val="r"/>
              <c:showLegendKey val="0"/>
              <c:showVal val="1"/>
              <c:showCatName val="0"/>
              <c:showSerName val="0"/>
              <c:showPercent val="0"/>
              <c:showBubbleSize val="0"/>
            </c:dLbl>
            <c:dLbl>
              <c:idx val="5"/>
              <c:layout>
                <c:manualLayout>
                  <c:x val="-3.2437500000000292E-2"/>
                  <c:y val="-4.2510548523206772E-2"/>
                </c:manualLayout>
              </c:layout>
              <c:dLblPos val="r"/>
              <c:showLegendKey val="0"/>
              <c:showVal val="1"/>
              <c:showCatName val="0"/>
              <c:showSerName val="0"/>
              <c:showPercent val="0"/>
              <c:showBubbleSize val="0"/>
            </c:dLbl>
            <c:dLbl>
              <c:idx val="6"/>
              <c:layout>
                <c:manualLayout>
                  <c:x val="-6.3024934383202594E-4"/>
                  <c:y val="-4.8839662447257383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900" b="1"/>
                </a:pPr>
                <a:endParaRPr lang="ja-JP"/>
              </a:p>
            </c:txPr>
            <c:dLblPos val="b"/>
            <c:showLegendKey val="0"/>
            <c:showVal val="1"/>
            <c:showCatName val="0"/>
            <c:showSerName val="0"/>
            <c:showPercent val="0"/>
            <c:showBubbleSize val="0"/>
            <c:showLeaderLines val="0"/>
          </c:dLbls>
          <c:cat>
            <c:strRef>
              <c:f>Sheet1!$B$1:$H$1</c:f>
              <c:strCache>
                <c:ptCount val="7"/>
                <c:pt idx="0">
                  <c:v>近所同士で声を掛け合って一緒に参加する</c:v>
                </c:pt>
                <c:pt idx="1">
                  <c:v>他のイベントと一緒に行う</c:v>
                </c:pt>
                <c:pt idx="2">
                  <c:v>訓練の回数を増やす、参加しやすい日に開催する</c:v>
                </c:pt>
                <c:pt idx="3">
                  <c:v>参加を義務化する</c:v>
                </c:pt>
                <c:pt idx="4">
                  <c:v>参加賞（非常食など）を出す</c:v>
                </c:pt>
                <c:pt idx="5">
                  <c:v>パンフレットやチラシ、テレビＣＭなどで訓練の広報を行う</c:v>
                </c:pt>
                <c:pt idx="6">
                  <c:v>その他</c:v>
                </c:pt>
              </c:strCache>
            </c:strRef>
          </c:cat>
          <c:val>
            <c:numRef>
              <c:f>Sheet1!$B$3:$H$3</c:f>
              <c:numCache>
                <c:formatCode>0.0</c:formatCode>
                <c:ptCount val="7"/>
                <c:pt idx="0">
                  <c:v>34.200000000000003</c:v>
                </c:pt>
                <c:pt idx="1">
                  <c:v>31.2</c:v>
                </c:pt>
                <c:pt idx="2">
                  <c:v>30.7</c:v>
                </c:pt>
                <c:pt idx="3">
                  <c:v>25.6</c:v>
                </c:pt>
                <c:pt idx="4">
                  <c:v>23.4</c:v>
                </c:pt>
                <c:pt idx="5">
                  <c:v>17</c:v>
                </c:pt>
                <c:pt idx="6">
                  <c:v>2.8</c:v>
                </c:pt>
              </c:numCache>
            </c:numRef>
          </c:val>
          <c:smooth val="0"/>
        </c:ser>
        <c:ser>
          <c:idx val="1"/>
          <c:order val="2"/>
          <c:tx>
            <c:strRef>
              <c:f>Sheet1!$A$4</c:f>
              <c:strCache>
                <c:ptCount val="1"/>
                <c:pt idx="0">
                  <c:v>女性</c:v>
                </c:pt>
              </c:strCache>
            </c:strRef>
          </c:tx>
          <c:spPr>
            <a:ln>
              <a:prstDash val="sysDash"/>
            </a:ln>
          </c:spPr>
          <c:marker>
            <c:symbol val="square"/>
            <c:size val="7"/>
          </c:marker>
          <c:dLbls>
            <c:dLbl>
              <c:idx val="2"/>
              <c:layout>
                <c:manualLayout>
                  <c:x val="-3.8541666666666675E-2"/>
                  <c:y val="3.1962025316455693E-2"/>
                </c:manualLayout>
              </c:layout>
              <c:dLblPos val="r"/>
              <c:showLegendKey val="0"/>
              <c:showVal val="1"/>
              <c:showCatName val="0"/>
              <c:showSerName val="0"/>
              <c:showPercent val="0"/>
              <c:showBubbleSize val="0"/>
            </c:dLbl>
            <c:dLbl>
              <c:idx val="3"/>
              <c:layout>
                <c:manualLayout>
                  <c:x val="-3.8521180172880497E-2"/>
                  <c:y val="2.4214463547521489E-2"/>
                </c:manualLayout>
              </c:layout>
              <c:dLblPos val="r"/>
              <c:showLegendKey val="0"/>
              <c:showVal val="1"/>
              <c:showCatName val="0"/>
              <c:showSerName val="0"/>
              <c:showPercent val="0"/>
              <c:showBubbleSize val="0"/>
            </c:dLbl>
            <c:dLbl>
              <c:idx val="4"/>
              <c:layout>
                <c:manualLayout>
                  <c:x val="-4.0625000000000078E-2"/>
                  <c:y val="3.4071729957805906E-2"/>
                </c:manualLayout>
              </c:layout>
              <c:dLblPos val="r"/>
              <c:showLegendKey val="0"/>
              <c:showVal val="1"/>
              <c:showCatName val="0"/>
              <c:showSerName val="0"/>
              <c:showPercent val="0"/>
              <c:showBubbleSize val="0"/>
            </c:dLbl>
            <c:dLbl>
              <c:idx val="5"/>
              <c:layout>
                <c:manualLayout>
                  <c:x val="-3.8541666666666675E-2"/>
                  <c:y val="3.6181434599156119E-2"/>
                </c:manualLayout>
              </c:layout>
              <c:dLblPos val="r"/>
              <c:showLegendKey val="0"/>
              <c:showVal val="1"/>
              <c:showCatName val="0"/>
              <c:showSerName val="0"/>
              <c:showPercent val="0"/>
              <c:showBubbleSize val="0"/>
            </c:dLbl>
            <c:dLbl>
              <c:idx val="6"/>
              <c:layout>
                <c:manualLayout>
                  <c:x val="3.6458333333333412E-3"/>
                  <c:y val="-2.9219409282700431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dLbls>
          <c:cat>
            <c:strRef>
              <c:f>Sheet1!$B$1:$H$1</c:f>
              <c:strCache>
                <c:ptCount val="7"/>
                <c:pt idx="0">
                  <c:v>近所同士で声を掛け合って一緒に参加する</c:v>
                </c:pt>
                <c:pt idx="1">
                  <c:v>他のイベントと一緒に行う</c:v>
                </c:pt>
                <c:pt idx="2">
                  <c:v>訓練の回数を増やす、参加しやすい日に開催する</c:v>
                </c:pt>
                <c:pt idx="3">
                  <c:v>参加を義務化する</c:v>
                </c:pt>
                <c:pt idx="4">
                  <c:v>参加賞（非常食など）を出す</c:v>
                </c:pt>
                <c:pt idx="5">
                  <c:v>パンフレットやチラシ、テレビＣＭなどで訓練の広報を行う</c:v>
                </c:pt>
                <c:pt idx="6">
                  <c:v>その他</c:v>
                </c:pt>
              </c:strCache>
            </c:strRef>
          </c:cat>
          <c:val>
            <c:numRef>
              <c:f>Sheet1!$B$4:$H$4</c:f>
              <c:numCache>
                <c:formatCode>0.0</c:formatCode>
                <c:ptCount val="7"/>
                <c:pt idx="0">
                  <c:v>37.700000000000003</c:v>
                </c:pt>
                <c:pt idx="1">
                  <c:v>35.4</c:v>
                </c:pt>
                <c:pt idx="2">
                  <c:v>28.3</c:v>
                </c:pt>
                <c:pt idx="3">
                  <c:v>22.9</c:v>
                </c:pt>
                <c:pt idx="4">
                  <c:v>24.3</c:v>
                </c:pt>
                <c:pt idx="5">
                  <c:v>15.7</c:v>
                </c:pt>
                <c:pt idx="6">
                  <c:v>1.8</c:v>
                </c:pt>
              </c:numCache>
            </c:numRef>
          </c:val>
          <c:smooth val="0"/>
        </c:ser>
        <c:dLbls>
          <c:showLegendKey val="0"/>
          <c:showVal val="0"/>
          <c:showCatName val="0"/>
          <c:showSerName val="0"/>
          <c:showPercent val="0"/>
          <c:showBubbleSize val="0"/>
        </c:dLbls>
        <c:marker val="1"/>
        <c:smooth val="0"/>
        <c:axId val="228772096"/>
        <c:axId val="228782080"/>
      </c:lineChart>
      <c:catAx>
        <c:axId val="228772096"/>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28782080"/>
        <c:crosses val="autoZero"/>
        <c:auto val="1"/>
        <c:lblAlgn val="ctr"/>
        <c:lblOffset val="100"/>
        <c:noMultiLvlLbl val="0"/>
      </c:catAx>
      <c:valAx>
        <c:axId val="228782080"/>
        <c:scaling>
          <c:orientation val="minMax"/>
          <c:max val="5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28772096"/>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1"/>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Sheet1!$B$2:$B$8</c:f>
              <c:numCache>
                <c:formatCode>0.0_);[Red]\(0.0\)</c:formatCode>
                <c:ptCount val="7"/>
                <c:pt idx="0">
                  <c:v>26.4</c:v>
                </c:pt>
                <c:pt idx="1">
                  <c:v>35.6</c:v>
                </c:pt>
                <c:pt idx="2">
                  <c:v>33.300000000000004</c:v>
                </c:pt>
                <c:pt idx="3">
                  <c:v>26.4</c:v>
                </c:pt>
                <c:pt idx="4">
                  <c:v>33.300000000000004</c:v>
                </c:pt>
                <c:pt idx="5">
                  <c:v>13.8</c:v>
                </c:pt>
                <c:pt idx="6">
                  <c:v>1.1000000000000001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3"/>
              <c:spPr/>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dLbl>
            <c:dLbl>
              <c:idx val="4"/>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Sheet1!$C$2:$C$8</c:f>
              <c:numCache>
                <c:formatCode>0.0_);[Red]\(0.0\)</c:formatCode>
                <c:ptCount val="7"/>
                <c:pt idx="0">
                  <c:v>20.8</c:v>
                </c:pt>
                <c:pt idx="1">
                  <c:v>34.200000000000003</c:v>
                </c:pt>
                <c:pt idx="2">
                  <c:v>29.2</c:v>
                </c:pt>
                <c:pt idx="3">
                  <c:v>30.7</c:v>
                </c:pt>
                <c:pt idx="4">
                  <c:v>37.6</c:v>
                </c:pt>
                <c:pt idx="5">
                  <c:v>19.3</c:v>
                </c:pt>
                <c:pt idx="6">
                  <c:v>1</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Sheet1!$D$2:$D$8</c:f>
              <c:numCache>
                <c:formatCode>0.0_);[Red]\(0.0\)</c:formatCode>
                <c:ptCount val="7"/>
                <c:pt idx="0">
                  <c:v>25.3</c:v>
                </c:pt>
                <c:pt idx="1">
                  <c:v>41.1</c:v>
                </c:pt>
                <c:pt idx="2">
                  <c:v>28.1</c:v>
                </c:pt>
                <c:pt idx="3">
                  <c:v>26.1</c:v>
                </c:pt>
                <c:pt idx="4">
                  <c:v>29.2</c:v>
                </c:pt>
                <c:pt idx="5">
                  <c:v>17.8</c:v>
                </c:pt>
                <c:pt idx="6">
                  <c:v>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Sheet1!$E$2:$E$8</c:f>
              <c:numCache>
                <c:formatCode>0.0_);[Red]\(0.0\)</c:formatCode>
                <c:ptCount val="7"/>
                <c:pt idx="0">
                  <c:v>26</c:v>
                </c:pt>
                <c:pt idx="1">
                  <c:v>41.1</c:v>
                </c:pt>
                <c:pt idx="2">
                  <c:v>28.3</c:v>
                </c:pt>
                <c:pt idx="3">
                  <c:v>28.6</c:v>
                </c:pt>
                <c:pt idx="4">
                  <c:v>26.6</c:v>
                </c:pt>
                <c:pt idx="5">
                  <c:v>12</c:v>
                </c:pt>
                <c:pt idx="6">
                  <c:v>2.9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Sheet1!$F$2:$F$8</c:f>
              <c:numCache>
                <c:formatCode>0.0_);[Red]\(0.0\)</c:formatCode>
                <c:ptCount val="7"/>
                <c:pt idx="0">
                  <c:v>41.7</c:v>
                </c:pt>
                <c:pt idx="1">
                  <c:v>32.9</c:v>
                </c:pt>
                <c:pt idx="2">
                  <c:v>32.4</c:v>
                </c:pt>
                <c:pt idx="3">
                  <c:v>19.8</c:v>
                </c:pt>
                <c:pt idx="4">
                  <c:v>20.100000000000001</c:v>
                </c:pt>
                <c:pt idx="5">
                  <c:v>16.3</c:v>
                </c:pt>
                <c:pt idx="6">
                  <c:v>2.9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Sheet1!$G$2:$G$8</c:f>
              <c:numCache>
                <c:formatCode>0.0_);[Red]\(0.0\)</c:formatCode>
                <c:ptCount val="7"/>
                <c:pt idx="0">
                  <c:v>54</c:v>
                </c:pt>
                <c:pt idx="1">
                  <c:v>23</c:v>
                </c:pt>
                <c:pt idx="2">
                  <c:v>28.4</c:v>
                </c:pt>
                <c:pt idx="3">
                  <c:v>19.5</c:v>
                </c:pt>
                <c:pt idx="4">
                  <c:v>13.4</c:v>
                </c:pt>
                <c:pt idx="5">
                  <c:v>19.5</c:v>
                </c:pt>
                <c:pt idx="6">
                  <c:v>1.5</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6.3897763578274784E-3"/>
                  <c:y val="-1.6398872650143861E-3"/>
                </c:manualLayout>
              </c:layout>
              <c:spPr>
                <a:solidFill>
                  <a:sysClr val="window" lastClr="FFFFFF"/>
                </a:solidFill>
              </c:spPr>
              <c:txPr>
                <a:bodyPr/>
                <a:lstStyle/>
                <a:p>
                  <a:pPr>
                    <a:defRPr sz="900">
                      <a:latin typeface="Arial Black" panose="020B0A04020102020204" pitchFamily="34" charset="0"/>
                      <a:ea typeface="ＭＳ 明朝" panose="02020609040205080304" pitchFamily="17" charset="-128"/>
                    </a:defRPr>
                  </a:pPr>
                  <a:endParaRPr lang="ja-JP"/>
                </a:p>
              </c:txPr>
              <c:dLblPos val="outEnd"/>
              <c:showLegendKey val="0"/>
              <c:showVal val="1"/>
              <c:showCatName val="0"/>
              <c:showSerName val="0"/>
              <c:showPercent val="0"/>
              <c:showBubbleSize val="0"/>
            </c:dLbl>
            <c:txPr>
              <a:bodyPr/>
              <a:lstStyle/>
              <a:p>
                <a:pPr>
                  <a:defRPr sz="9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showLeaderLines val="0"/>
          </c:dLbls>
          <c:cat>
            <c:strRef>
              <c:f>Sheet1!$A$2:$A$8</c:f>
              <c:strCache>
                <c:ptCount val="7"/>
                <c:pt idx="0">
                  <c:v>近所同士で声を掛け合って
一緒に参加する</c:v>
                </c:pt>
                <c:pt idx="1">
                  <c:v>他のイベントと一緒に行う</c:v>
                </c:pt>
                <c:pt idx="2">
                  <c:v>訓練の回数を増やす、参加
しやすい日に開催する</c:v>
                </c:pt>
                <c:pt idx="3">
                  <c:v>参加を義務化する        </c:v>
                </c:pt>
                <c:pt idx="4">
                  <c:v>参加賞（非常食など）を出
す</c:v>
                </c:pt>
                <c:pt idx="5">
                  <c:v>パンフレットやチラシ、テ
レビＣＭなどで訓練の広報
を行う</c:v>
                </c:pt>
                <c:pt idx="6">
                  <c:v>その他　　　　　　　　　</c:v>
                </c:pt>
              </c:strCache>
            </c:strRef>
          </c:cat>
          <c:val>
            <c:numRef>
              <c:f>Sheet1!$H$2:$H$8</c:f>
              <c:numCache>
                <c:formatCode>0.0_);[Red]\(0.0\)</c:formatCode>
                <c:ptCount val="7"/>
                <c:pt idx="0">
                  <c:v>74.5</c:v>
                </c:pt>
                <c:pt idx="1">
                  <c:v>12.2</c:v>
                </c:pt>
                <c:pt idx="2">
                  <c:v>27.6</c:v>
                </c:pt>
                <c:pt idx="3">
                  <c:v>14.3</c:v>
                </c:pt>
                <c:pt idx="4">
                  <c:v>6.1</c:v>
                </c:pt>
                <c:pt idx="5">
                  <c:v>15.3</c:v>
                </c:pt>
                <c:pt idx="6">
                  <c:v>3.1</c:v>
                </c:pt>
              </c:numCache>
            </c:numRef>
          </c:val>
        </c:ser>
        <c:dLbls>
          <c:showLegendKey val="0"/>
          <c:showVal val="1"/>
          <c:showCatName val="0"/>
          <c:showSerName val="0"/>
          <c:showPercent val="0"/>
          <c:showBubbleSize val="0"/>
        </c:dLbls>
        <c:gapWidth val="100"/>
        <c:axId val="228567680"/>
        <c:axId val="228581760"/>
      </c:barChart>
      <c:catAx>
        <c:axId val="228567680"/>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8581760"/>
        <c:crosses val="autoZero"/>
        <c:auto val="1"/>
        <c:lblAlgn val="ctr"/>
        <c:lblOffset val="100"/>
        <c:noMultiLvlLbl val="0"/>
      </c:catAx>
      <c:valAx>
        <c:axId val="228581760"/>
        <c:scaling>
          <c:orientation val="minMax"/>
          <c:max val="8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8567680"/>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703093471697801"/>
          <c:w val="0.70210394373780149"/>
          <c:h val="0.80377264980605656"/>
        </c:manualLayout>
      </c:layout>
      <c:barChart>
        <c:barDir val="bar"/>
        <c:grouping val="percentStacked"/>
        <c:varyColors val="0"/>
        <c:ser>
          <c:idx val="0"/>
          <c:order val="0"/>
          <c:tx>
            <c:strRef>
              <c:f>Sheet1!$B$1</c:f>
              <c:strCache>
                <c:ptCount val="1"/>
                <c:pt idx="0">
                  <c:v>昭和56年５月以前の木造住宅</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Sheet1!$B$2:$B$13</c:f>
              <c:numCache>
                <c:formatCode>0.0</c:formatCode>
                <c:ptCount val="12"/>
                <c:pt idx="0">
                  <c:v>25.7</c:v>
                </c:pt>
                <c:pt idx="1">
                  <c:v>28.7</c:v>
                </c:pt>
                <c:pt idx="2">
                  <c:v>23.4</c:v>
                </c:pt>
                <c:pt idx="3">
                  <c:v>13.8</c:v>
                </c:pt>
                <c:pt idx="4">
                  <c:v>13.9</c:v>
                </c:pt>
                <c:pt idx="5">
                  <c:v>22.1</c:v>
                </c:pt>
                <c:pt idx="6">
                  <c:v>26.3</c:v>
                </c:pt>
                <c:pt idx="7">
                  <c:v>28.6</c:v>
                </c:pt>
                <c:pt idx="8">
                  <c:v>32.6</c:v>
                </c:pt>
                <c:pt idx="9">
                  <c:v>41.8</c:v>
                </c:pt>
                <c:pt idx="10">
                  <c:v>27</c:v>
                </c:pt>
                <c:pt idx="11">
                  <c:v>20.3</c:v>
                </c:pt>
              </c:numCache>
            </c:numRef>
          </c:val>
        </c:ser>
        <c:ser>
          <c:idx val="1"/>
          <c:order val="1"/>
          <c:tx>
            <c:strRef>
              <c:f>Sheet1!$C$1</c:f>
              <c:strCache>
                <c:ptCount val="1"/>
                <c:pt idx="0">
                  <c:v>昭和56年６月以降で平成12年５月以前の木造住宅</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Sheet1!$C$2:$C$13</c:f>
              <c:numCache>
                <c:formatCode>0.0</c:formatCode>
                <c:ptCount val="12"/>
                <c:pt idx="0">
                  <c:v>21.8</c:v>
                </c:pt>
                <c:pt idx="1">
                  <c:v>23.8</c:v>
                </c:pt>
                <c:pt idx="2">
                  <c:v>20.2</c:v>
                </c:pt>
                <c:pt idx="3">
                  <c:v>12.6</c:v>
                </c:pt>
                <c:pt idx="4">
                  <c:v>20.8</c:v>
                </c:pt>
                <c:pt idx="5">
                  <c:v>14.6</c:v>
                </c:pt>
                <c:pt idx="6">
                  <c:v>19.100000000000001</c:v>
                </c:pt>
                <c:pt idx="7">
                  <c:v>28.9</c:v>
                </c:pt>
                <c:pt idx="8">
                  <c:v>27.2</c:v>
                </c:pt>
                <c:pt idx="9">
                  <c:v>22.4</c:v>
                </c:pt>
                <c:pt idx="10">
                  <c:v>24.9</c:v>
                </c:pt>
                <c:pt idx="11">
                  <c:v>9.8000000000000007</c:v>
                </c:pt>
              </c:numCache>
            </c:numRef>
          </c:val>
        </c:ser>
        <c:ser>
          <c:idx val="2"/>
          <c:order val="2"/>
          <c:tx>
            <c:strRef>
              <c:f>Sheet1!$D$1</c:f>
              <c:strCache>
                <c:ptCount val="1"/>
                <c:pt idx="0">
                  <c:v>平成12年６月以降の木造住宅</c:v>
                </c:pt>
              </c:strCache>
            </c:strRef>
          </c:tx>
          <c:spPr>
            <a:pattFill prst="pct50">
              <a:fgClr>
                <a:sysClr val="windowText" lastClr="000000"/>
              </a:fgClr>
              <a:bgClr>
                <a:sysClr val="window" lastClr="FFFFFF"/>
              </a:bgClr>
            </a:pattFill>
            <a:ln>
              <a:solidFill>
                <a:sysClr val="windowText" lastClr="000000"/>
              </a:solidFill>
            </a:ln>
          </c:spPr>
          <c:invertIfNegative val="0"/>
          <c:dLbls>
            <c:dLbl>
              <c:idx val="11"/>
              <c:layout>
                <c:manualLayout>
                  <c:x val="-2.136752136752137E-3"/>
                  <c:y val="-3.5966400153737983E-2"/>
                </c:manualLayout>
              </c:layout>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Sheet1!$D$2:$D$13</c:f>
              <c:numCache>
                <c:formatCode>0.0</c:formatCode>
                <c:ptCount val="12"/>
                <c:pt idx="0">
                  <c:v>16.8</c:v>
                </c:pt>
                <c:pt idx="1">
                  <c:v>15.1</c:v>
                </c:pt>
                <c:pt idx="2">
                  <c:v>18.2</c:v>
                </c:pt>
                <c:pt idx="3">
                  <c:v>24.1</c:v>
                </c:pt>
                <c:pt idx="4">
                  <c:v>18.8</c:v>
                </c:pt>
                <c:pt idx="5">
                  <c:v>21.7</c:v>
                </c:pt>
                <c:pt idx="6">
                  <c:v>20.6</c:v>
                </c:pt>
                <c:pt idx="7">
                  <c:v>12.8</c:v>
                </c:pt>
                <c:pt idx="8">
                  <c:v>10</c:v>
                </c:pt>
                <c:pt idx="9">
                  <c:v>11.2</c:v>
                </c:pt>
                <c:pt idx="10">
                  <c:v>19.5</c:v>
                </c:pt>
                <c:pt idx="11">
                  <c:v>4.7</c:v>
                </c:pt>
              </c:numCache>
            </c:numRef>
          </c:val>
        </c:ser>
        <c:ser>
          <c:idx val="3"/>
          <c:order val="3"/>
          <c:tx>
            <c:strRef>
              <c:f>Sheet1!$E$1</c:f>
              <c:strCache>
                <c:ptCount val="1"/>
                <c:pt idx="0">
                  <c:v>昭和56年５月以前の非木造住宅</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0"/>
                  <c:y val="-3.0828516377649346E-2"/>
                </c:manualLayout>
              </c:layout>
              <c:dLblPos val="ctr"/>
              <c:showLegendKey val="0"/>
              <c:showVal val="1"/>
              <c:showCatName val="0"/>
              <c:showSerName val="0"/>
              <c:showPercent val="0"/>
              <c:showBubbleSize val="0"/>
            </c:dLbl>
            <c:dLbl>
              <c:idx val="1"/>
              <c:layout>
                <c:manualLayout>
                  <c:x val="2.136752136752137E-3"/>
                  <c:y val="-3.3397559409120106E-2"/>
                </c:manualLayout>
              </c:layout>
              <c:dLblPos val="ctr"/>
              <c:showLegendKey val="0"/>
              <c:showVal val="1"/>
              <c:showCatName val="0"/>
              <c:showSerName val="0"/>
              <c:showPercent val="0"/>
              <c:showBubbleSize val="0"/>
            </c:dLbl>
            <c:dLbl>
              <c:idx val="2"/>
              <c:layout>
                <c:manualLayout>
                  <c:x val="0"/>
                  <c:y val="-3.082851637764928E-2"/>
                </c:manualLayout>
              </c:layout>
              <c:dLblPos val="ctr"/>
              <c:showLegendKey val="0"/>
              <c:showVal val="1"/>
              <c:showCatName val="0"/>
              <c:showSerName val="0"/>
              <c:showPercent val="0"/>
              <c:showBubbleSize val="0"/>
            </c:dLbl>
            <c:dLbl>
              <c:idx val="3"/>
              <c:layout>
                <c:manualLayout>
                  <c:x val="-2.136752136752137E-3"/>
                  <c:y val="-3.5966602440590877E-2"/>
                </c:manualLayout>
              </c:layout>
              <c:dLblPos val="ctr"/>
              <c:showLegendKey val="0"/>
              <c:showVal val="1"/>
              <c:showCatName val="0"/>
              <c:showSerName val="0"/>
              <c:showPercent val="0"/>
              <c:showBubbleSize val="0"/>
            </c:dLbl>
            <c:dLbl>
              <c:idx val="4"/>
              <c:layout>
                <c:manualLayout>
                  <c:x val="-2.1367521367522137E-3"/>
                  <c:y val="-3.0828516377649346E-2"/>
                </c:manualLayout>
              </c:layout>
              <c:dLblPos val="ctr"/>
              <c:showLegendKey val="0"/>
              <c:showVal val="1"/>
              <c:showCatName val="0"/>
              <c:showSerName val="0"/>
              <c:showPercent val="0"/>
              <c:showBubbleSize val="0"/>
            </c:dLbl>
            <c:dLbl>
              <c:idx val="5"/>
              <c:layout>
                <c:manualLayout>
                  <c:x val="-7.8346673280129128E-17"/>
                  <c:y val="-3.3397559409120106E-2"/>
                </c:manualLayout>
              </c:layout>
              <c:dLblPos val="ctr"/>
              <c:showLegendKey val="0"/>
              <c:showVal val="1"/>
              <c:showCatName val="0"/>
              <c:showSerName val="0"/>
              <c:showPercent val="0"/>
              <c:showBubbleSize val="0"/>
            </c:dLbl>
            <c:dLbl>
              <c:idx val="6"/>
              <c:layout>
                <c:manualLayout>
                  <c:x val="-4.2735042735042739E-3"/>
                  <c:y val="-3.0828516377649346E-2"/>
                </c:manualLayout>
              </c:layout>
              <c:dLblPos val="ctr"/>
              <c:showLegendKey val="0"/>
              <c:showVal val="1"/>
              <c:showCatName val="0"/>
              <c:showSerName val="0"/>
              <c:showPercent val="0"/>
              <c:showBubbleSize val="0"/>
            </c:dLbl>
            <c:dLbl>
              <c:idx val="7"/>
              <c:layout>
                <c:manualLayout>
                  <c:x val="2.136752136752137E-3"/>
                  <c:y val="-3.3397559409120196E-2"/>
                </c:manualLayout>
              </c:layout>
              <c:dLblPos val="ctr"/>
              <c:showLegendKey val="0"/>
              <c:showVal val="1"/>
              <c:showCatName val="0"/>
              <c:showSerName val="0"/>
              <c:showPercent val="0"/>
              <c:showBubbleSize val="0"/>
            </c:dLbl>
            <c:dLbl>
              <c:idx val="8"/>
              <c:layout>
                <c:manualLayout>
                  <c:x val="0"/>
                  <c:y val="-3.5966602440590786E-2"/>
                </c:manualLayout>
              </c:layout>
              <c:dLblPos val="ctr"/>
              <c:showLegendKey val="0"/>
              <c:showVal val="1"/>
              <c:showCatName val="0"/>
              <c:showSerName val="0"/>
              <c:showPercent val="0"/>
              <c:showBubbleSize val="0"/>
            </c:dLbl>
            <c:dLbl>
              <c:idx val="9"/>
              <c:layout>
                <c:manualLayout>
                  <c:x val="-4.2735042735042739E-3"/>
                  <c:y val="-3.3397559409120009E-2"/>
                </c:manualLayout>
              </c:layout>
              <c:dLblPos val="ctr"/>
              <c:showLegendKey val="0"/>
              <c:showVal val="1"/>
              <c:showCatName val="0"/>
              <c:showSerName val="0"/>
              <c:showPercent val="0"/>
              <c:showBubbleSize val="0"/>
            </c:dLbl>
            <c:dLbl>
              <c:idx val="10"/>
              <c:layout>
                <c:manualLayout>
                  <c:x val="0"/>
                  <c:y val="-3.0828516377649346E-2"/>
                </c:manualLayout>
              </c:layout>
              <c:dLblPos val="ctr"/>
              <c:showLegendKey val="0"/>
              <c:showVal val="1"/>
              <c:showCatName val="0"/>
              <c:showSerName val="0"/>
              <c:showPercent val="0"/>
              <c:showBubbleSize val="0"/>
            </c:dLbl>
            <c:dLbl>
              <c:idx val="11"/>
              <c:layout>
                <c:manualLayout>
                  <c:x val="0"/>
                  <c:y val="-3.596619786688514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Sheet1!$E$2:$E$13</c:f>
              <c:numCache>
                <c:formatCode>0.0</c:formatCode>
                <c:ptCount val="12"/>
                <c:pt idx="0">
                  <c:v>3.2</c:v>
                </c:pt>
                <c:pt idx="1">
                  <c:v>2.5</c:v>
                </c:pt>
                <c:pt idx="2">
                  <c:v>3.9</c:v>
                </c:pt>
                <c:pt idx="3">
                  <c:v>3.4</c:v>
                </c:pt>
                <c:pt idx="4">
                  <c:v>2</c:v>
                </c:pt>
                <c:pt idx="5">
                  <c:v>3.2</c:v>
                </c:pt>
                <c:pt idx="6">
                  <c:v>2.2999999999999998</c:v>
                </c:pt>
                <c:pt idx="7">
                  <c:v>2</c:v>
                </c:pt>
                <c:pt idx="8">
                  <c:v>5.7</c:v>
                </c:pt>
                <c:pt idx="9">
                  <c:v>7.1</c:v>
                </c:pt>
                <c:pt idx="10">
                  <c:v>3.2</c:v>
                </c:pt>
                <c:pt idx="11">
                  <c:v>3.4</c:v>
                </c:pt>
              </c:numCache>
            </c:numRef>
          </c:val>
        </c:ser>
        <c:ser>
          <c:idx val="4"/>
          <c:order val="4"/>
          <c:tx>
            <c:strRef>
              <c:f>Sheet1!$F$1</c:f>
              <c:strCache>
                <c:ptCount val="1"/>
                <c:pt idx="0">
                  <c:v>昭和56年６月以降の非木造住宅</c:v>
                </c:pt>
              </c:strCache>
            </c:strRef>
          </c:tx>
          <c:spPr>
            <a:pattFill prst="pct10">
              <a:fgClr>
                <a:sysClr val="windowText" lastClr="000000"/>
              </a:fgClr>
              <a:bgClr>
                <a:srgbClr val="FFFF00"/>
              </a:bgClr>
            </a:pattFill>
            <a:ln>
              <a:solidFill>
                <a:sysClr val="windowText" lastClr="000000"/>
              </a:solidFill>
            </a:ln>
          </c:spPr>
          <c:invertIfNegative val="0"/>
          <c:dLbls>
            <c:dLbl>
              <c:idx val="9"/>
              <c:layout>
                <c:manualLayout>
                  <c:x val="0"/>
                  <c:y val="-3.3397559409120009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Sheet1!$F$2:$F$13</c:f>
              <c:numCache>
                <c:formatCode>0.0</c:formatCode>
                <c:ptCount val="12"/>
                <c:pt idx="0">
                  <c:v>13.5</c:v>
                </c:pt>
                <c:pt idx="1">
                  <c:v>15.1</c:v>
                </c:pt>
                <c:pt idx="2">
                  <c:v>12.2</c:v>
                </c:pt>
                <c:pt idx="3">
                  <c:v>13.8</c:v>
                </c:pt>
                <c:pt idx="4">
                  <c:v>13.9</c:v>
                </c:pt>
                <c:pt idx="5">
                  <c:v>15.4</c:v>
                </c:pt>
                <c:pt idx="6">
                  <c:v>13.4</c:v>
                </c:pt>
                <c:pt idx="7">
                  <c:v>15.2</c:v>
                </c:pt>
                <c:pt idx="8">
                  <c:v>12.3</c:v>
                </c:pt>
                <c:pt idx="9">
                  <c:v>6.1</c:v>
                </c:pt>
                <c:pt idx="10">
                  <c:v>12.4</c:v>
                </c:pt>
                <c:pt idx="11">
                  <c:v>18.600000000000001</c:v>
                </c:pt>
              </c:numCache>
            </c:numRef>
          </c:val>
        </c:ser>
        <c:ser>
          <c:idx val="5"/>
          <c:order val="5"/>
          <c:tx>
            <c:strRef>
              <c:f>Sheet1!$G$1</c:f>
              <c:strCache>
                <c:ptCount val="1"/>
                <c:pt idx="0">
                  <c:v>わからない</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8"/>
              <c:layout>
                <c:manualLayout>
                  <c:x val="2.136752136752137E-3"/>
                  <c:y val="-3.082851637764923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layout>
                <c:manualLayout>
                  <c:x val="0"/>
                  <c:y val="-3.3397559409120009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Sheet1!$G$2:$G$13</c:f>
              <c:numCache>
                <c:formatCode>0.0</c:formatCode>
                <c:ptCount val="12"/>
                <c:pt idx="0">
                  <c:v>13.4</c:v>
                </c:pt>
                <c:pt idx="1">
                  <c:v>11.2</c:v>
                </c:pt>
                <c:pt idx="2">
                  <c:v>15.1</c:v>
                </c:pt>
                <c:pt idx="3">
                  <c:v>29.9</c:v>
                </c:pt>
                <c:pt idx="4">
                  <c:v>26.7</c:v>
                </c:pt>
                <c:pt idx="5">
                  <c:v>18.600000000000001</c:v>
                </c:pt>
                <c:pt idx="6">
                  <c:v>11.1</c:v>
                </c:pt>
                <c:pt idx="7">
                  <c:v>7.6</c:v>
                </c:pt>
                <c:pt idx="8">
                  <c:v>5.4</c:v>
                </c:pt>
                <c:pt idx="9">
                  <c:v>5.0999999999999996</c:v>
                </c:pt>
                <c:pt idx="10">
                  <c:v>7.9</c:v>
                </c:pt>
                <c:pt idx="11">
                  <c:v>37.6</c:v>
                </c:pt>
              </c:numCache>
            </c:numRef>
          </c:val>
        </c:ser>
        <c:ser>
          <c:idx val="6"/>
          <c:order val="6"/>
          <c:tx>
            <c:strRef>
              <c:f>Sheet1!$H$1</c:f>
              <c:strCache>
                <c:ptCount val="1"/>
                <c:pt idx="0">
                  <c:v>無回答</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4.8382458541934023E-3"/>
                  <c:y val="-3.3398728218506576E-2"/>
                </c:manualLayout>
              </c:layout>
              <c:dLblPos val="ctr"/>
              <c:showLegendKey val="0"/>
              <c:showVal val="1"/>
              <c:showCatName val="0"/>
              <c:showSerName val="0"/>
              <c:showPercent val="0"/>
              <c:showBubbleSize val="0"/>
            </c:dLbl>
            <c:dLbl>
              <c:idx val="1"/>
              <c:layout>
                <c:manualLayout>
                  <c:x val="1.5115103836458221E-3"/>
                  <c:y val="-3.0829595278621492E-2"/>
                </c:manualLayout>
              </c:layout>
              <c:dLblPos val="ctr"/>
              <c:showLegendKey val="0"/>
              <c:showVal val="1"/>
              <c:showCatName val="0"/>
              <c:showSerName val="0"/>
              <c:showPercent val="0"/>
              <c:showBubbleSize val="0"/>
            </c:dLbl>
            <c:dLbl>
              <c:idx val="2"/>
              <c:layout>
                <c:manualLayout>
                  <c:x val="2.3903658870874566E-3"/>
                  <c:y val="-2.8260462338736327E-2"/>
                </c:manualLayout>
              </c:layout>
              <c:dLblPos val="ctr"/>
              <c:showLegendKey val="0"/>
              <c:showVal val="1"/>
              <c:showCatName val="0"/>
              <c:showSerName val="0"/>
              <c:showPercent val="0"/>
              <c:showBubbleSize val="0"/>
            </c:dLbl>
            <c:dLbl>
              <c:idx val="3"/>
              <c:layout>
                <c:manualLayout>
                  <c:x val="6.0672309324848834E-3"/>
                  <c:y val="-2.8260462338736327E-2"/>
                </c:manualLayout>
              </c:layout>
              <c:dLblPos val="ctr"/>
              <c:showLegendKey val="0"/>
              <c:showVal val="1"/>
              <c:showCatName val="0"/>
              <c:showSerName val="0"/>
              <c:showPercent val="0"/>
              <c:showBubbleSize val="0"/>
            </c:dLbl>
            <c:dLbl>
              <c:idx val="4"/>
              <c:layout>
                <c:manualLayout>
                  <c:x val="4.3929321586110475E-3"/>
                  <c:y val="-3.3398728218506576E-2"/>
                </c:manualLayout>
              </c:layout>
              <c:dLblPos val="ctr"/>
              <c:showLegendKey val="0"/>
              <c:showVal val="1"/>
              <c:showCatName val="0"/>
              <c:showSerName val="0"/>
              <c:showPercent val="0"/>
              <c:showBubbleSize val="0"/>
            </c:dLbl>
            <c:dLbl>
              <c:idx val="5"/>
              <c:layout>
                <c:manualLayout>
                  <c:x val="7.5821047126229954E-3"/>
                  <c:y val="-3.3398728218506576E-2"/>
                </c:manualLayout>
              </c:layout>
              <c:dLblPos val="ctr"/>
              <c:showLegendKey val="0"/>
              <c:showVal val="1"/>
              <c:showCatName val="0"/>
              <c:showSerName val="0"/>
              <c:showPercent val="0"/>
              <c:showBubbleSize val="0"/>
            </c:dLbl>
            <c:dLbl>
              <c:idx val="6"/>
              <c:layout>
                <c:manualLayout>
                  <c:x val="8.4216084771045197E-3"/>
                  <c:y val="-3.0829595278621492E-2"/>
                </c:manualLayout>
              </c:layout>
              <c:dLblPos val="ctr"/>
              <c:showLegendKey val="0"/>
              <c:showVal val="1"/>
              <c:showCatName val="0"/>
              <c:showSerName val="0"/>
              <c:showPercent val="0"/>
              <c:showBubbleSize val="0"/>
            </c:dLbl>
            <c:dLbl>
              <c:idx val="7"/>
              <c:layout>
                <c:manualLayout>
                  <c:x val="7.2931889539332734E-3"/>
                  <c:y val="-3.5967861158391595E-2"/>
                </c:manualLayout>
              </c:layout>
              <c:dLblPos val="ctr"/>
              <c:showLegendKey val="0"/>
              <c:showVal val="1"/>
              <c:showCatName val="0"/>
              <c:showSerName val="0"/>
              <c:showPercent val="0"/>
              <c:showBubbleSize val="0"/>
            </c:dLbl>
            <c:dLbl>
              <c:idx val="8"/>
              <c:layout>
                <c:manualLayout>
                  <c:x val="2.7655527658050866E-3"/>
                  <c:y val="-3.0829595278621492E-2"/>
                </c:manualLayout>
              </c:layout>
              <c:dLblPos val="ctr"/>
              <c:showLegendKey val="0"/>
              <c:showVal val="1"/>
              <c:showCatName val="0"/>
              <c:showSerName val="0"/>
              <c:showPercent val="0"/>
              <c:showBubbleSize val="0"/>
            </c:dLbl>
            <c:dLbl>
              <c:idx val="9"/>
              <c:layout>
                <c:manualLayout>
                  <c:x val="3.3711323042461211E-3"/>
                  <c:y val="-3.0829595278621412E-2"/>
                </c:manualLayout>
              </c:layout>
              <c:dLblPos val="ctr"/>
              <c:showLegendKey val="0"/>
              <c:showVal val="1"/>
              <c:showCatName val="0"/>
              <c:showSerName val="0"/>
              <c:showPercent val="0"/>
              <c:showBubbleSize val="0"/>
            </c:dLbl>
            <c:dLbl>
              <c:idx val="10"/>
              <c:layout>
                <c:manualLayout>
                  <c:x val="4.4559958428419359E-3"/>
                  <c:y val="-3.3398728218506576E-2"/>
                </c:manualLayout>
              </c:layout>
              <c:dLblPos val="ctr"/>
              <c:showLegendKey val="0"/>
              <c:showVal val="1"/>
              <c:showCatName val="0"/>
              <c:showSerName val="0"/>
              <c:showPercent val="0"/>
              <c:showBubbleSize val="0"/>
            </c:dLbl>
            <c:dLbl>
              <c:idx val="11"/>
              <c:layout>
                <c:manualLayout>
                  <c:x val="5.8334748762690495E-3"/>
                  <c:y val="-3.596786115839168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Sheet1!$H$2:$H$13</c:f>
              <c:numCache>
                <c:formatCode>0.0</c:formatCode>
                <c:ptCount val="12"/>
                <c:pt idx="0">
                  <c:v>5.7</c:v>
                </c:pt>
                <c:pt idx="1">
                  <c:v>3.6</c:v>
                </c:pt>
                <c:pt idx="2">
                  <c:v>7</c:v>
                </c:pt>
                <c:pt idx="3">
                  <c:v>2.2999999999999998</c:v>
                </c:pt>
                <c:pt idx="4">
                  <c:v>4</c:v>
                </c:pt>
                <c:pt idx="5">
                  <c:v>4.3</c:v>
                </c:pt>
                <c:pt idx="6">
                  <c:v>7.1</c:v>
                </c:pt>
                <c:pt idx="7">
                  <c:v>5</c:v>
                </c:pt>
                <c:pt idx="8">
                  <c:v>6.9</c:v>
                </c:pt>
                <c:pt idx="9">
                  <c:v>6.1</c:v>
                </c:pt>
                <c:pt idx="10">
                  <c:v>5.2</c:v>
                </c:pt>
                <c:pt idx="11">
                  <c:v>5.4</c:v>
                </c:pt>
              </c:numCache>
            </c:numRef>
          </c:val>
        </c:ser>
        <c:dLbls>
          <c:showLegendKey val="0"/>
          <c:showVal val="0"/>
          <c:showCatName val="0"/>
          <c:showSerName val="0"/>
          <c:showPercent val="0"/>
          <c:showBubbleSize val="0"/>
        </c:dLbls>
        <c:gapWidth val="90"/>
        <c:overlap val="100"/>
        <c:axId val="228855168"/>
        <c:axId val="228861056"/>
      </c:barChart>
      <c:catAx>
        <c:axId val="22885516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8861056"/>
        <c:crosses val="autoZero"/>
        <c:auto val="1"/>
        <c:lblAlgn val="ctr"/>
        <c:lblOffset val="100"/>
        <c:noMultiLvlLbl val="0"/>
      </c:catAx>
      <c:valAx>
        <c:axId val="22886105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8855168"/>
        <c:crosses val="autoZero"/>
        <c:crossBetween val="between"/>
        <c:majorUnit val="0.1"/>
      </c:valAx>
    </c:plotArea>
    <c:legend>
      <c:legendPos val="r"/>
      <c:layout>
        <c:manualLayout>
          <c:xMode val="edge"/>
          <c:yMode val="edge"/>
          <c:x val="0"/>
          <c:y val="1.8843625254239191E-3"/>
          <c:w val="1"/>
          <c:h val="0.1282466281310219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昭和56年５月以前の木造住宅</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25.7</c:v>
                </c:pt>
                <c:pt idx="1">
                  <c:v>49.5</c:v>
                </c:pt>
                <c:pt idx="2">
                  <c:v>33.300000000000004</c:v>
                </c:pt>
                <c:pt idx="3">
                  <c:v>36.200000000000003</c:v>
                </c:pt>
                <c:pt idx="4">
                  <c:v>19.7</c:v>
                </c:pt>
                <c:pt idx="5">
                  <c:v>17.399999999999999</c:v>
                </c:pt>
                <c:pt idx="6">
                  <c:v>31</c:v>
                </c:pt>
                <c:pt idx="7">
                  <c:v>14.1</c:v>
                </c:pt>
                <c:pt idx="8">
                  <c:v>31.8</c:v>
                </c:pt>
                <c:pt idx="9">
                  <c:v>28.2</c:v>
                </c:pt>
                <c:pt idx="10">
                  <c:v>10.3</c:v>
                </c:pt>
                <c:pt idx="11">
                  <c:v>34.4</c:v>
                </c:pt>
                <c:pt idx="12">
                  <c:v>25.3</c:v>
                </c:pt>
                <c:pt idx="13">
                  <c:v>19.399999999999999</c:v>
                </c:pt>
                <c:pt idx="14">
                  <c:v>43</c:v>
                </c:pt>
                <c:pt idx="15">
                  <c:v>27.1</c:v>
                </c:pt>
                <c:pt idx="16">
                  <c:v>44.1</c:v>
                </c:pt>
                <c:pt idx="17">
                  <c:v>28.6</c:v>
                </c:pt>
                <c:pt idx="18">
                  <c:v>37.300000000000004</c:v>
                </c:pt>
                <c:pt idx="19">
                  <c:v>28.5</c:v>
                </c:pt>
                <c:pt idx="20">
                  <c:v>27.4</c:v>
                </c:pt>
              </c:numCache>
            </c:numRef>
          </c:val>
        </c:ser>
        <c:ser>
          <c:idx val="1"/>
          <c:order val="1"/>
          <c:tx>
            <c:strRef>
              <c:f>Sheet1!$C$1</c:f>
              <c:strCache>
                <c:ptCount val="1"/>
                <c:pt idx="0">
                  <c:v>昭和56年６月以降で平成12年５月以前の木造住宅</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21.8</c:v>
                </c:pt>
                <c:pt idx="1">
                  <c:v>26.8</c:v>
                </c:pt>
                <c:pt idx="2">
                  <c:v>33.300000000000004</c:v>
                </c:pt>
                <c:pt idx="3">
                  <c:v>15.9</c:v>
                </c:pt>
                <c:pt idx="4">
                  <c:v>22.5</c:v>
                </c:pt>
                <c:pt idx="5">
                  <c:v>24.1</c:v>
                </c:pt>
                <c:pt idx="6">
                  <c:v>20.2</c:v>
                </c:pt>
                <c:pt idx="7">
                  <c:v>31.3</c:v>
                </c:pt>
                <c:pt idx="8">
                  <c:v>13.6</c:v>
                </c:pt>
                <c:pt idx="9">
                  <c:v>19.5</c:v>
                </c:pt>
                <c:pt idx="10">
                  <c:v>15.5</c:v>
                </c:pt>
                <c:pt idx="11">
                  <c:v>25.9</c:v>
                </c:pt>
                <c:pt idx="12">
                  <c:v>18.8</c:v>
                </c:pt>
                <c:pt idx="13">
                  <c:v>20</c:v>
                </c:pt>
                <c:pt idx="14">
                  <c:v>22.8</c:v>
                </c:pt>
                <c:pt idx="15">
                  <c:v>27.1</c:v>
                </c:pt>
                <c:pt idx="16">
                  <c:v>20.6</c:v>
                </c:pt>
                <c:pt idx="17">
                  <c:v>27</c:v>
                </c:pt>
                <c:pt idx="18">
                  <c:v>17.600000000000001</c:v>
                </c:pt>
                <c:pt idx="19">
                  <c:v>25.2</c:v>
                </c:pt>
                <c:pt idx="20">
                  <c:v>17.899999999999999</c:v>
                </c:pt>
              </c:numCache>
            </c:numRef>
          </c:val>
        </c:ser>
        <c:ser>
          <c:idx val="2"/>
          <c:order val="2"/>
          <c:tx>
            <c:strRef>
              <c:f>Sheet1!$D$1</c:f>
              <c:strCache>
                <c:ptCount val="1"/>
                <c:pt idx="0">
                  <c:v>平成12年６月以降の木造住宅</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16.8</c:v>
                </c:pt>
                <c:pt idx="1">
                  <c:v>7.2</c:v>
                </c:pt>
                <c:pt idx="2">
                  <c:v>11.1</c:v>
                </c:pt>
                <c:pt idx="3">
                  <c:v>11.6</c:v>
                </c:pt>
                <c:pt idx="4">
                  <c:v>22.5</c:v>
                </c:pt>
                <c:pt idx="5">
                  <c:v>22</c:v>
                </c:pt>
                <c:pt idx="6">
                  <c:v>12.3</c:v>
                </c:pt>
                <c:pt idx="7">
                  <c:v>18.8</c:v>
                </c:pt>
                <c:pt idx="8">
                  <c:v>13.6</c:v>
                </c:pt>
                <c:pt idx="9">
                  <c:v>18.100000000000001</c:v>
                </c:pt>
                <c:pt idx="10">
                  <c:v>27.6</c:v>
                </c:pt>
                <c:pt idx="11">
                  <c:v>10.1</c:v>
                </c:pt>
                <c:pt idx="12">
                  <c:v>12.9</c:v>
                </c:pt>
                <c:pt idx="13">
                  <c:v>19.899999999999999</c:v>
                </c:pt>
                <c:pt idx="14">
                  <c:v>12.3</c:v>
                </c:pt>
                <c:pt idx="15">
                  <c:v>17.899999999999999</c:v>
                </c:pt>
                <c:pt idx="16">
                  <c:v>8.8000000000000007</c:v>
                </c:pt>
                <c:pt idx="17">
                  <c:v>11.9</c:v>
                </c:pt>
                <c:pt idx="18">
                  <c:v>15.7</c:v>
                </c:pt>
                <c:pt idx="19">
                  <c:v>14.6</c:v>
                </c:pt>
                <c:pt idx="20">
                  <c:v>13.4</c:v>
                </c:pt>
              </c:numCache>
            </c:numRef>
          </c:val>
        </c:ser>
        <c:ser>
          <c:idx val="3"/>
          <c:order val="3"/>
          <c:tx>
            <c:strRef>
              <c:f>Sheet1!$E$1</c:f>
              <c:strCache>
                <c:ptCount val="1"/>
                <c:pt idx="0">
                  <c:v>昭和56年５月以前の非木造住宅</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4.1279669762641765E-3"/>
                  <c:y val="-1.9298245614035241E-2"/>
                </c:manualLayout>
              </c:layout>
              <c:dLblPos val="ctr"/>
              <c:showLegendKey val="0"/>
              <c:showVal val="1"/>
              <c:showCatName val="0"/>
              <c:showSerName val="0"/>
              <c:showPercent val="0"/>
              <c:showBubbleSize val="0"/>
            </c:dLbl>
            <c:dLbl>
              <c:idx val="1"/>
              <c:delete val="1"/>
            </c:dLbl>
            <c:dLbl>
              <c:idx val="2"/>
              <c:delete val="1"/>
            </c:dLbl>
            <c:dLbl>
              <c:idx val="3"/>
              <c:layout>
                <c:manualLayout>
                  <c:x val="-2.063983488132162E-3"/>
                  <c:y val="-2.1052631578947382E-2"/>
                </c:manualLayout>
              </c:layout>
              <c:dLblPos val="ctr"/>
              <c:showLegendKey val="0"/>
              <c:showVal val="1"/>
              <c:showCatName val="0"/>
              <c:showSerName val="0"/>
              <c:showPercent val="0"/>
              <c:showBubbleSize val="0"/>
            </c:dLbl>
            <c:dLbl>
              <c:idx val="4"/>
              <c:layout>
                <c:manualLayout>
                  <c:x val="-4.1279669762641765E-3"/>
                  <c:y val="-2.1052631578947382E-2"/>
                </c:manualLayout>
              </c:layout>
              <c:dLblPos val="ctr"/>
              <c:showLegendKey val="0"/>
              <c:showVal val="1"/>
              <c:showCatName val="0"/>
              <c:showSerName val="0"/>
              <c:showPercent val="0"/>
              <c:showBubbleSize val="0"/>
            </c:dLbl>
            <c:dLbl>
              <c:idx val="5"/>
              <c:layout>
                <c:manualLayout>
                  <c:x val="-2.063983488132162E-3"/>
                  <c:y val="-1.9298245614035241E-2"/>
                </c:manualLayout>
              </c:layout>
              <c:dLblPos val="ctr"/>
              <c:showLegendKey val="0"/>
              <c:showVal val="1"/>
              <c:showCatName val="0"/>
              <c:showSerName val="0"/>
              <c:showPercent val="0"/>
              <c:showBubbleSize val="0"/>
            </c:dLbl>
            <c:dLbl>
              <c:idx val="6"/>
              <c:layout>
                <c:manualLayout>
                  <c:x val="0"/>
                  <c:y val="-1.9298245614035241E-2"/>
                </c:manualLayout>
              </c:layout>
              <c:dLblPos val="ctr"/>
              <c:showLegendKey val="0"/>
              <c:showVal val="1"/>
              <c:showCatName val="0"/>
              <c:showSerName val="0"/>
              <c:showPercent val="0"/>
              <c:showBubbleSize val="0"/>
            </c:dLbl>
            <c:dLbl>
              <c:idx val="7"/>
              <c:layout>
                <c:manualLayout>
                  <c:x val="0"/>
                  <c:y val="-1.9298245614035241E-2"/>
                </c:manualLayout>
              </c:layout>
              <c:dLblPos val="ctr"/>
              <c:showLegendKey val="0"/>
              <c:showVal val="1"/>
              <c:showCatName val="0"/>
              <c:showSerName val="0"/>
              <c:showPercent val="0"/>
              <c:showBubbleSize val="0"/>
            </c:dLbl>
            <c:dLbl>
              <c:idx val="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layout>
                <c:manualLayout>
                  <c:x val="-2.063983488132162E-3"/>
                  <c:y val="-2.1052631578947382E-2"/>
                </c:manualLayout>
              </c:layout>
              <c:dLblPos val="ctr"/>
              <c:showLegendKey val="0"/>
              <c:showVal val="1"/>
              <c:showCatName val="0"/>
              <c:showSerName val="0"/>
              <c:showPercent val="0"/>
              <c:showBubbleSize val="0"/>
            </c:dLbl>
            <c:dLbl>
              <c:idx val="10"/>
              <c:layout>
                <c:manualLayout>
                  <c:x val="2.063983488132162E-3"/>
                  <c:y val="-2.2807017543860691E-2"/>
                </c:manualLayout>
              </c:layout>
              <c:dLblPos val="ctr"/>
              <c:showLegendKey val="0"/>
              <c:showVal val="1"/>
              <c:showCatName val="0"/>
              <c:showSerName val="0"/>
              <c:showPercent val="0"/>
              <c:showBubbleSize val="0"/>
            </c:dLbl>
            <c:dLbl>
              <c:idx val="11"/>
              <c:layout>
                <c:manualLayout>
                  <c:x val="-2.063983488132162E-3"/>
                  <c:y val="-2.1052631578947382E-2"/>
                </c:manualLayout>
              </c:layout>
              <c:dLblPos val="ctr"/>
              <c:showLegendKey val="0"/>
              <c:showVal val="1"/>
              <c:showCatName val="0"/>
              <c:showSerName val="0"/>
              <c:showPercent val="0"/>
              <c:showBubbleSize val="0"/>
            </c:dLbl>
            <c:dLbl>
              <c:idx val="12"/>
              <c:layout>
                <c:manualLayout>
                  <c:x val="0"/>
                  <c:y val="-1.9298245614035241E-2"/>
                </c:manualLayout>
              </c:layout>
              <c:dLblPos val="ctr"/>
              <c:showLegendKey val="0"/>
              <c:showVal val="1"/>
              <c:showCatName val="0"/>
              <c:showSerName val="0"/>
              <c:showPercent val="0"/>
              <c:showBubbleSize val="0"/>
            </c:dLbl>
            <c:dLbl>
              <c:idx val="13"/>
              <c:layout>
                <c:manualLayout>
                  <c:x val="0"/>
                  <c:y val="-1.9298245614035241E-2"/>
                </c:manualLayout>
              </c:layout>
              <c:dLblPos val="ctr"/>
              <c:showLegendKey val="0"/>
              <c:showVal val="1"/>
              <c:showCatName val="0"/>
              <c:showSerName val="0"/>
              <c:showPercent val="0"/>
              <c:showBubbleSize val="0"/>
            </c:dLbl>
            <c:dLbl>
              <c:idx val="14"/>
              <c:layout>
                <c:manualLayout>
                  <c:x val="-2.063983488132162E-3"/>
                  <c:y val="-1.9298245614035241E-2"/>
                </c:manualLayout>
              </c:layout>
              <c:dLblPos val="ctr"/>
              <c:showLegendKey val="0"/>
              <c:showVal val="1"/>
              <c:showCatName val="0"/>
              <c:showSerName val="0"/>
              <c:showPercent val="0"/>
              <c:showBubbleSize val="0"/>
            </c:dLbl>
            <c:dLbl>
              <c:idx val="15"/>
              <c:layout>
                <c:manualLayout>
                  <c:x val="-2.063983488132162E-3"/>
                  <c:y val="-2.1052631578947382E-2"/>
                </c:manualLayout>
              </c:layout>
              <c:dLblPos val="ctr"/>
              <c:showLegendKey val="0"/>
              <c:showVal val="1"/>
              <c:showCatName val="0"/>
              <c:showSerName val="0"/>
              <c:showPercent val="0"/>
              <c:showBubbleSize val="0"/>
            </c:dLbl>
            <c:dLbl>
              <c:idx val="16"/>
              <c:layout>
                <c:manualLayout>
                  <c:x val="-8.2559339525285248E-3"/>
                  <c:y val="-1.9298245614035241E-2"/>
                </c:manualLayout>
              </c:layout>
              <c:dLblPos val="ctr"/>
              <c:showLegendKey val="0"/>
              <c:showVal val="1"/>
              <c:showCatName val="0"/>
              <c:showSerName val="0"/>
              <c:showPercent val="0"/>
              <c:showBubbleSize val="0"/>
            </c:dLbl>
            <c:dLbl>
              <c:idx val="17"/>
              <c:layout>
                <c:manualLayout>
                  <c:x val="0"/>
                  <c:y val="-2.1052631578947382E-2"/>
                </c:manualLayout>
              </c:layout>
              <c:dLblPos val="ctr"/>
              <c:showLegendKey val="0"/>
              <c:showVal val="1"/>
              <c:showCatName val="0"/>
              <c:showSerName val="0"/>
              <c:showPercent val="0"/>
              <c:showBubbleSize val="0"/>
            </c:dLbl>
            <c:dLbl>
              <c:idx val="18"/>
              <c:delete val="1"/>
            </c:dLbl>
            <c:dLbl>
              <c:idx val="19"/>
              <c:layout>
                <c:manualLayout>
                  <c:x val="-4.1279669762641765E-3"/>
                  <c:y val="-1.9298245614035241E-2"/>
                </c:manualLayout>
              </c:layout>
              <c:dLblPos val="ctr"/>
              <c:showLegendKey val="0"/>
              <c:showVal val="1"/>
              <c:showCatName val="0"/>
              <c:showSerName val="0"/>
              <c:showPercent val="0"/>
              <c:showBubbleSize val="0"/>
            </c:dLbl>
            <c:dLbl>
              <c:idx val="20"/>
              <c:layout>
                <c:manualLayout>
                  <c:x val="0"/>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3.2</c:v>
                </c:pt>
                <c:pt idx="1">
                  <c:v>0</c:v>
                </c:pt>
                <c:pt idx="2">
                  <c:v>0</c:v>
                </c:pt>
                <c:pt idx="3">
                  <c:v>7.2</c:v>
                </c:pt>
                <c:pt idx="4">
                  <c:v>3.7</c:v>
                </c:pt>
                <c:pt idx="5">
                  <c:v>1.8</c:v>
                </c:pt>
                <c:pt idx="6">
                  <c:v>3.4</c:v>
                </c:pt>
                <c:pt idx="7">
                  <c:v>1.6</c:v>
                </c:pt>
                <c:pt idx="8">
                  <c:v>13.6</c:v>
                </c:pt>
                <c:pt idx="9">
                  <c:v>4</c:v>
                </c:pt>
                <c:pt idx="10">
                  <c:v>2.6</c:v>
                </c:pt>
                <c:pt idx="11">
                  <c:v>2.6</c:v>
                </c:pt>
                <c:pt idx="12">
                  <c:v>5.3</c:v>
                </c:pt>
                <c:pt idx="13">
                  <c:v>3.5</c:v>
                </c:pt>
                <c:pt idx="14">
                  <c:v>2.6</c:v>
                </c:pt>
                <c:pt idx="15">
                  <c:v>2.2000000000000002</c:v>
                </c:pt>
                <c:pt idx="16">
                  <c:v>2.9</c:v>
                </c:pt>
                <c:pt idx="17">
                  <c:v>4.8</c:v>
                </c:pt>
                <c:pt idx="18">
                  <c:v>0</c:v>
                </c:pt>
                <c:pt idx="19">
                  <c:v>1.6</c:v>
                </c:pt>
                <c:pt idx="20">
                  <c:v>5</c:v>
                </c:pt>
              </c:numCache>
            </c:numRef>
          </c:val>
        </c:ser>
        <c:ser>
          <c:idx val="4"/>
          <c:order val="4"/>
          <c:tx>
            <c:strRef>
              <c:f>Sheet1!$F$1</c:f>
              <c:strCache>
                <c:ptCount val="1"/>
                <c:pt idx="0">
                  <c:v>昭和56年６月以降の非木造住宅</c:v>
                </c:pt>
              </c:strCache>
            </c:strRef>
          </c:tx>
          <c:spPr>
            <a:pattFill prst="pct10">
              <a:fgClr>
                <a:sysClr val="windowText" lastClr="000000"/>
              </a:fgClr>
              <a:bgClr>
                <a:srgbClr val="FFFF00"/>
              </a:bgClr>
            </a:pattFill>
            <a:ln>
              <a:solidFill>
                <a:sysClr val="windowText" lastClr="000000"/>
              </a:solidFill>
            </a:ln>
          </c:spPr>
          <c:invertIfNegative val="0"/>
          <c:dLbls>
            <c:dLbl>
              <c:idx val="1"/>
              <c:layout>
                <c:manualLayout>
                  <c:x val="0"/>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4"/>
              <c:layout>
                <c:manualLayout>
                  <c:x val="0"/>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6"/>
              <c:layout>
                <c:manualLayout>
                  <c:x val="2.063983488132162E-3"/>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8"/>
              <c:layout>
                <c:manualLayout>
                  <c:x val="0"/>
                  <c:y val="-1.929824561403524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13.5</c:v>
                </c:pt>
                <c:pt idx="1">
                  <c:v>3.1</c:v>
                </c:pt>
                <c:pt idx="2">
                  <c:v>11.1</c:v>
                </c:pt>
                <c:pt idx="3">
                  <c:v>15.9</c:v>
                </c:pt>
                <c:pt idx="4">
                  <c:v>18.8</c:v>
                </c:pt>
                <c:pt idx="5">
                  <c:v>14.9</c:v>
                </c:pt>
                <c:pt idx="6">
                  <c:v>12.3</c:v>
                </c:pt>
                <c:pt idx="7">
                  <c:v>25</c:v>
                </c:pt>
                <c:pt idx="8">
                  <c:v>13.6</c:v>
                </c:pt>
                <c:pt idx="9">
                  <c:v>15.4</c:v>
                </c:pt>
                <c:pt idx="10">
                  <c:v>14.7</c:v>
                </c:pt>
                <c:pt idx="11">
                  <c:v>8.5</c:v>
                </c:pt>
                <c:pt idx="12">
                  <c:v>10.6</c:v>
                </c:pt>
                <c:pt idx="13">
                  <c:v>17.600000000000001</c:v>
                </c:pt>
                <c:pt idx="14">
                  <c:v>6.1</c:v>
                </c:pt>
                <c:pt idx="15">
                  <c:v>8.3000000000000007</c:v>
                </c:pt>
                <c:pt idx="16">
                  <c:v>2.9</c:v>
                </c:pt>
                <c:pt idx="17">
                  <c:v>12.7</c:v>
                </c:pt>
                <c:pt idx="18">
                  <c:v>5.9</c:v>
                </c:pt>
                <c:pt idx="19">
                  <c:v>9.8000000000000007</c:v>
                </c:pt>
                <c:pt idx="20">
                  <c:v>16.399999999999999</c:v>
                </c:pt>
              </c:numCache>
            </c:numRef>
          </c:val>
        </c:ser>
        <c:ser>
          <c:idx val="5"/>
          <c:order val="5"/>
          <c:tx>
            <c:strRef>
              <c:f>Sheet1!$G$1</c:f>
              <c:strCache>
                <c:ptCount val="1"/>
                <c:pt idx="0">
                  <c:v>わからない</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7"/>
              <c:layout>
                <c:manualLayout>
                  <c:x val="0"/>
                  <c:y val="-1.754385964912330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13.4</c:v>
                </c:pt>
                <c:pt idx="1">
                  <c:v>6.2</c:v>
                </c:pt>
                <c:pt idx="2">
                  <c:v>11.1</c:v>
                </c:pt>
                <c:pt idx="3">
                  <c:v>8.7000000000000011</c:v>
                </c:pt>
                <c:pt idx="4">
                  <c:v>8.3000000000000007</c:v>
                </c:pt>
                <c:pt idx="5">
                  <c:v>14.9</c:v>
                </c:pt>
                <c:pt idx="6">
                  <c:v>15.3</c:v>
                </c:pt>
                <c:pt idx="7">
                  <c:v>4.7</c:v>
                </c:pt>
                <c:pt idx="8">
                  <c:v>9.1</c:v>
                </c:pt>
                <c:pt idx="9">
                  <c:v>7.4</c:v>
                </c:pt>
                <c:pt idx="10">
                  <c:v>26.7</c:v>
                </c:pt>
                <c:pt idx="11">
                  <c:v>11.1</c:v>
                </c:pt>
                <c:pt idx="12">
                  <c:v>21.2</c:v>
                </c:pt>
                <c:pt idx="13">
                  <c:v>13.1</c:v>
                </c:pt>
                <c:pt idx="14">
                  <c:v>9.6</c:v>
                </c:pt>
                <c:pt idx="15">
                  <c:v>11.8</c:v>
                </c:pt>
                <c:pt idx="16">
                  <c:v>14.7</c:v>
                </c:pt>
                <c:pt idx="17">
                  <c:v>9.5</c:v>
                </c:pt>
                <c:pt idx="18">
                  <c:v>21.6</c:v>
                </c:pt>
                <c:pt idx="19">
                  <c:v>16.3</c:v>
                </c:pt>
                <c:pt idx="20">
                  <c:v>16.399999999999999</c:v>
                </c:pt>
              </c:numCache>
            </c:numRef>
          </c:val>
        </c:ser>
        <c:ser>
          <c:idx val="6"/>
          <c:order val="6"/>
          <c:tx>
            <c:strRef>
              <c:f>Sheet1!$H$1</c:f>
              <c:strCache>
                <c:ptCount val="1"/>
                <c:pt idx="0">
                  <c:v>無回答</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6.5001234375407033E-3"/>
                  <c:y val="-2.1056660239595501E-2"/>
                </c:manualLayout>
              </c:layout>
              <c:dLblPos val="ctr"/>
              <c:showLegendKey val="0"/>
              <c:showVal val="1"/>
              <c:showCatName val="0"/>
              <c:showSerName val="0"/>
              <c:showPercent val="0"/>
              <c:showBubbleSize val="0"/>
            </c:dLbl>
            <c:dLbl>
              <c:idx val="1"/>
              <c:layout>
                <c:manualLayout>
                  <c:x val="7.2990566773212804E-4"/>
                  <c:y val="-1.9301938552962621E-2"/>
                </c:manualLayout>
              </c:layout>
              <c:dLblPos val="ctr"/>
              <c:showLegendKey val="0"/>
              <c:showVal val="1"/>
              <c:showCatName val="0"/>
              <c:showSerName val="0"/>
              <c:showPercent val="0"/>
              <c:showBubbleSize val="0"/>
            </c:dLbl>
            <c:dLbl>
              <c:idx val="2"/>
              <c:delete val="1"/>
            </c:dLbl>
            <c:dLbl>
              <c:idx val="3"/>
              <c:layout>
                <c:manualLayout>
                  <c:x val="-5.0672734596294323E-3"/>
                  <c:y val="-1.7547216866329578E-2"/>
                </c:manualLayout>
              </c:layout>
              <c:dLblPos val="ctr"/>
              <c:showLegendKey val="0"/>
              <c:showVal val="1"/>
              <c:showCatName val="0"/>
              <c:showSerName val="0"/>
              <c:showPercent val="0"/>
              <c:showBubbleSize val="0"/>
            </c:dLbl>
            <c:dLbl>
              <c:idx val="4"/>
              <c:layout>
                <c:manualLayout>
                  <c:x val="-2.0204776383150212E-3"/>
                  <c:y val="-1.7547216866329578E-2"/>
                </c:manualLayout>
              </c:layout>
              <c:dLblPos val="ctr"/>
              <c:showLegendKey val="0"/>
              <c:showVal val="1"/>
              <c:showCatName val="0"/>
              <c:showSerName val="0"/>
              <c:showPercent val="0"/>
              <c:showBubbleSize val="0"/>
            </c:dLbl>
            <c:dLbl>
              <c:idx val="5"/>
              <c:layout>
                <c:manualLayout>
                  <c:x val="-2.7117278657000292E-3"/>
                  <c:y val="-1.7547216866329578E-2"/>
                </c:manualLayout>
              </c:layout>
              <c:dLblPos val="ctr"/>
              <c:showLegendKey val="0"/>
              <c:showVal val="1"/>
              <c:showCatName val="0"/>
              <c:showSerName val="0"/>
              <c:showPercent val="0"/>
              <c:showBubbleSize val="0"/>
            </c:dLbl>
            <c:dLbl>
              <c:idx val="6"/>
              <c:layout>
                <c:manualLayout>
                  <c:x val="-1.3034029780930921E-3"/>
                  <c:y val="-1.7547216866329578E-2"/>
                </c:manualLayout>
              </c:layout>
              <c:dLblPos val="ctr"/>
              <c:showLegendKey val="0"/>
              <c:showVal val="1"/>
              <c:showCatName val="0"/>
              <c:showSerName val="0"/>
              <c:showPercent val="0"/>
              <c:showBubbleSize val="0"/>
            </c:dLbl>
            <c:dLbl>
              <c:idx val="7"/>
              <c:layout>
                <c:manualLayout>
                  <c:x val="3.6901327928069542E-4"/>
                  <c:y val="-1.7547216866329578E-2"/>
                </c:manualLayout>
              </c:layout>
              <c:dLblPos val="ctr"/>
              <c:showLegendKey val="0"/>
              <c:showVal val="1"/>
              <c:showCatName val="0"/>
              <c:showSerName val="0"/>
              <c:showPercent val="0"/>
              <c:showBubbleSize val="0"/>
            </c:dLbl>
            <c:dLbl>
              <c:idx val="8"/>
              <c:layout>
                <c:manualLayout>
                  <c:x val="3.8712286582989006E-3"/>
                  <c:y val="-1.7547216866329648E-2"/>
                </c:manualLayout>
              </c:layout>
              <c:dLblPos val="ctr"/>
              <c:showLegendKey val="0"/>
              <c:showVal val="1"/>
              <c:showCatName val="0"/>
              <c:showSerName val="0"/>
              <c:showPercent val="0"/>
              <c:showBubbleSize val="0"/>
            </c:dLbl>
            <c:dLbl>
              <c:idx val="9"/>
              <c:layout>
                <c:manualLayout>
                  <c:x val="3.4789896312466002E-3"/>
                  <c:y val="-1.7547216866329578E-2"/>
                </c:manualLayout>
              </c:layout>
              <c:dLblPos val="ctr"/>
              <c:showLegendKey val="0"/>
              <c:showVal val="1"/>
              <c:showCatName val="0"/>
              <c:showSerName val="0"/>
              <c:showPercent val="0"/>
              <c:showBubbleSize val="0"/>
            </c:dLbl>
            <c:dLbl>
              <c:idx val="10"/>
              <c:layout>
                <c:manualLayout>
                  <c:x val="-6.1735012083885554E-4"/>
                  <c:y val="-1.7547216866329578E-2"/>
                </c:manualLayout>
              </c:layout>
              <c:dLblPos val="ctr"/>
              <c:showLegendKey val="0"/>
              <c:showVal val="1"/>
              <c:showCatName val="0"/>
              <c:showSerName val="0"/>
              <c:showPercent val="0"/>
              <c:showBubbleSize val="0"/>
            </c:dLbl>
            <c:dLbl>
              <c:idx val="11"/>
              <c:layout>
                <c:manualLayout>
                  <c:x val="5.5416959018737971E-3"/>
                  <c:y val="-1.7547216866329578E-2"/>
                </c:manualLayout>
              </c:layout>
              <c:dLblPos val="ctr"/>
              <c:showLegendKey val="0"/>
              <c:showVal val="1"/>
              <c:showCatName val="0"/>
              <c:showSerName val="0"/>
              <c:showPercent val="0"/>
              <c:showBubbleSize val="0"/>
            </c:dLbl>
            <c:dLbl>
              <c:idx val="12"/>
              <c:layout>
                <c:manualLayout>
                  <c:x val="-1.6686806475923201E-3"/>
                  <c:y val="-1.7547216866329578E-2"/>
                </c:manualLayout>
              </c:layout>
              <c:dLblPos val="ctr"/>
              <c:showLegendKey val="0"/>
              <c:showVal val="1"/>
              <c:showCatName val="0"/>
              <c:showSerName val="0"/>
              <c:showPercent val="0"/>
              <c:showBubbleSize val="0"/>
            </c:dLbl>
            <c:dLbl>
              <c:idx val="13"/>
              <c:layout>
                <c:manualLayout>
                  <c:x val="4.5157025545074165E-3"/>
                  <c:y val="-1.9301938552962621E-2"/>
                </c:manualLayout>
              </c:layout>
              <c:dLblPos val="ctr"/>
              <c:showLegendKey val="0"/>
              <c:showVal val="1"/>
              <c:showCatName val="0"/>
              <c:showSerName val="0"/>
              <c:showPercent val="0"/>
              <c:showBubbleSize val="0"/>
            </c:dLbl>
            <c:dLbl>
              <c:idx val="14"/>
              <c:layout>
                <c:manualLayout>
                  <c:x val="-3.7049128141161216E-3"/>
                  <c:y val="-1.7547216866329578E-2"/>
                </c:manualLayout>
              </c:layout>
              <c:dLblPos val="ctr"/>
              <c:showLegendKey val="0"/>
              <c:showVal val="1"/>
              <c:showCatName val="0"/>
              <c:showSerName val="0"/>
              <c:showPercent val="0"/>
              <c:showBubbleSize val="0"/>
            </c:dLbl>
            <c:dLbl>
              <c:idx val="15"/>
              <c:layout>
                <c:manualLayout>
                  <c:x val="1.7507016449676465E-3"/>
                  <c:y val="-1.7547216866329578E-2"/>
                </c:manualLayout>
              </c:layout>
              <c:dLblPos val="ctr"/>
              <c:showLegendKey val="0"/>
              <c:showVal val="1"/>
              <c:showCatName val="0"/>
              <c:showSerName val="0"/>
              <c:showPercent val="0"/>
              <c:showBubbleSize val="0"/>
            </c:dLbl>
            <c:dLbl>
              <c:idx val="16"/>
              <c:layout>
                <c:manualLayout>
                  <c:x val="4.1416543229127133E-4"/>
                  <c:y val="-1.9301938552962621E-2"/>
                </c:manualLayout>
              </c:layout>
              <c:dLblPos val="ctr"/>
              <c:showLegendKey val="0"/>
              <c:showVal val="1"/>
              <c:showCatName val="0"/>
              <c:showSerName val="0"/>
              <c:showPercent val="0"/>
              <c:showBubbleSize val="0"/>
            </c:dLbl>
            <c:dLbl>
              <c:idx val="17"/>
              <c:layout>
                <c:manualLayout>
                  <c:x val="1.4080000519737337E-3"/>
                  <c:y val="-1.9301938552962621E-2"/>
                </c:manualLayout>
              </c:layout>
              <c:dLblPos val="ctr"/>
              <c:showLegendKey val="0"/>
              <c:showVal val="1"/>
              <c:showCatName val="0"/>
              <c:showSerName val="0"/>
              <c:showPercent val="0"/>
              <c:showBubbleSize val="0"/>
            </c:dLbl>
            <c:dLbl>
              <c:idx val="18"/>
              <c:layout>
                <c:manualLayout>
                  <c:x val="-6.2059847717055175E-4"/>
                  <c:y val="-1.9301938552962621E-2"/>
                </c:manualLayout>
              </c:layout>
              <c:dLblPos val="ctr"/>
              <c:showLegendKey val="0"/>
              <c:showVal val="1"/>
              <c:showCatName val="0"/>
              <c:showSerName val="0"/>
              <c:showPercent val="0"/>
              <c:showBubbleSize val="0"/>
            </c:dLbl>
            <c:dLbl>
              <c:idx val="19"/>
              <c:layout>
                <c:manualLayout>
                  <c:x val="2.4534835373301112E-3"/>
                  <c:y val="-2.1056660239595501E-2"/>
                </c:manualLayout>
              </c:layout>
              <c:dLblPos val="ctr"/>
              <c:showLegendKey val="0"/>
              <c:showVal val="1"/>
              <c:showCatName val="0"/>
              <c:showSerName val="0"/>
              <c:showPercent val="0"/>
              <c:showBubbleSize val="0"/>
            </c:dLbl>
            <c:dLbl>
              <c:idx val="20"/>
              <c:layout>
                <c:manualLayout>
                  <c:x val="6.5965996205920802E-3"/>
                  <c:y val="-1.930193855296262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End"/>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Sheet1!$H$2:$H$22</c:f>
              <c:numCache>
                <c:formatCode>0.0</c:formatCode>
                <c:ptCount val="21"/>
                <c:pt idx="0">
                  <c:v>5.7</c:v>
                </c:pt>
                <c:pt idx="1">
                  <c:v>7.2</c:v>
                </c:pt>
                <c:pt idx="2">
                  <c:v>0</c:v>
                </c:pt>
                <c:pt idx="3">
                  <c:v>4.3</c:v>
                </c:pt>
                <c:pt idx="4">
                  <c:v>4.5999999999999996</c:v>
                </c:pt>
                <c:pt idx="5">
                  <c:v>5</c:v>
                </c:pt>
                <c:pt idx="6">
                  <c:v>5.4</c:v>
                </c:pt>
                <c:pt idx="7">
                  <c:v>4.7</c:v>
                </c:pt>
                <c:pt idx="8">
                  <c:v>4.5</c:v>
                </c:pt>
                <c:pt idx="9">
                  <c:v>7.4</c:v>
                </c:pt>
                <c:pt idx="10">
                  <c:v>2.6</c:v>
                </c:pt>
                <c:pt idx="11">
                  <c:v>7.4</c:v>
                </c:pt>
                <c:pt idx="12">
                  <c:v>5.9</c:v>
                </c:pt>
                <c:pt idx="13">
                  <c:v>6.5</c:v>
                </c:pt>
                <c:pt idx="14">
                  <c:v>3.5</c:v>
                </c:pt>
                <c:pt idx="15">
                  <c:v>5.7</c:v>
                </c:pt>
                <c:pt idx="16">
                  <c:v>5.9</c:v>
                </c:pt>
                <c:pt idx="17">
                  <c:v>5.6</c:v>
                </c:pt>
                <c:pt idx="18">
                  <c:v>2</c:v>
                </c:pt>
                <c:pt idx="19">
                  <c:v>4.0999999999999996</c:v>
                </c:pt>
                <c:pt idx="20">
                  <c:v>3.5</c:v>
                </c:pt>
              </c:numCache>
            </c:numRef>
          </c:val>
        </c:ser>
        <c:dLbls>
          <c:showLegendKey val="0"/>
          <c:showVal val="0"/>
          <c:showCatName val="0"/>
          <c:showSerName val="0"/>
          <c:showPercent val="0"/>
          <c:showBubbleSize val="0"/>
        </c:dLbls>
        <c:gapWidth val="70"/>
        <c:overlap val="100"/>
        <c:axId val="228920320"/>
        <c:axId val="228991744"/>
      </c:barChart>
      <c:catAx>
        <c:axId val="22892032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8991744"/>
        <c:crosses val="autoZero"/>
        <c:auto val="1"/>
        <c:lblAlgn val="ctr"/>
        <c:lblOffset val="100"/>
        <c:noMultiLvlLbl val="0"/>
      </c:catAx>
      <c:valAx>
        <c:axId val="22899174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8920320"/>
        <c:crosses val="autoZero"/>
        <c:crossBetween val="between"/>
        <c:majorUnit val="0.1"/>
      </c:valAx>
    </c:plotArea>
    <c:legend>
      <c:legendPos val="r"/>
      <c:layout>
        <c:manualLayout>
          <c:xMode val="edge"/>
          <c:yMode val="edge"/>
          <c:x val="1.5873454310302414E-2"/>
          <c:y val="1.4755659492010661E-3"/>
          <c:w val="0.94633642930856554"/>
          <c:h val="7.901754385965068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6675476259109492"/>
          <c:w val="0.70210394373780149"/>
          <c:h val="0.814047978456515"/>
        </c:manualLayout>
      </c:layout>
      <c:barChart>
        <c:barDir val="bar"/>
        <c:grouping val="percentStacked"/>
        <c:varyColors val="0"/>
        <c:ser>
          <c:idx val="0"/>
          <c:order val="0"/>
          <c:tx>
            <c:strRef>
              <c:f>Sheet1!$B$1</c:f>
              <c:strCache>
                <c:ptCount val="1"/>
                <c:pt idx="0">
                  <c:v>診断を受けた結果、耐震性がなく耐震改修が必要と診断された</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総合（n=413)</c:v>
                </c:pt>
                <c:pt idx="1">
                  <c:v>男性(n=207)</c:v>
                </c:pt>
                <c:pt idx="2">
                  <c:v>女性(n=205)</c:v>
                </c:pt>
                <c:pt idx="3">
                  <c:v>10歳代(n=12)</c:v>
                </c:pt>
                <c:pt idx="4">
                  <c:v>20歳代(n=28)</c:v>
                </c:pt>
                <c:pt idx="5">
                  <c:v>30歳代(n=56)</c:v>
                </c:pt>
                <c:pt idx="6">
                  <c:v>40歳代(n=92)</c:v>
                </c:pt>
                <c:pt idx="7">
                  <c:v>50歳代(n=98)</c:v>
                </c:pt>
                <c:pt idx="8">
                  <c:v>60歳代(n=85)</c:v>
                </c:pt>
                <c:pt idx="9">
                  <c:v>70歳以上(n=41)</c:v>
                </c:pt>
                <c:pt idx="10">
                  <c:v>持家(n=343)</c:v>
                </c:pt>
                <c:pt idx="11">
                  <c:v>借家(n=60)</c:v>
                </c:pt>
              </c:strCache>
            </c:strRef>
          </c:cat>
          <c:val>
            <c:numRef>
              <c:f>Sheet1!$B$2:$B$13</c:f>
              <c:numCache>
                <c:formatCode>0.0</c:formatCode>
                <c:ptCount val="12"/>
                <c:pt idx="0">
                  <c:v>17.899999999999999</c:v>
                </c:pt>
                <c:pt idx="1">
                  <c:v>18.399999999999999</c:v>
                </c:pt>
                <c:pt idx="2">
                  <c:v>17.600000000000001</c:v>
                </c:pt>
                <c:pt idx="3">
                  <c:v>8.3000000000000007</c:v>
                </c:pt>
                <c:pt idx="4">
                  <c:v>7.1</c:v>
                </c:pt>
                <c:pt idx="5">
                  <c:v>21.4</c:v>
                </c:pt>
                <c:pt idx="6">
                  <c:v>18.5</c:v>
                </c:pt>
                <c:pt idx="7">
                  <c:v>14.3</c:v>
                </c:pt>
                <c:pt idx="8">
                  <c:v>24.7</c:v>
                </c:pt>
                <c:pt idx="9">
                  <c:v>17.100000000000001</c:v>
                </c:pt>
                <c:pt idx="10">
                  <c:v>19.5</c:v>
                </c:pt>
                <c:pt idx="11">
                  <c:v>8.3000000000000007</c:v>
                </c:pt>
              </c:numCache>
            </c:numRef>
          </c:val>
        </c:ser>
        <c:ser>
          <c:idx val="1"/>
          <c:order val="1"/>
          <c:tx>
            <c:strRef>
              <c:f>Sheet1!$C$1</c:f>
              <c:strCache>
                <c:ptCount val="1"/>
                <c:pt idx="0">
                  <c:v>診断を受けた結果、耐震性があり耐震改修は必要ないと診断された</c:v>
                </c:pt>
              </c:strCache>
            </c:strRef>
          </c:tx>
          <c:spPr>
            <a:pattFill prst="pct20">
              <a:fgClr>
                <a:sysClr val="windowText" lastClr="000000"/>
              </a:fgClr>
              <a:bgClr>
                <a:sysClr val="window" lastClr="FFFFFF"/>
              </a:bgClr>
            </a:pattFill>
            <a:ln>
              <a:solidFill>
                <a:sysClr val="windowText" lastClr="000000"/>
              </a:solidFill>
            </a:ln>
          </c:spPr>
          <c:invertIfNegative val="0"/>
          <c:dLbls>
            <c:dLbl>
              <c:idx val="0"/>
              <c:layout>
                <c:manualLayout>
                  <c:x val="-4.2735042735042739E-3"/>
                  <c:y val="-2.8259271059325696E-2"/>
                </c:manualLayout>
              </c:layout>
              <c:dLblPos val="ctr"/>
              <c:showLegendKey val="0"/>
              <c:showVal val="1"/>
              <c:showCatName val="0"/>
              <c:showSerName val="0"/>
              <c:showPercent val="0"/>
              <c:showBubbleSize val="0"/>
            </c:dLbl>
            <c:dLbl>
              <c:idx val="1"/>
              <c:layout>
                <c:manualLayout>
                  <c:x val="-2.136752136752137E-3"/>
                  <c:y val="-3.0828516377649346E-2"/>
                </c:manualLayout>
              </c:layout>
              <c:dLblPos val="ctr"/>
              <c:showLegendKey val="0"/>
              <c:showVal val="1"/>
              <c:showCatName val="0"/>
              <c:showSerName val="0"/>
              <c:showPercent val="0"/>
              <c:showBubbleSize val="0"/>
            </c:dLbl>
            <c:dLbl>
              <c:idx val="2"/>
              <c:layout>
                <c:manualLayout>
                  <c:x val="0"/>
                  <c:y val="-2.8259271059325696E-2"/>
                </c:manualLayout>
              </c:layout>
              <c:dLblPos val="ctr"/>
              <c:showLegendKey val="0"/>
              <c:showVal val="1"/>
              <c:showCatName val="0"/>
              <c:showSerName val="0"/>
              <c:showPercent val="0"/>
              <c:showBubbleSize val="0"/>
            </c:dLbl>
            <c:dLbl>
              <c:idx val="3"/>
              <c:delete val="1"/>
            </c:dLbl>
            <c:dLbl>
              <c:idx val="4"/>
              <c:delete val="1"/>
            </c:dLbl>
            <c:dLbl>
              <c:idx val="5"/>
              <c:layout>
                <c:manualLayout>
                  <c:x val="0"/>
                  <c:y val="-3.0828314090796453E-2"/>
                </c:manualLayout>
              </c:layout>
              <c:dLblPos val="ctr"/>
              <c:showLegendKey val="0"/>
              <c:showVal val="1"/>
              <c:showCatName val="0"/>
              <c:showSerName val="0"/>
              <c:showPercent val="0"/>
              <c:showBubbleSize val="0"/>
            </c:dLbl>
            <c:dLbl>
              <c:idx val="6"/>
              <c:layout>
                <c:manualLayout>
                  <c:x val="0"/>
                  <c:y val="-3.0828314090796453E-2"/>
                </c:manualLayout>
              </c:layout>
              <c:dLblPos val="ctr"/>
              <c:showLegendKey val="0"/>
              <c:showVal val="1"/>
              <c:showCatName val="0"/>
              <c:showSerName val="0"/>
              <c:showPercent val="0"/>
              <c:showBubbleSize val="0"/>
            </c:dLbl>
            <c:dLbl>
              <c:idx val="7"/>
              <c:layout>
                <c:manualLayout>
                  <c:x val="-3.9173336640064613E-17"/>
                  <c:y val="-3.3397559409120106E-2"/>
                </c:manualLayout>
              </c:layout>
              <c:dLblPos val="ctr"/>
              <c:showLegendKey val="0"/>
              <c:showVal val="1"/>
              <c:showCatName val="0"/>
              <c:showSerName val="0"/>
              <c:showPercent val="0"/>
              <c:showBubbleSize val="0"/>
            </c:dLbl>
            <c:dLbl>
              <c:idx val="8"/>
              <c:layout>
                <c:manualLayout>
                  <c:x val="0"/>
                  <c:y val="-3.3397559409120106E-2"/>
                </c:manualLayout>
              </c:layout>
              <c:dLblPos val="ctr"/>
              <c:showLegendKey val="0"/>
              <c:showVal val="1"/>
              <c:showCatName val="0"/>
              <c:showSerName val="0"/>
              <c:showPercent val="0"/>
              <c:showBubbleSize val="0"/>
            </c:dLbl>
            <c:dLbl>
              <c:idx val="9"/>
              <c:layout>
                <c:manualLayout>
                  <c:x val="0"/>
                  <c:y val="-3.0828111803943601E-2"/>
                </c:manualLayout>
              </c:layout>
              <c:dLblPos val="ctr"/>
              <c:showLegendKey val="0"/>
              <c:showVal val="1"/>
              <c:showCatName val="0"/>
              <c:showSerName val="0"/>
              <c:showPercent val="0"/>
              <c:showBubbleSize val="0"/>
            </c:dLbl>
            <c:dLbl>
              <c:idx val="10"/>
              <c:layout>
                <c:manualLayout>
                  <c:x val="2.136752136752137E-3"/>
                  <c:y val="-2.8259271059325696E-2"/>
                </c:manualLayout>
              </c:layout>
              <c:dLblPos val="ctr"/>
              <c:showLegendKey val="0"/>
              <c:showVal val="1"/>
              <c:showCatName val="0"/>
              <c:showSerName val="0"/>
              <c:showPercent val="0"/>
              <c:showBubbleSize val="0"/>
            </c:dLbl>
            <c:dLbl>
              <c:idx val="11"/>
              <c:layout>
                <c:manualLayout>
                  <c:x val="-4.2735042735042739E-3"/>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総合（n=413)</c:v>
                </c:pt>
                <c:pt idx="1">
                  <c:v>男性(n=207)</c:v>
                </c:pt>
                <c:pt idx="2">
                  <c:v>女性(n=205)</c:v>
                </c:pt>
                <c:pt idx="3">
                  <c:v>10歳代(n=12)</c:v>
                </c:pt>
                <c:pt idx="4">
                  <c:v>20歳代(n=28)</c:v>
                </c:pt>
                <c:pt idx="5">
                  <c:v>30歳代(n=56)</c:v>
                </c:pt>
                <c:pt idx="6">
                  <c:v>40歳代(n=92)</c:v>
                </c:pt>
                <c:pt idx="7">
                  <c:v>50歳代(n=98)</c:v>
                </c:pt>
                <c:pt idx="8">
                  <c:v>60歳代(n=85)</c:v>
                </c:pt>
                <c:pt idx="9">
                  <c:v>70歳以上(n=41)</c:v>
                </c:pt>
                <c:pt idx="10">
                  <c:v>持家(n=343)</c:v>
                </c:pt>
                <c:pt idx="11">
                  <c:v>借家(n=60)</c:v>
                </c:pt>
              </c:strCache>
            </c:strRef>
          </c:cat>
          <c:val>
            <c:numRef>
              <c:f>Sheet1!$C$2:$C$13</c:f>
              <c:numCache>
                <c:formatCode>0.0</c:formatCode>
                <c:ptCount val="12"/>
                <c:pt idx="0">
                  <c:v>2.4</c:v>
                </c:pt>
                <c:pt idx="1">
                  <c:v>1.9000000000000001</c:v>
                </c:pt>
                <c:pt idx="2">
                  <c:v>2.9</c:v>
                </c:pt>
                <c:pt idx="3">
                  <c:v>0</c:v>
                </c:pt>
                <c:pt idx="4">
                  <c:v>0</c:v>
                </c:pt>
                <c:pt idx="5">
                  <c:v>5.4</c:v>
                </c:pt>
                <c:pt idx="6">
                  <c:v>3.3</c:v>
                </c:pt>
                <c:pt idx="7">
                  <c:v>1</c:v>
                </c:pt>
                <c:pt idx="8">
                  <c:v>2.4</c:v>
                </c:pt>
                <c:pt idx="9">
                  <c:v>2.4</c:v>
                </c:pt>
                <c:pt idx="10">
                  <c:v>2</c:v>
                </c:pt>
                <c:pt idx="11">
                  <c:v>5</c:v>
                </c:pt>
              </c:numCache>
            </c:numRef>
          </c:val>
        </c:ser>
        <c:ser>
          <c:idx val="2"/>
          <c:order val="2"/>
          <c:tx>
            <c:strRef>
              <c:f>Sheet1!$D$1</c:f>
              <c:strCache>
                <c:ptCount val="1"/>
                <c:pt idx="0">
                  <c:v>診断を受けたことはない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総合（n=413)</c:v>
                </c:pt>
                <c:pt idx="1">
                  <c:v>男性(n=207)</c:v>
                </c:pt>
                <c:pt idx="2">
                  <c:v>女性(n=205)</c:v>
                </c:pt>
                <c:pt idx="3">
                  <c:v>10歳代(n=12)</c:v>
                </c:pt>
                <c:pt idx="4">
                  <c:v>20歳代(n=28)</c:v>
                </c:pt>
                <c:pt idx="5">
                  <c:v>30歳代(n=56)</c:v>
                </c:pt>
                <c:pt idx="6">
                  <c:v>40歳代(n=92)</c:v>
                </c:pt>
                <c:pt idx="7">
                  <c:v>50歳代(n=98)</c:v>
                </c:pt>
                <c:pt idx="8">
                  <c:v>60歳代(n=85)</c:v>
                </c:pt>
                <c:pt idx="9">
                  <c:v>70歳以上(n=41)</c:v>
                </c:pt>
                <c:pt idx="10">
                  <c:v>持家(n=343)</c:v>
                </c:pt>
                <c:pt idx="11">
                  <c:v>借家(n=60)</c:v>
                </c:pt>
              </c:strCache>
            </c:strRef>
          </c:cat>
          <c:val>
            <c:numRef>
              <c:f>Sheet1!$D$2:$D$13</c:f>
              <c:numCache>
                <c:formatCode>0.0</c:formatCode>
                <c:ptCount val="12"/>
                <c:pt idx="0">
                  <c:v>79.2</c:v>
                </c:pt>
                <c:pt idx="1">
                  <c:v>79.2</c:v>
                </c:pt>
                <c:pt idx="2">
                  <c:v>79</c:v>
                </c:pt>
                <c:pt idx="3">
                  <c:v>91.7</c:v>
                </c:pt>
                <c:pt idx="4">
                  <c:v>92.9</c:v>
                </c:pt>
                <c:pt idx="5">
                  <c:v>71.400000000000006</c:v>
                </c:pt>
                <c:pt idx="6">
                  <c:v>78.3</c:v>
                </c:pt>
                <c:pt idx="7">
                  <c:v>84.7</c:v>
                </c:pt>
                <c:pt idx="8">
                  <c:v>71.8</c:v>
                </c:pt>
                <c:pt idx="9">
                  <c:v>80.5</c:v>
                </c:pt>
                <c:pt idx="10">
                  <c:v>78.099999999999994</c:v>
                </c:pt>
                <c:pt idx="11">
                  <c:v>85</c:v>
                </c:pt>
              </c:numCache>
            </c:numRef>
          </c:val>
        </c:ser>
        <c:ser>
          <c:idx val="3"/>
          <c:order val="3"/>
          <c:tx>
            <c:strRef>
              <c:f>Sheet1!$E$1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3"/>
              <c:delete val="1"/>
            </c:dLbl>
            <c:dLbl>
              <c:idx val="4"/>
              <c:delete val="1"/>
            </c:dLbl>
            <c:dLbl>
              <c:idx val="5"/>
              <c:layout>
                <c:manualLayout>
                  <c:x val="2.4916545724534472E-2"/>
                  <c:y val="0"/>
                </c:manualLayout>
              </c:layout>
              <c:dLblPos val="ctr"/>
              <c:showLegendKey val="0"/>
              <c:showVal val="1"/>
              <c:showCatName val="0"/>
              <c:showSerName val="0"/>
              <c:showPercent val="0"/>
              <c:showBubbleSize val="0"/>
            </c:dLbl>
            <c:dLbl>
              <c:idx val="6"/>
              <c:delete val="1"/>
            </c:dLbl>
            <c:dLbl>
              <c:idx val="7"/>
              <c:delete val="1"/>
            </c:dLbl>
            <c:dLbl>
              <c:idx val="9"/>
              <c:delete val="1"/>
            </c:dLbl>
            <c:dLbl>
              <c:idx val="11"/>
              <c:layout>
                <c:manualLayout>
                  <c:x val="2.3131927545712801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Sheet1!$A$2:$A$13</c:f>
              <c:strCache>
                <c:ptCount val="12"/>
                <c:pt idx="0">
                  <c:v>総合（n=413)</c:v>
                </c:pt>
                <c:pt idx="1">
                  <c:v>男性(n=207)</c:v>
                </c:pt>
                <c:pt idx="2">
                  <c:v>女性(n=205)</c:v>
                </c:pt>
                <c:pt idx="3">
                  <c:v>10歳代(n=12)</c:v>
                </c:pt>
                <c:pt idx="4">
                  <c:v>20歳代(n=28)</c:v>
                </c:pt>
                <c:pt idx="5">
                  <c:v>30歳代(n=56)</c:v>
                </c:pt>
                <c:pt idx="6">
                  <c:v>40歳代(n=92)</c:v>
                </c:pt>
                <c:pt idx="7">
                  <c:v>50歳代(n=98)</c:v>
                </c:pt>
                <c:pt idx="8">
                  <c:v>60歳代(n=85)</c:v>
                </c:pt>
                <c:pt idx="9">
                  <c:v>70歳以上(n=41)</c:v>
                </c:pt>
                <c:pt idx="10">
                  <c:v>持家(n=343)</c:v>
                </c:pt>
                <c:pt idx="11">
                  <c:v>借家(n=60)</c:v>
                </c:pt>
              </c:strCache>
            </c:strRef>
          </c:cat>
          <c:val>
            <c:numRef>
              <c:f>Sheet1!$E$2:$E$13</c:f>
              <c:numCache>
                <c:formatCode>0.0</c:formatCode>
                <c:ptCount val="12"/>
                <c:pt idx="0">
                  <c:v>0.5</c:v>
                </c:pt>
                <c:pt idx="1">
                  <c:v>0.5</c:v>
                </c:pt>
                <c:pt idx="2">
                  <c:v>0.5</c:v>
                </c:pt>
                <c:pt idx="3">
                  <c:v>0</c:v>
                </c:pt>
                <c:pt idx="4">
                  <c:v>0</c:v>
                </c:pt>
                <c:pt idx="5">
                  <c:v>1.8</c:v>
                </c:pt>
                <c:pt idx="6">
                  <c:v>0</c:v>
                </c:pt>
                <c:pt idx="7">
                  <c:v>0</c:v>
                </c:pt>
                <c:pt idx="8">
                  <c:v>1.2</c:v>
                </c:pt>
                <c:pt idx="9">
                  <c:v>0</c:v>
                </c:pt>
                <c:pt idx="10">
                  <c:v>0.30000000000000032</c:v>
                </c:pt>
                <c:pt idx="11">
                  <c:v>1.7</c:v>
                </c:pt>
              </c:numCache>
            </c:numRef>
          </c:val>
        </c:ser>
        <c:dLbls>
          <c:showLegendKey val="0"/>
          <c:showVal val="0"/>
          <c:showCatName val="0"/>
          <c:showSerName val="0"/>
          <c:showPercent val="0"/>
          <c:showBubbleSize val="0"/>
        </c:dLbls>
        <c:gapWidth val="90"/>
        <c:overlap val="100"/>
        <c:axId val="229144832"/>
        <c:axId val="229171200"/>
      </c:barChart>
      <c:catAx>
        <c:axId val="22914483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9171200"/>
        <c:crosses val="autoZero"/>
        <c:auto val="1"/>
        <c:lblAlgn val="ctr"/>
        <c:lblOffset val="100"/>
        <c:noMultiLvlLbl val="0"/>
      </c:catAx>
      <c:valAx>
        <c:axId val="22917120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9144832"/>
        <c:crosses val="autoZero"/>
        <c:crossBetween val="between"/>
        <c:majorUnit val="0.1"/>
      </c:valAx>
    </c:plotArea>
    <c:legend>
      <c:legendPos val="r"/>
      <c:layout>
        <c:manualLayout>
          <c:xMode val="edge"/>
          <c:yMode val="edge"/>
          <c:x val="1.427451376270274E-2"/>
          <c:y val="1.8843625254239191E-3"/>
          <c:w val="0.98479744785474166"/>
          <c:h val="0.12403773833765366"/>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3032978011204771"/>
          <c:w val="0.68635495640445165"/>
          <c:h val="0.8587665964547827"/>
        </c:manualLayout>
      </c:layout>
      <c:barChart>
        <c:barDir val="bar"/>
        <c:grouping val="percentStacked"/>
        <c:varyColors val="0"/>
        <c:ser>
          <c:idx val="0"/>
          <c:order val="0"/>
          <c:tx>
            <c:strRef>
              <c:f>Sheet1!$B$1</c:f>
              <c:strCache>
                <c:ptCount val="1"/>
                <c:pt idx="0">
                  <c:v>診断を受けた結果、耐震性がなく耐震改修が必要と診断された</c:v>
                </c:pt>
              </c:strCache>
            </c:strRef>
          </c:tx>
          <c:spPr>
            <a:pattFill prst="pct80">
              <a:fgClr>
                <a:sysClr val="windowText" lastClr="000000"/>
              </a:fgClr>
              <a:bgClr>
                <a:sysClr val="window" lastClr="FFFFFF"/>
              </a:bgClr>
            </a:pattFill>
            <a:ln>
              <a:solidFill>
                <a:sysClr val="windowText" lastClr="000000"/>
              </a:solidFill>
            </a:ln>
          </c:spPr>
          <c:invertIfNegative val="0"/>
          <c:dLbls>
            <c:dLbl>
              <c:idx val="2"/>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総合(n=413)</c:v>
                </c:pt>
                <c:pt idx="1">
                  <c:v>農林業(n=48)</c:v>
                </c:pt>
                <c:pt idx="2">
                  <c:v>漁業(n=3)</c:v>
                </c:pt>
                <c:pt idx="3">
                  <c:v>商工サービス業自営(n=25)</c:v>
                </c:pt>
                <c:pt idx="4">
                  <c:v>事務職(n=43)</c:v>
                </c:pt>
                <c:pt idx="5">
                  <c:v>技術職(n=49)</c:v>
                </c:pt>
                <c:pt idx="6">
                  <c:v>労務職(n=63)</c:v>
                </c:pt>
                <c:pt idx="7">
                  <c:v>管理職(n=9)</c:v>
                </c:pt>
                <c:pt idx="8">
                  <c:v>自由業(n=7)</c:v>
                </c:pt>
                <c:pt idx="9">
                  <c:v>主婦・主夫(n=42)</c:v>
                </c:pt>
                <c:pt idx="10">
                  <c:v>学生(n=12)</c:v>
                </c:pt>
                <c:pt idx="11">
                  <c:v>無職(n=65)</c:v>
                </c:pt>
                <c:pt idx="12">
                  <c:v>その他(n=43)</c:v>
                </c:pt>
                <c:pt idx="13">
                  <c:v>高知市(n=138)</c:v>
                </c:pt>
                <c:pt idx="14">
                  <c:v>安芸広域圏(n=49)</c:v>
                </c:pt>
                <c:pt idx="15">
                  <c:v>南国・香美広域圏(n=62)</c:v>
                </c:pt>
                <c:pt idx="16">
                  <c:v>嶺北広域圏(n=15)</c:v>
                </c:pt>
                <c:pt idx="17">
                  <c:v>仁淀川広域圏(n=36)</c:v>
                </c:pt>
                <c:pt idx="18">
                  <c:v>高吾北広域圏(n=19)</c:v>
                </c:pt>
                <c:pt idx="19">
                  <c:v>高幡広域圏(n=35)</c:v>
                </c:pt>
                <c:pt idx="20">
                  <c:v>幡多広域圏(n=55)</c:v>
                </c:pt>
              </c:strCache>
            </c:strRef>
          </c:cat>
          <c:val>
            <c:numRef>
              <c:f>Sheet1!$B$2:$B$22</c:f>
              <c:numCache>
                <c:formatCode>0.0</c:formatCode>
                <c:ptCount val="21"/>
                <c:pt idx="0">
                  <c:v>17.899999999999999</c:v>
                </c:pt>
                <c:pt idx="1">
                  <c:v>22.9</c:v>
                </c:pt>
                <c:pt idx="2">
                  <c:v>0</c:v>
                </c:pt>
                <c:pt idx="3">
                  <c:v>24</c:v>
                </c:pt>
                <c:pt idx="4">
                  <c:v>25.6</c:v>
                </c:pt>
                <c:pt idx="5">
                  <c:v>14.3</c:v>
                </c:pt>
                <c:pt idx="6">
                  <c:v>11.1</c:v>
                </c:pt>
                <c:pt idx="7">
                  <c:v>22.2</c:v>
                </c:pt>
                <c:pt idx="8">
                  <c:v>28.6</c:v>
                </c:pt>
                <c:pt idx="9">
                  <c:v>23.8</c:v>
                </c:pt>
                <c:pt idx="10">
                  <c:v>8.3000000000000007</c:v>
                </c:pt>
                <c:pt idx="11">
                  <c:v>20</c:v>
                </c:pt>
                <c:pt idx="12">
                  <c:v>7</c:v>
                </c:pt>
                <c:pt idx="13">
                  <c:v>20.3</c:v>
                </c:pt>
                <c:pt idx="14">
                  <c:v>6.1</c:v>
                </c:pt>
                <c:pt idx="15">
                  <c:v>21</c:v>
                </c:pt>
                <c:pt idx="16">
                  <c:v>6.7</c:v>
                </c:pt>
                <c:pt idx="17">
                  <c:v>25</c:v>
                </c:pt>
                <c:pt idx="18">
                  <c:v>15.8</c:v>
                </c:pt>
                <c:pt idx="19">
                  <c:v>8.6</c:v>
                </c:pt>
                <c:pt idx="20">
                  <c:v>23.6</c:v>
                </c:pt>
              </c:numCache>
            </c:numRef>
          </c:val>
        </c:ser>
        <c:ser>
          <c:idx val="1"/>
          <c:order val="1"/>
          <c:tx>
            <c:strRef>
              <c:f>Sheet1!$C$1</c:f>
              <c:strCache>
                <c:ptCount val="1"/>
                <c:pt idx="0">
                  <c:v>診断を受けた結果、耐震性があり耐震改修は必要ないと診断された</c:v>
                </c:pt>
              </c:strCache>
            </c:strRef>
          </c:tx>
          <c:spPr>
            <a:pattFill prst="pct20">
              <a:fgClr>
                <a:sysClr val="windowText" lastClr="000000"/>
              </a:fgClr>
              <a:bgClr>
                <a:sysClr val="window" lastClr="FFFFFF"/>
              </a:bgClr>
            </a:pattFill>
            <a:ln>
              <a:solidFill>
                <a:sysClr val="windowText" lastClr="000000"/>
              </a:solidFill>
            </a:ln>
          </c:spPr>
          <c:invertIfNegative val="0"/>
          <c:dLbls>
            <c:dLbl>
              <c:idx val="0"/>
              <c:layout>
                <c:manualLayout>
                  <c:x val="0"/>
                  <c:y val="-1.9298245614035241E-2"/>
                </c:manualLayout>
              </c:layout>
              <c:dLblPos val="ctr"/>
              <c:showLegendKey val="0"/>
              <c:showVal val="1"/>
              <c:showCatName val="0"/>
              <c:showSerName val="0"/>
              <c:showPercent val="0"/>
              <c:showBubbleSize val="0"/>
            </c:dLbl>
            <c:dLbl>
              <c:idx val="1"/>
              <c:delete val="1"/>
            </c:dLbl>
            <c:dLbl>
              <c:idx val="2"/>
              <c:delete val="1"/>
            </c:dLbl>
            <c:dLbl>
              <c:idx val="3"/>
              <c:layout>
                <c:manualLayout>
                  <c:x val="0"/>
                  <c:y val="-2.1052631578947382E-2"/>
                </c:manualLayout>
              </c:layout>
              <c:dLblPos val="ctr"/>
              <c:showLegendKey val="0"/>
              <c:showVal val="1"/>
              <c:showCatName val="0"/>
              <c:showSerName val="0"/>
              <c:showPercent val="0"/>
              <c:showBubbleSize val="0"/>
            </c:dLbl>
            <c:dLbl>
              <c:idx val="4"/>
              <c:layout>
                <c:manualLayout>
                  <c:x val="-6.1919504643962852E-3"/>
                  <c:y val="-1.9298107473407929E-2"/>
                </c:manualLayout>
              </c:layout>
              <c:dLblPos val="ctr"/>
              <c:showLegendKey val="0"/>
              <c:showVal val="1"/>
              <c:showCatName val="0"/>
              <c:showSerName val="0"/>
              <c:showPercent val="0"/>
              <c:showBubbleSize val="0"/>
            </c:dLbl>
            <c:dLbl>
              <c:idx val="5"/>
              <c:layout>
                <c:manualLayout>
                  <c:x val="0"/>
                  <c:y val="-2.1052631578947382E-2"/>
                </c:manualLayout>
              </c:layout>
              <c:dLblPos val="ctr"/>
              <c:showLegendKey val="0"/>
              <c:showVal val="1"/>
              <c:showCatName val="0"/>
              <c:showSerName val="0"/>
              <c:showPercent val="0"/>
              <c:showBubbleSize val="0"/>
            </c:dLbl>
            <c:dLbl>
              <c:idx val="6"/>
              <c:layout>
                <c:manualLayout>
                  <c:x val="-3.7839260160062817E-17"/>
                  <c:y val="-1.7543859649123302E-2"/>
                </c:manualLayout>
              </c:layout>
              <c:dLblPos val="ctr"/>
              <c:showLegendKey val="0"/>
              <c:showVal val="1"/>
              <c:showCatName val="0"/>
              <c:showSerName val="0"/>
              <c:showPercent val="0"/>
              <c:showBubbleSize val="0"/>
            </c:dLbl>
            <c:dLbl>
              <c:idx val="7"/>
              <c:delete val="1"/>
            </c:dLbl>
            <c:dLbl>
              <c:idx val="8"/>
              <c:delete val="1"/>
            </c:dLbl>
            <c:dLbl>
              <c:idx val="9"/>
              <c:layout>
                <c:manualLayout>
                  <c:x val="0"/>
                  <c:y val="-2.1052631578947382E-2"/>
                </c:manualLayout>
              </c:layout>
              <c:dLblPos val="ctr"/>
              <c:showLegendKey val="0"/>
              <c:showVal val="1"/>
              <c:showCatName val="0"/>
              <c:showSerName val="0"/>
              <c:showPercent val="0"/>
              <c:showBubbleSize val="0"/>
            </c:dLbl>
            <c:dLbl>
              <c:idx val="10"/>
              <c:delete val="1"/>
            </c:dLbl>
            <c:dLbl>
              <c:idx val="11"/>
              <c:layout>
                <c:manualLayout>
                  <c:x val="0"/>
                  <c:y val="-1.9298107473407929E-2"/>
                </c:manualLayout>
              </c:layout>
              <c:dLblPos val="ctr"/>
              <c:showLegendKey val="0"/>
              <c:showVal val="1"/>
              <c:showCatName val="0"/>
              <c:showSerName val="0"/>
              <c:showPercent val="0"/>
              <c:showBubbleSize val="0"/>
            </c:dLbl>
            <c:dLbl>
              <c:idx val="12"/>
              <c:layout>
                <c:manualLayout>
                  <c:x val="0"/>
                  <c:y val="-2.1052631578947382E-2"/>
                </c:manualLayout>
              </c:layout>
              <c:dLblPos val="ctr"/>
              <c:showLegendKey val="0"/>
              <c:showVal val="1"/>
              <c:showCatName val="0"/>
              <c:showSerName val="0"/>
              <c:showPercent val="0"/>
              <c:showBubbleSize val="0"/>
            </c:dLbl>
            <c:dLbl>
              <c:idx val="13"/>
              <c:layout>
                <c:manualLayout>
                  <c:x val="-2.063983488132162E-3"/>
                  <c:y val="-1.9298245614035241E-2"/>
                </c:manualLayout>
              </c:layout>
              <c:dLblPos val="ctr"/>
              <c:showLegendKey val="0"/>
              <c:showVal val="1"/>
              <c:showCatName val="0"/>
              <c:showSerName val="0"/>
              <c:showPercent val="0"/>
              <c:showBubbleSize val="0"/>
            </c:dLbl>
            <c:dLbl>
              <c:idx val="14"/>
              <c:layout>
                <c:manualLayout>
                  <c:x val="0"/>
                  <c:y val="-2.1052631578947382E-2"/>
                </c:manualLayout>
              </c:layout>
              <c:dLblPos val="ctr"/>
              <c:showLegendKey val="0"/>
              <c:showVal val="1"/>
              <c:showCatName val="0"/>
              <c:showSerName val="0"/>
              <c:showPercent val="0"/>
              <c:showBubbleSize val="0"/>
            </c:dLbl>
            <c:dLbl>
              <c:idx val="15"/>
              <c:layout>
                <c:manualLayout>
                  <c:x val="-2.063983488132162E-3"/>
                  <c:y val="-2.2807017543860619E-2"/>
                </c:manualLayout>
              </c:layout>
              <c:dLblPos val="ctr"/>
              <c:showLegendKey val="0"/>
              <c:showVal val="1"/>
              <c:showCatName val="0"/>
              <c:showSerName val="0"/>
              <c:showPercent val="0"/>
              <c:showBubbleSize val="0"/>
            </c:dLbl>
            <c:dLbl>
              <c:idx val="16"/>
              <c:layout>
                <c:manualLayout>
                  <c:x val="-3.7839260160062817E-17"/>
                  <c:y val="-1.9298245614035241E-2"/>
                </c:manualLayout>
              </c:layout>
              <c:dLblPos val="ctr"/>
              <c:showLegendKey val="0"/>
              <c:showVal val="1"/>
              <c:showCatName val="0"/>
              <c:showSerName val="0"/>
              <c:showPercent val="0"/>
              <c:showBubbleSize val="0"/>
            </c:dLbl>
            <c:dLbl>
              <c:idx val="17"/>
              <c:layout>
                <c:manualLayout>
                  <c:x val="-2.063983488132162E-3"/>
                  <c:y val="-1.9298245614035241E-2"/>
                </c:manualLayout>
              </c:layout>
              <c:dLblPos val="ctr"/>
              <c:showLegendKey val="0"/>
              <c:showVal val="1"/>
              <c:showCatName val="0"/>
              <c:showSerName val="0"/>
              <c:showPercent val="0"/>
              <c:showBubbleSize val="0"/>
            </c:dLbl>
            <c:dLbl>
              <c:idx val="18"/>
              <c:delete val="1"/>
            </c:dLbl>
            <c:dLbl>
              <c:idx val="19"/>
              <c:layout>
                <c:manualLayout>
                  <c:x val="-3.7839260160062817E-17"/>
                  <c:y val="-1.9298245614035241E-2"/>
                </c:manualLayout>
              </c:layout>
              <c:dLblPos val="ctr"/>
              <c:showLegendKey val="0"/>
              <c:showVal val="1"/>
              <c:showCatName val="0"/>
              <c:showSerName val="0"/>
              <c:showPercent val="0"/>
              <c:showBubbleSize val="0"/>
            </c:dLbl>
            <c:dLbl>
              <c:idx val="20"/>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総合(n=413)</c:v>
                </c:pt>
                <c:pt idx="1">
                  <c:v>農林業(n=48)</c:v>
                </c:pt>
                <c:pt idx="2">
                  <c:v>漁業(n=3)</c:v>
                </c:pt>
                <c:pt idx="3">
                  <c:v>商工サービス業自営(n=25)</c:v>
                </c:pt>
                <c:pt idx="4">
                  <c:v>事務職(n=43)</c:v>
                </c:pt>
                <c:pt idx="5">
                  <c:v>技術職(n=49)</c:v>
                </c:pt>
                <c:pt idx="6">
                  <c:v>労務職(n=63)</c:v>
                </c:pt>
                <c:pt idx="7">
                  <c:v>管理職(n=9)</c:v>
                </c:pt>
                <c:pt idx="8">
                  <c:v>自由業(n=7)</c:v>
                </c:pt>
                <c:pt idx="9">
                  <c:v>主婦・主夫(n=42)</c:v>
                </c:pt>
                <c:pt idx="10">
                  <c:v>学生(n=12)</c:v>
                </c:pt>
                <c:pt idx="11">
                  <c:v>無職(n=65)</c:v>
                </c:pt>
                <c:pt idx="12">
                  <c:v>その他(n=43)</c:v>
                </c:pt>
                <c:pt idx="13">
                  <c:v>高知市(n=138)</c:v>
                </c:pt>
                <c:pt idx="14">
                  <c:v>安芸広域圏(n=49)</c:v>
                </c:pt>
                <c:pt idx="15">
                  <c:v>南国・香美広域圏(n=62)</c:v>
                </c:pt>
                <c:pt idx="16">
                  <c:v>嶺北広域圏(n=15)</c:v>
                </c:pt>
                <c:pt idx="17">
                  <c:v>仁淀川広域圏(n=36)</c:v>
                </c:pt>
                <c:pt idx="18">
                  <c:v>高吾北広域圏(n=19)</c:v>
                </c:pt>
                <c:pt idx="19">
                  <c:v>高幡広域圏(n=35)</c:v>
                </c:pt>
                <c:pt idx="20">
                  <c:v>幡多広域圏(n=55)</c:v>
                </c:pt>
              </c:strCache>
            </c:strRef>
          </c:cat>
          <c:val>
            <c:numRef>
              <c:f>Sheet1!$C$2:$C$22</c:f>
              <c:numCache>
                <c:formatCode>0.0</c:formatCode>
                <c:ptCount val="21"/>
                <c:pt idx="0">
                  <c:v>2.4</c:v>
                </c:pt>
                <c:pt idx="1">
                  <c:v>0</c:v>
                </c:pt>
                <c:pt idx="2">
                  <c:v>0</c:v>
                </c:pt>
                <c:pt idx="3">
                  <c:v>4</c:v>
                </c:pt>
                <c:pt idx="4">
                  <c:v>2.2999999999999998</c:v>
                </c:pt>
                <c:pt idx="5">
                  <c:v>4.0999999999999996</c:v>
                </c:pt>
                <c:pt idx="6">
                  <c:v>1.6</c:v>
                </c:pt>
                <c:pt idx="7">
                  <c:v>0</c:v>
                </c:pt>
                <c:pt idx="8">
                  <c:v>0</c:v>
                </c:pt>
                <c:pt idx="9">
                  <c:v>4.8</c:v>
                </c:pt>
                <c:pt idx="10">
                  <c:v>0</c:v>
                </c:pt>
                <c:pt idx="11">
                  <c:v>1.5</c:v>
                </c:pt>
                <c:pt idx="12">
                  <c:v>4.7</c:v>
                </c:pt>
                <c:pt idx="13">
                  <c:v>2.2000000000000002</c:v>
                </c:pt>
                <c:pt idx="14">
                  <c:v>2</c:v>
                </c:pt>
                <c:pt idx="15">
                  <c:v>3.2</c:v>
                </c:pt>
                <c:pt idx="16">
                  <c:v>6.7</c:v>
                </c:pt>
                <c:pt idx="17">
                  <c:v>5.6</c:v>
                </c:pt>
                <c:pt idx="18">
                  <c:v>0</c:v>
                </c:pt>
                <c:pt idx="19">
                  <c:v>2.9</c:v>
                </c:pt>
                <c:pt idx="20">
                  <c:v>0</c:v>
                </c:pt>
              </c:numCache>
            </c:numRef>
          </c:val>
        </c:ser>
        <c:ser>
          <c:idx val="2"/>
          <c:order val="2"/>
          <c:tx>
            <c:strRef>
              <c:f>Sheet1!$D$1</c:f>
              <c:strCache>
                <c:ptCount val="1"/>
                <c:pt idx="0">
                  <c:v>診断を受けたことはない</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総合(n=413)</c:v>
                </c:pt>
                <c:pt idx="1">
                  <c:v>農林業(n=48)</c:v>
                </c:pt>
                <c:pt idx="2">
                  <c:v>漁業(n=3)</c:v>
                </c:pt>
                <c:pt idx="3">
                  <c:v>商工サービス業自営(n=25)</c:v>
                </c:pt>
                <c:pt idx="4">
                  <c:v>事務職(n=43)</c:v>
                </c:pt>
                <c:pt idx="5">
                  <c:v>技術職(n=49)</c:v>
                </c:pt>
                <c:pt idx="6">
                  <c:v>労務職(n=63)</c:v>
                </c:pt>
                <c:pt idx="7">
                  <c:v>管理職(n=9)</c:v>
                </c:pt>
                <c:pt idx="8">
                  <c:v>自由業(n=7)</c:v>
                </c:pt>
                <c:pt idx="9">
                  <c:v>主婦・主夫(n=42)</c:v>
                </c:pt>
                <c:pt idx="10">
                  <c:v>学生(n=12)</c:v>
                </c:pt>
                <c:pt idx="11">
                  <c:v>無職(n=65)</c:v>
                </c:pt>
                <c:pt idx="12">
                  <c:v>その他(n=43)</c:v>
                </c:pt>
                <c:pt idx="13">
                  <c:v>高知市(n=138)</c:v>
                </c:pt>
                <c:pt idx="14">
                  <c:v>安芸広域圏(n=49)</c:v>
                </c:pt>
                <c:pt idx="15">
                  <c:v>南国・香美広域圏(n=62)</c:v>
                </c:pt>
                <c:pt idx="16">
                  <c:v>嶺北広域圏(n=15)</c:v>
                </c:pt>
                <c:pt idx="17">
                  <c:v>仁淀川広域圏(n=36)</c:v>
                </c:pt>
                <c:pt idx="18">
                  <c:v>高吾北広域圏(n=19)</c:v>
                </c:pt>
                <c:pt idx="19">
                  <c:v>高幡広域圏(n=35)</c:v>
                </c:pt>
                <c:pt idx="20">
                  <c:v>幡多広域圏(n=55)</c:v>
                </c:pt>
              </c:strCache>
            </c:strRef>
          </c:cat>
          <c:val>
            <c:numRef>
              <c:f>Sheet1!$D$2:$D$22</c:f>
              <c:numCache>
                <c:formatCode>0.0</c:formatCode>
                <c:ptCount val="21"/>
                <c:pt idx="0">
                  <c:v>79.2</c:v>
                </c:pt>
                <c:pt idx="1">
                  <c:v>75</c:v>
                </c:pt>
                <c:pt idx="2">
                  <c:v>100</c:v>
                </c:pt>
                <c:pt idx="3">
                  <c:v>72</c:v>
                </c:pt>
                <c:pt idx="4">
                  <c:v>72.099999999999994</c:v>
                </c:pt>
                <c:pt idx="5">
                  <c:v>81.599999999999994</c:v>
                </c:pt>
                <c:pt idx="6">
                  <c:v>87.3</c:v>
                </c:pt>
                <c:pt idx="7">
                  <c:v>77.8</c:v>
                </c:pt>
                <c:pt idx="8">
                  <c:v>57.1</c:v>
                </c:pt>
                <c:pt idx="9">
                  <c:v>71.400000000000006</c:v>
                </c:pt>
                <c:pt idx="10">
                  <c:v>91.7</c:v>
                </c:pt>
                <c:pt idx="11">
                  <c:v>78.5</c:v>
                </c:pt>
                <c:pt idx="12">
                  <c:v>88.4</c:v>
                </c:pt>
                <c:pt idx="13">
                  <c:v>77.5</c:v>
                </c:pt>
                <c:pt idx="14">
                  <c:v>91.8</c:v>
                </c:pt>
                <c:pt idx="15">
                  <c:v>74.2</c:v>
                </c:pt>
                <c:pt idx="16">
                  <c:v>86.7</c:v>
                </c:pt>
                <c:pt idx="17">
                  <c:v>69.400000000000006</c:v>
                </c:pt>
                <c:pt idx="18">
                  <c:v>84.2</c:v>
                </c:pt>
                <c:pt idx="19">
                  <c:v>85.7</c:v>
                </c:pt>
                <c:pt idx="20">
                  <c:v>76.400000000000006</c:v>
                </c:pt>
              </c:numCache>
            </c:numRef>
          </c:val>
        </c:ser>
        <c:ser>
          <c:idx val="3"/>
          <c:order val="3"/>
          <c:tx>
            <c:strRef>
              <c:f>Sheet1!$E$1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1"/>
              <c:layout>
                <c:manualLayout>
                  <c:x val="2.9148475871209192E-2"/>
                  <c:y val="0"/>
                </c:manualLayout>
              </c:layout>
              <c:dLblPos val="ctr"/>
              <c:showLegendKey val="0"/>
              <c:showVal val="1"/>
              <c:showCatName val="0"/>
              <c:showSerName val="0"/>
              <c:showPercent val="0"/>
              <c:showBubbleSize val="0"/>
            </c:dLbl>
            <c:dLbl>
              <c:idx val="2"/>
              <c:delete val="1"/>
            </c:dLbl>
            <c:dLbl>
              <c:idx val="3"/>
              <c:delete val="1"/>
            </c:dLbl>
            <c:dLbl>
              <c:idx val="4"/>
              <c:delete val="1"/>
            </c:dLbl>
            <c:dLbl>
              <c:idx val="5"/>
              <c:delete val="1"/>
            </c:dLbl>
            <c:dLbl>
              <c:idx val="6"/>
              <c:delete val="1"/>
            </c:dLbl>
            <c:dLbl>
              <c:idx val="7"/>
              <c:delete val="1"/>
            </c:dLbl>
            <c:dLbl>
              <c:idx val="8"/>
              <c:layout>
                <c:manualLayout>
                  <c:x val="-6.0078350354720591E-4"/>
                  <c:y val="0"/>
                </c:manualLayout>
              </c:layout>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delete val="1"/>
            </c:dLbl>
            <c:dLbl>
              <c:idx val="10"/>
              <c:delete val="1"/>
            </c:dLbl>
            <c:dLbl>
              <c:idx val="11"/>
              <c:delete val="1"/>
            </c:dLbl>
            <c:dLbl>
              <c:idx val="12"/>
              <c:delete val="1"/>
            </c:dLbl>
            <c:dLbl>
              <c:idx val="13"/>
              <c:delete val="1"/>
            </c:dLbl>
            <c:dLbl>
              <c:idx val="14"/>
              <c:delete val="1"/>
            </c:dLbl>
            <c:dLbl>
              <c:idx val="16"/>
              <c:delete val="1"/>
            </c:dLbl>
            <c:dLbl>
              <c:idx val="17"/>
              <c:delete val="1"/>
            </c:dLbl>
            <c:dLbl>
              <c:idx val="18"/>
              <c:delete val="1"/>
            </c:dLbl>
            <c:dLbl>
              <c:idx val="19"/>
              <c:layout>
                <c:manualLayout>
                  <c:x val="3.2601153816169882E-2"/>
                  <c:y val="-1.2867810385265743E-16"/>
                </c:manualLayout>
              </c:layout>
              <c:dLblPos val="ctr"/>
              <c:showLegendKey val="0"/>
              <c:showVal val="1"/>
              <c:showCatName val="0"/>
              <c:showSerName val="0"/>
              <c:showPercent val="0"/>
              <c:showBubbleSize val="0"/>
            </c:dLbl>
            <c:dLbl>
              <c:idx val="20"/>
              <c:delete val="1"/>
            </c:dLbl>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総合(n=413)</c:v>
                </c:pt>
                <c:pt idx="1">
                  <c:v>農林業(n=48)</c:v>
                </c:pt>
                <c:pt idx="2">
                  <c:v>漁業(n=3)</c:v>
                </c:pt>
                <c:pt idx="3">
                  <c:v>商工サービス業自営(n=25)</c:v>
                </c:pt>
                <c:pt idx="4">
                  <c:v>事務職(n=43)</c:v>
                </c:pt>
                <c:pt idx="5">
                  <c:v>技術職(n=49)</c:v>
                </c:pt>
                <c:pt idx="6">
                  <c:v>労務職(n=63)</c:v>
                </c:pt>
                <c:pt idx="7">
                  <c:v>管理職(n=9)</c:v>
                </c:pt>
                <c:pt idx="8">
                  <c:v>自由業(n=7)</c:v>
                </c:pt>
                <c:pt idx="9">
                  <c:v>主婦・主夫(n=42)</c:v>
                </c:pt>
                <c:pt idx="10">
                  <c:v>学生(n=12)</c:v>
                </c:pt>
                <c:pt idx="11">
                  <c:v>無職(n=65)</c:v>
                </c:pt>
                <c:pt idx="12">
                  <c:v>その他(n=43)</c:v>
                </c:pt>
                <c:pt idx="13">
                  <c:v>高知市(n=138)</c:v>
                </c:pt>
                <c:pt idx="14">
                  <c:v>安芸広域圏(n=49)</c:v>
                </c:pt>
                <c:pt idx="15">
                  <c:v>南国・香美広域圏(n=62)</c:v>
                </c:pt>
                <c:pt idx="16">
                  <c:v>嶺北広域圏(n=15)</c:v>
                </c:pt>
                <c:pt idx="17">
                  <c:v>仁淀川広域圏(n=36)</c:v>
                </c:pt>
                <c:pt idx="18">
                  <c:v>高吾北広域圏(n=19)</c:v>
                </c:pt>
                <c:pt idx="19">
                  <c:v>高幡広域圏(n=35)</c:v>
                </c:pt>
                <c:pt idx="20">
                  <c:v>幡多広域圏(n=55)</c:v>
                </c:pt>
              </c:strCache>
            </c:strRef>
          </c:cat>
          <c:val>
            <c:numRef>
              <c:f>Sheet1!$E$2:$E$22</c:f>
              <c:numCache>
                <c:formatCode>0.0</c:formatCode>
                <c:ptCount val="21"/>
                <c:pt idx="0">
                  <c:v>0.5</c:v>
                </c:pt>
                <c:pt idx="1">
                  <c:v>2.1</c:v>
                </c:pt>
                <c:pt idx="2">
                  <c:v>0</c:v>
                </c:pt>
                <c:pt idx="3">
                  <c:v>0</c:v>
                </c:pt>
                <c:pt idx="4">
                  <c:v>0</c:v>
                </c:pt>
                <c:pt idx="5">
                  <c:v>0</c:v>
                </c:pt>
                <c:pt idx="6">
                  <c:v>0</c:v>
                </c:pt>
                <c:pt idx="7">
                  <c:v>0</c:v>
                </c:pt>
                <c:pt idx="8">
                  <c:v>14.3</c:v>
                </c:pt>
                <c:pt idx="9">
                  <c:v>0</c:v>
                </c:pt>
                <c:pt idx="10">
                  <c:v>0</c:v>
                </c:pt>
                <c:pt idx="11">
                  <c:v>0</c:v>
                </c:pt>
                <c:pt idx="12">
                  <c:v>0</c:v>
                </c:pt>
                <c:pt idx="13">
                  <c:v>0</c:v>
                </c:pt>
                <c:pt idx="14">
                  <c:v>0</c:v>
                </c:pt>
                <c:pt idx="15">
                  <c:v>1.6</c:v>
                </c:pt>
                <c:pt idx="16">
                  <c:v>0</c:v>
                </c:pt>
                <c:pt idx="17">
                  <c:v>0</c:v>
                </c:pt>
                <c:pt idx="18">
                  <c:v>0</c:v>
                </c:pt>
                <c:pt idx="19">
                  <c:v>2.9</c:v>
                </c:pt>
                <c:pt idx="20">
                  <c:v>0</c:v>
                </c:pt>
              </c:numCache>
            </c:numRef>
          </c:val>
        </c:ser>
        <c:dLbls>
          <c:showLegendKey val="0"/>
          <c:showVal val="0"/>
          <c:showCatName val="0"/>
          <c:showSerName val="0"/>
          <c:showPercent val="0"/>
          <c:showBubbleSize val="0"/>
        </c:dLbls>
        <c:gapWidth val="70"/>
        <c:overlap val="100"/>
        <c:axId val="229308288"/>
        <c:axId val="229309824"/>
      </c:barChart>
      <c:catAx>
        <c:axId val="22930828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9309824"/>
        <c:crosses val="autoZero"/>
        <c:auto val="1"/>
        <c:lblAlgn val="ctr"/>
        <c:lblOffset val="100"/>
        <c:noMultiLvlLbl val="0"/>
      </c:catAx>
      <c:valAx>
        <c:axId val="22930982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9308288"/>
        <c:crosses val="autoZero"/>
        <c:crossBetween val="between"/>
      </c:valAx>
    </c:plotArea>
    <c:legend>
      <c:legendPos val="r"/>
      <c:layout>
        <c:manualLayout>
          <c:xMode val="edge"/>
          <c:yMode val="edge"/>
          <c:x val="1.5873454310302414E-2"/>
          <c:y val="1.4755659492010661E-3"/>
          <c:w val="0.98412658194952229"/>
          <c:h val="0.1006508359452665"/>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446189168550474"/>
          <c:w val="0.70210394373780149"/>
          <c:h val="0.8063318136656904"/>
        </c:manualLayout>
      </c:layout>
      <c:barChart>
        <c:barDir val="bar"/>
        <c:grouping val="percentStacked"/>
        <c:varyColors val="0"/>
        <c:ser>
          <c:idx val="0"/>
          <c:order val="0"/>
          <c:tx>
            <c:strRef>
              <c:f>Sheet1!$B$1</c:f>
              <c:strCache>
                <c:ptCount val="1"/>
                <c:pt idx="0">
                  <c:v>耐震改修工事を行った</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総合（n=74)</c:v>
                </c:pt>
                <c:pt idx="1">
                  <c:v>男性(n=38)</c:v>
                </c:pt>
                <c:pt idx="2">
                  <c:v>女性(n=36)</c:v>
                </c:pt>
                <c:pt idx="3">
                  <c:v>10歳代(n=1)</c:v>
                </c:pt>
                <c:pt idx="4">
                  <c:v>20歳代(n=2)</c:v>
                </c:pt>
                <c:pt idx="5">
                  <c:v>30歳代(n=12)</c:v>
                </c:pt>
                <c:pt idx="6">
                  <c:v>40歳代(n=17)</c:v>
                </c:pt>
                <c:pt idx="7">
                  <c:v>50歳代(n=14)</c:v>
                </c:pt>
                <c:pt idx="8">
                  <c:v>60歳代(n=21)</c:v>
                </c:pt>
                <c:pt idx="9">
                  <c:v>70歳以上(n=7)</c:v>
                </c:pt>
                <c:pt idx="10">
                  <c:v>持家(n=67)</c:v>
                </c:pt>
                <c:pt idx="11">
                  <c:v>借家(n=5)</c:v>
                </c:pt>
              </c:strCache>
            </c:strRef>
          </c:cat>
          <c:val>
            <c:numRef>
              <c:f>Sheet1!$B$2:$B$13</c:f>
              <c:numCache>
                <c:formatCode>0.0</c:formatCode>
                <c:ptCount val="12"/>
                <c:pt idx="0">
                  <c:v>47.3</c:v>
                </c:pt>
                <c:pt idx="1">
                  <c:v>39.5</c:v>
                </c:pt>
                <c:pt idx="2">
                  <c:v>55.6</c:v>
                </c:pt>
                <c:pt idx="3">
                  <c:v>100</c:v>
                </c:pt>
                <c:pt idx="4">
                  <c:v>0</c:v>
                </c:pt>
                <c:pt idx="5">
                  <c:v>41.7</c:v>
                </c:pt>
                <c:pt idx="6">
                  <c:v>35.300000000000004</c:v>
                </c:pt>
                <c:pt idx="7">
                  <c:v>35.700000000000003</c:v>
                </c:pt>
                <c:pt idx="8">
                  <c:v>61.9</c:v>
                </c:pt>
                <c:pt idx="9">
                  <c:v>71.400000000000006</c:v>
                </c:pt>
                <c:pt idx="10">
                  <c:v>47.8</c:v>
                </c:pt>
                <c:pt idx="11">
                  <c:v>60</c:v>
                </c:pt>
              </c:numCache>
            </c:numRef>
          </c:val>
        </c:ser>
        <c:ser>
          <c:idx val="1"/>
          <c:order val="1"/>
          <c:tx>
            <c:strRef>
              <c:f>Sheet1!$C$1</c:f>
              <c:strCache>
                <c:ptCount val="1"/>
                <c:pt idx="0">
                  <c:v>今後、耐震改修工事を行う、または、建て替える予定</c:v>
                </c:pt>
              </c:strCache>
            </c:strRef>
          </c:tx>
          <c:spPr>
            <a:pattFill prst="pct20">
              <a:fgClr>
                <a:sysClr val="windowText" lastClr="000000"/>
              </a:fgClr>
              <a:bgClr>
                <a:sysClr val="window" lastClr="FFFFFF"/>
              </a:bgClr>
            </a:pattFill>
            <a:ln>
              <a:solidFill>
                <a:sysClr val="windowText" lastClr="000000"/>
              </a:solidFill>
            </a:ln>
          </c:spPr>
          <c:invertIfNegative val="0"/>
          <c:dLbls>
            <c:dLbl>
              <c:idx val="3"/>
              <c:delete val="1"/>
            </c:dLbl>
            <c:dLbl>
              <c:idx val="7"/>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総合（n=74)</c:v>
                </c:pt>
                <c:pt idx="1">
                  <c:v>男性(n=38)</c:v>
                </c:pt>
                <c:pt idx="2">
                  <c:v>女性(n=36)</c:v>
                </c:pt>
                <c:pt idx="3">
                  <c:v>10歳代(n=1)</c:v>
                </c:pt>
                <c:pt idx="4">
                  <c:v>20歳代(n=2)</c:v>
                </c:pt>
                <c:pt idx="5">
                  <c:v>30歳代(n=12)</c:v>
                </c:pt>
                <c:pt idx="6">
                  <c:v>40歳代(n=17)</c:v>
                </c:pt>
                <c:pt idx="7">
                  <c:v>50歳代(n=14)</c:v>
                </c:pt>
                <c:pt idx="8">
                  <c:v>60歳代(n=21)</c:v>
                </c:pt>
                <c:pt idx="9">
                  <c:v>70歳以上(n=7)</c:v>
                </c:pt>
                <c:pt idx="10">
                  <c:v>持家(n=67)</c:v>
                </c:pt>
                <c:pt idx="11">
                  <c:v>借家(n=5)</c:v>
                </c:pt>
              </c:strCache>
            </c:strRef>
          </c:cat>
          <c:val>
            <c:numRef>
              <c:f>Sheet1!$C$2:$C$13</c:f>
              <c:numCache>
                <c:formatCode>0.0</c:formatCode>
                <c:ptCount val="12"/>
                <c:pt idx="0">
                  <c:v>20.3</c:v>
                </c:pt>
                <c:pt idx="1">
                  <c:v>26.3</c:v>
                </c:pt>
                <c:pt idx="2">
                  <c:v>13.9</c:v>
                </c:pt>
                <c:pt idx="3">
                  <c:v>0</c:v>
                </c:pt>
                <c:pt idx="4">
                  <c:v>50</c:v>
                </c:pt>
                <c:pt idx="5">
                  <c:v>33.300000000000004</c:v>
                </c:pt>
                <c:pt idx="6">
                  <c:v>35.300000000000004</c:v>
                </c:pt>
                <c:pt idx="7">
                  <c:v>0</c:v>
                </c:pt>
                <c:pt idx="8">
                  <c:v>14.3</c:v>
                </c:pt>
                <c:pt idx="9">
                  <c:v>14.3</c:v>
                </c:pt>
                <c:pt idx="10">
                  <c:v>17.899999999999999</c:v>
                </c:pt>
                <c:pt idx="11">
                  <c:v>20</c:v>
                </c:pt>
              </c:numCache>
            </c:numRef>
          </c:val>
        </c:ser>
        <c:ser>
          <c:idx val="2"/>
          <c:order val="2"/>
          <c:tx>
            <c:strRef>
              <c:f>Sheet1!$D$1</c:f>
              <c:strCache>
                <c:ptCount val="1"/>
                <c:pt idx="0">
                  <c:v>耐震改修工事も建て替えも行う予定はない</c:v>
                </c:pt>
              </c:strCache>
            </c:strRef>
          </c:tx>
          <c:spPr>
            <a:pattFill prst="pct50">
              <a:fgClr>
                <a:sysClr val="windowText" lastClr="000000"/>
              </a:fgClr>
              <a:bgClr>
                <a:sysClr val="window" lastClr="FFFFFF"/>
              </a:bgClr>
            </a:pattFill>
            <a:ln>
              <a:solidFill>
                <a:sysClr val="windowText" lastClr="000000"/>
              </a:solidFill>
            </a:ln>
          </c:spPr>
          <c:invertIfNegative val="0"/>
          <c:dLbls>
            <c:dLbl>
              <c:idx val="3"/>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総合（n=74)</c:v>
                </c:pt>
                <c:pt idx="1">
                  <c:v>男性(n=38)</c:v>
                </c:pt>
                <c:pt idx="2">
                  <c:v>女性(n=36)</c:v>
                </c:pt>
                <c:pt idx="3">
                  <c:v>10歳代(n=1)</c:v>
                </c:pt>
                <c:pt idx="4">
                  <c:v>20歳代(n=2)</c:v>
                </c:pt>
                <c:pt idx="5">
                  <c:v>30歳代(n=12)</c:v>
                </c:pt>
                <c:pt idx="6">
                  <c:v>40歳代(n=17)</c:v>
                </c:pt>
                <c:pt idx="7">
                  <c:v>50歳代(n=14)</c:v>
                </c:pt>
                <c:pt idx="8">
                  <c:v>60歳代(n=21)</c:v>
                </c:pt>
                <c:pt idx="9">
                  <c:v>70歳以上(n=7)</c:v>
                </c:pt>
                <c:pt idx="10">
                  <c:v>持家(n=67)</c:v>
                </c:pt>
                <c:pt idx="11">
                  <c:v>借家(n=5)</c:v>
                </c:pt>
              </c:strCache>
            </c:strRef>
          </c:cat>
          <c:val>
            <c:numRef>
              <c:f>Sheet1!$D$2:$D$13</c:f>
              <c:numCache>
                <c:formatCode>0.0</c:formatCode>
                <c:ptCount val="12"/>
                <c:pt idx="0">
                  <c:v>21.6</c:v>
                </c:pt>
                <c:pt idx="1">
                  <c:v>23.7</c:v>
                </c:pt>
                <c:pt idx="2">
                  <c:v>19.399999999999999</c:v>
                </c:pt>
                <c:pt idx="3">
                  <c:v>0</c:v>
                </c:pt>
                <c:pt idx="4">
                  <c:v>50</c:v>
                </c:pt>
                <c:pt idx="5">
                  <c:v>25</c:v>
                </c:pt>
                <c:pt idx="6">
                  <c:v>23.5</c:v>
                </c:pt>
                <c:pt idx="7">
                  <c:v>28.6</c:v>
                </c:pt>
                <c:pt idx="8">
                  <c:v>14.3</c:v>
                </c:pt>
                <c:pt idx="9">
                  <c:v>14.3</c:v>
                </c:pt>
                <c:pt idx="10">
                  <c:v>22.4</c:v>
                </c:pt>
                <c:pt idx="11">
                  <c:v>20</c:v>
                </c:pt>
              </c:numCache>
            </c:numRef>
          </c:val>
        </c:ser>
        <c:ser>
          <c:idx val="3"/>
          <c:order val="3"/>
          <c:tx>
            <c:strRef>
              <c:f>Sheet1!$E$1</c:f>
              <c:strCache>
                <c:ptCount val="1"/>
                <c:pt idx="0">
                  <c:v>検討中</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3"/>
              <c:delete val="1"/>
            </c:dLbl>
            <c:dLbl>
              <c:idx val="4"/>
              <c:delete val="1"/>
            </c:dLbl>
            <c:dLbl>
              <c:idx val="5"/>
              <c:delete val="1"/>
            </c:dLbl>
            <c:dLbl>
              <c:idx val="6"/>
              <c:layout>
                <c:manualLayout>
                  <c:x val="-6.4102564102564534E-3"/>
                  <c:y val="-3.5966602440590877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delete val="1"/>
            </c:dLbl>
            <c:dLbl>
              <c:idx val="11"/>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総合（n=74)</c:v>
                </c:pt>
                <c:pt idx="1">
                  <c:v>男性(n=38)</c:v>
                </c:pt>
                <c:pt idx="2">
                  <c:v>女性(n=36)</c:v>
                </c:pt>
                <c:pt idx="3">
                  <c:v>10歳代(n=1)</c:v>
                </c:pt>
                <c:pt idx="4">
                  <c:v>20歳代(n=2)</c:v>
                </c:pt>
                <c:pt idx="5">
                  <c:v>30歳代(n=12)</c:v>
                </c:pt>
                <c:pt idx="6">
                  <c:v>40歳代(n=17)</c:v>
                </c:pt>
                <c:pt idx="7">
                  <c:v>50歳代(n=14)</c:v>
                </c:pt>
                <c:pt idx="8">
                  <c:v>60歳代(n=21)</c:v>
                </c:pt>
                <c:pt idx="9">
                  <c:v>70歳以上(n=7)</c:v>
                </c:pt>
                <c:pt idx="10">
                  <c:v>持家(n=67)</c:v>
                </c:pt>
                <c:pt idx="11">
                  <c:v>借家(n=5)</c:v>
                </c:pt>
              </c:strCache>
            </c:strRef>
          </c:cat>
          <c:val>
            <c:numRef>
              <c:f>Sheet1!$E$2:$E$13</c:f>
              <c:numCache>
                <c:formatCode>0.0</c:formatCode>
                <c:ptCount val="12"/>
                <c:pt idx="0">
                  <c:v>10.8</c:v>
                </c:pt>
                <c:pt idx="1">
                  <c:v>10.5</c:v>
                </c:pt>
                <c:pt idx="2">
                  <c:v>11.1</c:v>
                </c:pt>
                <c:pt idx="3">
                  <c:v>0</c:v>
                </c:pt>
                <c:pt idx="4">
                  <c:v>0</c:v>
                </c:pt>
                <c:pt idx="5">
                  <c:v>0</c:v>
                </c:pt>
                <c:pt idx="6">
                  <c:v>5.9</c:v>
                </c:pt>
                <c:pt idx="7">
                  <c:v>35.700000000000003</c:v>
                </c:pt>
                <c:pt idx="8">
                  <c:v>9.5</c:v>
                </c:pt>
                <c:pt idx="9">
                  <c:v>0</c:v>
                </c:pt>
                <c:pt idx="10">
                  <c:v>11.9</c:v>
                </c:pt>
                <c:pt idx="11">
                  <c:v>0</c:v>
                </c:pt>
              </c:numCache>
            </c:numRef>
          </c:val>
        </c:ser>
        <c:ser>
          <c:idx val="4"/>
          <c:order val="4"/>
          <c:tx>
            <c:strRef>
              <c:f>Sheet1!$F$1</c:f>
              <c:strCache>
                <c:ptCount val="1"/>
                <c:pt idx="0">
                  <c:v>無回答</c:v>
                </c:pt>
              </c:strCache>
            </c:strRef>
          </c:tx>
          <c:invertIfNegative val="0"/>
          <c:cat>
            <c:strRef>
              <c:f>Sheet1!$A$2:$A$13</c:f>
              <c:strCache>
                <c:ptCount val="12"/>
                <c:pt idx="0">
                  <c:v>総合（n=74)</c:v>
                </c:pt>
                <c:pt idx="1">
                  <c:v>男性(n=38)</c:v>
                </c:pt>
                <c:pt idx="2">
                  <c:v>女性(n=36)</c:v>
                </c:pt>
                <c:pt idx="3">
                  <c:v>10歳代(n=1)</c:v>
                </c:pt>
                <c:pt idx="4">
                  <c:v>20歳代(n=2)</c:v>
                </c:pt>
                <c:pt idx="5">
                  <c:v>30歳代(n=12)</c:v>
                </c:pt>
                <c:pt idx="6">
                  <c:v>40歳代(n=17)</c:v>
                </c:pt>
                <c:pt idx="7">
                  <c:v>50歳代(n=14)</c:v>
                </c:pt>
                <c:pt idx="8">
                  <c:v>60歳代(n=21)</c:v>
                </c:pt>
                <c:pt idx="9">
                  <c:v>70歳以上(n=7)</c:v>
                </c:pt>
                <c:pt idx="10">
                  <c:v>持家(n=67)</c:v>
                </c:pt>
                <c:pt idx="11">
                  <c:v>借家(n=5)</c:v>
                </c:pt>
              </c:strCache>
            </c:strRef>
          </c:cat>
          <c:val>
            <c:numRef>
              <c:f>Sheet1!$F$2:$F$13</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90"/>
        <c:overlap val="100"/>
        <c:axId val="229419264"/>
        <c:axId val="229433344"/>
      </c:barChart>
      <c:catAx>
        <c:axId val="22941926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9433344"/>
        <c:crosses val="autoZero"/>
        <c:auto val="1"/>
        <c:lblAlgn val="ctr"/>
        <c:lblOffset val="100"/>
        <c:noMultiLvlLbl val="0"/>
      </c:catAx>
      <c:valAx>
        <c:axId val="22943334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9419264"/>
        <c:crosses val="autoZero"/>
        <c:crossBetween val="between"/>
        <c:majorUnit val="0.1"/>
      </c:valAx>
    </c:plotArea>
    <c:legend>
      <c:legendPos val="r"/>
      <c:layout>
        <c:manualLayout>
          <c:xMode val="edge"/>
          <c:yMode val="edge"/>
          <c:x val="1.427451376270274E-2"/>
          <c:y val="1.8843625254239191E-3"/>
          <c:w val="0.9857255414048397"/>
          <c:h val="0.1261809800743443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耐震改修工事を行った</c:v>
                </c:pt>
              </c:strCache>
            </c:strRef>
          </c:tx>
          <c:spPr>
            <a:pattFill prst="pct80">
              <a:fgClr>
                <a:sysClr val="windowText" lastClr="000000"/>
              </a:fgClr>
              <a:bgClr>
                <a:sysClr val="window" lastClr="FFFFFF"/>
              </a:bgClr>
            </a:pattFill>
            <a:ln>
              <a:solidFill>
                <a:sysClr val="windowText" lastClr="000000"/>
              </a:solidFill>
            </a:ln>
          </c:spPr>
          <c:invertIfNegative val="0"/>
          <c:dLbls>
            <c:dLbl>
              <c:idx val="2"/>
              <c:delete val="1"/>
            </c:dLbl>
            <c:dLbl>
              <c:idx val="7"/>
              <c:delete val="1"/>
            </c:dLbl>
            <c:dLbl>
              <c:idx val="8"/>
              <c:delete val="1"/>
            </c:dLbl>
            <c:dLbl>
              <c:idx val="10"/>
              <c:delete val="1"/>
            </c:dLbl>
            <c:dLbl>
              <c:idx val="16"/>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総合(n=74)</c:v>
                </c:pt>
                <c:pt idx="1">
                  <c:v>農林業(n=11)</c:v>
                </c:pt>
                <c:pt idx="2">
                  <c:v>漁業(n=0)</c:v>
                </c:pt>
                <c:pt idx="3">
                  <c:v>商工サービス業自営(n=6)</c:v>
                </c:pt>
                <c:pt idx="4">
                  <c:v>事務職(n=11)</c:v>
                </c:pt>
                <c:pt idx="5">
                  <c:v>技術職(n=7)</c:v>
                </c:pt>
                <c:pt idx="6">
                  <c:v>労務職(n=7)</c:v>
                </c:pt>
                <c:pt idx="7">
                  <c:v>管理職(n=2)</c:v>
                </c:pt>
                <c:pt idx="8">
                  <c:v>自由業(n=2)</c:v>
                </c:pt>
                <c:pt idx="9">
                  <c:v>主婦・主夫(n=10)</c:v>
                </c:pt>
                <c:pt idx="10">
                  <c:v>学生(n=1)</c:v>
                </c:pt>
                <c:pt idx="11">
                  <c:v>無職(n=13)</c:v>
                </c:pt>
                <c:pt idx="12">
                  <c:v>その他(n=3)</c:v>
                </c:pt>
                <c:pt idx="13">
                  <c:v>高知市(n=28)</c:v>
                </c:pt>
                <c:pt idx="14">
                  <c:v>安芸広域圏(n=3)</c:v>
                </c:pt>
                <c:pt idx="15">
                  <c:v>南国・香美広域圏(n=13)</c:v>
                </c:pt>
                <c:pt idx="16">
                  <c:v>嶺北広域圏(n=1)</c:v>
                </c:pt>
                <c:pt idx="17">
                  <c:v>仁淀川広域圏(n=9)</c:v>
                </c:pt>
                <c:pt idx="18">
                  <c:v>高吾北広域圏(n=3)</c:v>
                </c:pt>
                <c:pt idx="19">
                  <c:v>高幡広域圏(n=3)</c:v>
                </c:pt>
                <c:pt idx="20">
                  <c:v>幡多広域圏(n=13)</c:v>
                </c:pt>
              </c:strCache>
            </c:strRef>
          </c:cat>
          <c:val>
            <c:numRef>
              <c:f>Sheet1!$B$2:$B$22</c:f>
              <c:numCache>
                <c:formatCode>0.0</c:formatCode>
                <c:ptCount val="21"/>
                <c:pt idx="0">
                  <c:v>47.3</c:v>
                </c:pt>
                <c:pt idx="1">
                  <c:v>54.5</c:v>
                </c:pt>
                <c:pt idx="2">
                  <c:v>0</c:v>
                </c:pt>
                <c:pt idx="3">
                  <c:v>33.300000000000004</c:v>
                </c:pt>
                <c:pt idx="4">
                  <c:v>36.4</c:v>
                </c:pt>
                <c:pt idx="5">
                  <c:v>42.9</c:v>
                </c:pt>
                <c:pt idx="6">
                  <c:v>57.1</c:v>
                </c:pt>
                <c:pt idx="7">
                  <c:v>0</c:v>
                </c:pt>
                <c:pt idx="8">
                  <c:v>0</c:v>
                </c:pt>
                <c:pt idx="9">
                  <c:v>60</c:v>
                </c:pt>
                <c:pt idx="10">
                  <c:v>0</c:v>
                </c:pt>
                <c:pt idx="11">
                  <c:v>61.5</c:v>
                </c:pt>
                <c:pt idx="12">
                  <c:v>33.300000000000004</c:v>
                </c:pt>
                <c:pt idx="13">
                  <c:v>53.6</c:v>
                </c:pt>
                <c:pt idx="14">
                  <c:v>33.300000000000004</c:v>
                </c:pt>
                <c:pt idx="15">
                  <c:v>53.8</c:v>
                </c:pt>
                <c:pt idx="16">
                  <c:v>0</c:v>
                </c:pt>
                <c:pt idx="17">
                  <c:v>55.6</c:v>
                </c:pt>
                <c:pt idx="18">
                  <c:v>33.300000000000004</c:v>
                </c:pt>
                <c:pt idx="19">
                  <c:v>66.7</c:v>
                </c:pt>
                <c:pt idx="20">
                  <c:v>30.8</c:v>
                </c:pt>
              </c:numCache>
            </c:numRef>
          </c:val>
        </c:ser>
        <c:ser>
          <c:idx val="1"/>
          <c:order val="1"/>
          <c:tx>
            <c:strRef>
              <c:f>Sheet1!$C$1</c:f>
              <c:strCache>
                <c:ptCount val="1"/>
                <c:pt idx="0">
                  <c:v>今後、耐震改修工事を行う、または、建て替える予定</c:v>
                </c:pt>
              </c:strCache>
            </c:strRef>
          </c:tx>
          <c:spPr>
            <a:pattFill prst="pct20">
              <a:fgClr>
                <a:sysClr val="windowText" lastClr="000000"/>
              </a:fgClr>
              <a:bgClr>
                <a:sysClr val="window" lastClr="FFFFFF"/>
              </a:bgClr>
            </a:pattFill>
            <a:ln>
              <a:solidFill>
                <a:sysClr val="windowText" lastClr="000000"/>
              </a:solidFill>
            </a:ln>
          </c:spPr>
          <c:invertIfNegative val="0"/>
          <c:dLbls>
            <c:dLbl>
              <c:idx val="2"/>
              <c:delete val="1"/>
            </c:dLbl>
            <c:dLbl>
              <c:idx val="5"/>
              <c:delete val="1"/>
            </c:dLbl>
            <c:dLbl>
              <c:idx val="9"/>
              <c:delete val="1"/>
            </c:dLbl>
            <c:dLbl>
              <c:idx val="12"/>
              <c:delete val="1"/>
            </c:dLbl>
            <c:dLbl>
              <c:idx val="16"/>
              <c:delete val="1"/>
            </c:dLbl>
            <c:dLbl>
              <c:idx val="18"/>
              <c:delete val="1"/>
            </c:dLbl>
            <c:dLbl>
              <c:idx val="19"/>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総合(n=74)</c:v>
                </c:pt>
                <c:pt idx="1">
                  <c:v>農林業(n=11)</c:v>
                </c:pt>
                <c:pt idx="2">
                  <c:v>漁業(n=0)</c:v>
                </c:pt>
                <c:pt idx="3">
                  <c:v>商工サービス業自営(n=6)</c:v>
                </c:pt>
                <c:pt idx="4">
                  <c:v>事務職(n=11)</c:v>
                </c:pt>
                <c:pt idx="5">
                  <c:v>技術職(n=7)</c:v>
                </c:pt>
                <c:pt idx="6">
                  <c:v>労務職(n=7)</c:v>
                </c:pt>
                <c:pt idx="7">
                  <c:v>管理職(n=2)</c:v>
                </c:pt>
                <c:pt idx="8">
                  <c:v>自由業(n=2)</c:v>
                </c:pt>
                <c:pt idx="9">
                  <c:v>主婦・主夫(n=10)</c:v>
                </c:pt>
                <c:pt idx="10">
                  <c:v>学生(n=1)</c:v>
                </c:pt>
                <c:pt idx="11">
                  <c:v>無職(n=13)</c:v>
                </c:pt>
                <c:pt idx="12">
                  <c:v>その他(n=3)</c:v>
                </c:pt>
                <c:pt idx="13">
                  <c:v>高知市(n=28)</c:v>
                </c:pt>
                <c:pt idx="14">
                  <c:v>安芸広域圏(n=3)</c:v>
                </c:pt>
                <c:pt idx="15">
                  <c:v>南国・香美広域圏(n=13)</c:v>
                </c:pt>
                <c:pt idx="16">
                  <c:v>嶺北広域圏(n=1)</c:v>
                </c:pt>
                <c:pt idx="17">
                  <c:v>仁淀川広域圏(n=9)</c:v>
                </c:pt>
                <c:pt idx="18">
                  <c:v>高吾北広域圏(n=3)</c:v>
                </c:pt>
                <c:pt idx="19">
                  <c:v>高幡広域圏(n=3)</c:v>
                </c:pt>
                <c:pt idx="20">
                  <c:v>幡多広域圏(n=13)</c:v>
                </c:pt>
              </c:strCache>
            </c:strRef>
          </c:cat>
          <c:val>
            <c:numRef>
              <c:f>Sheet1!$C$2:$C$22</c:f>
              <c:numCache>
                <c:formatCode>0.0</c:formatCode>
                <c:ptCount val="21"/>
                <c:pt idx="0">
                  <c:v>20.3</c:v>
                </c:pt>
                <c:pt idx="1">
                  <c:v>27.3</c:v>
                </c:pt>
                <c:pt idx="2">
                  <c:v>0</c:v>
                </c:pt>
                <c:pt idx="3">
                  <c:v>33.300000000000004</c:v>
                </c:pt>
                <c:pt idx="4">
                  <c:v>27.3</c:v>
                </c:pt>
                <c:pt idx="5">
                  <c:v>0</c:v>
                </c:pt>
                <c:pt idx="6">
                  <c:v>14.3</c:v>
                </c:pt>
                <c:pt idx="7">
                  <c:v>50</c:v>
                </c:pt>
                <c:pt idx="8">
                  <c:v>50</c:v>
                </c:pt>
                <c:pt idx="9">
                  <c:v>0</c:v>
                </c:pt>
                <c:pt idx="10">
                  <c:v>100</c:v>
                </c:pt>
                <c:pt idx="11">
                  <c:v>23.1</c:v>
                </c:pt>
                <c:pt idx="12">
                  <c:v>0</c:v>
                </c:pt>
                <c:pt idx="13">
                  <c:v>7.1</c:v>
                </c:pt>
                <c:pt idx="14">
                  <c:v>33.300000000000004</c:v>
                </c:pt>
                <c:pt idx="15">
                  <c:v>38.5</c:v>
                </c:pt>
                <c:pt idx="16">
                  <c:v>0</c:v>
                </c:pt>
                <c:pt idx="17">
                  <c:v>22.2</c:v>
                </c:pt>
                <c:pt idx="18">
                  <c:v>0</c:v>
                </c:pt>
                <c:pt idx="19">
                  <c:v>0</c:v>
                </c:pt>
                <c:pt idx="20">
                  <c:v>30.8</c:v>
                </c:pt>
              </c:numCache>
            </c:numRef>
          </c:val>
        </c:ser>
        <c:ser>
          <c:idx val="2"/>
          <c:order val="2"/>
          <c:tx>
            <c:strRef>
              <c:f>Sheet1!$D$1</c:f>
              <c:strCache>
                <c:ptCount val="1"/>
                <c:pt idx="0">
                  <c:v>耐震改修工事も建て替えも行う予定はない</c:v>
                </c:pt>
              </c:strCache>
            </c:strRef>
          </c:tx>
          <c:spPr>
            <a:pattFill prst="pct50">
              <a:fgClr>
                <a:sysClr val="windowText" lastClr="000000"/>
              </a:fgClr>
              <a:bgClr>
                <a:sysClr val="window" lastClr="FFFFFF"/>
              </a:bgClr>
            </a:pattFill>
            <a:ln>
              <a:solidFill>
                <a:sysClr val="windowText" lastClr="000000"/>
              </a:solidFill>
            </a:ln>
          </c:spPr>
          <c:invertIfNegative val="0"/>
          <c:dLbls>
            <c:dLbl>
              <c:idx val="2"/>
              <c:delete val="1"/>
            </c:dLbl>
            <c:dLbl>
              <c:idx val="7"/>
              <c:delete val="1"/>
            </c:dLbl>
            <c:dLbl>
              <c:idx val="10"/>
              <c:delete val="1"/>
            </c:dLbl>
            <c:dLbl>
              <c:idx val="14"/>
              <c:delete val="1"/>
            </c:dLbl>
            <c:dLbl>
              <c:idx val="16"/>
              <c:delete val="1"/>
            </c:dLbl>
            <c:dLbl>
              <c:idx val="19"/>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総合(n=74)</c:v>
                </c:pt>
                <c:pt idx="1">
                  <c:v>農林業(n=11)</c:v>
                </c:pt>
                <c:pt idx="2">
                  <c:v>漁業(n=0)</c:v>
                </c:pt>
                <c:pt idx="3">
                  <c:v>商工サービス業自営(n=6)</c:v>
                </c:pt>
                <c:pt idx="4">
                  <c:v>事務職(n=11)</c:v>
                </c:pt>
                <c:pt idx="5">
                  <c:v>技術職(n=7)</c:v>
                </c:pt>
                <c:pt idx="6">
                  <c:v>労務職(n=7)</c:v>
                </c:pt>
                <c:pt idx="7">
                  <c:v>管理職(n=2)</c:v>
                </c:pt>
                <c:pt idx="8">
                  <c:v>自由業(n=2)</c:v>
                </c:pt>
                <c:pt idx="9">
                  <c:v>主婦・主夫(n=10)</c:v>
                </c:pt>
                <c:pt idx="10">
                  <c:v>学生(n=1)</c:v>
                </c:pt>
                <c:pt idx="11">
                  <c:v>無職(n=13)</c:v>
                </c:pt>
                <c:pt idx="12">
                  <c:v>その他(n=3)</c:v>
                </c:pt>
                <c:pt idx="13">
                  <c:v>高知市(n=28)</c:v>
                </c:pt>
                <c:pt idx="14">
                  <c:v>安芸広域圏(n=3)</c:v>
                </c:pt>
                <c:pt idx="15">
                  <c:v>南国・香美広域圏(n=13)</c:v>
                </c:pt>
                <c:pt idx="16">
                  <c:v>嶺北広域圏(n=1)</c:v>
                </c:pt>
                <c:pt idx="17">
                  <c:v>仁淀川広域圏(n=9)</c:v>
                </c:pt>
                <c:pt idx="18">
                  <c:v>高吾北広域圏(n=3)</c:v>
                </c:pt>
                <c:pt idx="19">
                  <c:v>高幡広域圏(n=3)</c:v>
                </c:pt>
                <c:pt idx="20">
                  <c:v>幡多広域圏(n=13)</c:v>
                </c:pt>
              </c:strCache>
            </c:strRef>
          </c:cat>
          <c:val>
            <c:numRef>
              <c:f>Sheet1!$D$2:$D$22</c:f>
              <c:numCache>
                <c:formatCode>0.0</c:formatCode>
                <c:ptCount val="21"/>
                <c:pt idx="0">
                  <c:v>21.6</c:v>
                </c:pt>
                <c:pt idx="1">
                  <c:v>9.1</c:v>
                </c:pt>
                <c:pt idx="2">
                  <c:v>0</c:v>
                </c:pt>
                <c:pt idx="3">
                  <c:v>16.7</c:v>
                </c:pt>
                <c:pt idx="4">
                  <c:v>18.2</c:v>
                </c:pt>
                <c:pt idx="5">
                  <c:v>42.9</c:v>
                </c:pt>
                <c:pt idx="6">
                  <c:v>14.3</c:v>
                </c:pt>
                <c:pt idx="7">
                  <c:v>0</c:v>
                </c:pt>
                <c:pt idx="8">
                  <c:v>50</c:v>
                </c:pt>
                <c:pt idx="9">
                  <c:v>30</c:v>
                </c:pt>
                <c:pt idx="10">
                  <c:v>0</c:v>
                </c:pt>
                <c:pt idx="11">
                  <c:v>15.4</c:v>
                </c:pt>
                <c:pt idx="12">
                  <c:v>66.7</c:v>
                </c:pt>
                <c:pt idx="13">
                  <c:v>28.6</c:v>
                </c:pt>
                <c:pt idx="14">
                  <c:v>0</c:v>
                </c:pt>
                <c:pt idx="15">
                  <c:v>7.7</c:v>
                </c:pt>
                <c:pt idx="16">
                  <c:v>0</c:v>
                </c:pt>
                <c:pt idx="17">
                  <c:v>22.2</c:v>
                </c:pt>
                <c:pt idx="18">
                  <c:v>66.7</c:v>
                </c:pt>
                <c:pt idx="19">
                  <c:v>0</c:v>
                </c:pt>
                <c:pt idx="20">
                  <c:v>23.1</c:v>
                </c:pt>
              </c:numCache>
            </c:numRef>
          </c:val>
        </c:ser>
        <c:ser>
          <c:idx val="3"/>
          <c:order val="3"/>
          <c:tx>
            <c:strRef>
              <c:f>Sheet1!$E$1</c:f>
              <c:strCache>
                <c:ptCount val="1"/>
                <c:pt idx="0">
                  <c:v>検討中</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2"/>
              <c:delete val="1"/>
            </c:dLbl>
            <c:dLbl>
              <c:idx val="8"/>
              <c:delete val="1"/>
            </c:dLbl>
            <c:dLbl>
              <c:idx val="10"/>
              <c:delete val="1"/>
            </c:dLbl>
            <c:dLbl>
              <c:idx val="11"/>
              <c:delete val="1"/>
            </c:dLbl>
            <c:dLbl>
              <c:idx val="12"/>
              <c:delete val="1"/>
            </c:dLbl>
            <c:dLbl>
              <c:idx val="15"/>
              <c:delete val="1"/>
            </c:dLbl>
            <c:dLbl>
              <c:idx val="17"/>
              <c:delete val="1"/>
            </c:dLbl>
            <c:dLbl>
              <c:idx val="18"/>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総合(n=74)</c:v>
                </c:pt>
                <c:pt idx="1">
                  <c:v>農林業(n=11)</c:v>
                </c:pt>
                <c:pt idx="2">
                  <c:v>漁業(n=0)</c:v>
                </c:pt>
                <c:pt idx="3">
                  <c:v>商工サービス業自営(n=6)</c:v>
                </c:pt>
                <c:pt idx="4">
                  <c:v>事務職(n=11)</c:v>
                </c:pt>
                <c:pt idx="5">
                  <c:v>技術職(n=7)</c:v>
                </c:pt>
                <c:pt idx="6">
                  <c:v>労務職(n=7)</c:v>
                </c:pt>
                <c:pt idx="7">
                  <c:v>管理職(n=2)</c:v>
                </c:pt>
                <c:pt idx="8">
                  <c:v>自由業(n=2)</c:v>
                </c:pt>
                <c:pt idx="9">
                  <c:v>主婦・主夫(n=10)</c:v>
                </c:pt>
                <c:pt idx="10">
                  <c:v>学生(n=1)</c:v>
                </c:pt>
                <c:pt idx="11">
                  <c:v>無職(n=13)</c:v>
                </c:pt>
                <c:pt idx="12">
                  <c:v>その他(n=3)</c:v>
                </c:pt>
                <c:pt idx="13">
                  <c:v>高知市(n=28)</c:v>
                </c:pt>
                <c:pt idx="14">
                  <c:v>安芸広域圏(n=3)</c:v>
                </c:pt>
                <c:pt idx="15">
                  <c:v>南国・香美広域圏(n=13)</c:v>
                </c:pt>
                <c:pt idx="16">
                  <c:v>嶺北広域圏(n=1)</c:v>
                </c:pt>
                <c:pt idx="17">
                  <c:v>仁淀川広域圏(n=9)</c:v>
                </c:pt>
                <c:pt idx="18">
                  <c:v>高吾北広域圏(n=3)</c:v>
                </c:pt>
                <c:pt idx="19">
                  <c:v>高幡広域圏(n=3)</c:v>
                </c:pt>
                <c:pt idx="20">
                  <c:v>幡多広域圏(n=13)</c:v>
                </c:pt>
              </c:strCache>
            </c:strRef>
          </c:cat>
          <c:val>
            <c:numRef>
              <c:f>Sheet1!$E$2:$E$22</c:f>
              <c:numCache>
                <c:formatCode>0.0</c:formatCode>
                <c:ptCount val="21"/>
                <c:pt idx="0">
                  <c:v>10.8</c:v>
                </c:pt>
                <c:pt idx="1">
                  <c:v>9.1</c:v>
                </c:pt>
                <c:pt idx="2">
                  <c:v>0</c:v>
                </c:pt>
                <c:pt idx="3">
                  <c:v>16.7</c:v>
                </c:pt>
                <c:pt idx="4">
                  <c:v>18.2</c:v>
                </c:pt>
                <c:pt idx="5">
                  <c:v>14.3</c:v>
                </c:pt>
                <c:pt idx="6">
                  <c:v>14.3</c:v>
                </c:pt>
                <c:pt idx="7">
                  <c:v>50</c:v>
                </c:pt>
                <c:pt idx="8">
                  <c:v>0</c:v>
                </c:pt>
                <c:pt idx="9">
                  <c:v>10</c:v>
                </c:pt>
                <c:pt idx="10">
                  <c:v>0</c:v>
                </c:pt>
                <c:pt idx="11">
                  <c:v>0</c:v>
                </c:pt>
                <c:pt idx="12">
                  <c:v>0</c:v>
                </c:pt>
                <c:pt idx="13">
                  <c:v>10.7</c:v>
                </c:pt>
                <c:pt idx="14">
                  <c:v>33.300000000000004</c:v>
                </c:pt>
                <c:pt idx="15">
                  <c:v>0</c:v>
                </c:pt>
                <c:pt idx="16">
                  <c:v>100</c:v>
                </c:pt>
                <c:pt idx="17">
                  <c:v>0</c:v>
                </c:pt>
                <c:pt idx="18">
                  <c:v>0</c:v>
                </c:pt>
                <c:pt idx="19">
                  <c:v>33.300000000000004</c:v>
                </c:pt>
                <c:pt idx="20">
                  <c:v>15.4</c:v>
                </c:pt>
              </c:numCache>
            </c:numRef>
          </c:val>
        </c:ser>
        <c:ser>
          <c:idx val="4"/>
          <c:order val="4"/>
          <c:tx>
            <c:strRef>
              <c:f>Sheet1!$F$1</c:f>
              <c:strCache>
                <c:ptCount val="1"/>
                <c:pt idx="0">
                  <c:v>無回答</c:v>
                </c:pt>
              </c:strCache>
            </c:strRef>
          </c:tx>
          <c:invertIfNegative val="0"/>
          <c:cat>
            <c:strRef>
              <c:f>Sheet1!$A$2:$A$22</c:f>
              <c:strCache>
                <c:ptCount val="21"/>
                <c:pt idx="0">
                  <c:v>総合(n=74)</c:v>
                </c:pt>
                <c:pt idx="1">
                  <c:v>農林業(n=11)</c:v>
                </c:pt>
                <c:pt idx="2">
                  <c:v>漁業(n=0)</c:v>
                </c:pt>
                <c:pt idx="3">
                  <c:v>商工サービス業自営(n=6)</c:v>
                </c:pt>
                <c:pt idx="4">
                  <c:v>事務職(n=11)</c:v>
                </c:pt>
                <c:pt idx="5">
                  <c:v>技術職(n=7)</c:v>
                </c:pt>
                <c:pt idx="6">
                  <c:v>労務職(n=7)</c:v>
                </c:pt>
                <c:pt idx="7">
                  <c:v>管理職(n=2)</c:v>
                </c:pt>
                <c:pt idx="8">
                  <c:v>自由業(n=2)</c:v>
                </c:pt>
                <c:pt idx="9">
                  <c:v>主婦・主夫(n=10)</c:v>
                </c:pt>
                <c:pt idx="10">
                  <c:v>学生(n=1)</c:v>
                </c:pt>
                <c:pt idx="11">
                  <c:v>無職(n=13)</c:v>
                </c:pt>
                <c:pt idx="12">
                  <c:v>その他(n=3)</c:v>
                </c:pt>
                <c:pt idx="13">
                  <c:v>高知市(n=28)</c:v>
                </c:pt>
                <c:pt idx="14">
                  <c:v>安芸広域圏(n=3)</c:v>
                </c:pt>
                <c:pt idx="15">
                  <c:v>南国・香美広域圏(n=13)</c:v>
                </c:pt>
                <c:pt idx="16">
                  <c:v>嶺北広域圏(n=1)</c:v>
                </c:pt>
                <c:pt idx="17">
                  <c:v>仁淀川広域圏(n=9)</c:v>
                </c:pt>
                <c:pt idx="18">
                  <c:v>高吾北広域圏(n=3)</c:v>
                </c:pt>
                <c:pt idx="19">
                  <c:v>高幡広域圏(n=3)</c:v>
                </c:pt>
                <c:pt idx="20">
                  <c:v>幡多広域圏(n=13)</c:v>
                </c:pt>
              </c:strCache>
            </c:strRef>
          </c:cat>
          <c:val>
            <c:numRef>
              <c:f>Sheet1!$F$2:$F$22</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70"/>
        <c:overlap val="100"/>
        <c:axId val="229821440"/>
        <c:axId val="229577472"/>
      </c:barChart>
      <c:catAx>
        <c:axId val="22982144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9577472"/>
        <c:crosses val="autoZero"/>
        <c:auto val="1"/>
        <c:lblAlgn val="ctr"/>
        <c:lblOffset val="100"/>
        <c:noMultiLvlLbl val="0"/>
      </c:catAx>
      <c:valAx>
        <c:axId val="22957747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29821440"/>
        <c:crosses val="autoZero"/>
        <c:crossBetween val="between"/>
      </c:valAx>
    </c:plotArea>
    <c:legend>
      <c:legendPos val="r"/>
      <c:layout>
        <c:manualLayout>
          <c:xMode val="edge"/>
          <c:yMode val="edge"/>
          <c:x val="1.5873405120018461E-2"/>
          <c:y val="1.4755920711279871E-3"/>
          <c:w val="0.98412666430514351"/>
          <c:h val="8.1004727001479065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9"/>
              <c:layout>
                <c:manualLayout>
                  <c:x val="3.5426092703800142E-2"/>
                  <c:y val="6.7788649888456592E-2"/>
                </c:manualLayout>
              </c:layout>
              <c:spPr>
                <a:noFill/>
              </c:spPr>
              <c:txPr>
                <a:bodyPr/>
                <a:lstStyle/>
                <a:p>
                  <a:pPr>
                    <a:defRPr sz="800" b="1"/>
                  </a:pPr>
                  <a:endParaRPr lang="ja-JP"/>
                </a:p>
              </c:txPr>
              <c:dLblPos val="outEnd"/>
              <c:showLegendKey val="0"/>
              <c:showVal val="1"/>
              <c:showCatName val="0"/>
              <c:showSerName val="0"/>
              <c:showPercent val="0"/>
              <c:showBubbleSize val="0"/>
            </c:dLbl>
            <c:dLbl>
              <c:idx val="10"/>
              <c:layout>
                <c:manualLayout>
                  <c:x val="3.5426584960762189E-2"/>
                  <c:y val="4.6448006209829876E-2"/>
                </c:manualLayout>
              </c:layout>
              <c:spPr>
                <a:noFill/>
              </c:spPr>
              <c:txPr>
                <a:bodyPr/>
                <a:lstStyle/>
                <a:p>
                  <a:pPr>
                    <a:defRPr sz="800" b="1"/>
                  </a:pPr>
                  <a:endParaRPr lang="ja-JP"/>
                </a:p>
              </c:txPr>
              <c:dLblPos val="outEnd"/>
              <c:showLegendKey val="0"/>
              <c:showVal val="1"/>
              <c:showCatName val="0"/>
              <c:showSerName val="0"/>
              <c:showPercent val="0"/>
              <c:showBubbleSize val="0"/>
            </c:dLbl>
            <c:dLbl>
              <c:idx val="11"/>
              <c:layout>
                <c:manualLayout>
                  <c:x val="3.1251589579774045E-2"/>
                  <c:y val="3.1518805942982564E-2"/>
                </c:manualLayout>
              </c:layout>
              <c:spPr>
                <a:noFill/>
              </c:spPr>
              <c:txPr>
                <a:bodyPr/>
                <a:lstStyle/>
                <a:p>
                  <a:pPr>
                    <a:defRPr sz="800" b="1"/>
                  </a:pPr>
                  <a:endParaRPr lang="ja-JP"/>
                </a:p>
              </c:txPr>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Sheet1!$B$1:$N$1</c:f>
              <c:strCache>
                <c:ptCount val="13"/>
                <c:pt idx="0">
                  <c:v>耐震診断の結果、耐震改修工事などが必要になっても費用が高額で出せない</c:v>
                </c:pt>
                <c:pt idx="1">
                  <c:v>どんなに耐震化しても大地震（または大津波）にあえば被害は避けられないと思う</c:v>
                </c:pt>
                <c:pt idx="2">
                  <c:v>耐震診断の費用がかかる</c:v>
                </c:pt>
                <c:pt idx="3">
                  <c:v>自宅が地震に弱いと思っているので受ける意味が無い</c:v>
                </c:pt>
                <c:pt idx="4">
                  <c:v>耐震診断のやり方がわからない</c:v>
                </c:pt>
                <c:pt idx="5">
                  <c:v>申し込み手続きに手間がかかる</c:v>
                </c:pt>
                <c:pt idx="6">
                  <c:v>部屋を片付けるのが面倒だ</c:v>
                </c:pt>
                <c:pt idx="7">
                  <c:v>家の中に他人が入ってほしくない</c:v>
                </c:pt>
                <c:pt idx="8">
                  <c:v>自分が生きている間に南海トラフ地震は起きないと思う</c:v>
                </c:pt>
                <c:pt idx="9">
                  <c:v>自宅が地震に強いと思っている</c:v>
                </c:pt>
                <c:pt idx="10">
                  <c:v>近いうちに建て替えるつもりである</c:v>
                </c:pt>
                <c:pt idx="11">
                  <c:v>近いうちにリフォームする予定で、その時に耐震診断をするつもりである</c:v>
                </c:pt>
                <c:pt idx="12">
                  <c:v>その他</c:v>
                </c:pt>
              </c:strCache>
            </c:strRef>
          </c:cat>
          <c:val>
            <c:numRef>
              <c:f>Sheet1!$B$2:$N$2</c:f>
              <c:numCache>
                <c:formatCode>0.0</c:formatCode>
                <c:ptCount val="13"/>
                <c:pt idx="0">
                  <c:v>44.6</c:v>
                </c:pt>
                <c:pt idx="1">
                  <c:v>35.5</c:v>
                </c:pt>
                <c:pt idx="2">
                  <c:v>33.300000000000004</c:v>
                </c:pt>
                <c:pt idx="3">
                  <c:v>22</c:v>
                </c:pt>
                <c:pt idx="4">
                  <c:v>15</c:v>
                </c:pt>
                <c:pt idx="5">
                  <c:v>11</c:v>
                </c:pt>
                <c:pt idx="6">
                  <c:v>10.4</c:v>
                </c:pt>
                <c:pt idx="7">
                  <c:v>4.9000000000000004</c:v>
                </c:pt>
                <c:pt idx="8">
                  <c:v>4.5999999999999996</c:v>
                </c:pt>
                <c:pt idx="9">
                  <c:v>4.5999999999999996</c:v>
                </c:pt>
                <c:pt idx="10">
                  <c:v>2.8</c:v>
                </c:pt>
                <c:pt idx="11">
                  <c:v>1.8</c:v>
                </c:pt>
                <c:pt idx="12">
                  <c:v>15.6</c:v>
                </c:pt>
              </c:numCache>
            </c:numRef>
          </c:val>
        </c:ser>
        <c:dLbls>
          <c:showLegendKey val="0"/>
          <c:showVal val="1"/>
          <c:showCatName val="0"/>
          <c:showSerName val="0"/>
          <c:showPercent val="0"/>
          <c:showBubbleSize val="0"/>
        </c:dLbls>
        <c:gapWidth val="100"/>
        <c:axId val="229710464"/>
        <c:axId val="229745024"/>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4.2833333333334507E-2"/>
                  <c:y val="5.5274261603375487E-2"/>
                </c:manualLayout>
              </c:layout>
              <c:dLblPos val="r"/>
              <c:showLegendKey val="0"/>
              <c:showVal val="1"/>
              <c:showCatName val="0"/>
              <c:showSerName val="0"/>
              <c:showPercent val="0"/>
              <c:showBubbleSize val="0"/>
            </c:dLbl>
            <c:dLbl>
              <c:idx val="4"/>
              <c:layout>
                <c:manualLayout>
                  <c:x val="-3.6583333333333391E-2"/>
                  <c:y val="-3.333333333333334E-2"/>
                </c:manualLayout>
              </c:layout>
              <c:dLblPos val="r"/>
              <c:showLegendKey val="0"/>
              <c:showVal val="1"/>
              <c:showCatName val="0"/>
              <c:showSerName val="0"/>
              <c:showPercent val="0"/>
              <c:showBubbleSize val="0"/>
            </c:dLbl>
            <c:dLbl>
              <c:idx val="5"/>
              <c:layout>
                <c:manualLayout>
                  <c:x val="-3.8666666666666669E-2"/>
                  <c:y val="-2.7004219409282812E-2"/>
                </c:manualLayout>
              </c:layout>
              <c:dLblPos val="r"/>
              <c:showLegendKey val="0"/>
              <c:showVal val="1"/>
              <c:showCatName val="0"/>
              <c:showSerName val="0"/>
              <c:showPercent val="0"/>
              <c:showBubbleSize val="0"/>
            </c:dLbl>
            <c:dLbl>
              <c:idx val="7"/>
              <c:layout>
                <c:manualLayout>
                  <c:x val="-3.6552165354330708E-2"/>
                  <c:y val="-6.4978902953586534E-2"/>
                </c:manualLayout>
              </c:layout>
              <c:dLblPos val="r"/>
              <c:showLegendKey val="0"/>
              <c:showVal val="1"/>
              <c:showCatName val="0"/>
              <c:showSerName val="0"/>
              <c:showPercent val="0"/>
              <c:showBubbleSize val="0"/>
            </c:dLbl>
            <c:dLbl>
              <c:idx val="8"/>
              <c:layout>
                <c:manualLayout>
                  <c:x val="-3.863549868766479E-2"/>
                  <c:y val="-6.4978902953586534E-2"/>
                </c:manualLayout>
              </c:layout>
              <c:dLblPos val="r"/>
              <c:showLegendKey val="0"/>
              <c:showVal val="1"/>
              <c:showCatName val="0"/>
              <c:showSerName val="0"/>
              <c:showPercent val="0"/>
              <c:showBubbleSize val="0"/>
            </c:dLbl>
            <c:dLbl>
              <c:idx val="9"/>
              <c:layout>
                <c:manualLayout>
                  <c:x val="-3.8635498687664846E-2"/>
                  <c:y val="-2.7004219409282812E-2"/>
                </c:manualLayout>
              </c:layout>
              <c:dLblPos val="r"/>
              <c:showLegendKey val="0"/>
              <c:showVal val="1"/>
              <c:showCatName val="0"/>
              <c:showSerName val="0"/>
              <c:showPercent val="0"/>
              <c:showBubbleSize val="0"/>
            </c:dLbl>
            <c:dLbl>
              <c:idx val="10"/>
              <c:layout>
                <c:manualLayout>
                  <c:x val="-3.4468832020997382E-2"/>
                  <c:y val="-6.7088607594937094E-2"/>
                </c:manualLayout>
              </c:layout>
              <c:dLblPos val="r"/>
              <c:showLegendKey val="0"/>
              <c:showVal val="1"/>
              <c:showCatName val="0"/>
              <c:showSerName val="0"/>
              <c:showPercent val="0"/>
              <c:showBubbleSize val="0"/>
            </c:dLbl>
            <c:dLbl>
              <c:idx val="11"/>
              <c:layout>
                <c:manualLayout>
                  <c:x val="-3.6552165354330708E-2"/>
                  <c:y val="-5.4430379746835532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Sheet1!$B$1:$N$1</c:f>
              <c:strCache>
                <c:ptCount val="13"/>
                <c:pt idx="0">
                  <c:v>耐震診断の結果、耐震改修工事などが必要になっても費用が高額で出せない</c:v>
                </c:pt>
                <c:pt idx="1">
                  <c:v>どんなに耐震化しても大地震（または大津波）にあえば被害は避けられないと思う</c:v>
                </c:pt>
                <c:pt idx="2">
                  <c:v>耐震診断の費用がかかる</c:v>
                </c:pt>
                <c:pt idx="3">
                  <c:v>自宅が地震に弱いと思っているので受ける意味が無い</c:v>
                </c:pt>
                <c:pt idx="4">
                  <c:v>耐震診断のやり方がわからない</c:v>
                </c:pt>
                <c:pt idx="5">
                  <c:v>申し込み手続きに手間がかかる</c:v>
                </c:pt>
                <c:pt idx="6">
                  <c:v>部屋を片付けるのが面倒だ</c:v>
                </c:pt>
                <c:pt idx="7">
                  <c:v>家の中に他人が入ってほしくない</c:v>
                </c:pt>
                <c:pt idx="8">
                  <c:v>自分が生きている間に南海トラフ地震は起きないと思う</c:v>
                </c:pt>
                <c:pt idx="9">
                  <c:v>自宅が地震に強いと思っている</c:v>
                </c:pt>
                <c:pt idx="10">
                  <c:v>近いうちに建て替えるつもりである</c:v>
                </c:pt>
                <c:pt idx="11">
                  <c:v>近いうちにリフォームする予定で、その時に耐震診断をするつもりである</c:v>
                </c:pt>
                <c:pt idx="12">
                  <c:v>その他</c:v>
                </c:pt>
              </c:strCache>
            </c:strRef>
          </c:cat>
          <c:val>
            <c:numRef>
              <c:f>Sheet1!$B$3:$N$3</c:f>
              <c:numCache>
                <c:formatCode>0.0</c:formatCode>
                <c:ptCount val="13"/>
                <c:pt idx="0">
                  <c:v>43.3</c:v>
                </c:pt>
                <c:pt idx="1">
                  <c:v>32.9</c:v>
                </c:pt>
                <c:pt idx="2">
                  <c:v>29.9</c:v>
                </c:pt>
                <c:pt idx="3">
                  <c:v>20.7</c:v>
                </c:pt>
                <c:pt idx="4">
                  <c:v>17.100000000000001</c:v>
                </c:pt>
                <c:pt idx="5">
                  <c:v>14</c:v>
                </c:pt>
                <c:pt idx="6">
                  <c:v>8.5</c:v>
                </c:pt>
                <c:pt idx="7">
                  <c:v>5.5</c:v>
                </c:pt>
                <c:pt idx="8">
                  <c:v>5.5</c:v>
                </c:pt>
                <c:pt idx="9">
                  <c:v>7.9</c:v>
                </c:pt>
                <c:pt idx="10">
                  <c:v>3.7</c:v>
                </c:pt>
                <c:pt idx="11">
                  <c:v>2.4</c:v>
                </c:pt>
                <c:pt idx="12">
                  <c:v>12.2</c:v>
                </c:pt>
              </c:numCache>
            </c:numRef>
          </c:val>
          <c:smooth val="0"/>
        </c:ser>
        <c:ser>
          <c:idx val="1"/>
          <c:order val="2"/>
          <c:tx>
            <c:strRef>
              <c:f>Sheet1!$A$4</c:f>
              <c:strCache>
                <c:ptCount val="1"/>
                <c:pt idx="0">
                  <c:v>女性</c:v>
                </c:pt>
              </c:strCache>
            </c:strRef>
          </c:tx>
          <c:spPr>
            <a:ln>
              <a:prstDash val="sysDash"/>
            </a:ln>
          </c:spPr>
          <c:marker>
            <c:symbol val="square"/>
            <c:size val="7"/>
          </c:marker>
          <c:dLbls>
            <c:dLbl>
              <c:idx val="4"/>
              <c:layout>
                <c:manualLayout>
                  <c:x val="-4.2708333333334104E-2"/>
                  <c:y val="3.755274261603446E-2"/>
                </c:manualLayout>
              </c:layout>
              <c:dLblPos val="r"/>
              <c:showLegendKey val="0"/>
              <c:showVal val="1"/>
              <c:showCatName val="0"/>
              <c:showSerName val="0"/>
              <c:showPercent val="0"/>
              <c:showBubbleSize val="0"/>
            </c:dLbl>
            <c:dLbl>
              <c:idx val="5"/>
              <c:layout>
                <c:manualLayout>
                  <c:x val="-3.2291666666666892E-2"/>
                  <c:y val="2.2784810126582202E-2"/>
                </c:manualLayout>
              </c:layout>
              <c:dLblPos val="r"/>
              <c:showLegendKey val="0"/>
              <c:showVal val="1"/>
              <c:showCatName val="0"/>
              <c:showSerName val="0"/>
              <c:showPercent val="0"/>
              <c:showBubbleSize val="0"/>
            </c:dLbl>
            <c:dLbl>
              <c:idx val="7"/>
              <c:layout>
                <c:manualLayout>
                  <c:x val="-3.2291666666666892E-2"/>
                  <c:y val="-4.2616033755274334E-2"/>
                </c:manualLayout>
              </c:layout>
              <c:dLblPos val="r"/>
              <c:showLegendKey val="0"/>
              <c:showVal val="1"/>
              <c:showCatName val="0"/>
              <c:showSerName val="0"/>
              <c:showPercent val="0"/>
              <c:showBubbleSize val="0"/>
            </c:dLbl>
            <c:dLbl>
              <c:idx val="8"/>
              <c:layout>
                <c:manualLayout>
                  <c:x val="-3.6458333333333336E-2"/>
                  <c:y val="-5.3164556962025322E-2"/>
                </c:manualLayout>
              </c:layout>
              <c:dLblPos val="r"/>
              <c:showLegendKey val="0"/>
              <c:showVal val="1"/>
              <c:showCatName val="0"/>
              <c:showSerName val="0"/>
              <c:showPercent val="0"/>
              <c:showBubbleSize val="0"/>
            </c:dLbl>
            <c:dLbl>
              <c:idx val="9"/>
              <c:layout>
                <c:manualLayout>
                  <c:x val="-3.2291728540632045E-2"/>
                  <c:y val="-4.4723994552118257E-2"/>
                </c:manualLayout>
              </c:layout>
              <c:dLblPos val="r"/>
              <c:showLegendKey val="0"/>
              <c:showVal val="1"/>
              <c:showCatName val="0"/>
              <c:showSerName val="0"/>
              <c:showPercent val="0"/>
              <c:showBubbleSize val="0"/>
            </c:dLbl>
            <c:dLbl>
              <c:idx val="10"/>
              <c:layout>
                <c:manualLayout>
                  <c:x val="-3.2291666666666892E-2"/>
                  <c:y val="-5.3164556962025322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Sheet1!$B$1:$N$1</c:f>
              <c:strCache>
                <c:ptCount val="13"/>
                <c:pt idx="0">
                  <c:v>耐震診断の結果、耐震改修工事などが必要になっても費用が高額で出せない</c:v>
                </c:pt>
                <c:pt idx="1">
                  <c:v>どんなに耐震化しても大地震（または大津波）にあえば被害は避けられないと思う</c:v>
                </c:pt>
                <c:pt idx="2">
                  <c:v>耐震診断の費用がかかる</c:v>
                </c:pt>
                <c:pt idx="3">
                  <c:v>自宅が地震に弱いと思っているので受ける意味が無い</c:v>
                </c:pt>
                <c:pt idx="4">
                  <c:v>耐震診断のやり方がわからない</c:v>
                </c:pt>
                <c:pt idx="5">
                  <c:v>申し込み手続きに手間がかかる</c:v>
                </c:pt>
                <c:pt idx="6">
                  <c:v>部屋を片付けるのが面倒だ</c:v>
                </c:pt>
                <c:pt idx="7">
                  <c:v>家の中に他人が入ってほしくない</c:v>
                </c:pt>
                <c:pt idx="8">
                  <c:v>自分が生きている間に南海トラフ地震は起きないと思う</c:v>
                </c:pt>
                <c:pt idx="9">
                  <c:v>自宅が地震に強いと思っている</c:v>
                </c:pt>
                <c:pt idx="10">
                  <c:v>近いうちに建て替えるつもりである</c:v>
                </c:pt>
                <c:pt idx="11">
                  <c:v>近いうちにリフォームする予定で、その時に耐震診断をするつもりである</c:v>
                </c:pt>
                <c:pt idx="12">
                  <c:v>その他</c:v>
                </c:pt>
              </c:strCache>
            </c:strRef>
          </c:cat>
          <c:val>
            <c:numRef>
              <c:f>Sheet1!$B$4:$N$4</c:f>
              <c:numCache>
                <c:formatCode>0.0</c:formatCode>
                <c:ptCount val="13"/>
                <c:pt idx="0">
                  <c:v>46.3</c:v>
                </c:pt>
                <c:pt idx="1">
                  <c:v>37.700000000000003</c:v>
                </c:pt>
                <c:pt idx="2">
                  <c:v>37</c:v>
                </c:pt>
                <c:pt idx="3">
                  <c:v>22.8</c:v>
                </c:pt>
                <c:pt idx="4">
                  <c:v>13</c:v>
                </c:pt>
                <c:pt idx="5">
                  <c:v>8</c:v>
                </c:pt>
                <c:pt idx="6">
                  <c:v>12.3</c:v>
                </c:pt>
                <c:pt idx="7">
                  <c:v>4.3</c:v>
                </c:pt>
                <c:pt idx="8">
                  <c:v>3.7</c:v>
                </c:pt>
                <c:pt idx="9">
                  <c:v>1.2</c:v>
                </c:pt>
                <c:pt idx="10">
                  <c:v>1.9000000000000001</c:v>
                </c:pt>
                <c:pt idx="11">
                  <c:v>1.2</c:v>
                </c:pt>
                <c:pt idx="12">
                  <c:v>19.100000000000001</c:v>
                </c:pt>
              </c:numCache>
            </c:numRef>
          </c:val>
          <c:smooth val="0"/>
        </c:ser>
        <c:dLbls>
          <c:showLegendKey val="0"/>
          <c:showVal val="0"/>
          <c:showCatName val="0"/>
          <c:showSerName val="0"/>
          <c:showPercent val="0"/>
          <c:showBubbleSize val="0"/>
        </c:dLbls>
        <c:marker val="1"/>
        <c:smooth val="0"/>
        <c:axId val="229710464"/>
        <c:axId val="229745024"/>
      </c:lineChart>
      <c:catAx>
        <c:axId val="229710464"/>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29745024"/>
        <c:crosses val="autoZero"/>
        <c:auto val="1"/>
        <c:lblAlgn val="ctr"/>
        <c:lblOffset val="100"/>
        <c:noMultiLvlLbl val="0"/>
      </c:catAx>
      <c:valAx>
        <c:axId val="229745024"/>
        <c:scaling>
          <c:orientation val="minMax"/>
          <c:max val="5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29710464"/>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layout>
                <c:manualLayout>
                  <c:x val="0"/>
                  <c:y val="1.6391155435778611E-3"/>
                </c:manualLayout>
              </c:layout>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Sheet1!$B$2:$B$14</c:f>
              <c:numCache>
                <c:formatCode>0.0_);[Red]\(0.0\)</c:formatCode>
                <c:ptCount val="13"/>
                <c:pt idx="0">
                  <c:v>45.5</c:v>
                </c:pt>
                <c:pt idx="1">
                  <c:v>27.3</c:v>
                </c:pt>
                <c:pt idx="2">
                  <c:v>36.4</c:v>
                </c:pt>
                <c:pt idx="3">
                  <c:v>18.2</c:v>
                </c:pt>
                <c:pt idx="4">
                  <c:v>9.1</c:v>
                </c:pt>
                <c:pt idx="5">
                  <c:v>0</c:v>
                </c:pt>
                <c:pt idx="6">
                  <c:v>18.2</c:v>
                </c:pt>
                <c:pt idx="7">
                  <c:v>9.1</c:v>
                </c:pt>
                <c:pt idx="8">
                  <c:v>0</c:v>
                </c:pt>
                <c:pt idx="9">
                  <c:v>0</c:v>
                </c:pt>
                <c:pt idx="10">
                  <c:v>0</c:v>
                </c:pt>
                <c:pt idx="11">
                  <c:v>0</c:v>
                </c:pt>
                <c:pt idx="12">
                  <c:v>27.3</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2"/>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Sheet1!$C$2:$C$14</c:f>
              <c:numCache>
                <c:formatCode>0.0_);[Red]\(0.0\)</c:formatCode>
                <c:ptCount val="13"/>
                <c:pt idx="0">
                  <c:v>46.2</c:v>
                </c:pt>
                <c:pt idx="1">
                  <c:v>42.3</c:v>
                </c:pt>
                <c:pt idx="2">
                  <c:v>50</c:v>
                </c:pt>
                <c:pt idx="3">
                  <c:v>26.9</c:v>
                </c:pt>
                <c:pt idx="4">
                  <c:v>15.4</c:v>
                </c:pt>
                <c:pt idx="5">
                  <c:v>11.5</c:v>
                </c:pt>
                <c:pt idx="6">
                  <c:v>19.2</c:v>
                </c:pt>
                <c:pt idx="7">
                  <c:v>7.7</c:v>
                </c:pt>
                <c:pt idx="8">
                  <c:v>0</c:v>
                </c:pt>
                <c:pt idx="9">
                  <c:v>3.8</c:v>
                </c:pt>
                <c:pt idx="10">
                  <c:v>7.7</c:v>
                </c:pt>
                <c:pt idx="11">
                  <c:v>3.8</c:v>
                </c:pt>
                <c:pt idx="12">
                  <c:v>3.8</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Sheet1!$D$2:$D$14</c:f>
              <c:numCache>
                <c:formatCode>0.0_);[Red]\(0.0\)</c:formatCode>
                <c:ptCount val="13"/>
                <c:pt idx="0">
                  <c:v>52.5</c:v>
                </c:pt>
                <c:pt idx="1">
                  <c:v>25</c:v>
                </c:pt>
                <c:pt idx="2">
                  <c:v>35</c:v>
                </c:pt>
                <c:pt idx="3">
                  <c:v>22.5</c:v>
                </c:pt>
                <c:pt idx="4">
                  <c:v>27.5</c:v>
                </c:pt>
                <c:pt idx="5">
                  <c:v>15</c:v>
                </c:pt>
                <c:pt idx="6">
                  <c:v>12.5</c:v>
                </c:pt>
                <c:pt idx="7">
                  <c:v>7.5</c:v>
                </c:pt>
                <c:pt idx="8">
                  <c:v>5</c:v>
                </c:pt>
                <c:pt idx="9">
                  <c:v>2.5</c:v>
                </c:pt>
                <c:pt idx="10">
                  <c:v>5</c:v>
                </c:pt>
                <c:pt idx="11">
                  <c:v>5</c:v>
                </c:pt>
                <c:pt idx="12">
                  <c:v>22.5</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Sheet1!$E$2:$E$14</c:f>
              <c:numCache>
                <c:formatCode>0.0_);[Red]\(0.0\)</c:formatCode>
                <c:ptCount val="13"/>
                <c:pt idx="0">
                  <c:v>45.8</c:v>
                </c:pt>
                <c:pt idx="1">
                  <c:v>31.9</c:v>
                </c:pt>
                <c:pt idx="2">
                  <c:v>37.5</c:v>
                </c:pt>
                <c:pt idx="3">
                  <c:v>34.700000000000003</c:v>
                </c:pt>
                <c:pt idx="4">
                  <c:v>23.6</c:v>
                </c:pt>
                <c:pt idx="5">
                  <c:v>13.9</c:v>
                </c:pt>
                <c:pt idx="6">
                  <c:v>8.3000000000000007</c:v>
                </c:pt>
                <c:pt idx="7">
                  <c:v>5.6</c:v>
                </c:pt>
                <c:pt idx="8">
                  <c:v>4.2</c:v>
                </c:pt>
                <c:pt idx="9">
                  <c:v>1.4</c:v>
                </c:pt>
                <c:pt idx="10">
                  <c:v>1.4</c:v>
                </c:pt>
                <c:pt idx="11">
                  <c:v>0</c:v>
                </c:pt>
                <c:pt idx="12">
                  <c:v>22.2</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Sheet1!$F$2:$F$14</c:f>
              <c:numCache>
                <c:formatCode>0.0_);[Red]\(0.0\)</c:formatCode>
                <c:ptCount val="13"/>
                <c:pt idx="0">
                  <c:v>39.800000000000004</c:v>
                </c:pt>
                <c:pt idx="1">
                  <c:v>34.9</c:v>
                </c:pt>
                <c:pt idx="2">
                  <c:v>31.3</c:v>
                </c:pt>
                <c:pt idx="3">
                  <c:v>20.5</c:v>
                </c:pt>
                <c:pt idx="4">
                  <c:v>13.3</c:v>
                </c:pt>
                <c:pt idx="5">
                  <c:v>12</c:v>
                </c:pt>
                <c:pt idx="6">
                  <c:v>9.6</c:v>
                </c:pt>
                <c:pt idx="7">
                  <c:v>4.8</c:v>
                </c:pt>
                <c:pt idx="8">
                  <c:v>3.6</c:v>
                </c:pt>
                <c:pt idx="9">
                  <c:v>7.2</c:v>
                </c:pt>
                <c:pt idx="10">
                  <c:v>2.4</c:v>
                </c:pt>
                <c:pt idx="11">
                  <c:v>1.2</c:v>
                </c:pt>
                <c:pt idx="12">
                  <c:v>12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Sheet1!$G$2:$G$14</c:f>
              <c:numCache>
                <c:formatCode>0.0_);[Red]\(0.0\)</c:formatCode>
                <c:ptCount val="13"/>
                <c:pt idx="0">
                  <c:v>50.8</c:v>
                </c:pt>
                <c:pt idx="1">
                  <c:v>39.300000000000004</c:v>
                </c:pt>
                <c:pt idx="2">
                  <c:v>26.2</c:v>
                </c:pt>
                <c:pt idx="3">
                  <c:v>14.8</c:v>
                </c:pt>
                <c:pt idx="4">
                  <c:v>4.9000000000000004</c:v>
                </c:pt>
                <c:pt idx="5">
                  <c:v>4.9000000000000004</c:v>
                </c:pt>
                <c:pt idx="6">
                  <c:v>6.6</c:v>
                </c:pt>
                <c:pt idx="7">
                  <c:v>1.6</c:v>
                </c:pt>
                <c:pt idx="8">
                  <c:v>8.2000000000000011</c:v>
                </c:pt>
                <c:pt idx="9">
                  <c:v>4.9000000000000004</c:v>
                </c:pt>
                <c:pt idx="10">
                  <c:v>1.6</c:v>
                </c:pt>
                <c:pt idx="11">
                  <c:v>1.6</c:v>
                </c:pt>
                <c:pt idx="12">
                  <c:v>19.7</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1"/>
              <c:spPr/>
              <c:txPr>
                <a:bodyPr/>
                <a:lstStyle/>
                <a:p>
                  <a:pPr>
                    <a:defRPr sz="7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700"/>
                </a:pPr>
                <a:endParaRPr lang="ja-JP"/>
              </a:p>
            </c:txPr>
            <c:dLblPos val="outEnd"/>
            <c:showLegendKey val="0"/>
            <c:showVal val="1"/>
            <c:showCatName val="0"/>
            <c:showSerName val="0"/>
            <c:showPercent val="0"/>
            <c:showBubbleSize val="0"/>
            <c:showLeaderLines val="0"/>
          </c:dLbls>
          <c:cat>
            <c:strRef>
              <c:f>Sheet1!$A$2:$A$14</c:f>
              <c:strCache>
                <c:ptCount val="13"/>
                <c:pt idx="0">
                  <c:v>耐震診断の結果、耐震改修工
事などが必要になっても費用
が高額で出せない</c:v>
                </c:pt>
                <c:pt idx="1">
                  <c:v>どんなに耐震化しても大地震
（または大津波）にあえば被
害は避けられないと思う</c:v>
                </c:pt>
                <c:pt idx="2">
                  <c:v>耐震診断の費用がかかる    </c:v>
                </c:pt>
                <c:pt idx="3">
                  <c:v>自宅が地震に弱いと思ってい
るので受ける意味が無い</c:v>
                </c:pt>
                <c:pt idx="4">
                  <c:v>耐震診断のやり方がわからな
い</c:v>
                </c:pt>
                <c:pt idx="5">
                  <c:v>申し込み手続きに手間がかか
る</c:v>
                </c:pt>
                <c:pt idx="6">
                  <c:v>部屋を片付けるのが面倒だ  </c:v>
                </c:pt>
                <c:pt idx="7">
                  <c:v>家の中に他人が入ってほしく
ない</c:v>
                </c:pt>
                <c:pt idx="8">
                  <c:v>自分が生きている間に南海ト
ラフ地震は起きないと思う</c:v>
                </c:pt>
                <c:pt idx="9">
                  <c:v>自宅が地震に強いと思ってい
る</c:v>
                </c:pt>
                <c:pt idx="10">
                  <c:v>近いうちに建て替えるつもり
である</c:v>
                </c:pt>
                <c:pt idx="11">
                  <c:v>近いうちにリフォームする予
定で、その時に耐震診断をす
るつもりである</c:v>
                </c:pt>
                <c:pt idx="12">
                  <c:v>その他　　　　　　　　　　</c:v>
                </c:pt>
              </c:strCache>
            </c:strRef>
          </c:cat>
          <c:val>
            <c:numRef>
              <c:f>Sheet1!$H$2:$H$14</c:f>
              <c:numCache>
                <c:formatCode>0.0_);[Red]\(0.0\)</c:formatCode>
                <c:ptCount val="13"/>
                <c:pt idx="0">
                  <c:v>33.300000000000004</c:v>
                </c:pt>
                <c:pt idx="1">
                  <c:v>45.5</c:v>
                </c:pt>
                <c:pt idx="2">
                  <c:v>27.3</c:v>
                </c:pt>
                <c:pt idx="3">
                  <c:v>6.1</c:v>
                </c:pt>
                <c:pt idx="4">
                  <c:v>6.1</c:v>
                </c:pt>
                <c:pt idx="5">
                  <c:v>12.1</c:v>
                </c:pt>
                <c:pt idx="6">
                  <c:v>12.1</c:v>
                </c:pt>
                <c:pt idx="7">
                  <c:v>3</c:v>
                </c:pt>
                <c:pt idx="8">
                  <c:v>6.1</c:v>
                </c:pt>
                <c:pt idx="9">
                  <c:v>9.1</c:v>
                </c:pt>
                <c:pt idx="10">
                  <c:v>3</c:v>
                </c:pt>
                <c:pt idx="11">
                  <c:v>3</c:v>
                </c:pt>
                <c:pt idx="12">
                  <c:v>0</c:v>
                </c:pt>
              </c:numCache>
            </c:numRef>
          </c:val>
        </c:ser>
        <c:dLbls>
          <c:showLegendKey val="0"/>
          <c:showVal val="1"/>
          <c:showCatName val="0"/>
          <c:showSerName val="0"/>
          <c:showPercent val="0"/>
          <c:showBubbleSize val="0"/>
        </c:dLbls>
        <c:gapWidth val="100"/>
        <c:axId val="229915264"/>
        <c:axId val="229929344"/>
      </c:barChart>
      <c:catAx>
        <c:axId val="22991526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9929344"/>
        <c:crosses val="autoZero"/>
        <c:auto val="1"/>
        <c:lblAlgn val="ctr"/>
        <c:lblOffset val="100"/>
        <c:noMultiLvlLbl val="0"/>
      </c:catAx>
      <c:valAx>
        <c:axId val="229929344"/>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991526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horzOverflow="overflow" anchor="ctr"/>
          <a:lstStyle/>
          <a:p>
            <a:pPr algn="ctr" rtl="0">
              <a:defRPr sz="900" b="0" i="0" u="none" strike="noStrike" baseline="0">
                <a:solidFill>
                  <a:schemeClr val="tx1"/>
                </a:solidFill>
              </a:defRPr>
            </a:pPr>
            <a:r>
              <a:rPr lang="ja-JP" altLang="en-US" sz="900" b="0" i="0" u="none" strike="noStrike" baseline="0">
                <a:solidFill>
                  <a:schemeClr val="tx1"/>
                </a:solidFill>
                <a:latin typeface="ＭＳ 明朝"/>
                <a:ea typeface="ＭＳ 明朝"/>
              </a:rPr>
              <a:t>平成</a:t>
            </a:r>
            <a:r>
              <a:rPr lang="en-US" altLang="ja-JP" sz="900" b="0" i="0" u="none" strike="noStrike" baseline="0">
                <a:solidFill>
                  <a:schemeClr val="tx1"/>
                </a:solidFill>
                <a:latin typeface="ＭＳ 明朝"/>
                <a:ea typeface="ＭＳ 明朝"/>
              </a:rPr>
              <a:t>29</a:t>
            </a:r>
            <a:r>
              <a:rPr lang="ja-JP" altLang="en-US" sz="900" b="0" i="0" u="none" strike="noStrike" baseline="0">
                <a:solidFill>
                  <a:schemeClr val="tx1"/>
                </a:solidFill>
                <a:latin typeface="ＭＳ 明朝"/>
                <a:ea typeface="ＭＳ 明朝"/>
              </a:rPr>
              <a:t>年度</a:t>
            </a:r>
          </a:p>
        </c:rich>
      </c:tx>
      <c:layout>
        <c:manualLayout>
          <c:xMode val="edge"/>
          <c:yMode val="edge"/>
          <c:x val="0.70250730598973499"/>
          <c:y val="0.83306151694541863"/>
        </c:manualLayout>
      </c:layout>
      <c:overlay val="0"/>
      <c:spPr>
        <a:ln>
          <a:solidFill>
            <a:sysClr val="windowText" lastClr="000000"/>
          </a:solidFill>
        </a:ln>
      </c:spPr>
    </c:title>
    <c:autoTitleDeleted val="0"/>
    <c:plotArea>
      <c:layout>
        <c:manualLayout>
          <c:layoutTarget val="inner"/>
          <c:xMode val="edge"/>
          <c:yMode val="edge"/>
          <c:x val="0.38922051161515914"/>
          <c:y val="4.9931381895650023E-2"/>
          <c:w val="0.56003321972813103"/>
          <c:h val="0.94032560615238892"/>
        </c:manualLayout>
      </c:layout>
      <c:barChart>
        <c:barDir val="bar"/>
        <c:grouping val="clustered"/>
        <c:varyColors val="0"/>
        <c:ser>
          <c:idx val="2"/>
          <c:order val="0"/>
          <c:tx>
            <c:strRef>
              <c:f>Sheet1!$A$2</c:f>
              <c:strCache>
                <c:ptCount val="1"/>
                <c:pt idx="0">
                  <c:v>平成29年度</c:v>
                </c:pt>
              </c:strCache>
            </c:strRef>
          </c:tx>
          <c:spPr>
            <a:pattFill prst="pct75">
              <a:fgClr>
                <a:sysClr val="windowText" lastClr="000000"/>
              </a:fgClr>
              <a:bgClr>
                <a:sysClr val="window" lastClr="FFFFFF"/>
              </a:bgClr>
            </a:pattFill>
            <a:ln>
              <a:solidFill>
                <a:sysClr val="windowText" lastClr="000000"/>
              </a:solidFill>
            </a:ln>
          </c:spPr>
          <c:invertIfNegative val="0"/>
          <c:dLbls>
            <c:dLbl>
              <c:idx val="0"/>
              <c:layout>
                <c:manualLayout>
                  <c:x val="-1.5920398009950303E-2"/>
                  <c:y val="8.9212270304379352E-18"/>
                </c:manualLayout>
              </c:layout>
              <c:spPr>
                <a:noFill/>
                <a:ln>
                  <a:noFill/>
                </a:ln>
                <a:effectLst/>
              </c:spPr>
              <c:txPr>
                <a:bodyPr horzOverflow="overflow"/>
                <a:lstStyle/>
                <a:p>
                  <a:pPr>
                    <a:defRPr sz="900">
                      <a:solidFill>
                        <a:schemeClr val="tx1"/>
                      </a:solidFill>
                      <a:latin typeface="Arial Black"/>
                    </a:defRPr>
                  </a:pPr>
                  <a:endParaRPr lang="ja-JP"/>
                </a:p>
              </c:txPr>
              <c:showLegendKey val="0"/>
              <c:showVal val="1"/>
              <c:showCatName val="0"/>
              <c:showSerName val="0"/>
              <c:showPercent val="0"/>
              <c:showBubbleSize val="0"/>
            </c:dLbl>
            <c:spPr>
              <a:noFill/>
              <a:ln>
                <a:noFill/>
              </a:ln>
              <a:effectLst/>
            </c:spPr>
            <c:txPr>
              <a:bodyPr rot="0" anchor="ctr"/>
              <a:lstStyle/>
              <a:p>
                <a:pPr algn="ctr" rtl="0">
                  <a:defRPr sz="900">
                    <a:solidFill>
                      <a:schemeClr val="tx1"/>
                    </a:solidFill>
                  </a:defRPr>
                </a:pPr>
                <a:endParaRPr lang="ja-JP"/>
              </a:p>
            </c:txPr>
            <c:dLblPos val="outEnd"/>
            <c:showLegendKey val="0"/>
            <c:showVal val="1"/>
            <c:showCatName val="0"/>
            <c:showSerName val="0"/>
            <c:showPercent val="0"/>
            <c:showBubbleSize val="0"/>
            <c:showLeaderLines val="0"/>
          </c:dLbls>
          <c:cat>
            <c:strRef>
              <c:f>Sheet1!$B$1:$L$1</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Sheet1!$B$2:$L$2</c:f>
              <c:numCache>
                <c:formatCode>0.0</c:formatCode>
                <c:ptCount val="11"/>
                <c:pt idx="0">
                  <c:v>37.9</c:v>
                </c:pt>
                <c:pt idx="1">
                  <c:v>36.1</c:v>
                </c:pt>
                <c:pt idx="2">
                  <c:v>34.1</c:v>
                </c:pt>
                <c:pt idx="3">
                  <c:v>32.700000000000003</c:v>
                </c:pt>
                <c:pt idx="4">
                  <c:v>30.7</c:v>
                </c:pt>
                <c:pt idx="5">
                  <c:v>27.1</c:v>
                </c:pt>
                <c:pt idx="6">
                  <c:v>26.3</c:v>
                </c:pt>
                <c:pt idx="7">
                  <c:v>25.2</c:v>
                </c:pt>
                <c:pt idx="8">
                  <c:v>17.7</c:v>
                </c:pt>
                <c:pt idx="9">
                  <c:v>12.7</c:v>
                </c:pt>
                <c:pt idx="10">
                  <c:v>1.5</c:v>
                </c:pt>
              </c:numCache>
            </c:numRef>
          </c:val>
        </c:ser>
        <c:dLbls>
          <c:showLegendKey val="0"/>
          <c:showVal val="1"/>
          <c:showCatName val="0"/>
          <c:showSerName val="0"/>
          <c:showPercent val="0"/>
          <c:showBubbleSize val="0"/>
        </c:dLbls>
        <c:gapWidth val="75"/>
        <c:axId val="221659520"/>
        <c:axId val="221661056"/>
      </c:barChart>
      <c:catAx>
        <c:axId val="221659520"/>
        <c:scaling>
          <c:orientation val="maxMin"/>
        </c:scaling>
        <c:delete val="0"/>
        <c:axPos val="l"/>
        <c:numFmt formatCode="0.0" sourceLinked="1"/>
        <c:majorTickMark val="in"/>
        <c:minorTickMark val="none"/>
        <c:tickLblPos val="nextTo"/>
        <c:spPr>
          <a:ln>
            <a:solidFill>
              <a:schemeClr val="tx1"/>
            </a:solidFill>
          </a:ln>
        </c:spPr>
        <c:txPr>
          <a:bodyPr horzOverflow="overflow" anchor="ctr"/>
          <a:lstStyle/>
          <a:p>
            <a:pPr algn="just" rtl="0">
              <a:defRPr sz="800">
                <a:solidFill>
                  <a:schemeClr val="tx1"/>
                </a:solidFill>
              </a:defRPr>
            </a:pPr>
            <a:endParaRPr lang="ja-JP"/>
          </a:p>
        </c:txPr>
        <c:crossAx val="221661056"/>
        <c:crosses val="autoZero"/>
        <c:auto val="1"/>
        <c:lblAlgn val="ctr"/>
        <c:lblOffset val="100"/>
        <c:noMultiLvlLbl val="0"/>
      </c:catAx>
      <c:valAx>
        <c:axId val="221661056"/>
        <c:scaling>
          <c:orientation val="minMax"/>
          <c:max val="50"/>
        </c:scaling>
        <c:delete val="0"/>
        <c:axPos val="t"/>
        <c:numFmt formatCode="#&quot;%&quot;;;&quot;0%&quot;;" sourceLinked="0"/>
        <c:majorTickMark val="in"/>
        <c:minorTickMark val="none"/>
        <c:tickLblPos val="nextTo"/>
        <c:spPr>
          <a:ln>
            <a:solidFill>
              <a:schemeClr val="tx1"/>
            </a:solidFill>
          </a:ln>
        </c:spPr>
        <c:txPr>
          <a:bodyPr anchor="ctr"/>
          <a:lstStyle/>
          <a:p>
            <a:pPr algn="ctr" rtl="0">
              <a:defRPr sz="900">
                <a:solidFill>
                  <a:schemeClr val="tx1"/>
                </a:solidFill>
              </a:defRPr>
            </a:pPr>
            <a:endParaRPr lang="ja-JP"/>
          </a:p>
        </c:txPr>
        <c:crossAx val="221659520"/>
        <c:crosses val="autoZero"/>
        <c:crossBetween val="between"/>
        <c:majorUnit val="10"/>
      </c:valAx>
      <c:spPr>
        <a:ln>
          <a:noFill/>
        </a:ln>
      </c:spPr>
    </c:plotArea>
    <c:plotVisOnly val="1"/>
    <c:dispBlanksAs val="gap"/>
    <c:showDLblsOverMax val="0"/>
  </c:chart>
  <c:spPr>
    <a:ln>
      <a:noFill/>
    </a:ln>
  </c:spPr>
  <c:txPr>
    <a:bodyPr horzOverflow="overflow" anchor="ctr"/>
    <a:lstStyle/>
    <a:p>
      <a:pPr algn="ctr" rtl="0">
        <a:defRPr lang="ja-JP" altLang="en-US" sz="900">
          <a:solidFill>
            <a:schemeClr val="tx1"/>
          </a:solidFill>
          <a:latin typeface="ＭＳ 明朝"/>
          <a:ea typeface="ＭＳ 明朝"/>
        </a:defRPr>
      </a:pPr>
      <a:endParaRPr lang="ja-JP"/>
    </a:p>
  </c:txPr>
  <c:externalData r:id="rId2">
    <c:autoUpdate val="0"/>
  </c:externalData>
  <c:extLst/>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7"/>
              <c:layout>
                <c:manualLayout>
                  <c:x val="-2.0833333333333788E-3"/>
                  <c:y val="4.6458852453569656E-2"/>
                </c:manualLayout>
              </c:layout>
              <c:dLblPos val="outEnd"/>
              <c:showLegendKey val="0"/>
              <c:showVal val="1"/>
              <c:showCatName val="0"/>
              <c:showSerName val="0"/>
              <c:showPercent val="0"/>
              <c:showBubbleSize val="0"/>
            </c:dLbl>
            <c:spPr>
              <a:solidFill>
                <a:sysClr val="window" lastClr="FFFFFF"/>
              </a:solidFill>
            </c:spPr>
            <c:txPr>
              <a:bodyPr/>
              <a:lstStyle/>
              <a:p>
                <a:pPr>
                  <a:defRPr sz="900" b="1"/>
                </a:pPr>
                <a:endParaRPr lang="ja-JP"/>
              </a:p>
            </c:txPr>
            <c:dLblPos val="inBase"/>
            <c:showLegendKey val="0"/>
            <c:showVal val="1"/>
            <c:showCatName val="0"/>
            <c:showSerName val="0"/>
            <c:showPercent val="0"/>
            <c:showBubbleSize val="0"/>
            <c:showLeaderLines val="0"/>
          </c:dLbls>
          <c:cat>
            <c:strRef>
              <c:f>Sheet1!$B$1:$I$1</c:f>
              <c:strCache>
                <c:ptCount val="8"/>
                <c:pt idx="0">
                  <c:v>費用が高い</c:v>
                </c:pt>
                <c:pt idx="1">
                  <c:v>工事中の生活に支障が出る</c:v>
                </c:pt>
                <c:pt idx="2">
                  <c:v>どんなに耐震化しても大地震（または大津波）にあえば被害は避けられないと思う</c:v>
                </c:pt>
                <c:pt idx="3">
                  <c:v>工事に伴う荷物の移動が面倒だ</c:v>
                </c:pt>
                <c:pt idx="4">
                  <c:v>信頼できる業者を知らない</c:v>
                </c:pt>
                <c:pt idx="5">
                  <c:v>申し込み手続きに手間がかかる</c:v>
                </c:pt>
                <c:pt idx="6">
                  <c:v>家の中に他人が入ってほしくない</c:v>
                </c:pt>
                <c:pt idx="7">
                  <c:v>その他</c:v>
                </c:pt>
              </c:strCache>
            </c:strRef>
          </c:cat>
          <c:val>
            <c:numRef>
              <c:f>Sheet1!$B$2:$I$2</c:f>
              <c:numCache>
                <c:formatCode>0.0</c:formatCode>
                <c:ptCount val="8"/>
                <c:pt idx="0">
                  <c:v>75</c:v>
                </c:pt>
                <c:pt idx="1">
                  <c:v>37.5</c:v>
                </c:pt>
                <c:pt idx="2">
                  <c:v>29.2</c:v>
                </c:pt>
                <c:pt idx="3">
                  <c:v>20.8</c:v>
                </c:pt>
                <c:pt idx="4">
                  <c:v>16.7</c:v>
                </c:pt>
                <c:pt idx="5">
                  <c:v>12.5</c:v>
                </c:pt>
                <c:pt idx="6">
                  <c:v>0</c:v>
                </c:pt>
                <c:pt idx="7">
                  <c:v>8.3000000000000007</c:v>
                </c:pt>
              </c:numCache>
            </c:numRef>
          </c:val>
        </c:ser>
        <c:dLbls>
          <c:showLegendKey val="0"/>
          <c:showVal val="1"/>
          <c:showCatName val="0"/>
          <c:showSerName val="0"/>
          <c:showPercent val="0"/>
          <c:showBubbleSize val="0"/>
        </c:dLbls>
        <c:gapWidth val="100"/>
        <c:axId val="227064064"/>
        <c:axId val="22734848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6"/>
              <c:layout>
                <c:manualLayout>
                  <c:x val="-4.2296916010499112E-2"/>
                  <c:y val="-8.8291139240506425E-2"/>
                </c:manualLayout>
              </c:layout>
              <c:dLblPos val="r"/>
              <c:showLegendKey val="0"/>
              <c:showVal val="1"/>
              <c:showCatName val="0"/>
              <c:showSerName val="0"/>
              <c:showPercent val="0"/>
              <c:showBubbleSize val="0"/>
            </c:dLbl>
            <c:dLbl>
              <c:idx val="7"/>
              <c:layout>
                <c:manualLayout>
                  <c:x val="2.0203083989501401E-2"/>
                  <c:y val="-2.2890295358649896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900" b="1"/>
                </a:pPr>
                <a:endParaRPr lang="ja-JP"/>
              </a:p>
            </c:txPr>
            <c:dLblPos val="t"/>
            <c:showLegendKey val="0"/>
            <c:showVal val="1"/>
            <c:showCatName val="0"/>
            <c:showSerName val="0"/>
            <c:showPercent val="0"/>
            <c:showBubbleSize val="0"/>
            <c:showLeaderLines val="0"/>
          </c:dLbls>
          <c:cat>
            <c:strRef>
              <c:f>Sheet1!$B$1:$I$1</c:f>
              <c:strCache>
                <c:ptCount val="8"/>
                <c:pt idx="0">
                  <c:v>費用が高い</c:v>
                </c:pt>
                <c:pt idx="1">
                  <c:v>工事中の生活に支障が出る</c:v>
                </c:pt>
                <c:pt idx="2">
                  <c:v>どんなに耐震化しても大地震（または大津波）にあえば被害は避けられないと思う</c:v>
                </c:pt>
                <c:pt idx="3">
                  <c:v>工事に伴う荷物の移動が面倒だ</c:v>
                </c:pt>
                <c:pt idx="4">
                  <c:v>信頼できる業者を知らない</c:v>
                </c:pt>
                <c:pt idx="5">
                  <c:v>申し込み手続きに手間がかかる</c:v>
                </c:pt>
                <c:pt idx="6">
                  <c:v>家の中に他人が入ってほしくない</c:v>
                </c:pt>
                <c:pt idx="7">
                  <c:v>その他</c:v>
                </c:pt>
              </c:strCache>
            </c:strRef>
          </c:cat>
          <c:val>
            <c:numRef>
              <c:f>Sheet1!$B$3:$I$3</c:f>
              <c:numCache>
                <c:formatCode>0.0</c:formatCode>
                <c:ptCount val="8"/>
                <c:pt idx="0">
                  <c:v>84.6</c:v>
                </c:pt>
                <c:pt idx="1">
                  <c:v>46.2</c:v>
                </c:pt>
                <c:pt idx="2">
                  <c:v>38.5</c:v>
                </c:pt>
                <c:pt idx="3">
                  <c:v>23.1</c:v>
                </c:pt>
                <c:pt idx="4">
                  <c:v>23.1</c:v>
                </c:pt>
                <c:pt idx="5">
                  <c:v>15.4</c:v>
                </c:pt>
                <c:pt idx="6">
                  <c:v>0</c:v>
                </c:pt>
                <c:pt idx="7">
                  <c:v>0</c:v>
                </c:pt>
              </c:numCache>
            </c:numRef>
          </c:val>
          <c:smooth val="0"/>
        </c:ser>
        <c:ser>
          <c:idx val="1"/>
          <c:order val="2"/>
          <c:tx>
            <c:strRef>
              <c:f>Sheet1!$A$4</c:f>
              <c:strCache>
                <c:ptCount val="1"/>
                <c:pt idx="0">
                  <c:v>女性</c:v>
                </c:pt>
              </c:strCache>
            </c:strRef>
          </c:tx>
          <c:spPr>
            <a:ln>
              <a:prstDash val="sysDash"/>
            </a:ln>
          </c:spPr>
          <c:marker>
            <c:symbol val="square"/>
            <c:size val="7"/>
          </c:marker>
          <c:dLbls>
            <c:dLbl>
              <c:idx val="4"/>
              <c:layout>
                <c:manualLayout>
                  <c:x val="-3.3854166666666671E-2"/>
                  <c:y val="-3.6181434599156043E-2"/>
                </c:manualLayout>
              </c:layout>
              <c:dLblPos val="r"/>
              <c:showLegendKey val="0"/>
              <c:showVal val="1"/>
              <c:showCatName val="0"/>
              <c:showSerName val="0"/>
              <c:showPercent val="0"/>
              <c:showBubbleSize val="0"/>
            </c:dLbl>
            <c:dLbl>
              <c:idx val="5"/>
              <c:layout>
                <c:manualLayout>
                  <c:x val="-6.5104166666666741E-2"/>
                  <c:y val="-1.9303797468354363E-2"/>
                </c:manualLayout>
              </c:layout>
              <c:dLblPos val="r"/>
              <c:showLegendKey val="0"/>
              <c:showVal val="1"/>
              <c:showCatName val="0"/>
              <c:showSerName val="0"/>
              <c:showPercent val="0"/>
              <c:showBubbleSize val="0"/>
            </c:dLbl>
            <c:dLbl>
              <c:idx val="6"/>
              <c:layout>
                <c:manualLayout>
                  <c:x val="-3.5937499999999997E-2"/>
                  <c:y val="-4.8839662447257307E-2"/>
                </c:manualLayout>
              </c:layout>
              <c:dLblPos val="r"/>
              <c:showLegendKey val="0"/>
              <c:showVal val="1"/>
              <c:showCatName val="0"/>
              <c:showSerName val="0"/>
              <c:showPercent val="0"/>
              <c:showBubbleSize val="0"/>
            </c:dLbl>
            <c:dLbl>
              <c:idx val="7"/>
              <c:layout>
                <c:manualLayout>
                  <c:x val="-3.8541666666666675E-2"/>
                  <c:y val="-3.8291139240506332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900"/>
                </a:pPr>
                <a:endParaRPr lang="ja-JP"/>
              </a:p>
            </c:txPr>
            <c:dLblPos val="b"/>
            <c:showLegendKey val="0"/>
            <c:showVal val="1"/>
            <c:showCatName val="0"/>
            <c:showSerName val="0"/>
            <c:showPercent val="0"/>
            <c:showBubbleSize val="0"/>
            <c:showLeaderLines val="0"/>
          </c:dLbls>
          <c:cat>
            <c:strRef>
              <c:f>Sheet1!$B$1:$I$1</c:f>
              <c:strCache>
                <c:ptCount val="8"/>
                <c:pt idx="0">
                  <c:v>費用が高い</c:v>
                </c:pt>
                <c:pt idx="1">
                  <c:v>工事中の生活に支障が出る</c:v>
                </c:pt>
                <c:pt idx="2">
                  <c:v>どんなに耐震化しても大地震（または大津波）にあえば被害は避けられないと思う</c:v>
                </c:pt>
                <c:pt idx="3">
                  <c:v>工事に伴う荷物の移動が面倒だ</c:v>
                </c:pt>
                <c:pt idx="4">
                  <c:v>信頼できる業者を知らない</c:v>
                </c:pt>
                <c:pt idx="5">
                  <c:v>申し込み手続きに手間がかかる</c:v>
                </c:pt>
                <c:pt idx="6">
                  <c:v>家の中に他人が入ってほしくない</c:v>
                </c:pt>
                <c:pt idx="7">
                  <c:v>その他</c:v>
                </c:pt>
              </c:strCache>
            </c:strRef>
          </c:cat>
          <c:val>
            <c:numRef>
              <c:f>Sheet1!$B$4:$I$4</c:f>
              <c:numCache>
                <c:formatCode>0.0</c:formatCode>
                <c:ptCount val="8"/>
                <c:pt idx="0">
                  <c:v>63.6</c:v>
                </c:pt>
                <c:pt idx="1">
                  <c:v>27.3</c:v>
                </c:pt>
                <c:pt idx="2">
                  <c:v>18.2</c:v>
                </c:pt>
                <c:pt idx="3">
                  <c:v>18.2</c:v>
                </c:pt>
                <c:pt idx="4">
                  <c:v>9.1</c:v>
                </c:pt>
                <c:pt idx="5">
                  <c:v>9.1</c:v>
                </c:pt>
                <c:pt idx="6">
                  <c:v>0</c:v>
                </c:pt>
                <c:pt idx="7">
                  <c:v>18.2</c:v>
                </c:pt>
              </c:numCache>
            </c:numRef>
          </c:val>
          <c:smooth val="0"/>
        </c:ser>
        <c:dLbls>
          <c:showLegendKey val="0"/>
          <c:showVal val="0"/>
          <c:showCatName val="0"/>
          <c:showSerName val="0"/>
          <c:showPercent val="0"/>
          <c:showBubbleSize val="0"/>
        </c:dLbls>
        <c:marker val="1"/>
        <c:smooth val="0"/>
        <c:axId val="227064064"/>
        <c:axId val="227348480"/>
      </c:lineChart>
      <c:catAx>
        <c:axId val="227064064"/>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27348480"/>
        <c:crosses val="autoZero"/>
        <c:auto val="1"/>
        <c:lblAlgn val="ctr"/>
        <c:lblOffset val="100"/>
        <c:noMultiLvlLbl val="0"/>
      </c:catAx>
      <c:valAx>
        <c:axId val="227348480"/>
        <c:scaling>
          <c:orientation val="minMax"/>
          <c:max val="9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27064064"/>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15280118739195"/>
          <c:y val="4.5945260968926364E-2"/>
          <c:w val="0.67217364254770284"/>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Sheet1!$B$2:$B$9</c:f>
              <c:numCache>
                <c:formatCode>0.0_);[Red]\(0.0\)</c:formatCode>
                <c:ptCount val="8"/>
                <c:pt idx="0">
                  <c:v>0</c:v>
                </c:pt>
                <c:pt idx="1">
                  <c:v>0</c:v>
                </c:pt>
                <c:pt idx="2">
                  <c:v>0</c:v>
                </c:pt>
                <c:pt idx="3">
                  <c:v>0</c:v>
                </c:pt>
                <c:pt idx="4">
                  <c:v>0</c:v>
                </c:pt>
                <c:pt idx="5">
                  <c:v>0</c:v>
                </c:pt>
                <c:pt idx="6">
                  <c:v>0</c:v>
                </c:pt>
                <c:pt idx="7">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Sheet1!$C$2:$C$9</c:f>
              <c:numCache>
                <c:formatCode>0.0_);[Red]\(0.0\)</c:formatCode>
                <c:ptCount val="8"/>
                <c:pt idx="0">
                  <c:v>100</c:v>
                </c:pt>
                <c:pt idx="1">
                  <c:v>0</c:v>
                </c:pt>
                <c:pt idx="2">
                  <c:v>0</c:v>
                </c:pt>
                <c:pt idx="3">
                  <c:v>0</c:v>
                </c:pt>
                <c:pt idx="4">
                  <c:v>0</c:v>
                </c:pt>
                <c:pt idx="5">
                  <c:v>0</c:v>
                </c:pt>
                <c:pt idx="6">
                  <c:v>0</c:v>
                </c:pt>
                <c:pt idx="7">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Sheet1!$D$2:$D$9</c:f>
              <c:numCache>
                <c:formatCode>0.0_);[Red]\(0.0\)</c:formatCode>
                <c:ptCount val="8"/>
                <c:pt idx="0">
                  <c:v>66.7</c:v>
                </c:pt>
                <c:pt idx="1">
                  <c:v>66.7</c:v>
                </c:pt>
                <c:pt idx="2">
                  <c:v>33.300000000000004</c:v>
                </c:pt>
                <c:pt idx="3">
                  <c:v>33.300000000000004</c:v>
                </c:pt>
                <c:pt idx="4">
                  <c:v>33.300000000000004</c:v>
                </c:pt>
                <c:pt idx="5">
                  <c:v>0</c:v>
                </c:pt>
                <c:pt idx="6">
                  <c:v>0</c:v>
                </c:pt>
                <c:pt idx="7">
                  <c:v>0</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Sheet1!$E$2:$E$9</c:f>
              <c:numCache>
                <c:formatCode>0.0_);[Red]\(0.0\)</c:formatCode>
                <c:ptCount val="8"/>
                <c:pt idx="0">
                  <c:v>80</c:v>
                </c:pt>
                <c:pt idx="1">
                  <c:v>60</c:v>
                </c:pt>
                <c:pt idx="2">
                  <c:v>40</c:v>
                </c:pt>
                <c:pt idx="3">
                  <c:v>40</c:v>
                </c:pt>
                <c:pt idx="4">
                  <c:v>20</c:v>
                </c:pt>
                <c:pt idx="5">
                  <c:v>0</c:v>
                </c:pt>
                <c:pt idx="6">
                  <c:v>0</c:v>
                </c:pt>
                <c:pt idx="7">
                  <c:v>0</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Sheet1!$F$2:$F$9</c:f>
              <c:numCache>
                <c:formatCode>0.0_);[Red]\(0.0\)</c:formatCode>
                <c:ptCount val="8"/>
                <c:pt idx="0">
                  <c:v>77.8</c:v>
                </c:pt>
                <c:pt idx="1">
                  <c:v>22.2</c:v>
                </c:pt>
                <c:pt idx="2">
                  <c:v>11.1</c:v>
                </c:pt>
                <c:pt idx="3">
                  <c:v>11.1</c:v>
                </c:pt>
                <c:pt idx="4">
                  <c:v>0</c:v>
                </c:pt>
                <c:pt idx="5">
                  <c:v>11.1</c:v>
                </c:pt>
                <c:pt idx="6">
                  <c:v>0</c:v>
                </c:pt>
                <c:pt idx="7">
                  <c:v>22.2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Sheet1!$G$2:$G$9</c:f>
              <c:numCache>
                <c:formatCode>0.0_);[Red]\(0.0\)</c:formatCode>
                <c:ptCount val="8"/>
                <c:pt idx="0">
                  <c:v>80</c:v>
                </c:pt>
                <c:pt idx="1">
                  <c:v>40</c:v>
                </c:pt>
                <c:pt idx="2">
                  <c:v>40</c:v>
                </c:pt>
                <c:pt idx="3">
                  <c:v>20</c:v>
                </c:pt>
                <c:pt idx="4">
                  <c:v>40</c:v>
                </c:pt>
                <c:pt idx="5">
                  <c:v>20</c:v>
                </c:pt>
                <c:pt idx="6">
                  <c:v>0</c:v>
                </c:pt>
                <c:pt idx="7">
                  <c:v>0</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5"/>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費用が高い　　　　　　　</c:v>
                </c:pt>
                <c:pt idx="1">
                  <c:v>工事中の生活に支障が出る</c:v>
                </c:pt>
                <c:pt idx="2">
                  <c:v>どんなに耐震化しても大地
震（または大津波）にあえ
ば被害は避けられないと
思う</c:v>
                </c:pt>
                <c:pt idx="3">
                  <c:v>工事に伴う荷物の移動が面
倒だ</c:v>
                </c:pt>
                <c:pt idx="4">
                  <c:v>信頼できる業者を知らない</c:v>
                </c:pt>
                <c:pt idx="5">
                  <c:v>申し込み手続きに手間がか
かる</c:v>
                </c:pt>
                <c:pt idx="6">
                  <c:v>家の中に他人が入ってほし
くない</c:v>
                </c:pt>
                <c:pt idx="7">
                  <c:v>その他　　　　　　　　　</c:v>
                </c:pt>
              </c:strCache>
            </c:strRef>
          </c:cat>
          <c:val>
            <c:numRef>
              <c:f>Sheet1!$H$2:$H$9</c:f>
              <c:numCache>
                <c:formatCode>0.0_);[Red]\(0.0\)</c:formatCode>
                <c:ptCount val="8"/>
                <c:pt idx="0">
                  <c:v>0</c:v>
                </c:pt>
                <c:pt idx="1">
                  <c:v>0</c:v>
                </c:pt>
                <c:pt idx="2">
                  <c:v>100</c:v>
                </c:pt>
                <c:pt idx="3">
                  <c:v>0</c:v>
                </c:pt>
                <c:pt idx="4">
                  <c:v>0</c:v>
                </c:pt>
                <c:pt idx="5">
                  <c:v>100</c:v>
                </c:pt>
                <c:pt idx="6">
                  <c:v>0</c:v>
                </c:pt>
                <c:pt idx="7">
                  <c:v>0</c:v>
                </c:pt>
              </c:numCache>
            </c:numRef>
          </c:val>
        </c:ser>
        <c:dLbls>
          <c:showLegendKey val="0"/>
          <c:showVal val="1"/>
          <c:showCatName val="0"/>
          <c:showSerName val="0"/>
          <c:showPercent val="0"/>
          <c:showBubbleSize val="0"/>
        </c:dLbls>
        <c:gapWidth val="100"/>
        <c:axId val="230035456"/>
        <c:axId val="230036992"/>
      </c:barChart>
      <c:catAx>
        <c:axId val="23003545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0036992"/>
        <c:crosses val="autoZero"/>
        <c:auto val="1"/>
        <c:lblAlgn val="ctr"/>
        <c:lblOffset val="100"/>
        <c:noMultiLvlLbl val="0"/>
      </c:catAx>
      <c:valAx>
        <c:axId val="230036992"/>
        <c:scaling>
          <c:orientation val="minMax"/>
          <c:max val="10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0035456"/>
        <c:crosses val="autoZero"/>
        <c:crossBetween val="between"/>
        <c:majorUnit val="10"/>
      </c:valAx>
      <c:spPr>
        <a:ln>
          <a:solidFill>
            <a:schemeClr val="tx1"/>
          </a:solidFill>
        </a:ln>
      </c:spPr>
    </c:plotArea>
    <c:legend>
      <c:legendPos val="b"/>
      <c:layout>
        <c:manualLayout>
          <c:xMode val="edge"/>
          <c:yMode val="edge"/>
          <c:x val="0.76100810881067982"/>
          <c:y val="0.75979850264620663"/>
          <c:w val="0.16231457489539144"/>
          <c:h val="0.22113682715890018"/>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知っている</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総合（n=465)</c:v>
                </c:pt>
                <c:pt idx="1">
                  <c:v>男性(n=225)</c:v>
                </c:pt>
                <c:pt idx="2">
                  <c:v>女性(n=239)</c:v>
                </c:pt>
                <c:pt idx="3">
                  <c:v>10歳代(n=15)</c:v>
                </c:pt>
                <c:pt idx="4">
                  <c:v>20歳代(n=32)</c:v>
                </c:pt>
                <c:pt idx="5">
                  <c:v>30歳代(n=64)</c:v>
                </c:pt>
                <c:pt idx="6">
                  <c:v>40歳代(n=100)</c:v>
                </c:pt>
                <c:pt idx="7">
                  <c:v>50歳代(n=105)</c:v>
                </c:pt>
                <c:pt idx="8">
                  <c:v>60歳代(n=100)</c:v>
                </c:pt>
                <c:pt idx="9">
                  <c:v>70歳以上(n=48)</c:v>
                </c:pt>
                <c:pt idx="10">
                  <c:v>持家(n=383)</c:v>
                </c:pt>
                <c:pt idx="11">
                  <c:v>借家(n=70)</c:v>
                </c:pt>
              </c:strCache>
            </c:strRef>
          </c:cat>
          <c:val>
            <c:numRef>
              <c:f>Sheet1!$B$2:$B$13</c:f>
              <c:numCache>
                <c:formatCode>0.0</c:formatCode>
                <c:ptCount val="12"/>
                <c:pt idx="0">
                  <c:v>54.6</c:v>
                </c:pt>
                <c:pt idx="1">
                  <c:v>58.2</c:v>
                </c:pt>
                <c:pt idx="2">
                  <c:v>51.5</c:v>
                </c:pt>
                <c:pt idx="3">
                  <c:v>33.300000000000004</c:v>
                </c:pt>
                <c:pt idx="4">
                  <c:v>50</c:v>
                </c:pt>
                <c:pt idx="5">
                  <c:v>53.1</c:v>
                </c:pt>
                <c:pt idx="6">
                  <c:v>47</c:v>
                </c:pt>
                <c:pt idx="7">
                  <c:v>59</c:v>
                </c:pt>
                <c:pt idx="8">
                  <c:v>59</c:v>
                </c:pt>
                <c:pt idx="9">
                  <c:v>64.599999999999994</c:v>
                </c:pt>
                <c:pt idx="10">
                  <c:v>55.1</c:v>
                </c:pt>
                <c:pt idx="11">
                  <c:v>51.4</c:v>
                </c:pt>
              </c:numCache>
            </c:numRef>
          </c:val>
        </c:ser>
        <c:ser>
          <c:idx val="1"/>
          <c:order val="1"/>
          <c:tx>
            <c:strRef>
              <c:f>Sheet1!$C$1</c:f>
              <c:strCache>
                <c:ptCount val="1"/>
                <c:pt idx="0">
                  <c:v>知らない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総合（n=465)</c:v>
                </c:pt>
                <c:pt idx="1">
                  <c:v>男性(n=225)</c:v>
                </c:pt>
                <c:pt idx="2">
                  <c:v>女性(n=239)</c:v>
                </c:pt>
                <c:pt idx="3">
                  <c:v>10歳代(n=15)</c:v>
                </c:pt>
                <c:pt idx="4">
                  <c:v>20歳代(n=32)</c:v>
                </c:pt>
                <c:pt idx="5">
                  <c:v>30歳代(n=64)</c:v>
                </c:pt>
                <c:pt idx="6">
                  <c:v>40歳代(n=100)</c:v>
                </c:pt>
                <c:pt idx="7">
                  <c:v>50歳代(n=105)</c:v>
                </c:pt>
                <c:pt idx="8">
                  <c:v>60歳代(n=100)</c:v>
                </c:pt>
                <c:pt idx="9">
                  <c:v>70歳以上(n=48)</c:v>
                </c:pt>
                <c:pt idx="10">
                  <c:v>持家(n=383)</c:v>
                </c:pt>
                <c:pt idx="11">
                  <c:v>借家(n=70)</c:v>
                </c:pt>
              </c:strCache>
            </c:strRef>
          </c:cat>
          <c:val>
            <c:numRef>
              <c:f>Sheet1!$C$2:$C$13</c:f>
              <c:numCache>
                <c:formatCode>0.0</c:formatCode>
                <c:ptCount val="12"/>
                <c:pt idx="0">
                  <c:v>25.2</c:v>
                </c:pt>
                <c:pt idx="1">
                  <c:v>24</c:v>
                </c:pt>
                <c:pt idx="2">
                  <c:v>26.4</c:v>
                </c:pt>
                <c:pt idx="3">
                  <c:v>53.3</c:v>
                </c:pt>
                <c:pt idx="4">
                  <c:v>37.5</c:v>
                </c:pt>
                <c:pt idx="5">
                  <c:v>26.6</c:v>
                </c:pt>
                <c:pt idx="6">
                  <c:v>38</c:v>
                </c:pt>
                <c:pt idx="7">
                  <c:v>19</c:v>
                </c:pt>
                <c:pt idx="8">
                  <c:v>18</c:v>
                </c:pt>
                <c:pt idx="9">
                  <c:v>8.3000000000000007</c:v>
                </c:pt>
                <c:pt idx="10">
                  <c:v>24.5</c:v>
                </c:pt>
                <c:pt idx="11">
                  <c:v>28.6</c:v>
                </c:pt>
              </c:numCache>
            </c:numRef>
          </c:val>
        </c:ser>
        <c:ser>
          <c:idx val="2"/>
          <c:order val="2"/>
          <c:tx>
            <c:strRef>
              <c:f>Sheet1!$D$1</c:f>
              <c:strCache>
                <c:ptCount val="1"/>
                <c:pt idx="0">
                  <c:v>既に利用した（利用中を含む）</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2.136752136752137E-3"/>
                  <c:y val="-3.3397559409120141E-2"/>
                </c:manualLayout>
              </c:layout>
              <c:dLblPos val="ctr"/>
              <c:showLegendKey val="0"/>
              <c:showVal val="1"/>
              <c:showCatName val="0"/>
              <c:showSerName val="0"/>
              <c:showPercent val="0"/>
              <c:showBubbleSize val="0"/>
            </c:dLbl>
            <c:dLbl>
              <c:idx val="1"/>
              <c:layout>
                <c:manualLayout>
                  <c:x val="0"/>
                  <c:y val="-3.3397559409120106E-2"/>
                </c:manualLayout>
              </c:layout>
              <c:dLblPos val="ctr"/>
              <c:showLegendKey val="0"/>
              <c:showVal val="1"/>
              <c:showCatName val="0"/>
              <c:showSerName val="0"/>
              <c:showPercent val="0"/>
              <c:showBubbleSize val="0"/>
            </c:dLbl>
            <c:dLbl>
              <c:idx val="2"/>
              <c:layout>
                <c:manualLayout>
                  <c:x val="0"/>
                  <c:y val="-3.3397559409120106E-2"/>
                </c:manualLayout>
              </c:layout>
              <c:dLblPos val="ctr"/>
              <c:showLegendKey val="0"/>
              <c:showVal val="1"/>
              <c:showCatName val="0"/>
              <c:showSerName val="0"/>
              <c:showPercent val="0"/>
              <c:showBubbleSize val="0"/>
            </c:dLbl>
            <c:dLbl>
              <c:idx val="3"/>
              <c:layout>
                <c:manualLayout>
                  <c:x val="-6.4102564102564361E-3"/>
                  <c:y val="-3.5966602440590835E-2"/>
                </c:manualLayout>
              </c:layout>
              <c:dLblPos val="ctr"/>
              <c:showLegendKey val="0"/>
              <c:showVal val="1"/>
              <c:showCatName val="0"/>
              <c:showSerName val="0"/>
              <c:showPercent val="0"/>
              <c:showBubbleSize val="0"/>
            </c:dLbl>
            <c:dLbl>
              <c:idx val="4"/>
              <c:layout>
                <c:manualLayout>
                  <c:x val="0"/>
                  <c:y val="-3.0828516377649346E-2"/>
                </c:manualLayout>
              </c:layout>
              <c:dLblPos val="ctr"/>
              <c:showLegendKey val="0"/>
              <c:showVal val="1"/>
              <c:showCatName val="0"/>
              <c:showSerName val="0"/>
              <c:showPercent val="0"/>
              <c:showBubbleSize val="0"/>
            </c:dLbl>
            <c:dLbl>
              <c:idx val="5"/>
              <c:layout>
                <c:manualLayout>
                  <c:x val="4.2735042735042739E-3"/>
                  <c:y val="-3.0828516377649346E-2"/>
                </c:manualLayout>
              </c:layout>
              <c:dLblPos val="ctr"/>
              <c:showLegendKey val="0"/>
              <c:showVal val="1"/>
              <c:showCatName val="0"/>
              <c:showSerName val="0"/>
              <c:showPercent val="0"/>
              <c:showBubbleSize val="0"/>
            </c:dLbl>
            <c:dLbl>
              <c:idx val="6"/>
              <c:layout>
                <c:manualLayout>
                  <c:x val="0"/>
                  <c:y val="-3.0828516377649346E-2"/>
                </c:manualLayout>
              </c:layout>
              <c:dLblPos val="ctr"/>
              <c:showLegendKey val="0"/>
              <c:showVal val="1"/>
              <c:showCatName val="0"/>
              <c:showSerName val="0"/>
              <c:showPercent val="0"/>
              <c:showBubbleSize val="0"/>
            </c:dLbl>
            <c:dLbl>
              <c:idx val="7"/>
              <c:layout>
                <c:manualLayout>
                  <c:x val="0"/>
                  <c:y val="-3.0828516377649346E-2"/>
                </c:manualLayout>
              </c:layout>
              <c:dLblPos val="ctr"/>
              <c:showLegendKey val="0"/>
              <c:showVal val="1"/>
              <c:showCatName val="0"/>
              <c:showSerName val="0"/>
              <c:showPercent val="0"/>
              <c:showBubbleSize val="0"/>
            </c:dLbl>
            <c:dLbl>
              <c:idx val="8"/>
              <c:layout>
                <c:manualLayout>
                  <c:x val="0"/>
                  <c:y val="-3.3397559409120106E-2"/>
                </c:manualLayout>
              </c:layout>
              <c:dLblPos val="ctr"/>
              <c:showLegendKey val="0"/>
              <c:showVal val="1"/>
              <c:showCatName val="0"/>
              <c:showSerName val="0"/>
              <c:showPercent val="0"/>
              <c:showBubbleSize val="0"/>
            </c:dLbl>
            <c:dLbl>
              <c:idx val="9"/>
              <c:layout>
                <c:manualLayout>
                  <c:x val="0"/>
                  <c:y val="-3.0828516377649346E-2"/>
                </c:manualLayout>
              </c:layout>
              <c:dLblPos val="ctr"/>
              <c:showLegendKey val="0"/>
              <c:showVal val="1"/>
              <c:showCatName val="0"/>
              <c:showSerName val="0"/>
              <c:showPercent val="0"/>
              <c:showBubbleSize val="0"/>
            </c:dLbl>
            <c:dLbl>
              <c:idx val="10"/>
              <c:layout>
                <c:manualLayout>
                  <c:x val="-6.4102564102564361E-3"/>
                  <c:y val="-3.0828516377649346E-2"/>
                </c:manualLayout>
              </c:layout>
              <c:dLblPos val="ctr"/>
              <c:showLegendKey val="0"/>
              <c:showVal val="1"/>
              <c:showCatName val="0"/>
              <c:showSerName val="0"/>
              <c:showPercent val="0"/>
              <c:showBubbleSize val="0"/>
            </c:dLbl>
            <c:dLbl>
              <c:idx val="11"/>
              <c:layout>
                <c:manualLayout>
                  <c:x val="-4.2735042735042739E-3"/>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総合（n=465)</c:v>
                </c:pt>
                <c:pt idx="1">
                  <c:v>男性(n=225)</c:v>
                </c:pt>
                <c:pt idx="2">
                  <c:v>女性(n=239)</c:v>
                </c:pt>
                <c:pt idx="3">
                  <c:v>10歳代(n=15)</c:v>
                </c:pt>
                <c:pt idx="4">
                  <c:v>20歳代(n=32)</c:v>
                </c:pt>
                <c:pt idx="5">
                  <c:v>30歳代(n=64)</c:v>
                </c:pt>
                <c:pt idx="6">
                  <c:v>40歳代(n=100)</c:v>
                </c:pt>
                <c:pt idx="7">
                  <c:v>50歳代(n=105)</c:v>
                </c:pt>
                <c:pt idx="8">
                  <c:v>60歳代(n=100)</c:v>
                </c:pt>
                <c:pt idx="9">
                  <c:v>70歳以上(n=48)</c:v>
                </c:pt>
                <c:pt idx="10">
                  <c:v>持家(n=383)</c:v>
                </c:pt>
                <c:pt idx="11">
                  <c:v>借家(n=70)</c:v>
                </c:pt>
              </c:strCache>
            </c:strRef>
          </c:cat>
          <c:val>
            <c:numRef>
              <c:f>Sheet1!$D$2:$D$13</c:f>
              <c:numCache>
                <c:formatCode>0.0</c:formatCode>
                <c:ptCount val="12"/>
                <c:pt idx="0">
                  <c:v>3.9</c:v>
                </c:pt>
                <c:pt idx="1">
                  <c:v>3.1</c:v>
                </c:pt>
                <c:pt idx="2">
                  <c:v>4.5999999999999996</c:v>
                </c:pt>
                <c:pt idx="3">
                  <c:v>6.7</c:v>
                </c:pt>
                <c:pt idx="4">
                  <c:v>3.1</c:v>
                </c:pt>
                <c:pt idx="5">
                  <c:v>4.7</c:v>
                </c:pt>
                <c:pt idx="6">
                  <c:v>2</c:v>
                </c:pt>
                <c:pt idx="7">
                  <c:v>4.8</c:v>
                </c:pt>
                <c:pt idx="8">
                  <c:v>5</c:v>
                </c:pt>
                <c:pt idx="9">
                  <c:v>2.1</c:v>
                </c:pt>
                <c:pt idx="10">
                  <c:v>4.2</c:v>
                </c:pt>
                <c:pt idx="11">
                  <c:v>1.4</c:v>
                </c:pt>
              </c:numCache>
            </c:numRef>
          </c:val>
        </c:ser>
        <c:ser>
          <c:idx val="3"/>
          <c:order val="3"/>
          <c:tx>
            <c:strRef>
              <c:f>Sheet1!$E$1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総合（n=465)</c:v>
                </c:pt>
                <c:pt idx="1">
                  <c:v>男性(n=225)</c:v>
                </c:pt>
                <c:pt idx="2">
                  <c:v>女性(n=239)</c:v>
                </c:pt>
                <c:pt idx="3">
                  <c:v>10歳代(n=15)</c:v>
                </c:pt>
                <c:pt idx="4">
                  <c:v>20歳代(n=32)</c:v>
                </c:pt>
                <c:pt idx="5">
                  <c:v>30歳代(n=64)</c:v>
                </c:pt>
                <c:pt idx="6">
                  <c:v>40歳代(n=100)</c:v>
                </c:pt>
                <c:pt idx="7">
                  <c:v>50歳代(n=105)</c:v>
                </c:pt>
                <c:pt idx="8">
                  <c:v>60歳代(n=100)</c:v>
                </c:pt>
                <c:pt idx="9">
                  <c:v>70歳以上(n=48)</c:v>
                </c:pt>
                <c:pt idx="10">
                  <c:v>持家(n=383)</c:v>
                </c:pt>
                <c:pt idx="11">
                  <c:v>借家(n=70)</c:v>
                </c:pt>
              </c:strCache>
            </c:strRef>
          </c:cat>
          <c:val>
            <c:numRef>
              <c:f>Sheet1!$E$2:$E$13</c:f>
              <c:numCache>
                <c:formatCode>0.0</c:formatCode>
                <c:ptCount val="12"/>
                <c:pt idx="0">
                  <c:v>16.3</c:v>
                </c:pt>
                <c:pt idx="1">
                  <c:v>14.7</c:v>
                </c:pt>
                <c:pt idx="2">
                  <c:v>17.600000000000001</c:v>
                </c:pt>
                <c:pt idx="3">
                  <c:v>6.7</c:v>
                </c:pt>
                <c:pt idx="4">
                  <c:v>9.4</c:v>
                </c:pt>
                <c:pt idx="5">
                  <c:v>15.6</c:v>
                </c:pt>
                <c:pt idx="6">
                  <c:v>13</c:v>
                </c:pt>
                <c:pt idx="7">
                  <c:v>17.100000000000001</c:v>
                </c:pt>
                <c:pt idx="8">
                  <c:v>18</c:v>
                </c:pt>
                <c:pt idx="9">
                  <c:v>25</c:v>
                </c:pt>
                <c:pt idx="10">
                  <c:v>16.2</c:v>
                </c:pt>
                <c:pt idx="11">
                  <c:v>18.600000000000001</c:v>
                </c:pt>
              </c:numCache>
            </c:numRef>
          </c:val>
        </c:ser>
        <c:dLbls>
          <c:showLegendKey val="0"/>
          <c:showVal val="0"/>
          <c:showCatName val="0"/>
          <c:showSerName val="0"/>
          <c:showPercent val="0"/>
          <c:showBubbleSize val="0"/>
        </c:dLbls>
        <c:gapWidth val="90"/>
        <c:overlap val="100"/>
        <c:axId val="228823040"/>
        <c:axId val="228824576"/>
      </c:barChart>
      <c:catAx>
        <c:axId val="22882304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28824576"/>
        <c:crosses val="autoZero"/>
        <c:auto val="1"/>
        <c:lblAlgn val="ctr"/>
        <c:lblOffset val="100"/>
        <c:noMultiLvlLbl val="0"/>
      </c:catAx>
      <c:valAx>
        <c:axId val="22882457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28823040"/>
        <c:crosses val="autoZero"/>
        <c:crossBetween val="between"/>
        <c:majorUnit val="0.1"/>
      </c:valAx>
    </c:plotArea>
    <c:legend>
      <c:legendPos val="r"/>
      <c:layout>
        <c:manualLayout>
          <c:xMode val="edge"/>
          <c:yMode val="edge"/>
          <c:x val="1.427451376270274E-2"/>
          <c:y val="1.8843625254239191E-3"/>
          <c:w val="0.97586596953269245"/>
          <c:h val="9.9300062526938265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知っている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2"/>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総合(n=465)</c:v>
                </c:pt>
                <c:pt idx="1">
                  <c:v>農林業(n=48)</c:v>
                </c:pt>
                <c:pt idx="2">
                  <c:v>漁業(n=3)</c:v>
                </c:pt>
                <c:pt idx="3">
                  <c:v>商工サービス業自営(n=30)</c:v>
                </c:pt>
                <c:pt idx="4">
                  <c:v>事務職(n=51)</c:v>
                </c:pt>
                <c:pt idx="5">
                  <c:v>技術職(n=54)</c:v>
                </c:pt>
                <c:pt idx="6">
                  <c:v>労務職(n=70)</c:v>
                </c:pt>
                <c:pt idx="7">
                  <c:v>管理職(n=10)</c:v>
                </c:pt>
                <c:pt idx="8">
                  <c:v>自由業(n=10)</c:v>
                </c:pt>
                <c:pt idx="9">
                  <c:v>主婦・主夫(n=48)</c:v>
                </c:pt>
                <c:pt idx="10">
                  <c:v>学生(n=15)</c:v>
                </c:pt>
                <c:pt idx="11">
                  <c:v>無職(n=70)</c:v>
                </c:pt>
                <c:pt idx="12">
                  <c:v>その他(n=52)</c:v>
                </c:pt>
                <c:pt idx="13">
                  <c:v>高知市(n=163)</c:v>
                </c:pt>
                <c:pt idx="14">
                  <c:v>安芸広域圏(n=52)</c:v>
                </c:pt>
                <c:pt idx="15">
                  <c:v>南国・香美広域圏(n=67)</c:v>
                </c:pt>
                <c:pt idx="16">
                  <c:v>嶺北広域圏(n=16)</c:v>
                </c:pt>
                <c:pt idx="17">
                  <c:v>仁淀川広域圏(n=42)</c:v>
                </c:pt>
                <c:pt idx="18">
                  <c:v>高吾北広域圏(n=19)</c:v>
                </c:pt>
                <c:pt idx="19">
                  <c:v>高幡広域圏(n=37)</c:v>
                </c:pt>
                <c:pt idx="20">
                  <c:v>幡多広域圏(n=65)</c:v>
                </c:pt>
              </c:strCache>
            </c:strRef>
          </c:cat>
          <c:val>
            <c:numRef>
              <c:f>Sheet1!$B$2:$B$22</c:f>
              <c:numCache>
                <c:formatCode>0.0</c:formatCode>
                <c:ptCount val="21"/>
                <c:pt idx="0">
                  <c:v>54.6</c:v>
                </c:pt>
                <c:pt idx="1">
                  <c:v>64.599999999999994</c:v>
                </c:pt>
                <c:pt idx="2">
                  <c:v>0</c:v>
                </c:pt>
                <c:pt idx="3">
                  <c:v>53.3</c:v>
                </c:pt>
                <c:pt idx="4">
                  <c:v>56.9</c:v>
                </c:pt>
                <c:pt idx="5">
                  <c:v>51.9</c:v>
                </c:pt>
                <c:pt idx="6">
                  <c:v>52.9</c:v>
                </c:pt>
                <c:pt idx="7">
                  <c:v>40</c:v>
                </c:pt>
                <c:pt idx="8">
                  <c:v>40</c:v>
                </c:pt>
                <c:pt idx="9">
                  <c:v>66.7</c:v>
                </c:pt>
                <c:pt idx="10">
                  <c:v>33.300000000000004</c:v>
                </c:pt>
                <c:pt idx="11">
                  <c:v>60</c:v>
                </c:pt>
                <c:pt idx="12">
                  <c:v>48.1</c:v>
                </c:pt>
                <c:pt idx="13">
                  <c:v>51.5</c:v>
                </c:pt>
                <c:pt idx="14">
                  <c:v>63.5</c:v>
                </c:pt>
                <c:pt idx="15">
                  <c:v>53.7</c:v>
                </c:pt>
                <c:pt idx="16">
                  <c:v>56.3</c:v>
                </c:pt>
                <c:pt idx="17">
                  <c:v>66.7</c:v>
                </c:pt>
                <c:pt idx="18">
                  <c:v>36.800000000000004</c:v>
                </c:pt>
                <c:pt idx="19">
                  <c:v>56.8</c:v>
                </c:pt>
                <c:pt idx="20">
                  <c:v>52.3</c:v>
                </c:pt>
              </c:numCache>
            </c:numRef>
          </c:val>
        </c:ser>
        <c:ser>
          <c:idx val="1"/>
          <c:order val="1"/>
          <c:tx>
            <c:strRef>
              <c:f>Sheet1!$C$1</c:f>
              <c:strCache>
                <c:ptCount val="1"/>
                <c:pt idx="0">
                  <c:v>知らない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総合(n=465)</c:v>
                </c:pt>
                <c:pt idx="1">
                  <c:v>農林業(n=48)</c:v>
                </c:pt>
                <c:pt idx="2">
                  <c:v>漁業(n=3)</c:v>
                </c:pt>
                <c:pt idx="3">
                  <c:v>商工サービス業自営(n=30)</c:v>
                </c:pt>
                <c:pt idx="4">
                  <c:v>事務職(n=51)</c:v>
                </c:pt>
                <c:pt idx="5">
                  <c:v>技術職(n=54)</c:v>
                </c:pt>
                <c:pt idx="6">
                  <c:v>労務職(n=70)</c:v>
                </c:pt>
                <c:pt idx="7">
                  <c:v>管理職(n=10)</c:v>
                </c:pt>
                <c:pt idx="8">
                  <c:v>自由業(n=10)</c:v>
                </c:pt>
                <c:pt idx="9">
                  <c:v>主婦・主夫(n=48)</c:v>
                </c:pt>
                <c:pt idx="10">
                  <c:v>学生(n=15)</c:v>
                </c:pt>
                <c:pt idx="11">
                  <c:v>無職(n=70)</c:v>
                </c:pt>
                <c:pt idx="12">
                  <c:v>その他(n=52)</c:v>
                </c:pt>
                <c:pt idx="13">
                  <c:v>高知市(n=163)</c:v>
                </c:pt>
                <c:pt idx="14">
                  <c:v>安芸広域圏(n=52)</c:v>
                </c:pt>
                <c:pt idx="15">
                  <c:v>南国・香美広域圏(n=67)</c:v>
                </c:pt>
                <c:pt idx="16">
                  <c:v>嶺北広域圏(n=16)</c:v>
                </c:pt>
                <c:pt idx="17">
                  <c:v>仁淀川広域圏(n=42)</c:v>
                </c:pt>
                <c:pt idx="18">
                  <c:v>高吾北広域圏(n=19)</c:v>
                </c:pt>
                <c:pt idx="19">
                  <c:v>高幡広域圏(n=37)</c:v>
                </c:pt>
                <c:pt idx="20">
                  <c:v>幡多広域圏(n=65)</c:v>
                </c:pt>
              </c:strCache>
            </c:strRef>
          </c:cat>
          <c:val>
            <c:numRef>
              <c:f>Sheet1!$C$2:$C$22</c:f>
              <c:numCache>
                <c:formatCode>0.0</c:formatCode>
                <c:ptCount val="21"/>
                <c:pt idx="0">
                  <c:v>25.2</c:v>
                </c:pt>
                <c:pt idx="1">
                  <c:v>12.5</c:v>
                </c:pt>
                <c:pt idx="2">
                  <c:v>33.300000000000004</c:v>
                </c:pt>
                <c:pt idx="3">
                  <c:v>20</c:v>
                </c:pt>
                <c:pt idx="4">
                  <c:v>29.4</c:v>
                </c:pt>
                <c:pt idx="5">
                  <c:v>35.200000000000003</c:v>
                </c:pt>
                <c:pt idx="6">
                  <c:v>25.7</c:v>
                </c:pt>
                <c:pt idx="7">
                  <c:v>50</c:v>
                </c:pt>
                <c:pt idx="8">
                  <c:v>40</c:v>
                </c:pt>
                <c:pt idx="9">
                  <c:v>10.4</c:v>
                </c:pt>
                <c:pt idx="10">
                  <c:v>53.3</c:v>
                </c:pt>
                <c:pt idx="11">
                  <c:v>21.4</c:v>
                </c:pt>
                <c:pt idx="12">
                  <c:v>26.9</c:v>
                </c:pt>
                <c:pt idx="13">
                  <c:v>31.3</c:v>
                </c:pt>
                <c:pt idx="14">
                  <c:v>25</c:v>
                </c:pt>
                <c:pt idx="15">
                  <c:v>23.9</c:v>
                </c:pt>
                <c:pt idx="16">
                  <c:v>18.8</c:v>
                </c:pt>
                <c:pt idx="17">
                  <c:v>16.7</c:v>
                </c:pt>
                <c:pt idx="18">
                  <c:v>31.6</c:v>
                </c:pt>
                <c:pt idx="19">
                  <c:v>18.899999999999999</c:v>
                </c:pt>
                <c:pt idx="20">
                  <c:v>20</c:v>
                </c:pt>
              </c:numCache>
            </c:numRef>
          </c:val>
        </c:ser>
        <c:ser>
          <c:idx val="2"/>
          <c:order val="2"/>
          <c:tx>
            <c:strRef>
              <c:f>Sheet1!$D$1</c:f>
              <c:strCache>
                <c:ptCount val="1"/>
                <c:pt idx="0">
                  <c:v>既に利用した（利用中を含む）</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0"/>
                  <c:y val="-1.9298245614035186E-2"/>
                </c:manualLayout>
              </c:layout>
              <c:dLblPos val="ctr"/>
              <c:showLegendKey val="0"/>
              <c:showVal val="1"/>
              <c:showCatName val="0"/>
              <c:showSerName val="0"/>
              <c:showPercent val="0"/>
              <c:showBubbleSize val="0"/>
            </c:dLbl>
            <c:dLbl>
              <c:idx val="1"/>
              <c:layout>
                <c:manualLayout>
                  <c:x val="0"/>
                  <c:y val="-1.9307081691068363E-2"/>
                </c:manualLayout>
              </c:layout>
              <c:dLblPos val="ctr"/>
              <c:showLegendKey val="0"/>
              <c:showVal val="1"/>
              <c:showCatName val="0"/>
              <c:showSerName val="0"/>
              <c:showPercent val="0"/>
              <c:showBubbleSize val="0"/>
            </c:dLbl>
            <c:dLbl>
              <c:idx val="2"/>
              <c:delete val="1"/>
            </c:dLbl>
            <c:dLbl>
              <c:idx val="3"/>
              <c:layout>
                <c:manualLayout>
                  <c:x val="2.0635947918767484E-3"/>
                  <c:y val="-1.9307081691068387E-2"/>
                </c:manualLayout>
              </c:layout>
              <c:dLblPos val="ctr"/>
              <c:showLegendKey val="0"/>
              <c:showVal val="1"/>
              <c:showCatName val="0"/>
              <c:showSerName val="0"/>
              <c:showPercent val="0"/>
              <c:showBubbleSize val="0"/>
            </c:dLbl>
            <c:dLbl>
              <c:idx val="4"/>
              <c:layout>
                <c:manualLayout>
                  <c:x val="0"/>
                  <c:y val="-2.1062132731833202E-2"/>
                </c:manualLayout>
              </c:layout>
              <c:dLblPos val="ctr"/>
              <c:showLegendKey val="0"/>
              <c:showVal val="1"/>
              <c:showCatName val="0"/>
              <c:showSerName val="0"/>
              <c:showPercent val="0"/>
              <c:showBubbleSize val="0"/>
            </c:dLbl>
            <c:dLbl>
              <c:idx val="5"/>
              <c:layout>
                <c:manualLayout>
                  <c:x val="-6.190784375630148E-3"/>
                  <c:y val="-1.9307081691068363E-2"/>
                </c:manualLayout>
              </c:layout>
              <c:dLblPos val="ctr"/>
              <c:showLegendKey val="0"/>
              <c:showVal val="1"/>
              <c:showCatName val="0"/>
              <c:showSerName val="0"/>
              <c:showPercent val="0"/>
              <c:showBubbleSize val="0"/>
            </c:dLbl>
            <c:dLbl>
              <c:idx val="6"/>
              <c:layout>
                <c:manualLayout>
                  <c:x val="-2.0635947918767484E-3"/>
                  <c:y val="-1.7551892446425611E-2"/>
                </c:manualLayout>
              </c:layout>
              <c:dLblPos val="ctr"/>
              <c:showLegendKey val="0"/>
              <c:showVal val="1"/>
              <c:showCatName val="0"/>
              <c:showSerName val="0"/>
              <c:showPercent val="0"/>
              <c:showBubbleSize val="0"/>
            </c:dLbl>
            <c:dLbl>
              <c:idx val="7"/>
              <c:delete val="1"/>
            </c:dLbl>
            <c:dLbl>
              <c:idx val="8"/>
              <c:delete val="1"/>
            </c:dLbl>
            <c:dLbl>
              <c:idx val="9"/>
              <c:layout>
                <c:manualLayout>
                  <c:x val="-6.190784375630148E-3"/>
                  <c:y val="-1.9307081691068363E-2"/>
                </c:manualLayout>
              </c:layout>
              <c:dLblPos val="ctr"/>
              <c:showLegendKey val="0"/>
              <c:showVal val="1"/>
              <c:showCatName val="0"/>
              <c:showSerName val="0"/>
              <c:showPercent val="0"/>
              <c:showBubbleSize val="0"/>
            </c:dLbl>
            <c:dLbl>
              <c:idx val="10"/>
              <c:layout>
                <c:manualLayout>
                  <c:x val="-4.1271895837534317E-3"/>
                  <c:y val="-1.9307081691068363E-2"/>
                </c:manualLayout>
              </c:layout>
              <c:dLblPos val="ctr"/>
              <c:showLegendKey val="0"/>
              <c:showVal val="1"/>
              <c:showCatName val="0"/>
              <c:showSerName val="0"/>
              <c:showPercent val="0"/>
              <c:showBubbleSize val="0"/>
            </c:dLbl>
            <c:dLbl>
              <c:idx val="11"/>
              <c:layout>
                <c:manualLayout>
                  <c:x val="0"/>
                  <c:y val="-2.1062132731833202E-2"/>
                </c:manualLayout>
              </c:layout>
              <c:dLblPos val="ctr"/>
              <c:showLegendKey val="0"/>
              <c:showVal val="1"/>
              <c:showCatName val="0"/>
              <c:showSerName val="0"/>
              <c:showPercent val="0"/>
              <c:showBubbleSize val="0"/>
            </c:dLbl>
            <c:dLbl>
              <c:idx val="12"/>
              <c:delete val="1"/>
            </c:dLbl>
            <c:dLbl>
              <c:idx val="13"/>
              <c:layout>
                <c:manualLayout>
                  <c:x val="0"/>
                  <c:y val="-1.9307081691068363E-2"/>
                </c:manualLayout>
              </c:layout>
              <c:dLblPos val="ctr"/>
              <c:showLegendKey val="0"/>
              <c:showVal val="1"/>
              <c:showCatName val="0"/>
              <c:showSerName val="0"/>
              <c:showPercent val="0"/>
              <c:showBubbleSize val="0"/>
            </c:dLbl>
            <c:dLbl>
              <c:idx val="14"/>
              <c:layout>
                <c:manualLayout>
                  <c:x val="0"/>
                  <c:y val="-1.9307081691068363E-2"/>
                </c:manualLayout>
              </c:layout>
              <c:dLblPos val="ctr"/>
              <c:showLegendKey val="0"/>
              <c:showVal val="1"/>
              <c:showCatName val="0"/>
              <c:showSerName val="0"/>
              <c:showPercent val="0"/>
              <c:showBubbleSize val="0"/>
            </c:dLbl>
            <c:dLbl>
              <c:idx val="15"/>
              <c:layout>
                <c:manualLayout>
                  <c:x val="0"/>
                  <c:y val="-2.1062270935710746E-2"/>
                </c:manualLayout>
              </c:layout>
              <c:dLblPos val="ctr"/>
              <c:showLegendKey val="0"/>
              <c:showVal val="1"/>
              <c:showCatName val="0"/>
              <c:showSerName val="0"/>
              <c:showPercent val="0"/>
              <c:showBubbleSize val="0"/>
            </c:dLbl>
            <c:dLbl>
              <c:idx val="16"/>
              <c:delete val="1"/>
            </c:dLbl>
            <c:dLbl>
              <c:idx val="17"/>
              <c:layout>
                <c:manualLayout>
                  <c:x val="0"/>
                  <c:y val="-1.9307081691068363E-2"/>
                </c:manualLayout>
              </c:layout>
              <c:dLblPos val="ctr"/>
              <c:showLegendKey val="0"/>
              <c:showVal val="1"/>
              <c:showCatName val="0"/>
              <c:showSerName val="0"/>
              <c:showPercent val="0"/>
              <c:showBubbleSize val="0"/>
            </c:dLbl>
            <c:dLbl>
              <c:idx val="18"/>
              <c:delete val="1"/>
            </c:dLbl>
            <c:dLbl>
              <c:idx val="19"/>
              <c:layout>
                <c:manualLayout>
                  <c:x val="0"/>
                  <c:y val="-1.9307081691068363E-2"/>
                </c:manualLayout>
              </c:layout>
              <c:dLblPos val="ctr"/>
              <c:showLegendKey val="0"/>
              <c:showVal val="1"/>
              <c:showCatName val="0"/>
              <c:showSerName val="0"/>
              <c:showPercent val="0"/>
              <c:showBubbleSize val="0"/>
            </c:dLbl>
            <c:dLbl>
              <c:idx val="20"/>
              <c:layout>
                <c:manualLayout>
                  <c:x val="0"/>
                  <c:y val="-1.930708169106836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総合(n=465)</c:v>
                </c:pt>
                <c:pt idx="1">
                  <c:v>農林業(n=48)</c:v>
                </c:pt>
                <c:pt idx="2">
                  <c:v>漁業(n=3)</c:v>
                </c:pt>
                <c:pt idx="3">
                  <c:v>商工サービス業自営(n=30)</c:v>
                </c:pt>
                <c:pt idx="4">
                  <c:v>事務職(n=51)</c:v>
                </c:pt>
                <c:pt idx="5">
                  <c:v>技術職(n=54)</c:v>
                </c:pt>
                <c:pt idx="6">
                  <c:v>労務職(n=70)</c:v>
                </c:pt>
                <c:pt idx="7">
                  <c:v>管理職(n=10)</c:v>
                </c:pt>
                <c:pt idx="8">
                  <c:v>自由業(n=10)</c:v>
                </c:pt>
                <c:pt idx="9">
                  <c:v>主婦・主夫(n=48)</c:v>
                </c:pt>
                <c:pt idx="10">
                  <c:v>学生(n=15)</c:v>
                </c:pt>
                <c:pt idx="11">
                  <c:v>無職(n=70)</c:v>
                </c:pt>
                <c:pt idx="12">
                  <c:v>その他(n=52)</c:v>
                </c:pt>
                <c:pt idx="13">
                  <c:v>高知市(n=163)</c:v>
                </c:pt>
                <c:pt idx="14">
                  <c:v>安芸広域圏(n=52)</c:v>
                </c:pt>
                <c:pt idx="15">
                  <c:v>南国・香美広域圏(n=67)</c:v>
                </c:pt>
                <c:pt idx="16">
                  <c:v>嶺北広域圏(n=16)</c:v>
                </c:pt>
                <c:pt idx="17">
                  <c:v>仁淀川広域圏(n=42)</c:v>
                </c:pt>
                <c:pt idx="18">
                  <c:v>高吾北広域圏(n=19)</c:v>
                </c:pt>
                <c:pt idx="19">
                  <c:v>高幡広域圏(n=37)</c:v>
                </c:pt>
                <c:pt idx="20">
                  <c:v>幡多広域圏(n=65)</c:v>
                </c:pt>
              </c:strCache>
            </c:strRef>
          </c:cat>
          <c:val>
            <c:numRef>
              <c:f>Sheet1!$D$2:$D$22</c:f>
              <c:numCache>
                <c:formatCode>0.0</c:formatCode>
                <c:ptCount val="21"/>
                <c:pt idx="0">
                  <c:v>3.9</c:v>
                </c:pt>
                <c:pt idx="1">
                  <c:v>6.3</c:v>
                </c:pt>
                <c:pt idx="2">
                  <c:v>0</c:v>
                </c:pt>
                <c:pt idx="3">
                  <c:v>6.7</c:v>
                </c:pt>
                <c:pt idx="4">
                  <c:v>5.9</c:v>
                </c:pt>
                <c:pt idx="5">
                  <c:v>1.9000000000000001</c:v>
                </c:pt>
                <c:pt idx="6">
                  <c:v>2.9</c:v>
                </c:pt>
                <c:pt idx="7">
                  <c:v>0</c:v>
                </c:pt>
                <c:pt idx="8">
                  <c:v>0</c:v>
                </c:pt>
                <c:pt idx="9">
                  <c:v>4.2</c:v>
                </c:pt>
                <c:pt idx="10">
                  <c:v>6.7</c:v>
                </c:pt>
                <c:pt idx="11">
                  <c:v>5.7</c:v>
                </c:pt>
                <c:pt idx="12">
                  <c:v>0</c:v>
                </c:pt>
                <c:pt idx="13">
                  <c:v>4.3</c:v>
                </c:pt>
                <c:pt idx="14">
                  <c:v>1.9000000000000001</c:v>
                </c:pt>
                <c:pt idx="15">
                  <c:v>4.5</c:v>
                </c:pt>
                <c:pt idx="16">
                  <c:v>0</c:v>
                </c:pt>
                <c:pt idx="17">
                  <c:v>2.4</c:v>
                </c:pt>
                <c:pt idx="18">
                  <c:v>0</c:v>
                </c:pt>
                <c:pt idx="19">
                  <c:v>8.1</c:v>
                </c:pt>
                <c:pt idx="20">
                  <c:v>4.5999999999999996</c:v>
                </c:pt>
              </c:numCache>
            </c:numRef>
          </c:val>
        </c:ser>
        <c:ser>
          <c:idx val="3"/>
          <c:order val="3"/>
          <c:tx>
            <c:strRef>
              <c:f>Sheet1!$E$1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総合(n=465)</c:v>
                </c:pt>
                <c:pt idx="1">
                  <c:v>農林業(n=48)</c:v>
                </c:pt>
                <c:pt idx="2">
                  <c:v>漁業(n=3)</c:v>
                </c:pt>
                <c:pt idx="3">
                  <c:v>商工サービス業自営(n=30)</c:v>
                </c:pt>
                <c:pt idx="4">
                  <c:v>事務職(n=51)</c:v>
                </c:pt>
                <c:pt idx="5">
                  <c:v>技術職(n=54)</c:v>
                </c:pt>
                <c:pt idx="6">
                  <c:v>労務職(n=70)</c:v>
                </c:pt>
                <c:pt idx="7">
                  <c:v>管理職(n=10)</c:v>
                </c:pt>
                <c:pt idx="8">
                  <c:v>自由業(n=10)</c:v>
                </c:pt>
                <c:pt idx="9">
                  <c:v>主婦・主夫(n=48)</c:v>
                </c:pt>
                <c:pt idx="10">
                  <c:v>学生(n=15)</c:v>
                </c:pt>
                <c:pt idx="11">
                  <c:v>無職(n=70)</c:v>
                </c:pt>
                <c:pt idx="12">
                  <c:v>その他(n=52)</c:v>
                </c:pt>
                <c:pt idx="13">
                  <c:v>高知市(n=163)</c:v>
                </c:pt>
                <c:pt idx="14">
                  <c:v>安芸広域圏(n=52)</c:v>
                </c:pt>
                <c:pt idx="15">
                  <c:v>南国・香美広域圏(n=67)</c:v>
                </c:pt>
                <c:pt idx="16">
                  <c:v>嶺北広域圏(n=16)</c:v>
                </c:pt>
                <c:pt idx="17">
                  <c:v>仁淀川広域圏(n=42)</c:v>
                </c:pt>
                <c:pt idx="18">
                  <c:v>高吾北広域圏(n=19)</c:v>
                </c:pt>
                <c:pt idx="19">
                  <c:v>高幡広域圏(n=37)</c:v>
                </c:pt>
                <c:pt idx="20">
                  <c:v>幡多広域圏(n=65)</c:v>
                </c:pt>
              </c:strCache>
            </c:strRef>
          </c:cat>
          <c:val>
            <c:numRef>
              <c:f>Sheet1!$E$2:$E$22</c:f>
              <c:numCache>
                <c:formatCode>0.0</c:formatCode>
                <c:ptCount val="21"/>
                <c:pt idx="0">
                  <c:v>16.3</c:v>
                </c:pt>
                <c:pt idx="1">
                  <c:v>16.7</c:v>
                </c:pt>
                <c:pt idx="2">
                  <c:v>66.7</c:v>
                </c:pt>
                <c:pt idx="3">
                  <c:v>20</c:v>
                </c:pt>
                <c:pt idx="4">
                  <c:v>7.8</c:v>
                </c:pt>
                <c:pt idx="5">
                  <c:v>11.1</c:v>
                </c:pt>
                <c:pt idx="6">
                  <c:v>18.600000000000001</c:v>
                </c:pt>
                <c:pt idx="7">
                  <c:v>10</c:v>
                </c:pt>
                <c:pt idx="8">
                  <c:v>20</c:v>
                </c:pt>
                <c:pt idx="9">
                  <c:v>18.8</c:v>
                </c:pt>
                <c:pt idx="10">
                  <c:v>6.7</c:v>
                </c:pt>
                <c:pt idx="11">
                  <c:v>12.9</c:v>
                </c:pt>
                <c:pt idx="12">
                  <c:v>25</c:v>
                </c:pt>
                <c:pt idx="13">
                  <c:v>12.9</c:v>
                </c:pt>
                <c:pt idx="14">
                  <c:v>9.6</c:v>
                </c:pt>
                <c:pt idx="15">
                  <c:v>17.899999999999999</c:v>
                </c:pt>
                <c:pt idx="16">
                  <c:v>25</c:v>
                </c:pt>
                <c:pt idx="17">
                  <c:v>14.3</c:v>
                </c:pt>
                <c:pt idx="18">
                  <c:v>31.6</c:v>
                </c:pt>
                <c:pt idx="19">
                  <c:v>16.2</c:v>
                </c:pt>
                <c:pt idx="20">
                  <c:v>23.1</c:v>
                </c:pt>
              </c:numCache>
            </c:numRef>
          </c:val>
        </c:ser>
        <c:dLbls>
          <c:showLegendKey val="0"/>
          <c:showVal val="0"/>
          <c:showCatName val="0"/>
          <c:showSerName val="0"/>
          <c:showPercent val="0"/>
          <c:showBubbleSize val="0"/>
        </c:dLbls>
        <c:gapWidth val="70"/>
        <c:overlap val="100"/>
        <c:axId val="232643584"/>
        <c:axId val="232686336"/>
      </c:barChart>
      <c:catAx>
        <c:axId val="23264358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2686336"/>
        <c:crosses val="autoZero"/>
        <c:auto val="1"/>
        <c:lblAlgn val="ctr"/>
        <c:lblOffset val="100"/>
        <c:noMultiLvlLbl val="0"/>
      </c:catAx>
      <c:valAx>
        <c:axId val="23268633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2643584"/>
        <c:crosses val="autoZero"/>
        <c:crossBetween val="between"/>
      </c:valAx>
    </c:plotArea>
    <c:legend>
      <c:legendPos val="r"/>
      <c:layout>
        <c:manualLayout>
          <c:xMode val="edge"/>
          <c:yMode val="edge"/>
          <c:x val="1.5873454310302414E-2"/>
          <c:y val="1.4755659492010661E-3"/>
          <c:w val="0.98412650181500161"/>
          <c:h val="7.3079589208260728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10万円まで</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Sheet1!$B$2:$B$13</c:f>
              <c:numCache>
                <c:formatCode>0.0</c:formatCode>
                <c:ptCount val="12"/>
                <c:pt idx="0">
                  <c:v>33.300000000000004</c:v>
                </c:pt>
                <c:pt idx="1">
                  <c:v>28.9</c:v>
                </c:pt>
                <c:pt idx="2">
                  <c:v>37</c:v>
                </c:pt>
                <c:pt idx="3">
                  <c:v>41.4</c:v>
                </c:pt>
                <c:pt idx="4">
                  <c:v>33.700000000000003</c:v>
                </c:pt>
                <c:pt idx="5">
                  <c:v>39.5</c:v>
                </c:pt>
                <c:pt idx="6">
                  <c:v>37.1</c:v>
                </c:pt>
                <c:pt idx="7">
                  <c:v>35.6</c:v>
                </c:pt>
                <c:pt idx="8">
                  <c:v>22.2</c:v>
                </c:pt>
                <c:pt idx="9">
                  <c:v>18.399999999999999</c:v>
                </c:pt>
                <c:pt idx="10">
                  <c:v>29.2</c:v>
                </c:pt>
                <c:pt idx="11">
                  <c:v>51.9</c:v>
                </c:pt>
              </c:numCache>
            </c:numRef>
          </c:val>
        </c:ser>
        <c:ser>
          <c:idx val="1"/>
          <c:order val="1"/>
          <c:tx>
            <c:strRef>
              <c:f>Sheet1!$C$1</c:f>
              <c:strCache>
                <c:ptCount val="1"/>
                <c:pt idx="0">
                  <c:v>20万円まで</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Sheet1!$C$2:$C$13</c:f>
              <c:numCache>
                <c:formatCode>0.0</c:formatCode>
                <c:ptCount val="12"/>
                <c:pt idx="0">
                  <c:v>21.3</c:v>
                </c:pt>
                <c:pt idx="1">
                  <c:v>20.6</c:v>
                </c:pt>
                <c:pt idx="2">
                  <c:v>22.1</c:v>
                </c:pt>
                <c:pt idx="3">
                  <c:v>23</c:v>
                </c:pt>
                <c:pt idx="4">
                  <c:v>25.7</c:v>
                </c:pt>
                <c:pt idx="5">
                  <c:v>22.1</c:v>
                </c:pt>
                <c:pt idx="6">
                  <c:v>24.9</c:v>
                </c:pt>
                <c:pt idx="7">
                  <c:v>19.8</c:v>
                </c:pt>
                <c:pt idx="8">
                  <c:v>13.4</c:v>
                </c:pt>
                <c:pt idx="9">
                  <c:v>24.5</c:v>
                </c:pt>
                <c:pt idx="10">
                  <c:v>22.9</c:v>
                </c:pt>
                <c:pt idx="11">
                  <c:v>14.9</c:v>
                </c:pt>
              </c:numCache>
            </c:numRef>
          </c:val>
        </c:ser>
        <c:ser>
          <c:idx val="2"/>
          <c:order val="2"/>
          <c:tx>
            <c:strRef>
              <c:f>Sheet1!$D$1</c:f>
              <c:strCache>
                <c:ptCount val="1"/>
                <c:pt idx="0">
                  <c:v>40万円まで</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Sheet1!$D$2:$D$13</c:f>
              <c:numCache>
                <c:formatCode>0.0</c:formatCode>
                <c:ptCount val="12"/>
                <c:pt idx="0">
                  <c:v>14.2</c:v>
                </c:pt>
                <c:pt idx="1">
                  <c:v>14.4</c:v>
                </c:pt>
                <c:pt idx="2">
                  <c:v>14.1</c:v>
                </c:pt>
                <c:pt idx="3">
                  <c:v>11.5</c:v>
                </c:pt>
                <c:pt idx="4">
                  <c:v>18.3</c:v>
                </c:pt>
                <c:pt idx="5">
                  <c:v>13.4</c:v>
                </c:pt>
                <c:pt idx="6">
                  <c:v>12.3</c:v>
                </c:pt>
                <c:pt idx="7">
                  <c:v>14.6</c:v>
                </c:pt>
                <c:pt idx="8">
                  <c:v>16.899999999999999</c:v>
                </c:pt>
                <c:pt idx="9">
                  <c:v>9.2000000000000011</c:v>
                </c:pt>
                <c:pt idx="10">
                  <c:v>15.7</c:v>
                </c:pt>
                <c:pt idx="11">
                  <c:v>8.8000000000000007</c:v>
                </c:pt>
              </c:numCache>
            </c:numRef>
          </c:val>
        </c:ser>
        <c:ser>
          <c:idx val="3"/>
          <c:order val="3"/>
          <c:tx>
            <c:strRef>
              <c:f>Sheet1!$E$1</c:f>
              <c:strCache>
                <c:ptCount val="1"/>
                <c:pt idx="0">
                  <c:v>60万円まで</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4.2735042735042739E-3"/>
                  <c:y val="-3.3397559409120141E-2"/>
                </c:manualLayout>
              </c:layout>
              <c:dLblPos val="ctr"/>
              <c:showLegendKey val="0"/>
              <c:showVal val="1"/>
              <c:showCatName val="0"/>
              <c:showSerName val="0"/>
              <c:showPercent val="0"/>
              <c:showBubbleSize val="0"/>
            </c:dLbl>
            <c:dLbl>
              <c:idx val="1"/>
              <c:layout>
                <c:manualLayout>
                  <c:x val="0"/>
                  <c:y val="-3.3397559409120106E-2"/>
                </c:manualLayout>
              </c:layout>
              <c:dLblPos val="ctr"/>
              <c:showLegendKey val="0"/>
              <c:showVal val="1"/>
              <c:showCatName val="0"/>
              <c:showSerName val="0"/>
              <c:showPercent val="0"/>
              <c:showBubbleSize val="0"/>
            </c:dLbl>
            <c:dLbl>
              <c:idx val="2"/>
              <c:layout>
                <c:manualLayout>
                  <c:x val="0"/>
                  <c:y val="-3.3397559409120106E-2"/>
                </c:manualLayout>
              </c:layout>
              <c:dLblPos val="ctr"/>
              <c:showLegendKey val="0"/>
              <c:showVal val="1"/>
              <c:showCatName val="0"/>
              <c:showSerName val="0"/>
              <c:showPercent val="0"/>
              <c:showBubbleSize val="0"/>
            </c:dLbl>
            <c:dLbl>
              <c:idx val="3"/>
              <c:layout>
                <c:manualLayout>
                  <c:x val="0"/>
                  <c:y val="-3.3397559409120058E-2"/>
                </c:manualLayout>
              </c:layout>
              <c:dLblPos val="ctr"/>
              <c:showLegendKey val="0"/>
              <c:showVal val="1"/>
              <c:showCatName val="0"/>
              <c:showSerName val="0"/>
              <c:showPercent val="0"/>
              <c:showBubbleSize val="0"/>
            </c:dLbl>
            <c:dLbl>
              <c:idx val="4"/>
              <c:layout>
                <c:manualLayout>
                  <c:x val="-6.4102564102564534E-3"/>
                  <c:y val="-3.3397559409120106E-2"/>
                </c:manualLayout>
              </c:layout>
              <c:dLblPos val="ctr"/>
              <c:showLegendKey val="0"/>
              <c:showVal val="1"/>
              <c:showCatName val="0"/>
              <c:showSerName val="0"/>
              <c:showPercent val="0"/>
              <c:showBubbleSize val="0"/>
            </c:dLbl>
            <c:dLbl>
              <c:idx val="5"/>
              <c:layout>
                <c:manualLayout>
                  <c:x val="-4.2735042735042739E-3"/>
                  <c:y val="-3.0828516377649346E-2"/>
                </c:manualLayout>
              </c:layout>
              <c:dLblPos val="ctr"/>
              <c:showLegendKey val="0"/>
              <c:showVal val="1"/>
              <c:showCatName val="0"/>
              <c:showSerName val="0"/>
              <c:showPercent val="0"/>
              <c:showBubbleSize val="0"/>
            </c:dLbl>
            <c:dLbl>
              <c:idx val="6"/>
              <c:layout>
                <c:manualLayout>
                  <c:x val="-6.4102564102564534E-3"/>
                  <c:y val="-3.0828516377649346E-2"/>
                </c:manualLayout>
              </c:layout>
              <c:dLblPos val="ctr"/>
              <c:showLegendKey val="0"/>
              <c:showVal val="1"/>
              <c:showCatName val="0"/>
              <c:showSerName val="0"/>
              <c:showPercent val="0"/>
              <c:showBubbleSize val="0"/>
            </c:dLbl>
            <c:dLbl>
              <c:idx val="7"/>
              <c:layout>
                <c:manualLayout>
                  <c:x val="0"/>
                  <c:y val="-3.3397559409120106E-2"/>
                </c:manualLayout>
              </c:layout>
              <c:dLblPos val="ctr"/>
              <c:showLegendKey val="0"/>
              <c:showVal val="1"/>
              <c:showCatName val="0"/>
              <c:showSerName val="0"/>
              <c:showPercent val="0"/>
              <c:showBubbleSize val="0"/>
            </c:dLbl>
            <c:dLbl>
              <c:idx val="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layout>
                <c:manualLayout>
                  <c:x val="-6.4102564102564534E-3"/>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Sheet1!$E$2:$E$13</c:f>
              <c:numCache>
                <c:formatCode>0.0</c:formatCode>
                <c:ptCount val="12"/>
                <c:pt idx="0">
                  <c:v>7.2</c:v>
                </c:pt>
                <c:pt idx="1">
                  <c:v>7.6</c:v>
                </c:pt>
                <c:pt idx="2">
                  <c:v>7</c:v>
                </c:pt>
                <c:pt idx="3">
                  <c:v>5.7</c:v>
                </c:pt>
                <c:pt idx="4">
                  <c:v>5</c:v>
                </c:pt>
                <c:pt idx="5">
                  <c:v>4.3</c:v>
                </c:pt>
                <c:pt idx="6">
                  <c:v>7.4</c:v>
                </c:pt>
                <c:pt idx="7">
                  <c:v>8.2000000000000011</c:v>
                </c:pt>
                <c:pt idx="8">
                  <c:v>10.7</c:v>
                </c:pt>
                <c:pt idx="9">
                  <c:v>8.2000000000000011</c:v>
                </c:pt>
                <c:pt idx="10">
                  <c:v>8.1</c:v>
                </c:pt>
                <c:pt idx="11">
                  <c:v>3.1</c:v>
                </c:pt>
              </c:numCache>
            </c:numRef>
          </c:val>
        </c:ser>
        <c:ser>
          <c:idx val="4"/>
          <c:order val="4"/>
          <c:tx>
            <c:strRef>
              <c:f>Sheet1!$F$1</c:f>
              <c:strCache>
                <c:ptCount val="1"/>
                <c:pt idx="0">
                  <c:v>80万円まで</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2.136752136752137E-3"/>
                  <c:y val="-3.5966602440590904E-2"/>
                </c:manualLayout>
              </c:layout>
              <c:dLblPos val="ctr"/>
              <c:showLegendKey val="0"/>
              <c:showVal val="1"/>
              <c:showCatName val="0"/>
              <c:showSerName val="0"/>
              <c:showPercent val="0"/>
              <c:showBubbleSize val="0"/>
            </c:dLbl>
            <c:dLbl>
              <c:idx val="1"/>
              <c:layout>
                <c:manualLayout>
                  <c:x val="0"/>
                  <c:y val="-3.0828516377649346E-2"/>
                </c:manualLayout>
              </c:layout>
              <c:dLblPos val="ctr"/>
              <c:showLegendKey val="0"/>
              <c:showVal val="1"/>
              <c:showCatName val="0"/>
              <c:showSerName val="0"/>
              <c:showPercent val="0"/>
              <c:showBubbleSize val="0"/>
            </c:dLbl>
            <c:dLbl>
              <c:idx val="2"/>
              <c:layout>
                <c:manualLayout>
                  <c:x val="0"/>
                  <c:y val="-3.0828516377649346E-2"/>
                </c:manualLayout>
              </c:layout>
              <c:dLblPos val="ctr"/>
              <c:showLegendKey val="0"/>
              <c:showVal val="1"/>
              <c:showCatName val="0"/>
              <c:showSerName val="0"/>
              <c:showPercent val="0"/>
              <c:showBubbleSize val="0"/>
            </c:dLbl>
            <c:dLbl>
              <c:idx val="3"/>
              <c:layout>
                <c:manualLayout>
                  <c:x val="0"/>
                  <c:y val="-3.082851637764928E-2"/>
                </c:manualLayout>
              </c:layout>
              <c:dLblPos val="ctr"/>
              <c:showLegendKey val="0"/>
              <c:showVal val="1"/>
              <c:showCatName val="0"/>
              <c:showSerName val="0"/>
              <c:showPercent val="0"/>
              <c:showBubbleSize val="0"/>
            </c:dLbl>
            <c:dLbl>
              <c:idx val="4"/>
              <c:layout>
                <c:manualLayout>
                  <c:x val="0"/>
                  <c:y val="-3.0828516377649346E-2"/>
                </c:manualLayout>
              </c:layout>
              <c:dLblPos val="ctr"/>
              <c:showLegendKey val="0"/>
              <c:showVal val="1"/>
              <c:showCatName val="0"/>
              <c:showSerName val="0"/>
              <c:showPercent val="0"/>
              <c:showBubbleSize val="0"/>
            </c:dLbl>
            <c:dLbl>
              <c:idx val="5"/>
              <c:layout>
                <c:manualLayout>
                  <c:x val="0"/>
                  <c:y val="-3.0828516377649346E-2"/>
                </c:manualLayout>
              </c:layout>
              <c:dLblPos val="ctr"/>
              <c:showLegendKey val="0"/>
              <c:showVal val="1"/>
              <c:showCatName val="0"/>
              <c:showSerName val="0"/>
              <c:showPercent val="0"/>
              <c:showBubbleSize val="0"/>
            </c:dLbl>
            <c:dLbl>
              <c:idx val="6"/>
              <c:layout>
                <c:manualLayout>
                  <c:x val="0"/>
                  <c:y val="-3.0828516377649346E-2"/>
                </c:manualLayout>
              </c:layout>
              <c:dLblPos val="ctr"/>
              <c:showLegendKey val="0"/>
              <c:showVal val="1"/>
              <c:showCatName val="0"/>
              <c:showSerName val="0"/>
              <c:showPercent val="0"/>
              <c:showBubbleSize val="0"/>
            </c:dLbl>
            <c:dLbl>
              <c:idx val="7"/>
              <c:layout>
                <c:manualLayout>
                  <c:x val="0"/>
                  <c:y val="-3.0828516377649346E-2"/>
                </c:manualLayout>
              </c:layout>
              <c:dLblPos val="ctr"/>
              <c:showLegendKey val="0"/>
              <c:showVal val="1"/>
              <c:showCatName val="0"/>
              <c:showSerName val="0"/>
              <c:showPercent val="0"/>
              <c:showBubbleSize val="0"/>
            </c:dLbl>
            <c:dLbl>
              <c:idx val="8"/>
              <c:layout>
                <c:manualLayout>
                  <c:x val="0"/>
                  <c:y val="-3.5966602440590877E-2"/>
                </c:manualLayout>
              </c:layout>
              <c:dLblPos val="ctr"/>
              <c:showLegendKey val="0"/>
              <c:showVal val="1"/>
              <c:showCatName val="0"/>
              <c:showSerName val="0"/>
              <c:showPercent val="0"/>
              <c:showBubbleSize val="0"/>
            </c:dLbl>
            <c:dLbl>
              <c:idx val="9"/>
              <c:layout>
                <c:manualLayout>
                  <c:x val="0"/>
                  <c:y val="-3.8535645472062362E-2"/>
                </c:manualLayout>
              </c:layout>
              <c:dLblPos val="ctr"/>
              <c:showLegendKey val="0"/>
              <c:showVal val="1"/>
              <c:showCatName val="0"/>
              <c:showSerName val="0"/>
              <c:showPercent val="0"/>
              <c:showBubbleSize val="0"/>
            </c:dLbl>
            <c:dLbl>
              <c:idx val="10"/>
              <c:layout>
                <c:manualLayout>
                  <c:x val="-2.136752136752137E-3"/>
                  <c:y val="-3.8535645472062362E-2"/>
                </c:manualLayout>
              </c:layout>
              <c:dLblPos val="ctr"/>
              <c:showLegendKey val="0"/>
              <c:showVal val="1"/>
              <c:showCatName val="0"/>
              <c:showSerName val="0"/>
              <c:showPercent val="0"/>
              <c:showBubbleSize val="0"/>
            </c:dLbl>
            <c:dLbl>
              <c:idx val="11"/>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Sheet1!$F$2:$F$13</c:f>
              <c:numCache>
                <c:formatCode>0.0</c:formatCode>
                <c:ptCount val="12"/>
                <c:pt idx="0">
                  <c:v>1.6</c:v>
                </c:pt>
                <c:pt idx="1">
                  <c:v>1.9000000000000001</c:v>
                </c:pt>
                <c:pt idx="2">
                  <c:v>1.4</c:v>
                </c:pt>
                <c:pt idx="3">
                  <c:v>3.4</c:v>
                </c:pt>
                <c:pt idx="4">
                  <c:v>1.5</c:v>
                </c:pt>
                <c:pt idx="5">
                  <c:v>1.6</c:v>
                </c:pt>
                <c:pt idx="6">
                  <c:v>1.1000000000000001</c:v>
                </c:pt>
                <c:pt idx="7">
                  <c:v>1.5</c:v>
                </c:pt>
                <c:pt idx="8">
                  <c:v>1.5</c:v>
                </c:pt>
                <c:pt idx="9">
                  <c:v>3.1</c:v>
                </c:pt>
                <c:pt idx="10">
                  <c:v>1.9000000000000001</c:v>
                </c:pt>
                <c:pt idx="11">
                  <c:v>0</c:v>
                </c:pt>
              </c:numCache>
            </c:numRef>
          </c:val>
        </c:ser>
        <c:ser>
          <c:idx val="5"/>
          <c:order val="5"/>
          <c:tx>
            <c:strRef>
              <c:f>Sheet1!$G$1</c:f>
              <c:strCache>
                <c:ptCount val="1"/>
                <c:pt idx="0">
                  <c:v>100万円まで</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layout>
                <c:manualLayout>
                  <c:x val="2.136752136752137E-3"/>
                  <c:y val="-3.0828516377649356E-2"/>
                </c:manualLayout>
              </c:layout>
              <c:dLblPos val="ctr"/>
              <c:showLegendKey val="0"/>
              <c:showVal val="1"/>
              <c:showCatName val="0"/>
              <c:showSerName val="0"/>
              <c:showPercent val="0"/>
              <c:showBubbleSize val="0"/>
            </c:dLbl>
            <c:dLbl>
              <c:idx val="1"/>
              <c:layout>
                <c:manualLayout>
                  <c:x val="0"/>
                  <c:y val="-3.0828516377649346E-2"/>
                </c:manualLayout>
              </c:layout>
              <c:dLblPos val="ctr"/>
              <c:showLegendKey val="0"/>
              <c:showVal val="1"/>
              <c:showCatName val="0"/>
              <c:showSerName val="0"/>
              <c:showPercent val="0"/>
              <c:showBubbleSize val="0"/>
            </c:dLbl>
            <c:dLbl>
              <c:idx val="2"/>
              <c:layout>
                <c:manualLayout>
                  <c:x val="8.5470085470085496E-3"/>
                  <c:y val="-3.3397559409120106E-2"/>
                </c:manualLayout>
              </c:layout>
              <c:dLblPos val="ctr"/>
              <c:showLegendKey val="0"/>
              <c:showVal val="1"/>
              <c:showCatName val="0"/>
              <c:showSerName val="0"/>
              <c:showPercent val="0"/>
              <c:showBubbleSize val="0"/>
            </c:dLbl>
            <c:dLbl>
              <c:idx val="3"/>
              <c:layout>
                <c:manualLayout>
                  <c:x val="1.0683760683760906E-2"/>
                  <c:y val="-3.082851637764928E-2"/>
                </c:manualLayout>
              </c:layout>
              <c:dLblPos val="ctr"/>
              <c:showLegendKey val="0"/>
              <c:showVal val="1"/>
              <c:showCatName val="0"/>
              <c:showSerName val="0"/>
              <c:showPercent val="0"/>
              <c:showBubbleSize val="0"/>
            </c:dLbl>
            <c:dLbl>
              <c:idx val="4"/>
              <c:layout>
                <c:manualLayout>
                  <c:x val="4.2735042735042739E-3"/>
                  <c:y val="-3.0828516377649346E-2"/>
                </c:manualLayout>
              </c:layout>
              <c:dLblPos val="ctr"/>
              <c:showLegendKey val="0"/>
              <c:showVal val="1"/>
              <c:showCatName val="0"/>
              <c:showSerName val="0"/>
              <c:showPercent val="0"/>
              <c:showBubbleSize val="0"/>
            </c:dLbl>
            <c:dLbl>
              <c:idx val="5"/>
              <c:layout>
                <c:manualLayout>
                  <c:x val="6.4102564102564534E-3"/>
                  <c:y val="-3.0828314090796453E-2"/>
                </c:manualLayout>
              </c:layout>
              <c:dLblPos val="ctr"/>
              <c:showLegendKey val="0"/>
              <c:showVal val="1"/>
              <c:showCatName val="0"/>
              <c:showSerName val="0"/>
              <c:showPercent val="0"/>
              <c:showBubbleSize val="0"/>
            </c:dLbl>
            <c:dLbl>
              <c:idx val="6"/>
              <c:layout>
                <c:manualLayout>
                  <c:x val="2.136752136752137E-3"/>
                  <c:y val="-3.3397559409120106E-2"/>
                </c:manualLayout>
              </c:layout>
              <c:dLblPos val="ctr"/>
              <c:showLegendKey val="0"/>
              <c:showVal val="1"/>
              <c:showCatName val="0"/>
              <c:showSerName val="0"/>
              <c:showPercent val="0"/>
              <c:showBubbleSize val="0"/>
            </c:dLbl>
            <c:dLbl>
              <c:idx val="7"/>
              <c:layout>
                <c:manualLayout>
                  <c:x val="0"/>
                  <c:y val="-3.3397559409120106E-2"/>
                </c:manualLayout>
              </c:layout>
              <c:dLblPos val="ctr"/>
              <c:showLegendKey val="0"/>
              <c:showVal val="1"/>
              <c:showCatName val="0"/>
              <c:showSerName val="0"/>
              <c:showPercent val="0"/>
              <c:showBubbleSize val="0"/>
            </c:dLbl>
            <c:dLbl>
              <c:idx val="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layout>
                <c:manualLayout>
                  <c:x val="2.136752136752137E-3"/>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Sheet1!$G$2:$G$13</c:f>
              <c:numCache>
                <c:formatCode>0.0</c:formatCode>
                <c:ptCount val="12"/>
                <c:pt idx="0">
                  <c:v>10.3</c:v>
                </c:pt>
                <c:pt idx="1">
                  <c:v>12.5</c:v>
                </c:pt>
                <c:pt idx="2">
                  <c:v>8.6</c:v>
                </c:pt>
                <c:pt idx="3">
                  <c:v>2.2999999999999998</c:v>
                </c:pt>
                <c:pt idx="4">
                  <c:v>6.4</c:v>
                </c:pt>
                <c:pt idx="5">
                  <c:v>9.9</c:v>
                </c:pt>
                <c:pt idx="6">
                  <c:v>9.4</c:v>
                </c:pt>
                <c:pt idx="7">
                  <c:v>10.8</c:v>
                </c:pt>
                <c:pt idx="8">
                  <c:v>15.7</c:v>
                </c:pt>
                <c:pt idx="9">
                  <c:v>13.3</c:v>
                </c:pt>
                <c:pt idx="10">
                  <c:v>11.9</c:v>
                </c:pt>
                <c:pt idx="11">
                  <c:v>4.7</c:v>
                </c:pt>
              </c:numCache>
            </c:numRef>
          </c:val>
        </c:ser>
        <c:ser>
          <c:idx val="6"/>
          <c:order val="6"/>
          <c:tx>
            <c:strRef>
              <c:f>Sheet1!$H$1</c:f>
              <c:strCache>
                <c:ptCount val="1"/>
                <c:pt idx="0">
                  <c:v>100万円以上でもよい</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3.3397559409120141E-2"/>
                </c:manualLayout>
              </c:layout>
              <c:dLblPos val="ctr"/>
              <c:showLegendKey val="0"/>
              <c:showVal val="1"/>
              <c:showCatName val="0"/>
              <c:showSerName val="0"/>
              <c:showPercent val="0"/>
              <c:showBubbleSize val="0"/>
            </c:dLbl>
            <c:dLbl>
              <c:idx val="1"/>
              <c:layout>
                <c:manualLayout>
                  <c:x val="0"/>
                  <c:y val="-3.3397559409120106E-2"/>
                </c:manualLayout>
              </c:layout>
              <c:dLblPos val="ctr"/>
              <c:showLegendKey val="0"/>
              <c:showVal val="1"/>
              <c:showCatName val="0"/>
              <c:showSerName val="0"/>
              <c:showPercent val="0"/>
              <c:showBubbleSize val="0"/>
            </c:dLbl>
            <c:dLbl>
              <c:idx val="2"/>
              <c:layout>
                <c:manualLayout>
                  <c:x val="1.0683760683760906E-2"/>
                  <c:y val="-3.3397559409120106E-2"/>
                </c:manualLayout>
              </c:layout>
              <c:dLblPos val="ctr"/>
              <c:showLegendKey val="0"/>
              <c:showVal val="1"/>
              <c:showCatName val="0"/>
              <c:showSerName val="0"/>
              <c:showPercent val="0"/>
              <c:showBubbleSize val="0"/>
            </c:dLbl>
            <c:dLbl>
              <c:idx val="3"/>
              <c:layout>
                <c:manualLayout>
                  <c:x val="1.4957264957264856E-2"/>
                  <c:y val="-3.0828314090796453E-2"/>
                </c:manualLayout>
              </c:layout>
              <c:dLblPos val="ctr"/>
              <c:showLegendKey val="0"/>
              <c:showVal val="1"/>
              <c:showCatName val="0"/>
              <c:showSerName val="0"/>
              <c:showPercent val="0"/>
              <c:showBubbleSize val="0"/>
            </c:dLbl>
            <c:dLbl>
              <c:idx val="4"/>
              <c:layout>
                <c:manualLayout>
                  <c:x val="0"/>
                  <c:y val="-3.0825780524376952E-2"/>
                </c:manualLayout>
              </c:layout>
              <c:dLblPos val="ctr"/>
              <c:showLegendKey val="0"/>
              <c:showVal val="1"/>
              <c:showCatName val="0"/>
              <c:showSerName val="0"/>
              <c:showPercent val="0"/>
              <c:showBubbleSize val="0"/>
            </c:dLbl>
            <c:dLbl>
              <c:idx val="5"/>
              <c:layout>
                <c:manualLayout>
                  <c:x val="2.136752136752137E-3"/>
                  <c:y val="-3.0828516377649346E-2"/>
                </c:manualLayout>
              </c:layout>
              <c:dLblPos val="ctr"/>
              <c:showLegendKey val="0"/>
              <c:showVal val="1"/>
              <c:showCatName val="0"/>
              <c:showSerName val="0"/>
              <c:showPercent val="0"/>
              <c:showBubbleSize val="0"/>
            </c:dLbl>
            <c:dLbl>
              <c:idx val="6"/>
              <c:layout>
                <c:manualLayout>
                  <c:x val="0"/>
                  <c:y val="-3.0826589934579398E-2"/>
                </c:manualLayout>
              </c:layout>
              <c:dLblPos val="ctr"/>
              <c:showLegendKey val="0"/>
              <c:showVal val="1"/>
              <c:showCatName val="0"/>
              <c:showSerName val="0"/>
              <c:showPercent val="0"/>
              <c:showBubbleSize val="0"/>
            </c:dLbl>
            <c:dLbl>
              <c:idx val="7"/>
              <c:layout>
                <c:manualLayout>
                  <c:x val="0"/>
                  <c:y val="-3.5966602440590877E-2"/>
                </c:manualLayout>
              </c:layout>
              <c:dLblPos val="ctr"/>
              <c:showLegendKey val="0"/>
              <c:showVal val="1"/>
              <c:showCatName val="0"/>
              <c:showSerName val="0"/>
              <c:showPercent val="0"/>
              <c:showBubbleSize val="0"/>
            </c:dLbl>
            <c:dLbl>
              <c:idx val="8"/>
              <c:layout>
                <c:manualLayout>
                  <c:x val="0"/>
                  <c:y val="-3.0828516377649346E-2"/>
                </c:manualLayout>
              </c:layout>
              <c:dLblPos val="ctr"/>
              <c:showLegendKey val="0"/>
              <c:showVal val="1"/>
              <c:showCatName val="0"/>
              <c:showSerName val="0"/>
              <c:showPercent val="0"/>
              <c:showBubbleSize val="0"/>
            </c:dLbl>
            <c:dLbl>
              <c:idx val="9"/>
              <c:layout>
                <c:manualLayout>
                  <c:x val="0"/>
                  <c:y val="-3.0828516377649346E-2"/>
                </c:manualLayout>
              </c:layout>
              <c:dLblPos val="ctr"/>
              <c:showLegendKey val="0"/>
              <c:showVal val="1"/>
              <c:showCatName val="0"/>
              <c:showSerName val="0"/>
              <c:showPercent val="0"/>
              <c:showBubbleSize val="0"/>
            </c:dLbl>
            <c:dLbl>
              <c:idx val="10"/>
              <c:layout>
                <c:manualLayout>
                  <c:x val="-4.2735042735042739E-3"/>
                  <c:y val="-3.8535645472062362E-2"/>
                </c:manualLayout>
              </c:layout>
              <c:dLblPos val="ctr"/>
              <c:showLegendKey val="0"/>
              <c:showVal val="1"/>
              <c:showCatName val="0"/>
              <c:showSerName val="0"/>
              <c:showPercent val="0"/>
              <c:showBubbleSize val="0"/>
            </c:dLbl>
            <c:dLbl>
              <c:idx val="11"/>
              <c:layout>
                <c:manualLayout>
                  <c:x val="2.136752136752137E-3"/>
                  <c:y val="-3.5966602440590877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Sheet1!$H$2:$H$13</c:f>
              <c:numCache>
                <c:formatCode>0.0</c:formatCode>
                <c:ptCount val="12"/>
                <c:pt idx="0">
                  <c:v>3.7</c:v>
                </c:pt>
                <c:pt idx="1">
                  <c:v>6.1</c:v>
                </c:pt>
                <c:pt idx="2">
                  <c:v>1.7</c:v>
                </c:pt>
                <c:pt idx="3">
                  <c:v>5.7</c:v>
                </c:pt>
                <c:pt idx="4">
                  <c:v>4.5</c:v>
                </c:pt>
                <c:pt idx="5">
                  <c:v>3.6</c:v>
                </c:pt>
                <c:pt idx="6">
                  <c:v>3.4</c:v>
                </c:pt>
                <c:pt idx="7">
                  <c:v>3.2</c:v>
                </c:pt>
                <c:pt idx="8">
                  <c:v>3.4</c:v>
                </c:pt>
                <c:pt idx="9">
                  <c:v>4.0999999999999996</c:v>
                </c:pt>
                <c:pt idx="10">
                  <c:v>3.4</c:v>
                </c:pt>
                <c:pt idx="11">
                  <c:v>4.7</c:v>
                </c:pt>
              </c:numCache>
            </c:numRef>
          </c:val>
        </c:ser>
        <c:ser>
          <c:idx val="7"/>
          <c:order val="7"/>
          <c:tx>
            <c:strRef>
              <c:f>Sheet1!$I$1</c:f>
              <c:strCache>
                <c:ptCount val="1"/>
                <c:pt idx="0">
                  <c:v>無回答</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4"/>
              <c:layout>
                <c:manualLayout>
                  <c:x val="-3.7014603943738119E-6"/>
                  <c:y val="-3.0836607851764626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layout>
                <c:manualLayout>
                  <c:x val="0"/>
                  <c:y val="-3.083852873507400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6"/>
              <c:layout>
                <c:manualLayout>
                  <c:x val="4.269813911759757E-3"/>
                  <c:y val="-3.083852873507400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Sheet1!$A$2:$A$13</c:f>
              <c:strCache>
                <c:ptCount val="12"/>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pt idx="10">
                  <c:v>持家(n=1,269)</c:v>
                </c:pt>
                <c:pt idx="11">
                  <c:v>借家(n=295)</c:v>
                </c:pt>
              </c:strCache>
            </c:strRef>
          </c:cat>
          <c:val>
            <c:numRef>
              <c:f>Sheet1!$I$2:$I$13</c:f>
              <c:numCache>
                <c:formatCode>0.0</c:formatCode>
                <c:ptCount val="12"/>
                <c:pt idx="0">
                  <c:v>8.4</c:v>
                </c:pt>
                <c:pt idx="1">
                  <c:v>7.9</c:v>
                </c:pt>
                <c:pt idx="2">
                  <c:v>8.2000000000000011</c:v>
                </c:pt>
                <c:pt idx="3">
                  <c:v>6.9</c:v>
                </c:pt>
                <c:pt idx="4">
                  <c:v>5</c:v>
                </c:pt>
                <c:pt idx="5">
                  <c:v>5.5</c:v>
                </c:pt>
                <c:pt idx="6">
                  <c:v>4.3</c:v>
                </c:pt>
                <c:pt idx="7">
                  <c:v>6.4</c:v>
                </c:pt>
                <c:pt idx="8">
                  <c:v>16.100000000000001</c:v>
                </c:pt>
                <c:pt idx="9">
                  <c:v>19.399999999999999</c:v>
                </c:pt>
                <c:pt idx="10">
                  <c:v>6.9</c:v>
                </c:pt>
                <c:pt idx="11">
                  <c:v>11.9</c:v>
                </c:pt>
              </c:numCache>
            </c:numRef>
          </c:val>
        </c:ser>
        <c:dLbls>
          <c:showLegendKey val="0"/>
          <c:showVal val="0"/>
          <c:showCatName val="0"/>
          <c:showSerName val="0"/>
          <c:showPercent val="0"/>
          <c:showBubbleSize val="0"/>
        </c:dLbls>
        <c:gapWidth val="90"/>
        <c:overlap val="100"/>
        <c:axId val="232782464"/>
        <c:axId val="232817024"/>
      </c:barChart>
      <c:catAx>
        <c:axId val="23278246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32817024"/>
        <c:crosses val="autoZero"/>
        <c:auto val="1"/>
        <c:lblAlgn val="ctr"/>
        <c:lblOffset val="100"/>
        <c:noMultiLvlLbl val="0"/>
      </c:catAx>
      <c:valAx>
        <c:axId val="23281702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32782464"/>
        <c:crosses val="autoZero"/>
        <c:crossBetween val="between"/>
        <c:majorUnit val="0.1"/>
      </c:valAx>
      <c:spPr>
        <a:noFill/>
      </c:spPr>
    </c:plotArea>
    <c:legend>
      <c:legendPos val="r"/>
      <c:layout>
        <c:manualLayout>
          <c:xMode val="edge"/>
          <c:yMode val="edge"/>
          <c:x val="5.0599300087489057E-2"/>
          <c:y val="1.8843625254239191E-3"/>
          <c:w val="0.94914832761290002"/>
          <c:h val="0.10094478405947546"/>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10万円まで</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33.300000000000004</c:v>
                </c:pt>
                <c:pt idx="1">
                  <c:v>21.6</c:v>
                </c:pt>
                <c:pt idx="2">
                  <c:v>33.300000000000004</c:v>
                </c:pt>
                <c:pt idx="3">
                  <c:v>24.6</c:v>
                </c:pt>
                <c:pt idx="4">
                  <c:v>28.4</c:v>
                </c:pt>
                <c:pt idx="5">
                  <c:v>37.9</c:v>
                </c:pt>
                <c:pt idx="6">
                  <c:v>41.9</c:v>
                </c:pt>
                <c:pt idx="7">
                  <c:v>21.9</c:v>
                </c:pt>
                <c:pt idx="8">
                  <c:v>27.3</c:v>
                </c:pt>
                <c:pt idx="9">
                  <c:v>35.6</c:v>
                </c:pt>
                <c:pt idx="10">
                  <c:v>37.1</c:v>
                </c:pt>
                <c:pt idx="11">
                  <c:v>28</c:v>
                </c:pt>
                <c:pt idx="12">
                  <c:v>40</c:v>
                </c:pt>
                <c:pt idx="13">
                  <c:v>31.8</c:v>
                </c:pt>
                <c:pt idx="14">
                  <c:v>39.5</c:v>
                </c:pt>
                <c:pt idx="15">
                  <c:v>33.200000000000003</c:v>
                </c:pt>
                <c:pt idx="16">
                  <c:v>32.4</c:v>
                </c:pt>
                <c:pt idx="17">
                  <c:v>32.5</c:v>
                </c:pt>
                <c:pt idx="18">
                  <c:v>27.5</c:v>
                </c:pt>
                <c:pt idx="19">
                  <c:v>38.200000000000003</c:v>
                </c:pt>
                <c:pt idx="20">
                  <c:v>35.300000000000004</c:v>
                </c:pt>
              </c:numCache>
            </c:numRef>
          </c:val>
        </c:ser>
        <c:ser>
          <c:idx val="1"/>
          <c:order val="1"/>
          <c:tx>
            <c:strRef>
              <c:f>Sheet1!$C$1</c:f>
              <c:strCache>
                <c:ptCount val="1"/>
                <c:pt idx="0">
                  <c:v>20万円まで</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21.3</c:v>
                </c:pt>
                <c:pt idx="1">
                  <c:v>17.5</c:v>
                </c:pt>
                <c:pt idx="2">
                  <c:v>22.2</c:v>
                </c:pt>
                <c:pt idx="3">
                  <c:v>18.8</c:v>
                </c:pt>
                <c:pt idx="4">
                  <c:v>18.8</c:v>
                </c:pt>
                <c:pt idx="5">
                  <c:v>23.4</c:v>
                </c:pt>
                <c:pt idx="6">
                  <c:v>24.6</c:v>
                </c:pt>
                <c:pt idx="7">
                  <c:v>23.4</c:v>
                </c:pt>
                <c:pt idx="8">
                  <c:v>27.3</c:v>
                </c:pt>
                <c:pt idx="9">
                  <c:v>19.5</c:v>
                </c:pt>
                <c:pt idx="10">
                  <c:v>25</c:v>
                </c:pt>
                <c:pt idx="11">
                  <c:v>18</c:v>
                </c:pt>
                <c:pt idx="12">
                  <c:v>22.9</c:v>
                </c:pt>
                <c:pt idx="13">
                  <c:v>21.3</c:v>
                </c:pt>
                <c:pt idx="14">
                  <c:v>21.1</c:v>
                </c:pt>
                <c:pt idx="15">
                  <c:v>24</c:v>
                </c:pt>
                <c:pt idx="16">
                  <c:v>20.6</c:v>
                </c:pt>
                <c:pt idx="17">
                  <c:v>21.4</c:v>
                </c:pt>
                <c:pt idx="18">
                  <c:v>21.6</c:v>
                </c:pt>
                <c:pt idx="19">
                  <c:v>17.100000000000001</c:v>
                </c:pt>
                <c:pt idx="20">
                  <c:v>21.4</c:v>
                </c:pt>
              </c:numCache>
            </c:numRef>
          </c:val>
        </c:ser>
        <c:ser>
          <c:idx val="2"/>
          <c:order val="2"/>
          <c:tx>
            <c:strRef>
              <c:f>Sheet1!$D$1</c:f>
              <c:strCache>
                <c:ptCount val="1"/>
                <c:pt idx="0">
                  <c:v>40万円まで</c:v>
                </c:pt>
              </c:strCache>
            </c:strRef>
          </c:tx>
          <c:spPr>
            <a:pattFill prst="pct50">
              <a:fgClr>
                <a:sysClr val="windowText" lastClr="000000"/>
              </a:fgClr>
              <a:bgClr>
                <a:sysClr val="window" lastClr="FFFFFF"/>
              </a:bgClr>
            </a:pattFill>
            <a:ln>
              <a:solidFill>
                <a:sysClr val="windowText" lastClr="000000"/>
              </a:solidFill>
            </a:ln>
          </c:spPr>
          <c:invertIfNegative val="0"/>
          <c:dLbls>
            <c:dLbl>
              <c:idx val="2"/>
              <c:delete val="1"/>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14.2</c:v>
                </c:pt>
                <c:pt idx="1">
                  <c:v>15.5</c:v>
                </c:pt>
                <c:pt idx="2">
                  <c:v>0</c:v>
                </c:pt>
                <c:pt idx="3">
                  <c:v>20.3</c:v>
                </c:pt>
                <c:pt idx="4">
                  <c:v>20.6</c:v>
                </c:pt>
                <c:pt idx="5">
                  <c:v>13.8</c:v>
                </c:pt>
                <c:pt idx="6">
                  <c:v>8.4</c:v>
                </c:pt>
                <c:pt idx="7">
                  <c:v>9.4</c:v>
                </c:pt>
                <c:pt idx="8">
                  <c:v>9.1</c:v>
                </c:pt>
                <c:pt idx="9">
                  <c:v>14.8</c:v>
                </c:pt>
                <c:pt idx="10">
                  <c:v>14.7</c:v>
                </c:pt>
                <c:pt idx="11">
                  <c:v>16.899999999999999</c:v>
                </c:pt>
                <c:pt idx="12">
                  <c:v>10.6</c:v>
                </c:pt>
                <c:pt idx="13">
                  <c:v>16.600000000000001</c:v>
                </c:pt>
                <c:pt idx="14">
                  <c:v>9.6</c:v>
                </c:pt>
                <c:pt idx="15">
                  <c:v>10</c:v>
                </c:pt>
                <c:pt idx="16">
                  <c:v>14.7</c:v>
                </c:pt>
                <c:pt idx="17">
                  <c:v>14.3</c:v>
                </c:pt>
                <c:pt idx="18">
                  <c:v>13.7</c:v>
                </c:pt>
                <c:pt idx="19">
                  <c:v>15.4</c:v>
                </c:pt>
                <c:pt idx="20">
                  <c:v>11.9</c:v>
                </c:pt>
              </c:numCache>
            </c:numRef>
          </c:val>
        </c:ser>
        <c:ser>
          <c:idx val="3"/>
          <c:order val="3"/>
          <c:tx>
            <c:strRef>
              <c:f>Sheet1!$E$1</c:f>
              <c:strCache>
                <c:ptCount val="1"/>
                <c:pt idx="0">
                  <c:v>60万円まで</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3"/>
              <c:layout>
                <c:manualLayout>
                  <c:x val="-2.063983488132162E-3"/>
                  <c:y val="-1.929824561403524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6"/>
              <c:layout>
                <c:manualLayout>
                  <c:x val="-6.1919504643962852E-3"/>
                  <c:y val="-2.105263157894738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8"/>
              <c:delete val="1"/>
            </c:dLbl>
            <c:dLbl>
              <c:idx val="10"/>
              <c:layout>
                <c:manualLayout>
                  <c:x val="-8.2545214487149618E-3"/>
                  <c:y val="-1.929807471091679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6"/>
              <c:layout>
                <c:manualLayout>
                  <c:x val="-6.1919504643962852E-3"/>
                  <c:y val="-1.929824561403524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7.2</c:v>
                </c:pt>
                <c:pt idx="1">
                  <c:v>15.5</c:v>
                </c:pt>
                <c:pt idx="2">
                  <c:v>11.1</c:v>
                </c:pt>
                <c:pt idx="3">
                  <c:v>4.3</c:v>
                </c:pt>
                <c:pt idx="4">
                  <c:v>9.2000000000000011</c:v>
                </c:pt>
                <c:pt idx="5">
                  <c:v>6.4</c:v>
                </c:pt>
                <c:pt idx="6">
                  <c:v>4.9000000000000004</c:v>
                </c:pt>
                <c:pt idx="7">
                  <c:v>12.5</c:v>
                </c:pt>
                <c:pt idx="8">
                  <c:v>0</c:v>
                </c:pt>
                <c:pt idx="9">
                  <c:v>7.4</c:v>
                </c:pt>
                <c:pt idx="10">
                  <c:v>4.3</c:v>
                </c:pt>
                <c:pt idx="11">
                  <c:v>7.4</c:v>
                </c:pt>
                <c:pt idx="12">
                  <c:v>6.5</c:v>
                </c:pt>
                <c:pt idx="13">
                  <c:v>7.6</c:v>
                </c:pt>
                <c:pt idx="14">
                  <c:v>5.3</c:v>
                </c:pt>
                <c:pt idx="15">
                  <c:v>7.9</c:v>
                </c:pt>
                <c:pt idx="16">
                  <c:v>2.9</c:v>
                </c:pt>
                <c:pt idx="17">
                  <c:v>5.6</c:v>
                </c:pt>
                <c:pt idx="18">
                  <c:v>11.8</c:v>
                </c:pt>
                <c:pt idx="19">
                  <c:v>7.3</c:v>
                </c:pt>
                <c:pt idx="20">
                  <c:v>7.5</c:v>
                </c:pt>
              </c:numCache>
            </c:numRef>
          </c:val>
        </c:ser>
        <c:ser>
          <c:idx val="4"/>
          <c:order val="4"/>
          <c:tx>
            <c:strRef>
              <c:f>Sheet1!$F$1</c:f>
              <c:strCache>
                <c:ptCount val="1"/>
                <c:pt idx="0">
                  <c:v>80万円まで</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2.063983488132162E-3"/>
                  <c:y val="-2.1052631578947382E-2"/>
                </c:manualLayout>
              </c:layout>
              <c:dLblPos val="ctr"/>
              <c:showLegendKey val="0"/>
              <c:showVal val="1"/>
              <c:showCatName val="0"/>
              <c:showSerName val="0"/>
              <c:showPercent val="0"/>
              <c:showBubbleSize val="0"/>
            </c:dLbl>
            <c:dLbl>
              <c:idx val="1"/>
              <c:layout>
                <c:manualLayout>
                  <c:x val="2.063983488132162E-3"/>
                  <c:y val="-2.1052631578947382E-2"/>
                </c:manualLayout>
              </c:layout>
              <c:dLblPos val="ctr"/>
              <c:showLegendKey val="0"/>
              <c:showVal val="1"/>
              <c:showCatName val="0"/>
              <c:showSerName val="0"/>
              <c:showPercent val="0"/>
              <c:showBubbleSize val="0"/>
            </c:dLbl>
            <c:dLbl>
              <c:idx val="2"/>
              <c:delete val="1"/>
            </c:dLbl>
            <c:dLbl>
              <c:idx val="3"/>
              <c:layout>
                <c:manualLayout>
                  <c:x val="2.063983488132162E-3"/>
                  <c:y val="-1.9298245614035241E-2"/>
                </c:manualLayout>
              </c:layout>
              <c:dLblPos val="ctr"/>
              <c:showLegendKey val="0"/>
              <c:showVal val="1"/>
              <c:showCatName val="0"/>
              <c:showSerName val="0"/>
              <c:showPercent val="0"/>
              <c:showBubbleSize val="0"/>
            </c:dLbl>
            <c:dLbl>
              <c:idx val="4"/>
              <c:layout>
                <c:manualLayout>
                  <c:x val="0"/>
                  <c:y val="-1.7543859649123302E-2"/>
                </c:manualLayout>
              </c:layout>
              <c:dLblPos val="ctr"/>
              <c:showLegendKey val="0"/>
              <c:showVal val="1"/>
              <c:showCatName val="0"/>
              <c:showSerName val="0"/>
              <c:showPercent val="0"/>
              <c:showBubbleSize val="0"/>
            </c:dLbl>
            <c:dLbl>
              <c:idx val="5"/>
              <c:layout>
                <c:manualLayout>
                  <c:x val="0"/>
                  <c:y val="-1.9298245614035241E-2"/>
                </c:manualLayout>
              </c:layout>
              <c:dLblPos val="ctr"/>
              <c:showLegendKey val="0"/>
              <c:showVal val="1"/>
              <c:showCatName val="0"/>
              <c:showSerName val="0"/>
              <c:showPercent val="0"/>
              <c:showBubbleSize val="0"/>
            </c:dLbl>
            <c:dLbl>
              <c:idx val="6"/>
              <c:layout>
                <c:manualLayout>
                  <c:x val="6.1919504643962852E-3"/>
                  <c:y val="-1.9298245614035241E-2"/>
                </c:manualLayout>
              </c:layout>
              <c:dLblPos val="ctr"/>
              <c:showLegendKey val="0"/>
              <c:showVal val="1"/>
              <c:showCatName val="0"/>
              <c:showSerName val="0"/>
              <c:showPercent val="0"/>
              <c:showBubbleSize val="0"/>
            </c:dLbl>
            <c:dLbl>
              <c:idx val="7"/>
              <c:delete val="1"/>
            </c:dLbl>
            <c:dLbl>
              <c:idx val="8"/>
              <c:delete val="1"/>
            </c:dLbl>
            <c:dLbl>
              <c:idx val="9"/>
              <c:layout>
                <c:manualLayout>
                  <c:x val="0"/>
                  <c:y val="-2.1052631578947382E-2"/>
                </c:manualLayout>
              </c:layout>
              <c:dLblPos val="ctr"/>
              <c:showLegendKey val="0"/>
              <c:showVal val="1"/>
              <c:showCatName val="0"/>
              <c:showSerName val="0"/>
              <c:showPercent val="0"/>
              <c:showBubbleSize val="0"/>
            </c:dLbl>
            <c:dLbl>
              <c:idx val="10"/>
              <c:layout>
                <c:manualLayout>
                  <c:x val="-2.063983488132162E-3"/>
                  <c:y val="-1.9298245614035241E-2"/>
                </c:manualLayout>
              </c:layout>
              <c:dLblPos val="ctr"/>
              <c:showLegendKey val="0"/>
              <c:showVal val="1"/>
              <c:showCatName val="0"/>
              <c:showSerName val="0"/>
              <c:showPercent val="0"/>
              <c:showBubbleSize val="0"/>
            </c:dLbl>
            <c:dLbl>
              <c:idx val="11"/>
              <c:layout>
                <c:manualLayout>
                  <c:x val="0"/>
                  <c:y val="-2.1052631578947382E-2"/>
                </c:manualLayout>
              </c:layout>
              <c:dLblPos val="ctr"/>
              <c:showLegendKey val="0"/>
              <c:showVal val="1"/>
              <c:showCatName val="0"/>
              <c:showSerName val="0"/>
              <c:showPercent val="0"/>
              <c:showBubbleSize val="0"/>
            </c:dLbl>
            <c:dLbl>
              <c:idx val="12"/>
              <c:layout>
                <c:manualLayout>
                  <c:x val="0"/>
                  <c:y val="-1.9298245614035241E-2"/>
                </c:manualLayout>
              </c:layout>
              <c:dLblPos val="ctr"/>
              <c:showLegendKey val="0"/>
              <c:showVal val="1"/>
              <c:showCatName val="0"/>
              <c:showSerName val="0"/>
              <c:showPercent val="0"/>
              <c:showBubbleSize val="0"/>
            </c:dLbl>
            <c:dLbl>
              <c:idx val="13"/>
              <c:layout>
                <c:manualLayout>
                  <c:x val="0"/>
                  <c:y val="-2.1052631578947382E-2"/>
                </c:manualLayout>
              </c:layout>
              <c:dLblPos val="ctr"/>
              <c:showLegendKey val="0"/>
              <c:showVal val="1"/>
              <c:showCatName val="0"/>
              <c:showSerName val="0"/>
              <c:showPercent val="0"/>
              <c:showBubbleSize val="0"/>
            </c:dLbl>
            <c:dLbl>
              <c:idx val="14"/>
              <c:delete val="1"/>
            </c:dLbl>
            <c:dLbl>
              <c:idx val="15"/>
              <c:layout>
                <c:manualLayout>
                  <c:x val="0"/>
                  <c:y val="-1.7543859649123302E-2"/>
                </c:manualLayout>
              </c:layout>
              <c:dLblPos val="ctr"/>
              <c:showLegendKey val="0"/>
              <c:showVal val="1"/>
              <c:showCatName val="0"/>
              <c:showSerName val="0"/>
              <c:showPercent val="0"/>
              <c:showBubbleSize val="0"/>
            </c:dLbl>
            <c:dLbl>
              <c:idx val="16"/>
              <c:layout>
                <c:manualLayout>
                  <c:x val="0"/>
                  <c:y val="-1.7543859649123302E-2"/>
                </c:manualLayout>
              </c:layout>
              <c:dLblPos val="ctr"/>
              <c:showLegendKey val="0"/>
              <c:showVal val="1"/>
              <c:showCatName val="0"/>
              <c:showSerName val="0"/>
              <c:showPercent val="0"/>
              <c:showBubbleSize val="0"/>
            </c:dLbl>
            <c:dLbl>
              <c:idx val="17"/>
              <c:layout>
                <c:manualLayout>
                  <c:x val="0"/>
                  <c:y val="-1.7543859649123302E-2"/>
                </c:manualLayout>
              </c:layout>
              <c:dLblPos val="ctr"/>
              <c:showLegendKey val="0"/>
              <c:showVal val="1"/>
              <c:showCatName val="0"/>
              <c:showSerName val="0"/>
              <c:showPercent val="0"/>
              <c:showBubbleSize val="0"/>
            </c:dLbl>
            <c:dLbl>
              <c:idx val="18"/>
              <c:delete val="1"/>
            </c:dLbl>
            <c:dLbl>
              <c:idx val="19"/>
              <c:layout>
                <c:manualLayout>
                  <c:x val="-4.1279669762641765E-3"/>
                  <c:y val="-1.9298245614035241E-2"/>
                </c:manualLayout>
              </c:layout>
              <c:dLblPos val="ctr"/>
              <c:showLegendKey val="0"/>
              <c:showVal val="1"/>
              <c:showCatName val="0"/>
              <c:showSerName val="0"/>
              <c:showPercent val="0"/>
              <c:showBubbleSize val="0"/>
            </c:dLbl>
            <c:dLbl>
              <c:idx val="20"/>
              <c:layout>
                <c:manualLayout>
                  <c:x val="2.063983488132162E-3"/>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1.6</c:v>
                </c:pt>
                <c:pt idx="1">
                  <c:v>1</c:v>
                </c:pt>
                <c:pt idx="2">
                  <c:v>0</c:v>
                </c:pt>
                <c:pt idx="3">
                  <c:v>5.8</c:v>
                </c:pt>
                <c:pt idx="4">
                  <c:v>0.9</c:v>
                </c:pt>
                <c:pt idx="5">
                  <c:v>2.1</c:v>
                </c:pt>
                <c:pt idx="6">
                  <c:v>1</c:v>
                </c:pt>
                <c:pt idx="7">
                  <c:v>0</c:v>
                </c:pt>
                <c:pt idx="8">
                  <c:v>0</c:v>
                </c:pt>
                <c:pt idx="9">
                  <c:v>2</c:v>
                </c:pt>
                <c:pt idx="10">
                  <c:v>1.7</c:v>
                </c:pt>
                <c:pt idx="11">
                  <c:v>2.1</c:v>
                </c:pt>
                <c:pt idx="12">
                  <c:v>1.2</c:v>
                </c:pt>
                <c:pt idx="13">
                  <c:v>1.8</c:v>
                </c:pt>
                <c:pt idx="14">
                  <c:v>0</c:v>
                </c:pt>
                <c:pt idx="15">
                  <c:v>1.7</c:v>
                </c:pt>
                <c:pt idx="16">
                  <c:v>5.9</c:v>
                </c:pt>
                <c:pt idx="17">
                  <c:v>1.6</c:v>
                </c:pt>
                <c:pt idx="18">
                  <c:v>0</c:v>
                </c:pt>
                <c:pt idx="19">
                  <c:v>2.4</c:v>
                </c:pt>
                <c:pt idx="20">
                  <c:v>1</c:v>
                </c:pt>
              </c:numCache>
            </c:numRef>
          </c:val>
        </c:ser>
        <c:ser>
          <c:idx val="5"/>
          <c:order val="5"/>
          <c:tx>
            <c:strRef>
              <c:f>Sheet1!$G$1</c:f>
              <c:strCache>
                <c:ptCount val="1"/>
                <c:pt idx="0">
                  <c:v>100万円まで</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0"/>
              <c:layout>
                <c:manualLayout>
                  <c:x val="8.2559339525285248E-3"/>
                  <c:y val="-2.105263157894744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10.3</c:v>
                </c:pt>
                <c:pt idx="1">
                  <c:v>8.2000000000000011</c:v>
                </c:pt>
                <c:pt idx="2">
                  <c:v>22.2</c:v>
                </c:pt>
                <c:pt idx="3">
                  <c:v>13</c:v>
                </c:pt>
                <c:pt idx="4">
                  <c:v>13.8</c:v>
                </c:pt>
                <c:pt idx="5">
                  <c:v>9.6</c:v>
                </c:pt>
                <c:pt idx="6">
                  <c:v>8.9</c:v>
                </c:pt>
                <c:pt idx="7">
                  <c:v>15.6</c:v>
                </c:pt>
                <c:pt idx="8">
                  <c:v>13.6</c:v>
                </c:pt>
                <c:pt idx="9">
                  <c:v>10.7</c:v>
                </c:pt>
                <c:pt idx="10">
                  <c:v>5.2</c:v>
                </c:pt>
                <c:pt idx="11">
                  <c:v>11.1</c:v>
                </c:pt>
                <c:pt idx="12">
                  <c:v>7.6</c:v>
                </c:pt>
                <c:pt idx="13">
                  <c:v>10.3</c:v>
                </c:pt>
                <c:pt idx="14">
                  <c:v>12.3</c:v>
                </c:pt>
                <c:pt idx="15">
                  <c:v>11.8</c:v>
                </c:pt>
                <c:pt idx="16">
                  <c:v>8.8000000000000007</c:v>
                </c:pt>
                <c:pt idx="17">
                  <c:v>13.5</c:v>
                </c:pt>
                <c:pt idx="18">
                  <c:v>7.8</c:v>
                </c:pt>
                <c:pt idx="19">
                  <c:v>8.1</c:v>
                </c:pt>
                <c:pt idx="20">
                  <c:v>8.5</c:v>
                </c:pt>
              </c:numCache>
            </c:numRef>
          </c:val>
        </c:ser>
        <c:ser>
          <c:idx val="6"/>
          <c:order val="6"/>
          <c:tx>
            <c:strRef>
              <c:f>Sheet1!$H$1</c:f>
              <c:strCache>
                <c:ptCount val="1"/>
                <c:pt idx="0">
                  <c:v>100万円以上でもよい</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7543859649123302E-2"/>
                </c:manualLayout>
              </c:layout>
              <c:dLblPos val="ctr"/>
              <c:showLegendKey val="0"/>
              <c:showVal val="1"/>
              <c:showCatName val="0"/>
              <c:showSerName val="0"/>
              <c:showPercent val="0"/>
              <c:showBubbleSize val="0"/>
            </c:dLbl>
            <c:dLbl>
              <c:idx val="1"/>
              <c:layout>
                <c:manualLayout>
                  <c:x val="0"/>
                  <c:y val="-2.1052631578947382E-2"/>
                </c:manualLayout>
              </c:layout>
              <c:dLblPos val="ctr"/>
              <c:showLegendKey val="0"/>
              <c:showVal val="1"/>
              <c:showCatName val="0"/>
              <c:showSerName val="0"/>
              <c:showPercent val="0"/>
              <c:showBubbleSize val="0"/>
            </c:dLbl>
            <c:dLbl>
              <c:idx val="2"/>
              <c:delete val="1"/>
            </c:dLbl>
            <c:dLbl>
              <c:idx val="3"/>
              <c:layout>
                <c:manualLayout>
                  <c:x val="0"/>
                  <c:y val="-1.9298422813010242E-2"/>
                </c:manualLayout>
              </c:layout>
              <c:dLblPos val="ctr"/>
              <c:showLegendKey val="0"/>
              <c:showVal val="1"/>
              <c:showCatName val="0"/>
              <c:showSerName val="0"/>
              <c:showPercent val="0"/>
              <c:showBubbleSize val="0"/>
            </c:dLbl>
            <c:dLbl>
              <c:idx val="4"/>
              <c:layout>
                <c:manualLayout>
                  <c:x val="1.4616065199343681E-6"/>
                  <c:y val="-2.10533398900348E-2"/>
                </c:manualLayout>
              </c:layout>
              <c:dLblPos val="ctr"/>
              <c:showLegendKey val="0"/>
              <c:showVal val="1"/>
              <c:showCatName val="0"/>
              <c:showSerName val="0"/>
              <c:showPercent val="0"/>
              <c:showBubbleSize val="0"/>
            </c:dLbl>
            <c:dLbl>
              <c:idx val="5"/>
              <c:layout>
                <c:manualLayout>
                  <c:x val="-4.1249784007036504E-3"/>
                  <c:y val="-1.9302291616896297E-2"/>
                </c:manualLayout>
              </c:layout>
              <c:dLblPos val="ctr"/>
              <c:showLegendKey val="0"/>
              <c:showVal val="1"/>
              <c:showCatName val="0"/>
              <c:showSerName val="0"/>
              <c:showPercent val="0"/>
              <c:showBubbleSize val="0"/>
            </c:dLbl>
            <c:dLbl>
              <c:idx val="6"/>
              <c:layout>
                <c:manualLayout>
                  <c:x val="-2.0635947918767484E-3"/>
                  <c:y val="-2.1062270935710746E-2"/>
                </c:manualLayout>
              </c:layout>
              <c:dLblPos val="ctr"/>
              <c:showLegendKey val="0"/>
              <c:showVal val="1"/>
              <c:showCatName val="0"/>
              <c:showSerName val="0"/>
              <c:showPercent val="0"/>
              <c:showBubbleSize val="0"/>
            </c:dLbl>
            <c:dLbl>
              <c:idx val="7"/>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layout>
                <c:manualLayout>
                  <c:x val="-6.1919504643962852E-3"/>
                  <c:y val="-2.1052631578947382E-2"/>
                </c:manualLayout>
              </c:layout>
              <c:dLblPos val="ctr"/>
              <c:showLegendKey val="0"/>
              <c:showVal val="1"/>
              <c:showCatName val="0"/>
              <c:showSerName val="0"/>
              <c:showPercent val="0"/>
              <c:showBubbleSize val="0"/>
            </c:dLbl>
            <c:dLbl>
              <c:idx val="10"/>
              <c:layout>
                <c:manualLayout>
                  <c:x val="1.0319917440660475E-2"/>
                  <c:y val="-2.1052217157066497E-2"/>
                </c:manualLayout>
              </c:layout>
              <c:dLblPos val="ctr"/>
              <c:showLegendKey val="0"/>
              <c:showVal val="1"/>
              <c:showCatName val="0"/>
              <c:showSerName val="0"/>
              <c:showPercent val="0"/>
              <c:showBubbleSize val="0"/>
            </c:dLbl>
            <c:dLbl>
              <c:idx val="11"/>
              <c:layout>
                <c:manualLayout>
                  <c:x val="-2.063983488132162E-3"/>
                  <c:y val="-2.2807017543860619E-2"/>
                </c:manualLayout>
              </c:layout>
              <c:dLblPos val="ctr"/>
              <c:showLegendKey val="0"/>
              <c:showVal val="1"/>
              <c:showCatName val="0"/>
              <c:showSerName val="0"/>
              <c:showPercent val="0"/>
              <c:showBubbleSize val="0"/>
            </c:dLbl>
            <c:dLbl>
              <c:idx val="12"/>
              <c:layout>
                <c:manualLayout>
                  <c:x val="0"/>
                  <c:y val="-2.2807017543860619E-2"/>
                </c:manualLayout>
              </c:layout>
              <c:dLblPos val="ctr"/>
              <c:showLegendKey val="0"/>
              <c:showVal val="1"/>
              <c:showCatName val="0"/>
              <c:showSerName val="0"/>
              <c:showPercent val="0"/>
              <c:showBubbleSize val="0"/>
            </c:dLbl>
            <c:dLbl>
              <c:idx val="13"/>
              <c:layout>
                <c:manualLayout>
                  <c:x val="2.063983488132162E-3"/>
                  <c:y val="-1.9298245614035241E-2"/>
                </c:manualLayout>
              </c:layout>
              <c:dLblPos val="ctr"/>
              <c:showLegendKey val="0"/>
              <c:showVal val="1"/>
              <c:showCatName val="0"/>
              <c:showSerName val="0"/>
              <c:showPercent val="0"/>
              <c:showBubbleSize val="0"/>
            </c:dLbl>
            <c:dLbl>
              <c:idx val="14"/>
              <c:layout>
                <c:manualLayout>
                  <c:x val="0"/>
                  <c:y val="-2.1052631578947382E-2"/>
                </c:manualLayout>
              </c:layout>
              <c:dLblPos val="ctr"/>
              <c:showLegendKey val="0"/>
              <c:showVal val="1"/>
              <c:showCatName val="0"/>
              <c:showSerName val="0"/>
              <c:showPercent val="0"/>
              <c:showBubbleSize val="0"/>
            </c:dLbl>
            <c:dLbl>
              <c:idx val="15"/>
              <c:layout>
                <c:manualLayout>
                  <c:x val="0"/>
                  <c:y val="-1.9298245614035241E-2"/>
                </c:manualLayout>
              </c:layout>
              <c:dLblPos val="ctr"/>
              <c:showLegendKey val="0"/>
              <c:showVal val="1"/>
              <c:showCatName val="0"/>
              <c:showSerName val="0"/>
              <c:showPercent val="0"/>
              <c:showBubbleSize val="0"/>
            </c:dLbl>
            <c:dLbl>
              <c:idx val="16"/>
              <c:delete val="1"/>
            </c:dLbl>
            <c:dLbl>
              <c:idx val="17"/>
              <c:layout>
                <c:manualLayout>
                  <c:x val="4.1279669762641765E-3"/>
                  <c:y val="-1.9298245614035241E-2"/>
                </c:manualLayout>
              </c:layout>
              <c:dLblPos val="ctr"/>
              <c:showLegendKey val="0"/>
              <c:showVal val="1"/>
              <c:showCatName val="0"/>
              <c:showSerName val="0"/>
              <c:showPercent val="0"/>
              <c:showBubbleSize val="0"/>
            </c:dLbl>
            <c:dLbl>
              <c:idx val="18"/>
              <c:layout>
                <c:manualLayout>
                  <c:x val="0"/>
                  <c:y val="-2.1052631578947382E-2"/>
                </c:manualLayout>
              </c:layout>
              <c:dLblPos val="ctr"/>
              <c:showLegendKey val="0"/>
              <c:showVal val="1"/>
              <c:showCatName val="0"/>
              <c:showSerName val="0"/>
              <c:showPercent val="0"/>
              <c:showBubbleSize val="0"/>
            </c:dLbl>
            <c:dLbl>
              <c:idx val="19"/>
              <c:layout>
                <c:manualLayout>
                  <c:x val="4.1279669762641765E-3"/>
                  <c:y val="-2.1052631578947382E-2"/>
                </c:manualLayout>
              </c:layout>
              <c:dLblPos val="ctr"/>
              <c:showLegendKey val="0"/>
              <c:showVal val="1"/>
              <c:showCatName val="0"/>
              <c:showSerName val="0"/>
              <c:showPercent val="0"/>
              <c:showBubbleSize val="0"/>
            </c:dLbl>
            <c:dLbl>
              <c:idx val="20"/>
              <c:layout>
                <c:manualLayout>
                  <c:x val="2.063983488132162E-3"/>
                  <c:y val="-1.929824561403496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Sheet1!$H$2:$H$22</c:f>
              <c:numCache>
                <c:formatCode>0.0</c:formatCode>
                <c:ptCount val="21"/>
                <c:pt idx="0">
                  <c:v>3.7</c:v>
                </c:pt>
                <c:pt idx="1">
                  <c:v>6.2</c:v>
                </c:pt>
                <c:pt idx="2">
                  <c:v>0</c:v>
                </c:pt>
                <c:pt idx="3">
                  <c:v>4.3</c:v>
                </c:pt>
                <c:pt idx="4">
                  <c:v>4.5999999999999996</c:v>
                </c:pt>
                <c:pt idx="5">
                  <c:v>2.5</c:v>
                </c:pt>
                <c:pt idx="6">
                  <c:v>2</c:v>
                </c:pt>
                <c:pt idx="7">
                  <c:v>14.1</c:v>
                </c:pt>
                <c:pt idx="8">
                  <c:v>13.6</c:v>
                </c:pt>
                <c:pt idx="9">
                  <c:v>0.70000000000000062</c:v>
                </c:pt>
                <c:pt idx="10">
                  <c:v>5.2</c:v>
                </c:pt>
                <c:pt idx="11">
                  <c:v>3.2</c:v>
                </c:pt>
                <c:pt idx="12">
                  <c:v>2.4</c:v>
                </c:pt>
                <c:pt idx="13">
                  <c:v>3.8</c:v>
                </c:pt>
                <c:pt idx="14">
                  <c:v>1.8</c:v>
                </c:pt>
                <c:pt idx="15">
                  <c:v>3.5</c:v>
                </c:pt>
                <c:pt idx="16">
                  <c:v>0</c:v>
                </c:pt>
                <c:pt idx="17">
                  <c:v>6.3</c:v>
                </c:pt>
                <c:pt idx="18">
                  <c:v>2</c:v>
                </c:pt>
                <c:pt idx="19">
                  <c:v>3.3</c:v>
                </c:pt>
                <c:pt idx="20">
                  <c:v>4.5</c:v>
                </c:pt>
              </c:numCache>
            </c:numRef>
          </c:val>
        </c:ser>
        <c:ser>
          <c:idx val="7"/>
          <c:order val="7"/>
          <c:tx>
            <c:strRef>
              <c:f>Sheet1!$I$1</c:f>
              <c:strCache>
                <c:ptCount val="1"/>
                <c:pt idx="0">
                  <c:v>無回答</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4"/>
              <c:layout>
                <c:manualLayout>
                  <c:x val="0"/>
                  <c:y val="-2.1040188831552994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layout>
                <c:manualLayout>
                  <c:x val="0"/>
                  <c:y val="-1.928683976225739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7"/>
              <c:layout>
                <c:manualLayout>
                  <c:x val="0"/>
                  <c:y val="-1.928683976225739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7"/>
              <c:layout>
                <c:manualLayout>
                  <c:x val="2.0636260054229497E-3"/>
                  <c:y val="-1.9289579832699435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Sheet1!$I$2:$I$22</c:f>
              <c:numCache>
                <c:formatCode>0.0</c:formatCode>
                <c:ptCount val="21"/>
                <c:pt idx="0">
                  <c:v>8.4</c:v>
                </c:pt>
                <c:pt idx="1">
                  <c:v>14.4</c:v>
                </c:pt>
                <c:pt idx="2">
                  <c:v>11.1</c:v>
                </c:pt>
                <c:pt idx="3">
                  <c:v>8.7000000000000011</c:v>
                </c:pt>
                <c:pt idx="4">
                  <c:v>3.7</c:v>
                </c:pt>
                <c:pt idx="5">
                  <c:v>4.3</c:v>
                </c:pt>
                <c:pt idx="6">
                  <c:v>8.4</c:v>
                </c:pt>
                <c:pt idx="7">
                  <c:v>3.1</c:v>
                </c:pt>
                <c:pt idx="8">
                  <c:v>9.1</c:v>
                </c:pt>
                <c:pt idx="9">
                  <c:v>9.4</c:v>
                </c:pt>
                <c:pt idx="10">
                  <c:v>6.9</c:v>
                </c:pt>
                <c:pt idx="11">
                  <c:v>13.2</c:v>
                </c:pt>
                <c:pt idx="12">
                  <c:v>8.8000000000000007</c:v>
                </c:pt>
                <c:pt idx="13">
                  <c:v>6.8</c:v>
                </c:pt>
                <c:pt idx="14">
                  <c:v>10.5</c:v>
                </c:pt>
                <c:pt idx="15">
                  <c:v>7.9</c:v>
                </c:pt>
                <c:pt idx="16">
                  <c:v>14.7</c:v>
                </c:pt>
                <c:pt idx="17">
                  <c:v>4.8</c:v>
                </c:pt>
                <c:pt idx="18">
                  <c:v>15.7</c:v>
                </c:pt>
                <c:pt idx="19">
                  <c:v>8.1</c:v>
                </c:pt>
                <c:pt idx="20">
                  <c:v>10</c:v>
                </c:pt>
              </c:numCache>
            </c:numRef>
          </c:val>
        </c:ser>
        <c:dLbls>
          <c:showLegendKey val="0"/>
          <c:showVal val="0"/>
          <c:showCatName val="0"/>
          <c:showSerName val="0"/>
          <c:showPercent val="0"/>
          <c:showBubbleSize val="0"/>
        </c:dLbls>
        <c:gapWidth val="70"/>
        <c:overlap val="100"/>
        <c:axId val="232945920"/>
        <c:axId val="233046016"/>
      </c:barChart>
      <c:catAx>
        <c:axId val="23294592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3046016"/>
        <c:crosses val="autoZero"/>
        <c:auto val="1"/>
        <c:lblAlgn val="ctr"/>
        <c:lblOffset val="100"/>
        <c:noMultiLvlLbl val="0"/>
      </c:catAx>
      <c:valAx>
        <c:axId val="23304601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2945920"/>
        <c:crosses val="autoZero"/>
        <c:crossBetween val="between"/>
      </c:valAx>
    </c:plotArea>
    <c:legend>
      <c:legendPos val="r"/>
      <c:layout>
        <c:manualLayout>
          <c:xMode val="edge"/>
          <c:yMode val="edge"/>
          <c:x val="0.10456079037351627"/>
          <c:y val="1.479184672855614E-3"/>
          <c:w val="0.82522740493515023"/>
          <c:h val="8.3038611921862543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8188"/>
          <c:h val="0.64103093126017863"/>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11"/>
              <c:layout>
                <c:manualLayout>
                  <c:x val="0"/>
                  <c:y val="6.0256721334835693E-2"/>
                </c:manualLayout>
              </c:layout>
              <c:dLblPos val="outEnd"/>
              <c:showLegendKey val="0"/>
              <c:showVal val="1"/>
              <c:showCatName val="0"/>
              <c:showSerName val="0"/>
              <c:showPercent val="0"/>
              <c:showBubbleSize val="0"/>
            </c:dLbl>
            <c:dLbl>
              <c:idx val="12"/>
              <c:layout>
                <c:manualLayout>
                  <c:x val="3.7482316413713287E-2"/>
                  <c:y val="2.4358948169620295E-2"/>
                </c:manualLayout>
              </c:layout>
              <c:spPr>
                <a:noFill/>
              </c:spPr>
              <c:txPr>
                <a:bodyPr/>
                <a:lstStyle/>
                <a:p>
                  <a:pPr>
                    <a:defRPr sz="900" b="1"/>
                  </a:pPr>
                  <a:endParaRPr lang="ja-JP"/>
                </a:p>
              </c:txPr>
              <c:dLblPos val="outEnd"/>
              <c:showLegendKey val="0"/>
              <c:showVal val="1"/>
              <c:showCatName val="0"/>
              <c:showSerName val="0"/>
              <c:showPercent val="0"/>
              <c:showBubbleSize val="0"/>
            </c:dLbl>
            <c:spPr>
              <a:solidFill>
                <a:sysClr val="window" lastClr="FFFFFF"/>
              </a:solidFill>
            </c:spPr>
            <c:txPr>
              <a:bodyPr/>
              <a:lstStyle/>
              <a:p>
                <a:pPr>
                  <a:defRPr sz="900" b="1"/>
                </a:pPr>
                <a:endParaRPr lang="ja-JP"/>
              </a:p>
            </c:txPr>
            <c:dLblPos val="inBase"/>
            <c:showLegendKey val="0"/>
            <c:showVal val="1"/>
            <c:showCatName val="0"/>
            <c:showSerName val="0"/>
            <c:showPercent val="0"/>
            <c:showBubbleSize val="0"/>
            <c:showLeaderLines val="0"/>
          </c:dLbls>
          <c:cat>
            <c:strRef>
              <c:f>Sheet1!$B$1:$N$1</c:f>
              <c:strCache>
                <c:ptCount val="13"/>
                <c:pt idx="0">
                  <c:v>耐震診断士の無料派遣</c:v>
                </c:pt>
                <c:pt idx="1">
                  <c:v>耐震設計や耐震改修工事に対する補助金額の引き上げ</c:v>
                </c:pt>
                <c:pt idx="2">
                  <c:v>相談窓口の設置など、気軽に相談できる環境の整備</c:v>
                </c:pt>
                <c:pt idx="3">
                  <c:v>信頼できる設計事務所や工務店の紹介など、悪徳リフォーム予防対策</c:v>
                </c:pt>
                <c:pt idx="4">
                  <c:v>昭和５６年６月以降で平成１２年５月以前の住宅の耐震化（耐震診断、耐震工事、耐震改修工事）への費用の支援</c:v>
                </c:pt>
                <c:pt idx="5">
                  <c:v>地区ごとの説明会、パンフレットの配布などによる、耐震化の必要性の啓発や補助制度の周知</c:v>
                </c:pt>
                <c:pt idx="6">
                  <c:v>一気に耐震改修工事できない場合に対応するための段階的な耐震改修工事への支援</c:v>
                </c:pt>
                <c:pt idx="7">
                  <c:v>戸別に訪問しての、耐震化の必要性や補助制度の丁寧な説明</c:v>
                </c:pt>
                <c:pt idx="8">
                  <c:v>民間金融機関と連携した低金利による貸付制度による支援</c:v>
                </c:pt>
                <c:pt idx="9">
                  <c:v>現場見学会など、耐震改修工事の実例に触れる機会の提供</c:v>
                </c:pt>
                <c:pt idx="10">
                  <c:v>オーナーに対する指導などによる、賃貸住宅の耐震化の促進</c:v>
                </c:pt>
                <c:pt idx="11">
                  <c:v>行政には特に期待していない</c:v>
                </c:pt>
                <c:pt idx="12">
                  <c:v>その他</c:v>
                </c:pt>
              </c:strCache>
            </c:strRef>
          </c:cat>
          <c:val>
            <c:numRef>
              <c:f>Sheet1!$B$2:$N$2</c:f>
              <c:numCache>
                <c:formatCode>0.0</c:formatCode>
                <c:ptCount val="13"/>
                <c:pt idx="0">
                  <c:v>43.2</c:v>
                </c:pt>
                <c:pt idx="1">
                  <c:v>39.700000000000003</c:v>
                </c:pt>
                <c:pt idx="2">
                  <c:v>28.6</c:v>
                </c:pt>
                <c:pt idx="3">
                  <c:v>27.4</c:v>
                </c:pt>
                <c:pt idx="4">
                  <c:v>25.7</c:v>
                </c:pt>
                <c:pt idx="5">
                  <c:v>19.2</c:v>
                </c:pt>
                <c:pt idx="6">
                  <c:v>18</c:v>
                </c:pt>
                <c:pt idx="7">
                  <c:v>15</c:v>
                </c:pt>
                <c:pt idx="8">
                  <c:v>13.6</c:v>
                </c:pt>
                <c:pt idx="9">
                  <c:v>9.6</c:v>
                </c:pt>
                <c:pt idx="10">
                  <c:v>9.1</c:v>
                </c:pt>
                <c:pt idx="11">
                  <c:v>4.8</c:v>
                </c:pt>
                <c:pt idx="12">
                  <c:v>1.7</c:v>
                </c:pt>
              </c:numCache>
            </c:numRef>
          </c:val>
        </c:ser>
        <c:dLbls>
          <c:showLegendKey val="0"/>
          <c:showVal val="1"/>
          <c:showCatName val="0"/>
          <c:showSerName val="0"/>
          <c:showPercent val="0"/>
          <c:showBubbleSize val="0"/>
        </c:dLbls>
        <c:gapWidth val="100"/>
        <c:axId val="233411712"/>
        <c:axId val="233413248"/>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4.0791666666666712E-2"/>
                  <c:y val="5.1687763713080155E-2"/>
                </c:manualLayout>
              </c:layout>
              <c:dLblPos val="r"/>
              <c:showLegendKey val="0"/>
              <c:showVal val="1"/>
              <c:showCatName val="0"/>
              <c:showSerName val="0"/>
              <c:showPercent val="0"/>
              <c:showBubbleSize val="0"/>
            </c:dLbl>
            <c:dLbl>
              <c:idx val="1"/>
              <c:layout>
                <c:manualLayout>
                  <c:x val="-4.2874999999999983E-2"/>
                  <c:y val="4.5358649789029516E-2"/>
                </c:manualLayout>
              </c:layout>
              <c:dLblPos val="r"/>
              <c:showLegendKey val="0"/>
              <c:showVal val="1"/>
              <c:showCatName val="0"/>
              <c:showSerName val="0"/>
              <c:showPercent val="0"/>
              <c:showBubbleSize val="0"/>
            </c:dLbl>
            <c:dLbl>
              <c:idx val="2"/>
              <c:layout>
                <c:manualLayout>
                  <c:x val="-3.4541666666666672E-2"/>
                  <c:y val="-3.6919831223628692E-2"/>
                </c:manualLayout>
              </c:layout>
              <c:dLblPos val="r"/>
              <c:showLegendKey val="0"/>
              <c:showVal val="1"/>
              <c:showCatName val="0"/>
              <c:showSerName val="0"/>
              <c:showPercent val="0"/>
              <c:showBubbleSize val="0"/>
            </c:dLbl>
            <c:dLbl>
              <c:idx val="3"/>
              <c:layout>
                <c:manualLayout>
                  <c:x val="-3.4541666666666672E-2"/>
                  <c:y val="-3.2700421940928225E-2"/>
                </c:manualLayout>
              </c:layout>
              <c:dLblPos val="r"/>
              <c:showLegendKey val="0"/>
              <c:showVal val="1"/>
              <c:showCatName val="0"/>
              <c:showSerName val="0"/>
              <c:showPercent val="0"/>
              <c:showBubbleSize val="0"/>
            </c:dLbl>
            <c:dLbl>
              <c:idx val="4"/>
              <c:layout>
                <c:manualLayout>
                  <c:x val="-3.6624999999999998E-2"/>
                  <c:y val="-3.4810126582278486E-2"/>
                </c:manualLayout>
              </c:layout>
              <c:dLblPos val="r"/>
              <c:showLegendKey val="0"/>
              <c:showVal val="1"/>
              <c:showCatName val="0"/>
              <c:showSerName val="0"/>
              <c:showPercent val="0"/>
              <c:showBubbleSize val="0"/>
            </c:dLbl>
            <c:dLbl>
              <c:idx val="5"/>
              <c:layout>
                <c:manualLayout>
                  <c:x val="-3.6624999999999998E-2"/>
                  <c:y val="-3.0590717299578081E-2"/>
                </c:manualLayout>
              </c:layout>
              <c:dLblPos val="r"/>
              <c:showLegendKey val="0"/>
              <c:showVal val="1"/>
              <c:showCatName val="0"/>
              <c:showSerName val="0"/>
              <c:showPercent val="0"/>
              <c:showBubbleSize val="0"/>
            </c:dLbl>
            <c:dLbl>
              <c:idx val="7"/>
              <c:layout>
                <c:manualLayout>
                  <c:x val="-4.2875000000000003E-2"/>
                  <c:y val="-3.0590717299578081E-2"/>
                </c:manualLayout>
              </c:layout>
              <c:dLblPos val="r"/>
              <c:showLegendKey val="0"/>
              <c:showVal val="1"/>
              <c:showCatName val="0"/>
              <c:showSerName val="0"/>
              <c:showPercent val="0"/>
              <c:showBubbleSize val="0"/>
            </c:dLbl>
            <c:dLbl>
              <c:idx val="11"/>
              <c:layout>
                <c:manualLayout>
                  <c:x val="-3.7624999999999999E-2"/>
                  <c:y val="-6.4345991561181509E-2"/>
                </c:manualLayout>
              </c:layout>
              <c:dLblPos val="r"/>
              <c:showLegendKey val="0"/>
              <c:showVal val="1"/>
              <c:showCatName val="0"/>
              <c:showSerName val="0"/>
              <c:showPercent val="0"/>
              <c:showBubbleSize val="0"/>
            </c:dLbl>
            <c:dLbl>
              <c:idx val="12"/>
              <c:layout>
                <c:manualLayout>
                  <c:x val="-2.929457821408404E-2"/>
                  <c:y val="-6.6463751551383884E-2"/>
                </c:manualLayout>
              </c:layout>
              <c:dLblPos val="r"/>
              <c:showLegendKey val="0"/>
              <c:showVal val="1"/>
              <c:showCatName val="0"/>
              <c:showSerName val="0"/>
              <c:showPercent val="0"/>
              <c:showBubbleSize val="0"/>
            </c:dLbl>
            <c:spPr>
              <a:solidFill>
                <a:sysClr val="window" lastClr="FFFFFF">
                  <a:lumMod val="85000"/>
                </a:sysClr>
              </a:solidFill>
            </c:spPr>
            <c:txPr>
              <a:bodyPr/>
              <a:lstStyle/>
              <a:p>
                <a:pPr>
                  <a:defRPr sz="900" b="1"/>
                </a:pPr>
                <a:endParaRPr lang="ja-JP"/>
              </a:p>
            </c:txPr>
            <c:dLblPos val="b"/>
            <c:showLegendKey val="0"/>
            <c:showVal val="1"/>
            <c:showCatName val="0"/>
            <c:showSerName val="0"/>
            <c:showPercent val="0"/>
            <c:showBubbleSize val="0"/>
            <c:showLeaderLines val="0"/>
          </c:dLbls>
          <c:cat>
            <c:strRef>
              <c:f>Sheet1!$B$1:$N$1</c:f>
              <c:strCache>
                <c:ptCount val="13"/>
                <c:pt idx="0">
                  <c:v>耐震診断士の無料派遣</c:v>
                </c:pt>
                <c:pt idx="1">
                  <c:v>耐震設計や耐震改修工事に対する補助金額の引き上げ</c:v>
                </c:pt>
                <c:pt idx="2">
                  <c:v>相談窓口の設置など、気軽に相談できる環境の整備</c:v>
                </c:pt>
                <c:pt idx="3">
                  <c:v>信頼できる設計事務所や工務店の紹介など、悪徳リフォーム予防対策</c:v>
                </c:pt>
                <c:pt idx="4">
                  <c:v>昭和５６年６月以降で平成１２年５月以前の住宅の耐震化（耐震診断、耐震工事、耐震改修工事）への費用の支援</c:v>
                </c:pt>
                <c:pt idx="5">
                  <c:v>地区ごとの説明会、パンフレットの配布などによる、耐震化の必要性の啓発や補助制度の周知</c:v>
                </c:pt>
                <c:pt idx="6">
                  <c:v>一気に耐震改修工事できない場合に対応するための段階的な耐震改修工事への支援</c:v>
                </c:pt>
                <c:pt idx="7">
                  <c:v>戸別に訪問しての、耐震化の必要性や補助制度の丁寧な説明</c:v>
                </c:pt>
                <c:pt idx="8">
                  <c:v>民間金融機関と連携した低金利による貸付制度による支援</c:v>
                </c:pt>
                <c:pt idx="9">
                  <c:v>現場見学会など、耐震改修工事の実例に触れる機会の提供</c:v>
                </c:pt>
                <c:pt idx="10">
                  <c:v>オーナーに対する指導などによる、賃貸住宅の耐震化の促進</c:v>
                </c:pt>
                <c:pt idx="11">
                  <c:v>行政には特に期待していない</c:v>
                </c:pt>
                <c:pt idx="12">
                  <c:v>その他</c:v>
                </c:pt>
              </c:strCache>
            </c:strRef>
          </c:cat>
          <c:val>
            <c:numRef>
              <c:f>Sheet1!$B$3:$N$3</c:f>
              <c:numCache>
                <c:formatCode>0.0</c:formatCode>
                <c:ptCount val="13"/>
                <c:pt idx="0">
                  <c:v>43.4</c:v>
                </c:pt>
                <c:pt idx="1">
                  <c:v>38.800000000000004</c:v>
                </c:pt>
                <c:pt idx="2">
                  <c:v>29.1</c:v>
                </c:pt>
                <c:pt idx="3">
                  <c:v>28.1</c:v>
                </c:pt>
                <c:pt idx="4">
                  <c:v>26.3</c:v>
                </c:pt>
                <c:pt idx="5">
                  <c:v>23</c:v>
                </c:pt>
                <c:pt idx="6">
                  <c:v>16.3</c:v>
                </c:pt>
                <c:pt idx="7">
                  <c:v>16.5</c:v>
                </c:pt>
                <c:pt idx="8">
                  <c:v>12.9</c:v>
                </c:pt>
                <c:pt idx="9">
                  <c:v>8.9</c:v>
                </c:pt>
                <c:pt idx="10">
                  <c:v>6.9</c:v>
                </c:pt>
                <c:pt idx="11">
                  <c:v>5.4</c:v>
                </c:pt>
                <c:pt idx="12">
                  <c:v>2.1</c:v>
                </c:pt>
              </c:numCache>
            </c:numRef>
          </c:val>
          <c:smooth val="0"/>
        </c:ser>
        <c:ser>
          <c:idx val="1"/>
          <c:order val="2"/>
          <c:tx>
            <c:strRef>
              <c:f>Sheet1!$A$4</c:f>
              <c:strCache>
                <c:ptCount val="1"/>
                <c:pt idx="0">
                  <c:v>女性</c:v>
                </c:pt>
              </c:strCache>
            </c:strRef>
          </c:tx>
          <c:spPr>
            <a:ln>
              <a:prstDash val="sysDash"/>
            </a:ln>
          </c:spPr>
          <c:marker>
            <c:symbol val="square"/>
            <c:size val="7"/>
          </c:marker>
          <c:dLbls>
            <c:dLbl>
              <c:idx val="2"/>
              <c:layout>
                <c:manualLayout>
                  <c:x val="-4.0605842781521961E-2"/>
                  <c:y val="3.4801818961784983E-2"/>
                </c:manualLayout>
              </c:layout>
              <c:dLblPos val="r"/>
              <c:showLegendKey val="0"/>
              <c:showVal val="1"/>
              <c:showCatName val="0"/>
              <c:showSerName val="0"/>
              <c:showPercent val="0"/>
              <c:showBubbleSize val="0"/>
            </c:dLbl>
            <c:dLbl>
              <c:idx val="3"/>
              <c:layout>
                <c:manualLayout>
                  <c:x val="-4.0605842781521961E-2"/>
                  <c:y val="3.4801818961784942E-2"/>
                </c:manualLayout>
              </c:layout>
              <c:dLblPos val="r"/>
              <c:showLegendKey val="0"/>
              <c:showVal val="1"/>
              <c:showCatName val="0"/>
              <c:showSerName val="0"/>
              <c:showPercent val="0"/>
              <c:showBubbleSize val="0"/>
            </c:dLbl>
            <c:dLbl>
              <c:idx val="4"/>
              <c:layout>
                <c:manualLayout>
                  <c:x val="-4.0605842781521961E-2"/>
                  <c:y val="3.4801818961784942E-2"/>
                </c:manualLayout>
              </c:layout>
              <c:dLblPos val="r"/>
              <c:showLegendKey val="0"/>
              <c:showVal val="1"/>
              <c:showCatName val="0"/>
              <c:showSerName val="0"/>
              <c:showPercent val="0"/>
              <c:showBubbleSize val="0"/>
            </c:dLbl>
            <c:dLbl>
              <c:idx val="5"/>
              <c:layout>
                <c:manualLayout>
                  <c:x val="-3.6441140957776737E-2"/>
                  <c:y val="2.7735995111968045E-2"/>
                </c:manualLayout>
              </c:layout>
              <c:dLblPos val="r"/>
              <c:showLegendKey val="0"/>
              <c:showVal val="1"/>
              <c:showCatName val="0"/>
              <c:showSerName val="0"/>
              <c:showPercent val="0"/>
              <c:showBubbleSize val="0"/>
            </c:dLbl>
            <c:dLbl>
              <c:idx val="7"/>
              <c:layout>
                <c:manualLayout>
                  <c:x val="-3.8523491869649422E-2"/>
                  <c:y val="2.7735995111968045E-2"/>
                </c:manualLayout>
              </c:layout>
              <c:dLblPos val="r"/>
              <c:showLegendKey val="0"/>
              <c:showVal val="1"/>
              <c:showCatName val="0"/>
              <c:showSerName val="0"/>
              <c:showPercent val="0"/>
              <c:showBubbleSize val="0"/>
            </c:dLbl>
            <c:dLbl>
              <c:idx val="11"/>
              <c:layout>
                <c:manualLayout>
                  <c:x val="-3.3838202317935356E-2"/>
                  <c:y val="-4.1867642811601914E-2"/>
                </c:manualLayout>
              </c:layout>
              <c:dLblPos val="r"/>
              <c:showLegendKey val="0"/>
              <c:showVal val="1"/>
              <c:showCatName val="0"/>
              <c:showSerName val="0"/>
              <c:showPercent val="0"/>
              <c:showBubbleSize val="0"/>
            </c:dLbl>
            <c:dLbl>
              <c:idx val="12"/>
              <c:layout>
                <c:manualLayout>
                  <c:x val="-3.1755851406062401E-2"/>
                  <c:y val="-4.1867642811601914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dLbls>
          <c:cat>
            <c:strRef>
              <c:f>Sheet1!$B$1:$N$1</c:f>
              <c:strCache>
                <c:ptCount val="13"/>
                <c:pt idx="0">
                  <c:v>耐震診断士の無料派遣</c:v>
                </c:pt>
                <c:pt idx="1">
                  <c:v>耐震設計や耐震改修工事に対する補助金額の引き上げ</c:v>
                </c:pt>
                <c:pt idx="2">
                  <c:v>相談窓口の設置など、気軽に相談できる環境の整備</c:v>
                </c:pt>
                <c:pt idx="3">
                  <c:v>信頼できる設計事務所や工務店の紹介など、悪徳リフォーム予防対策</c:v>
                </c:pt>
                <c:pt idx="4">
                  <c:v>昭和５６年６月以降で平成１２年５月以前の住宅の耐震化（耐震診断、耐震工事、耐震改修工事）への費用の支援</c:v>
                </c:pt>
                <c:pt idx="5">
                  <c:v>地区ごとの説明会、パンフレットの配布などによる、耐震化の必要性の啓発や補助制度の周知</c:v>
                </c:pt>
                <c:pt idx="6">
                  <c:v>一気に耐震改修工事できない場合に対応するための段階的な耐震改修工事への支援</c:v>
                </c:pt>
                <c:pt idx="7">
                  <c:v>戸別に訪問しての、耐震化の必要性や補助制度の丁寧な説明</c:v>
                </c:pt>
                <c:pt idx="8">
                  <c:v>民間金融機関と連携した低金利による貸付制度による支援</c:v>
                </c:pt>
                <c:pt idx="9">
                  <c:v>現場見学会など、耐震改修工事の実例に触れる機会の提供</c:v>
                </c:pt>
                <c:pt idx="10">
                  <c:v>オーナーに対する指導などによる、賃貸住宅の耐震化の促進</c:v>
                </c:pt>
                <c:pt idx="11">
                  <c:v>行政には特に期待していない</c:v>
                </c:pt>
                <c:pt idx="12">
                  <c:v>その他</c:v>
                </c:pt>
              </c:strCache>
            </c:strRef>
          </c:cat>
          <c:val>
            <c:numRef>
              <c:f>Sheet1!$B$4:$N$4</c:f>
              <c:numCache>
                <c:formatCode>0.0</c:formatCode>
                <c:ptCount val="13"/>
                <c:pt idx="0">
                  <c:v>43.5</c:v>
                </c:pt>
                <c:pt idx="1">
                  <c:v>40.800000000000004</c:v>
                </c:pt>
                <c:pt idx="2">
                  <c:v>28.2</c:v>
                </c:pt>
                <c:pt idx="3">
                  <c:v>27</c:v>
                </c:pt>
                <c:pt idx="4">
                  <c:v>25.6</c:v>
                </c:pt>
                <c:pt idx="5">
                  <c:v>16.100000000000001</c:v>
                </c:pt>
                <c:pt idx="6">
                  <c:v>19.5</c:v>
                </c:pt>
                <c:pt idx="7">
                  <c:v>13.8</c:v>
                </c:pt>
                <c:pt idx="8">
                  <c:v>14.3</c:v>
                </c:pt>
                <c:pt idx="9">
                  <c:v>10.3</c:v>
                </c:pt>
                <c:pt idx="10">
                  <c:v>11</c:v>
                </c:pt>
                <c:pt idx="11">
                  <c:v>4.2</c:v>
                </c:pt>
                <c:pt idx="12">
                  <c:v>1.5</c:v>
                </c:pt>
              </c:numCache>
            </c:numRef>
          </c:val>
          <c:smooth val="0"/>
        </c:ser>
        <c:dLbls>
          <c:showLegendKey val="0"/>
          <c:showVal val="0"/>
          <c:showCatName val="0"/>
          <c:showSerName val="0"/>
          <c:showPercent val="0"/>
          <c:showBubbleSize val="0"/>
        </c:dLbls>
        <c:marker val="1"/>
        <c:smooth val="0"/>
        <c:axId val="233411712"/>
        <c:axId val="233413248"/>
      </c:lineChart>
      <c:catAx>
        <c:axId val="233411712"/>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3413248"/>
        <c:crosses val="autoZero"/>
        <c:auto val="1"/>
        <c:lblAlgn val="ctr"/>
        <c:lblOffset val="100"/>
        <c:noMultiLvlLbl val="0"/>
      </c:catAx>
      <c:valAx>
        <c:axId val="233413248"/>
        <c:scaling>
          <c:orientation val="minMax"/>
          <c:max val="5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3411712"/>
        <c:crosses val="autoZero"/>
        <c:crossBetween val="between"/>
        <c:majorUnit val="10"/>
      </c:valAx>
      <c:spPr>
        <a:ln>
          <a:noFill/>
        </a:ln>
      </c:spPr>
    </c:plotArea>
    <c:legend>
      <c:legendPos val="b"/>
      <c:layout>
        <c:manualLayout>
          <c:xMode val="edge"/>
          <c:yMode val="edge"/>
          <c:x val="0.81007928696413234"/>
          <c:y val="7.9436945381827384E-2"/>
          <c:w val="0.13158743438320281"/>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74845915826593"/>
          <c:y val="4.5945260968926364E-2"/>
          <c:w val="0.72328641009108263"/>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layout>
                <c:manualLayout>
                  <c:x val="-1.0650489116238967E-2"/>
                  <c:y val="-1.63918744943699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Sheet1!$B$2:$B$7</c:f>
              <c:numCache>
                <c:formatCode>0.0_);[Red]\(0.0\)</c:formatCode>
                <c:ptCount val="6"/>
                <c:pt idx="0">
                  <c:v>47.1</c:v>
                </c:pt>
                <c:pt idx="1">
                  <c:v>40.200000000000003</c:v>
                </c:pt>
                <c:pt idx="2">
                  <c:v>24.1</c:v>
                </c:pt>
                <c:pt idx="3">
                  <c:v>23</c:v>
                </c:pt>
                <c:pt idx="4">
                  <c:v>25.3</c:v>
                </c:pt>
                <c:pt idx="5">
                  <c:v>17.2</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Sheet1!$C$2:$C$7</c:f>
              <c:numCache>
                <c:formatCode>0.0_);[Red]\(0.0\)</c:formatCode>
                <c:ptCount val="6"/>
                <c:pt idx="0">
                  <c:v>41.6</c:v>
                </c:pt>
                <c:pt idx="1">
                  <c:v>43.1</c:v>
                </c:pt>
                <c:pt idx="2">
                  <c:v>28.2</c:v>
                </c:pt>
                <c:pt idx="3">
                  <c:v>25.7</c:v>
                </c:pt>
                <c:pt idx="4">
                  <c:v>26.2</c:v>
                </c:pt>
                <c:pt idx="5">
                  <c:v>19.3</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Sheet1!$D$2:$D$7</c:f>
              <c:numCache>
                <c:formatCode>0.0_);[Red]\(0.0\)</c:formatCode>
                <c:ptCount val="6"/>
                <c:pt idx="0">
                  <c:v>45.8</c:v>
                </c:pt>
                <c:pt idx="1">
                  <c:v>41.5</c:v>
                </c:pt>
                <c:pt idx="2">
                  <c:v>21.3</c:v>
                </c:pt>
                <c:pt idx="3">
                  <c:v>29.2</c:v>
                </c:pt>
                <c:pt idx="4">
                  <c:v>28.1</c:v>
                </c:pt>
                <c:pt idx="5">
                  <c:v>18.600000000000001</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Sheet1!$E$2:$E$7</c:f>
              <c:numCache>
                <c:formatCode>0.0_);[Red]\(0.0\)</c:formatCode>
                <c:ptCount val="6"/>
                <c:pt idx="0">
                  <c:v>42.6</c:v>
                </c:pt>
                <c:pt idx="1">
                  <c:v>43.4</c:v>
                </c:pt>
                <c:pt idx="2">
                  <c:v>24.9</c:v>
                </c:pt>
                <c:pt idx="3">
                  <c:v>30.9</c:v>
                </c:pt>
                <c:pt idx="4">
                  <c:v>23.7</c:v>
                </c:pt>
                <c:pt idx="5">
                  <c:v>18.899999999999999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2.1296297227892851E-3"/>
                  <c:y val="3.28036246294342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Sheet1!$F$2:$F$7</c:f>
              <c:numCache>
                <c:formatCode>0.0_);[Red]\(0.0\)</c:formatCode>
                <c:ptCount val="6"/>
                <c:pt idx="0">
                  <c:v>45.8</c:v>
                </c:pt>
                <c:pt idx="1">
                  <c:v>41.4</c:v>
                </c:pt>
                <c:pt idx="2">
                  <c:v>29.4</c:v>
                </c:pt>
                <c:pt idx="3">
                  <c:v>28</c:v>
                </c:pt>
                <c:pt idx="4">
                  <c:v>26.5</c:v>
                </c:pt>
                <c:pt idx="5">
                  <c:v>18.100000000000001</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9927495219123E-7"/>
                  <c:y val="1.639115543577833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296986476413825E-3"/>
                  <c:y val="1.63947334452046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Sheet1!$G$2:$G$7</c:f>
              <c:numCache>
                <c:formatCode>0.0_);[Red]\(0.0\)</c:formatCode>
                <c:ptCount val="6"/>
                <c:pt idx="0">
                  <c:v>39.1</c:v>
                </c:pt>
                <c:pt idx="1">
                  <c:v>33.700000000000003</c:v>
                </c:pt>
                <c:pt idx="2">
                  <c:v>34.9</c:v>
                </c:pt>
                <c:pt idx="3">
                  <c:v>26.8</c:v>
                </c:pt>
                <c:pt idx="4">
                  <c:v>27.6</c:v>
                </c:pt>
                <c:pt idx="5">
                  <c:v>19.899999999999999</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3893423756783861E-3"/>
                  <c:y val="1.6388574151458037E-3"/>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耐震診断士の無料派遣　　　</c:v>
                </c:pt>
                <c:pt idx="1">
                  <c:v>耐震設計や耐震改修工事に対
する補助金額の引き上げ</c:v>
                </c:pt>
                <c:pt idx="2">
                  <c:v>相談窓口の設置など、気軽に
相談できる環境の整備</c:v>
                </c:pt>
                <c:pt idx="3">
                  <c:v>信頼できる設計事務所や工務
店の紹介など、悪徳リフォー
ム予防対策</c:v>
                </c:pt>
                <c:pt idx="4">
                  <c:v>昭和56年６月以降で平成12年
５月以前の住宅の耐震化（耐
震診断、耐震工事、耐震改修
工事）への費用の支援</c:v>
                </c:pt>
                <c:pt idx="5">
                  <c:v>地区ごとの説明会、パンフレ
ットの配布などによる、耐震
化の必要性の啓発や補助制
度の周知</c:v>
                </c:pt>
              </c:strCache>
            </c:strRef>
          </c:cat>
          <c:val>
            <c:numRef>
              <c:f>Sheet1!$H$2:$H$7</c:f>
              <c:numCache>
                <c:formatCode>0.0_);[Red]\(0.0\)</c:formatCode>
                <c:ptCount val="6"/>
                <c:pt idx="0">
                  <c:v>44.9</c:v>
                </c:pt>
                <c:pt idx="1">
                  <c:v>26.5</c:v>
                </c:pt>
                <c:pt idx="2">
                  <c:v>46.9</c:v>
                </c:pt>
                <c:pt idx="3">
                  <c:v>18.399999999999999</c:v>
                </c:pt>
                <c:pt idx="4">
                  <c:v>21.4</c:v>
                </c:pt>
                <c:pt idx="5">
                  <c:v>26.5</c:v>
                </c:pt>
              </c:numCache>
            </c:numRef>
          </c:val>
        </c:ser>
        <c:dLbls>
          <c:showLegendKey val="0"/>
          <c:showVal val="1"/>
          <c:showCatName val="0"/>
          <c:showSerName val="0"/>
          <c:showPercent val="0"/>
          <c:showBubbleSize val="0"/>
        </c:dLbls>
        <c:gapWidth val="100"/>
        <c:axId val="233216256"/>
        <c:axId val="233234432"/>
      </c:barChart>
      <c:catAx>
        <c:axId val="23321625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800"/>
            </a:pPr>
            <a:endParaRPr lang="ja-JP"/>
          </a:p>
        </c:txPr>
        <c:crossAx val="233234432"/>
        <c:crosses val="autoZero"/>
        <c:auto val="1"/>
        <c:lblAlgn val="ctr"/>
        <c:lblOffset val="100"/>
        <c:noMultiLvlLbl val="0"/>
      </c:catAx>
      <c:valAx>
        <c:axId val="233234432"/>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3216256"/>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74845915826593"/>
          <c:y val="4.5945260968926364E-2"/>
          <c:w val="0.72328641009108263"/>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layout>
                <c:manualLayout>
                  <c:x val="-6.3893423756783861E-3"/>
                  <c:y val="0"/>
                </c:manualLayout>
              </c:layout>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Sheet1!$B$2:$B$8</c:f>
              <c:numCache>
                <c:formatCode>0.0_);[Red]\(0.0\)</c:formatCode>
                <c:ptCount val="7"/>
                <c:pt idx="0">
                  <c:v>23</c:v>
                </c:pt>
                <c:pt idx="1">
                  <c:v>11.5</c:v>
                </c:pt>
                <c:pt idx="2">
                  <c:v>6.9</c:v>
                </c:pt>
                <c:pt idx="3">
                  <c:v>10.3</c:v>
                </c:pt>
                <c:pt idx="4">
                  <c:v>13.8</c:v>
                </c:pt>
                <c:pt idx="5">
                  <c:v>4.5999999999999996</c:v>
                </c:pt>
                <c:pt idx="6">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Sheet1!$C$2:$C$8</c:f>
              <c:numCache>
                <c:formatCode>0.0_);[Red]\(0.0\)</c:formatCode>
                <c:ptCount val="7"/>
                <c:pt idx="0">
                  <c:v>18.8</c:v>
                </c:pt>
                <c:pt idx="1">
                  <c:v>14.4</c:v>
                </c:pt>
                <c:pt idx="2">
                  <c:v>10.9</c:v>
                </c:pt>
                <c:pt idx="3">
                  <c:v>9.4</c:v>
                </c:pt>
                <c:pt idx="4">
                  <c:v>11.4</c:v>
                </c:pt>
                <c:pt idx="5">
                  <c:v>6.4</c:v>
                </c:pt>
                <c:pt idx="6">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Sheet1!$D$2:$D$8</c:f>
              <c:numCache>
                <c:formatCode>0.0_);[Red]\(0.0\)</c:formatCode>
                <c:ptCount val="7"/>
                <c:pt idx="0">
                  <c:v>17.8</c:v>
                </c:pt>
                <c:pt idx="1">
                  <c:v>14.6</c:v>
                </c:pt>
                <c:pt idx="2">
                  <c:v>11.9</c:v>
                </c:pt>
                <c:pt idx="3">
                  <c:v>7.1</c:v>
                </c:pt>
                <c:pt idx="4">
                  <c:v>11.9</c:v>
                </c:pt>
                <c:pt idx="5">
                  <c:v>5.0999999999999996</c:v>
                </c:pt>
                <c:pt idx="6">
                  <c:v>1.6</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Sheet1!$E$2:$E$8</c:f>
              <c:numCache>
                <c:formatCode>0.0_);[Red]\(0.0\)</c:formatCode>
                <c:ptCount val="7"/>
                <c:pt idx="0">
                  <c:v>15.1</c:v>
                </c:pt>
                <c:pt idx="1">
                  <c:v>12.6</c:v>
                </c:pt>
                <c:pt idx="2">
                  <c:v>19.100000000000001</c:v>
                </c:pt>
                <c:pt idx="3">
                  <c:v>12</c:v>
                </c:pt>
                <c:pt idx="4">
                  <c:v>10.6</c:v>
                </c:pt>
                <c:pt idx="5">
                  <c:v>6.9</c:v>
                </c:pt>
                <c:pt idx="6">
                  <c:v>1.1000000000000001</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2.1296297227892851E-3"/>
                  <c:y val="3.28036246294342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Sheet1!$F$2:$F$8</c:f>
              <c:numCache>
                <c:formatCode>0.0_);[Red]\(0.0\)</c:formatCode>
                <c:ptCount val="7"/>
                <c:pt idx="0">
                  <c:v>19.8</c:v>
                </c:pt>
                <c:pt idx="1">
                  <c:v>16</c:v>
                </c:pt>
                <c:pt idx="2">
                  <c:v>14.9</c:v>
                </c:pt>
                <c:pt idx="3">
                  <c:v>10.5</c:v>
                </c:pt>
                <c:pt idx="4">
                  <c:v>7.3</c:v>
                </c:pt>
                <c:pt idx="5">
                  <c:v>2.6</c:v>
                </c:pt>
                <c:pt idx="6">
                  <c:v>2.2999999999999998</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9927495219123E-7"/>
                  <c:y val="1.639115543577833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296986476413825E-3"/>
                  <c:y val="1.63947334452046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Sheet1!$G$2:$G$8</c:f>
              <c:numCache>
                <c:formatCode>0.0_);[Red]\(0.0\)</c:formatCode>
                <c:ptCount val="7"/>
                <c:pt idx="0">
                  <c:v>19.5</c:v>
                </c:pt>
                <c:pt idx="1">
                  <c:v>16.899999999999999</c:v>
                </c:pt>
                <c:pt idx="2">
                  <c:v>13</c:v>
                </c:pt>
                <c:pt idx="3">
                  <c:v>8</c:v>
                </c:pt>
                <c:pt idx="4">
                  <c:v>6.1</c:v>
                </c:pt>
                <c:pt idx="5">
                  <c:v>3.4</c:v>
                </c:pt>
                <c:pt idx="6">
                  <c:v>3.4</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3893423756783861E-3"/>
                  <c:y val="1.638857415145803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一気に耐震改修工事できない
場合に対応するための段階的
な耐震改修工事への支援</c:v>
                </c:pt>
                <c:pt idx="1">
                  <c:v>戸別に訪問しての、耐震化の
必要性や補助制度の丁寧な説
明</c:v>
                </c:pt>
                <c:pt idx="2">
                  <c:v>民間金融機関と連携した低金
利による貸付制度による支援</c:v>
                </c:pt>
                <c:pt idx="3">
                  <c:v>現場見学会など、耐震改修工
事の実例に触れる機会の提供</c:v>
                </c:pt>
                <c:pt idx="4">
                  <c:v>オーナーに対する指導などに
よる、賃貸住宅の耐震化の促
進</c:v>
                </c:pt>
                <c:pt idx="5">
                  <c:v>行政には特に期待していない</c:v>
                </c:pt>
                <c:pt idx="6">
                  <c:v>その他　　　　　　　　　　</c:v>
                </c:pt>
              </c:strCache>
            </c:strRef>
          </c:cat>
          <c:val>
            <c:numRef>
              <c:f>Sheet1!$H$2:$H$8</c:f>
              <c:numCache>
                <c:formatCode>0.0_);[Red]\(0.0\)</c:formatCode>
                <c:ptCount val="7"/>
                <c:pt idx="0">
                  <c:v>14.3</c:v>
                </c:pt>
                <c:pt idx="1">
                  <c:v>20.399999999999999</c:v>
                </c:pt>
                <c:pt idx="2">
                  <c:v>8.2000000000000011</c:v>
                </c:pt>
                <c:pt idx="3">
                  <c:v>9.2000000000000011</c:v>
                </c:pt>
                <c:pt idx="4">
                  <c:v>2</c:v>
                </c:pt>
                <c:pt idx="5">
                  <c:v>4.0999999999999996</c:v>
                </c:pt>
                <c:pt idx="6">
                  <c:v>2</c:v>
                </c:pt>
              </c:numCache>
            </c:numRef>
          </c:val>
        </c:ser>
        <c:dLbls>
          <c:showLegendKey val="0"/>
          <c:showVal val="1"/>
          <c:showCatName val="0"/>
          <c:showSerName val="0"/>
          <c:showPercent val="0"/>
          <c:showBubbleSize val="0"/>
        </c:dLbls>
        <c:gapWidth val="100"/>
        <c:axId val="233451904"/>
        <c:axId val="233453440"/>
      </c:barChart>
      <c:catAx>
        <c:axId val="23345190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800"/>
            </a:pPr>
            <a:endParaRPr lang="ja-JP"/>
          </a:p>
        </c:txPr>
        <c:crossAx val="233453440"/>
        <c:crosses val="autoZero"/>
        <c:auto val="1"/>
        <c:lblAlgn val="ctr"/>
        <c:lblOffset val="100"/>
        <c:noMultiLvlLbl val="0"/>
      </c:catAx>
      <c:valAx>
        <c:axId val="233453440"/>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345190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いる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39.200000000000003</c:v>
                </c:pt>
                <c:pt idx="1">
                  <c:v>38</c:v>
                </c:pt>
                <c:pt idx="2">
                  <c:v>40.1</c:v>
                </c:pt>
                <c:pt idx="3">
                  <c:v>19.5</c:v>
                </c:pt>
                <c:pt idx="4">
                  <c:v>24.8</c:v>
                </c:pt>
                <c:pt idx="5">
                  <c:v>28.1</c:v>
                </c:pt>
                <c:pt idx="6">
                  <c:v>34.6</c:v>
                </c:pt>
                <c:pt idx="7">
                  <c:v>43.7</c:v>
                </c:pt>
                <c:pt idx="8">
                  <c:v>54.4</c:v>
                </c:pt>
                <c:pt idx="9">
                  <c:v>73.5</c:v>
                </c:pt>
              </c:numCache>
            </c:numRef>
          </c:val>
        </c:ser>
        <c:ser>
          <c:idx val="1"/>
          <c:order val="1"/>
          <c:tx>
            <c:strRef>
              <c:f>Sheet1!$C$1</c:f>
              <c:strCache>
                <c:ptCount val="1"/>
                <c:pt idx="0">
                  <c:v>いない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59.4</c:v>
                </c:pt>
                <c:pt idx="1">
                  <c:v>60.7</c:v>
                </c:pt>
                <c:pt idx="2">
                  <c:v>59</c:v>
                </c:pt>
                <c:pt idx="3">
                  <c:v>79.3</c:v>
                </c:pt>
                <c:pt idx="4">
                  <c:v>74.8</c:v>
                </c:pt>
                <c:pt idx="5">
                  <c:v>70</c:v>
                </c:pt>
                <c:pt idx="6">
                  <c:v>65.099999999999994</c:v>
                </c:pt>
                <c:pt idx="7">
                  <c:v>54.8</c:v>
                </c:pt>
                <c:pt idx="8">
                  <c:v>44.1</c:v>
                </c:pt>
                <c:pt idx="9">
                  <c:v>25.5</c:v>
                </c:pt>
              </c:numCache>
            </c:numRef>
          </c:val>
        </c:ser>
        <c:ser>
          <c:idx val="2"/>
          <c:order val="2"/>
          <c:tx>
            <c:strRef>
              <c:f>Sheet1!$D$1</c:f>
              <c:strCache>
                <c:ptCount val="1"/>
                <c:pt idx="0">
                  <c:v>無回答</c:v>
                </c:pt>
              </c:strCache>
            </c:strRef>
          </c:tx>
          <c:spPr>
            <a:pattFill prst="pct50">
              <a:fgClr>
                <a:sysClr val="windowText" lastClr="000000"/>
              </a:fgClr>
              <a:bgClr>
                <a:sysClr val="window" lastClr="FFFFFF"/>
              </a:bgClr>
            </a:pattFill>
            <a:ln>
              <a:solidFill>
                <a:sysClr val="windowText" lastClr="000000"/>
              </a:solidFill>
            </a:ln>
          </c:spPr>
          <c:invertIfNegative val="0"/>
          <c:dLbls>
            <c:dLbl>
              <c:idx val="5"/>
              <c:layout>
                <c:manualLayout>
                  <c:x val="2.4209004365128271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1.4</c:v>
                </c:pt>
                <c:pt idx="1">
                  <c:v>1.4</c:v>
                </c:pt>
                <c:pt idx="2">
                  <c:v>0.9</c:v>
                </c:pt>
                <c:pt idx="3">
                  <c:v>1.1000000000000001</c:v>
                </c:pt>
                <c:pt idx="4">
                  <c:v>0.5</c:v>
                </c:pt>
                <c:pt idx="5">
                  <c:v>2</c:v>
                </c:pt>
                <c:pt idx="6">
                  <c:v>0.30000000000000032</c:v>
                </c:pt>
                <c:pt idx="7">
                  <c:v>1.5</c:v>
                </c:pt>
                <c:pt idx="8">
                  <c:v>1.5</c:v>
                </c:pt>
                <c:pt idx="9">
                  <c:v>1</c:v>
                </c:pt>
              </c:numCache>
            </c:numRef>
          </c:val>
        </c:ser>
        <c:dLbls>
          <c:showLegendKey val="0"/>
          <c:showVal val="0"/>
          <c:showCatName val="0"/>
          <c:showSerName val="0"/>
          <c:showPercent val="0"/>
          <c:showBubbleSize val="0"/>
        </c:dLbls>
        <c:gapWidth val="90"/>
        <c:overlap val="100"/>
        <c:axId val="233495552"/>
        <c:axId val="233509632"/>
      </c:barChart>
      <c:catAx>
        <c:axId val="23349555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33509632"/>
        <c:crosses val="autoZero"/>
        <c:auto val="1"/>
        <c:lblAlgn val="ctr"/>
        <c:lblOffset val="100"/>
        <c:noMultiLvlLbl val="0"/>
      </c:catAx>
      <c:valAx>
        <c:axId val="23350963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33495552"/>
        <c:crosses val="autoZero"/>
        <c:crossBetween val="between"/>
        <c:majorUnit val="0.1"/>
      </c:valAx>
    </c:plotArea>
    <c:legend>
      <c:legendPos val="r"/>
      <c:layout>
        <c:manualLayout>
          <c:xMode val="edge"/>
          <c:yMode val="edge"/>
          <c:x val="1.427451376270274E-2"/>
          <c:y val="1.8843625254239191E-3"/>
          <c:w val="0.9857255414048397"/>
          <c:h val="0.11495061585998805"/>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36913735923491"/>
          <c:y val="4.5945260968926364E-2"/>
          <c:w val="0.6955464767647539"/>
          <c:h val="0.93006039994653456"/>
        </c:manualLayout>
      </c:layout>
      <c:barChart>
        <c:barDir val="bar"/>
        <c:grouping val="clustered"/>
        <c:varyColors val="0"/>
        <c:ser>
          <c:idx val="3"/>
          <c:order val="0"/>
          <c:tx>
            <c:strRef>
              <c:f>Sheet1!$B$1</c:f>
              <c:strCache>
                <c:ptCount val="1"/>
                <c:pt idx="0">
                  <c:v>男性</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Sheet1!$B$2:$B$12</c:f>
              <c:numCache>
                <c:formatCode>_ * ###0.0_ ;_ * \-###0.0_ ;_ * "-"</c:formatCode>
                <c:ptCount val="11"/>
                <c:pt idx="0">
                  <c:v>42</c:v>
                </c:pt>
                <c:pt idx="1">
                  <c:v>35.300000000000004</c:v>
                </c:pt>
                <c:pt idx="2">
                  <c:v>31.4</c:v>
                </c:pt>
                <c:pt idx="3">
                  <c:v>27.3</c:v>
                </c:pt>
                <c:pt idx="4">
                  <c:v>34.6</c:v>
                </c:pt>
                <c:pt idx="5">
                  <c:v>27.1</c:v>
                </c:pt>
                <c:pt idx="6">
                  <c:v>24.1</c:v>
                </c:pt>
                <c:pt idx="7">
                  <c:v>26.7</c:v>
                </c:pt>
                <c:pt idx="8">
                  <c:v>19.399999999999999</c:v>
                </c:pt>
                <c:pt idx="9">
                  <c:v>11.1</c:v>
                </c:pt>
                <c:pt idx="10">
                  <c:v>1.7</c:v>
                </c:pt>
              </c:numCache>
            </c:numRef>
          </c:val>
        </c:ser>
        <c:ser>
          <c:idx val="0"/>
          <c:order val="1"/>
          <c:tx>
            <c:strRef>
              <c:f>Sheet1!$C$1</c:f>
              <c:strCache>
                <c:ptCount val="1"/>
                <c:pt idx="0">
                  <c:v>女性</c:v>
                </c:pt>
              </c:strCache>
            </c:strRef>
          </c:tx>
          <c:spPr>
            <a:pattFill prst="pct20">
              <a:fgClr>
                <a:sysClr val="windowText" lastClr="000000"/>
              </a:fgClr>
              <a:bgClr>
                <a:sysClr val="window" lastClr="FFFFFF"/>
              </a:bgClr>
            </a:pattFill>
            <a:ln>
              <a:solidFill>
                <a:schemeClr val="tx1"/>
              </a:solidFill>
            </a:ln>
          </c:spPr>
          <c:invertIfNegative val="0"/>
          <c:dLbls>
            <c:dLbl>
              <c:idx val="3"/>
              <c:spPr/>
              <c:txPr>
                <a:bodyPr/>
                <a:lstStyle/>
                <a:p>
                  <a:pPr>
                    <a:defRPr>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Sheet1!$C$2:$C$12</c:f>
              <c:numCache>
                <c:formatCode>_ * ###0.0_ ;_ * \-###0.0_ ;_ * "-"</c:formatCode>
                <c:ptCount val="11"/>
                <c:pt idx="0">
                  <c:v>34.700000000000003</c:v>
                </c:pt>
                <c:pt idx="1">
                  <c:v>36.800000000000004</c:v>
                </c:pt>
                <c:pt idx="2">
                  <c:v>36.200000000000003</c:v>
                </c:pt>
                <c:pt idx="3">
                  <c:v>37.1</c:v>
                </c:pt>
                <c:pt idx="4">
                  <c:v>27.4</c:v>
                </c:pt>
                <c:pt idx="5">
                  <c:v>27.2</c:v>
                </c:pt>
                <c:pt idx="6">
                  <c:v>28</c:v>
                </c:pt>
                <c:pt idx="7">
                  <c:v>24.1</c:v>
                </c:pt>
                <c:pt idx="8">
                  <c:v>16.3</c:v>
                </c:pt>
                <c:pt idx="9">
                  <c:v>14.1</c:v>
                </c:pt>
                <c:pt idx="10">
                  <c:v>1.3</c:v>
                </c:pt>
              </c:numCache>
            </c:numRef>
          </c:val>
        </c:ser>
        <c:dLbls>
          <c:showLegendKey val="0"/>
          <c:showVal val="1"/>
          <c:showCatName val="0"/>
          <c:showSerName val="0"/>
          <c:showPercent val="0"/>
          <c:showBubbleSize val="0"/>
        </c:dLbls>
        <c:gapWidth val="100"/>
        <c:axId val="222057216"/>
        <c:axId val="222058752"/>
      </c:barChart>
      <c:catAx>
        <c:axId val="222057216"/>
        <c:scaling>
          <c:orientation val="maxMin"/>
        </c:scaling>
        <c:delete val="0"/>
        <c:axPos val="l"/>
        <c:numFmt formatCode="General" sourceLinked="0"/>
        <c:majorTickMark val="in"/>
        <c:minorTickMark val="none"/>
        <c:tickLblPos val="nextTo"/>
        <c:spPr>
          <a:ln>
            <a:solidFill>
              <a:schemeClr val="tx1"/>
            </a:solidFill>
          </a:ln>
        </c:spPr>
        <c:txPr>
          <a:bodyPr/>
          <a:lstStyle/>
          <a:p>
            <a:pPr algn="just">
              <a:defRPr sz="900"/>
            </a:pPr>
            <a:endParaRPr lang="ja-JP"/>
          </a:p>
        </c:txPr>
        <c:crossAx val="222058752"/>
        <c:crosses val="autoZero"/>
        <c:auto val="1"/>
        <c:lblAlgn val="ctr"/>
        <c:lblOffset val="100"/>
        <c:noMultiLvlLbl val="0"/>
      </c:catAx>
      <c:valAx>
        <c:axId val="222058752"/>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2057216"/>
        <c:crosses val="autoZero"/>
        <c:crossBetween val="between"/>
        <c:majorUnit val="10"/>
      </c:valAx>
      <c:spPr>
        <a:ln>
          <a:solidFill>
            <a:schemeClr val="tx1"/>
          </a:solidFill>
        </a:ln>
      </c:spPr>
    </c:plotArea>
    <c:legend>
      <c:legendPos val="b"/>
      <c:layout>
        <c:manualLayout>
          <c:xMode val="edge"/>
          <c:yMode val="edge"/>
          <c:x val="0.84324963097086103"/>
          <c:y val="0.85843068454881244"/>
          <c:w val="0.10322164172614977"/>
          <c:h val="9.0803585383329208E-2"/>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いる</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39.200000000000003</c:v>
                </c:pt>
                <c:pt idx="1">
                  <c:v>46.4</c:v>
                </c:pt>
                <c:pt idx="2">
                  <c:v>66.7</c:v>
                </c:pt>
                <c:pt idx="3">
                  <c:v>53.6</c:v>
                </c:pt>
                <c:pt idx="4">
                  <c:v>29.4</c:v>
                </c:pt>
                <c:pt idx="5">
                  <c:v>34</c:v>
                </c:pt>
                <c:pt idx="6">
                  <c:v>30</c:v>
                </c:pt>
                <c:pt idx="7">
                  <c:v>46.9</c:v>
                </c:pt>
                <c:pt idx="8">
                  <c:v>45.5</c:v>
                </c:pt>
                <c:pt idx="9">
                  <c:v>45.6</c:v>
                </c:pt>
                <c:pt idx="10">
                  <c:v>19.8</c:v>
                </c:pt>
                <c:pt idx="11">
                  <c:v>59.3</c:v>
                </c:pt>
                <c:pt idx="12">
                  <c:v>40</c:v>
                </c:pt>
                <c:pt idx="13">
                  <c:v>38.300000000000004</c:v>
                </c:pt>
                <c:pt idx="14">
                  <c:v>50</c:v>
                </c:pt>
                <c:pt idx="15">
                  <c:v>42.8</c:v>
                </c:pt>
                <c:pt idx="16">
                  <c:v>44.1</c:v>
                </c:pt>
                <c:pt idx="17">
                  <c:v>39.700000000000003</c:v>
                </c:pt>
                <c:pt idx="18">
                  <c:v>43.1</c:v>
                </c:pt>
                <c:pt idx="19">
                  <c:v>30.9</c:v>
                </c:pt>
                <c:pt idx="20">
                  <c:v>33.800000000000004</c:v>
                </c:pt>
              </c:numCache>
            </c:numRef>
          </c:val>
        </c:ser>
        <c:ser>
          <c:idx val="1"/>
          <c:order val="1"/>
          <c:tx>
            <c:strRef>
              <c:f>Sheet1!$C$1</c:f>
              <c:strCache>
                <c:ptCount val="1"/>
                <c:pt idx="0">
                  <c:v>いない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59.4</c:v>
                </c:pt>
                <c:pt idx="1">
                  <c:v>53.6</c:v>
                </c:pt>
                <c:pt idx="2">
                  <c:v>33.300000000000004</c:v>
                </c:pt>
                <c:pt idx="3">
                  <c:v>46.4</c:v>
                </c:pt>
                <c:pt idx="4">
                  <c:v>69.3</c:v>
                </c:pt>
                <c:pt idx="5">
                  <c:v>64.900000000000006</c:v>
                </c:pt>
                <c:pt idx="6">
                  <c:v>69</c:v>
                </c:pt>
                <c:pt idx="7">
                  <c:v>51.6</c:v>
                </c:pt>
                <c:pt idx="8">
                  <c:v>54.5</c:v>
                </c:pt>
                <c:pt idx="9">
                  <c:v>51.7</c:v>
                </c:pt>
                <c:pt idx="10">
                  <c:v>79.3</c:v>
                </c:pt>
                <c:pt idx="11">
                  <c:v>40.200000000000003</c:v>
                </c:pt>
                <c:pt idx="12">
                  <c:v>58.2</c:v>
                </c:pt>
                <c:pt idx="13">
                  <c:v>60.7</c:v>
                </c:pt>
                <c:pt idx="14">
                  <c:v>49.1</c:v>
                </c:pt>
                <c:pt idx="15">
                  <c:v>56.3</c:v>
                </c:pt>
                <c:pt idx="16">
                  <c:v>55.9</c:v>
                </c:pt>
                <c:pt idx="17">
                  <c:v>57.1</c:v>
                </c:pt>
                <c:pt idx="18">
                  <c:v>56.9</c:v>
                </c:pt>
                <c:pt idx="19">
                  <c:v>69.099999999999994</c:v>
                </c:pt>
                <c:pt idx="20">
                  <c:v>64.7</c:v>
                </c:pt>
              </c:numCache>
            </c:numRef>
          </c:val>
        </c:ser>
        <c:ser>
          <c:idx val="2"/>
          <c:order val="2"/>
          <c:tx>
            <c:strRef>
              <c:f>Sheet1!$D$1</c:f>
              <c:strCache>
                <c:ptCount val="1"/>
                <c:pt idx="0">
                  <c:v>無回答</c:v>
                </c:pt>
              </c:strCache>
            </c:strRef>
          </c:tx>
          <c:spPr>
            <a:pattFill prst="pct50">
              <a:fgClr>
                <a:sysClr val="windowText" lastClr="000000"/>
              </a:fgClr>
              <a:bgClr>
                <a:sysClr val="window" lastClr="FFFFFF"/>
              </a:bgClr>
            </a:pattFill>
            <a:ln>
              <a:solidFill>
                <a:sysClr val="windowText" lastClr="000000"/>
              </a:solidFill>
            </a:ln>
          </c:spPr>
          <c:invertIfNegative val="0"/>
          <c:dLbls>
            <c:dLbl>
              <c:idx val="1"/>
              <c:delete val="1"/>
            </c:dLbl>
            <c:dLbl>
              <c:idx val="2"/>
              <c:delete val="1"/>
            </c:dLbl>
            <c:dLbl>
              <c:idx val="3"/>
              <c:delete val="1"/>
            </c:dLbl>
            <c:dLbl>
              <c:idx val="8"/>
              <c:delete val="1"/>
            </c:dLbl>
            <c:dLbl>
              <c:idx val="9"/>
              <c:layout>
                <c:manualLayout>
                  <c:x val="3.1232877602686358E-2"/>
                  <c:y val="0"/>
                </c:manualLayout>
              </c:layout>
              <c:dLblPos val="ctr"/>
              <c:showLegendKey val="0"/>
              <c:showVal val="1"/>
              <c:showCatName val="0"/>
              <c:showSerName val="0"/>
              <c:showPercent val="0"/>
              <c:showBubbleSize val="0"/>
            </c:dLbl>
            <c:dLbl>
              <c:idx val="12"/>
              <c:layout>
                <c:manualLayout>
                  <c:x val="2.8130616065074096E-2"/>
                  <c:y val="0"/>
                </c:manualLayout>
              </c:layout>
              <c:dLblPos val="ctr"/>
              <c:showLegendKey val="0"/>
              <c:showVal val="1"/>
              <c:showCatName val="0"/>
              <c:showSerName val="0"/>
              <c:showPercent val="0"/>
              <c:showBubbleSize val="0"/>
            </c:dLbl>
            <c:dLbl>
              <c:idx val="16"/>
              <c:delete val="1"/>
            </c:dLbl>
            <c:dLbl>
              <c:idx val="17"/>
              <c:layout>
                <c:manualLayout>
                  <c:x val="3.3644231112959895E-2"/>
                  <c:y val="0"/>
                </c:manualLayout>
              </c:layout>
              <c:dLblPos val="ctr"/>
              <c:showLegendKey val="0"/>
              <c:showVal val="1"/>
              <c:showCatName val="0"/>
              <c:showSerName val="0"/>
              <c:showPercent val="0"/>
              <c:showBubbleSize val="0"/>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1.4</c:v>
                </c:pt>
                <c:pt idx="1">
                  <c:v>0</c:v>
                </c:pt>
                <c:pt idx="2">
                  <c:v>0</c:v>
                </c:pt>
                <c:pt idx="3">
                  <c:v>0</c:v>
                </c:pt>
                <c:pt idx="4">
                  <c:v>1.4</c:v>
                </c:pt>
                <c:pt idx="5">
                  <c:v>1.1000000000000001</c:v>
                </c:pt>
                <c:pt idx="6">
                  <c:v>1</c:v>
                </c:pt>
                <c:pt idx="7">
                  <c:v>1.6</c:v>
                </c:pt>
                <c:pt idx="8">
                  <c:v>0</c:v>
                </c:pt>
                <c:pt idx="9">
                  <c:v>2.7</c:v>
                </c:pt>
                <c:pt idx="10">
                  <c:v>0.9</c:v>
                </c:pt>
                <c:pt idx="11">
                  <c:v>0.5</c:v>
                </c:pt>
                <c:pt idx="12">
                  <c:v>1.8</c:v>
                </c:pt>
                <c:pt idx="13">
                  <c:v>1</c:v>
                </c:pt>
                <c:pt idx="14">
                  <c:v>0.9</c:v>
                </c:pt>
                <c:pt idx="15">
                  <c:v>0.9</c:v>
                </c:pt>
                <c:pt idx="16">
                  <c:v>0</c:v>
                </c:pt>
                <c:pt idx="17">
                  <c:v>3.2</c:v>
                </c:pt>
                <c:pt idx="18">
                  <c:v>0</c:v>
                </c:pt>
                <c:pt idx="19">
                  <c:v>0</c:v>
                </c:pt>
                <c:pt idx="20">
                  <c:v>1.5</c:v>
                </c:pt>
              </c:numCache>
            </c:numRef>
          </c:val>
        </c:ser>
        <c:dLbls>
          <c:showLegendKey val="0"/>
          <c:showVal val="0"/>
          <c:showCatName val="0"/>
          <c:showSerName val="0"/>
          <c:showPercent val="0"/>
          <c:showBubbleSize val="0"/>
        </c:dLbls>
        <c:gapWidth val="70"/>
        <c:overlap val="100"/>
        <c:axId val="233865216"/>
        <c:axId val="233866752"/>
      </c:barChart>
      <c:catAx>
        <c:axId val="2338652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3866752"/>
        <c:crosses val="autoZero"/>
        <c:auto val="1"/>
        <c:lblAlgn val="ctr"/>
        <c:lblOffset val="100"/>
        <c:noMultiLvlLbl val="0"/>
      </c:catAx>
      <c:valAx>
        <c:axId val="23386675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3865216"/>
        <c:crosses val="autoZero"/>
        <c:crossBetween val="between"/>
      </c:valAx>
    </c:plotArea>
    <c:legend>
      <c:legendPos val="r"/>
      <c:layout>
        <c:manualLayout>
          <c:xMode val="edge"/>
          <c:yMode val="edge"/>
          <c:x val="3.0310860002971951E-2"/>
          <c:y val="1.4755659492010661E-3"/>
          <c:w val="0.89028812749624475"/>
          <c:h val="6.997031122837552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3354988140933658"/>
          <c:w val="0.70210394373780149"/>
          <c:h val="0.74722463359013835"/>
        </c:manualLayout>
      </c:layout>
      <c:barChart>
        <c:barDir val="bar"/>
        <c:grouping val="percentStacked"/>
        <c:varyColors val="0"/>
        <c:ser>
          <c:idx val="0"/>
          <c:order val="0"/>
          <c:tx>
            <c:strRef>
              <c:f>Sheet1!$B$1</c:f>
              <c:strCache>
                <c:ptCount val="1"/>
                <c:pt idx="0">
                  <c:v>自宅で暮らしながら、訪問診療や訪問看護などにより在宅医療を受ける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27.9</c:v>
                </c:pt>
                <c:pt idx="1">
                  <c:v>26.3</c:v>
                </c:pt>
                <c:pt idx="2">
                  <c:v>29.1</c:v>
                </c:pt>
                <c:pt idx="3">
                  <c:v>31</c:v>
                </c:pt>
                <c:pt idx="4">
                  <c:v>26.2</c:v>
                </c:pt>
                <c:pt idx="5">
                  <c:v>29.6</c:v>
                </c:pt>
                <c:pt idx="6">
                  <c:v>30.6</c:v>
                </c:pt>
                <c:pt idx="7">
                  <c:v>25.9</c:v>
                </c:pt>
                <c:pt idx="8">
                  <c:v>26.4</c:v>
                </c:pt>
                <c:pt idx="9">
                  <c:v>24.5</c:v>
                </c:pt>
              </c:numCache>
            </c:numRef>
          </c:val>
        </c:ser>
        <c:ser>
          <c:idx val="1"/>
          <c:order val="1"/>
          <c:tx>
            <c:strRef>
              <c:f>Sheet1!$C$1</c:f>
              <c:strCache>
                <c:ptCount val="1"/>
                <c:pt idx="0">
                  <c:v>家族などの介護を受けて病院に通院する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13.9</c:v>
                </c:pt>
                <c:pt idx="1">
                  <c:v>14.5</c:v>
                </c:pt>
                <c:pt idx="2">
                  <c:v>13.4</c:v>
                </c:pt>
                <c:pt idx="3">
                  <c:v>16.100000000000001</c:v>
                </c:pt>
                <c:pt idx="4">
                  <c:v>16.3</c:v>
                </c:pt>
                <c:pt idx="5">
                  <c:v>13.4</c:v>
                </c:pt>
                <c:pt idx="6">
                  <c:v>11.1</c:v>
                </c:pt>
                <c:pt idx="7">
                  <c:v>13.7</c:v>
                </c:pt>
                <c:pt idx="8">
                  <c:v>16.5</c:v>
                </c:pt>
                <c:pt idx="9">
                  <c:v>12.2</c:v>
                </c:pt>
              </c:numCache>
            </c:numRef>
          </c:val>
        </c:ser>
        <c:ser>
          <c:idx val="2"/>
          <c:order val="2"/>
          <c:tx>
            <c:strRef>
              <c:f>Sheet1!$D$1</c:f>
              <c:strCache>
                <c:ptCount val="1"/>
                <c:pt idx="0">
                  <c:v>特別養護老人ホームなどの介護施設に入所して療養する</c:v>
                </c:pt>
              </c:strCache>
            </c:strRef>
          </c:tx>
          <c:spPr>
            <a:pattFill prst="pct50">
              <a:fgClr>
                <a:sysClr val="windowText" lastClr="000000"/>
              </a:fgClr>
              <a:bgClr>
                <a:sysClr val="window" lastClr="FFFFFF"/>
              </a:bgClr>
            </a:pattFill>
            <a:ln>
              <a:solidFill>
                <a:sysClr val="windowText" lastClr="000000"/>
              </a:solidFill>
            </a:ln>
          </c:spPr>
          <c:invertIfNegative val="0"/>
          <c:dLbls>
            <c:dLbl>
              <c:idx val="3"/>
              <c:layout>
                <c:manualLayout>
                  <c:x val="0"/>
                  <c:y val="-3.8535443185208795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layout>
                <c:manualLayout>
                  <c:x val="0"/>
                  <c:y val="-3.5966602440590877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8.3000000000000007</c:v>
                </c:pt>
                <c:pt idx="1">
                  <c:v>6.9</c:v>
                </c:pt>
                <c:pt idx="2">
                  <c:v>9.1</c:v>
                </c:pt>
                <c:pt idx="3">
                  <c:v>3.4</c:v>
                </c:pt>
                <c:pt idx="4">
                  <c:v>7.4</c:v>
                </c:pt>
                <c:pt idx="5">
                  <c:v>5.5</c:v>
                </c:pt>
                <c:pt idx="6">
                  <c:v>7.4</c:v>
                </c:pt>
                <c:pt idx="7">
                  <c:v>9.3000000000000007</c:v>
                </c:pt>
                <c:pt idx="8">
                  <c:v>10.7</c:v>
                </c:pt>
                <c:pt idx="9">
                  <c:v>11.2</c:v>
                </c:pt>
              </c:numCache>
            </c:numRef>
          </c:val>
        </c:ser>
        <c:ser>
          <c:idx val="3"/>
          <c:order val="3"/>
          <c:tx>
            <c:strRef>
              <c:f>Sheet1!$E$1</c:f>
              <c:strCache>
                <c:ptCount val="1"/>
                <c:pt idx="0">
                  <c:v>病院に入院して診療を受ける</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Sheet1!$E$2:$E$11</c:f>
              <c:numCache>
                <c:formatCode>0.0</c:formatCode>
                <c:ptCount val="10"/>
                <c:pt idx="0">
                  <c:v>31.1</c:v>
                </c:pt>
                <c:pt idx="1">
                  <c:v>33</c:v>
                </c:pt>
                <c:pt idx="2">
                  <c:v>29.9</c:v>
                </c:pt>
                <c:pt idx="3">
                  <c:v>32.200000000000003</c:v>
                </c:pt>
                <c:pt idx="4">
                  <c:v>30.7</c:v>
                </c:pt>
                <c:pt idx="5">
                  <c:v>30.4</c:v>
                </c:pt>
                <c:pt idx="6">
                  <c:v>28</c:v>
                </c:pt>
                <c:pt idx="7">
                  <c:v>32.4</c:v>
                </c:pt>
                <c:pt idx="8">
                  <c:v>31.4</c:v>
                </c:pt>
                <c:pt idx="9">
                  <c:v>42.9</c:v>
                </c:pt>
              </c:numCache>
            </c:numRef>
          </c:val>
        </c:ser>
        <c:ser>
          <c:idx val="4"/>
          <c:order val="4"/>
          <c:tx>
            <c:strRef>
              <c:f>Sheet1!$F$1</c:f>
              <c:strCache>
                <c:ptCount val="1"/>
                <c:pt idx="0">
                  <c:v>その他</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0"/>
                  <c:y val="-3.3408406129663476E-2"/>
                </c:manualLayout>
              </c:layout>
              <c:dLblPos val="ctr"/>
              <c:showLegendKey val="0"/>
              <c:showVal val="1"/>
              <c:showCatName val="0"/>
              <c:showSerName val="0"/>
              <c:showPercent val="0"/>
              <c:showBubbleSize val="0"/>
            </c:dLbl>
            <c:dLbl>
              <c:idx val="1"/>
              <c:layout>
                <c:manualLayout>
                  <c:x val="0"/>
                  <c:y val="-3.3377810124535015E-2"/>
                </c:manualLayout>
              </c:layout>
              <c:dLblPos val="ctr"/>
              <c:showLegendKey val="0"/>
              <c:showVal val="1"/>
              <c:showCatName val="0"/>
              <c:showSerName val="0"/>
              <c:showPercent val="0"/>
              <c:showBubbleSize val="0"/>
            </c:dLbl>
            <c:dLbl>
              <c:idx val="2"/>
              <c:layout>
                <c:manualLayout>
                  <c:x val="-2.1354587032553136E-3"/>
                  <c:y val="-3.0810286268801581E-2"/>
                </c:manualLayout>
              </c:layout>
              <c:dLblPos val="ctr"/>
              <c:showLegendKey val="0"/>
              <c:showVal val="1"/>
              <c:showCatName val="0"/>
              <c:showSerName val="0"/>
              <c:showPercent val="0"/>
              <c:showBubbleSize val="0"/>
            </c:dLbl>
            <c:dLbl>
              <c:idx val="3"/>
              <c:layout>
                <c:manualLayout>
                  <c:x val="0"/>
                  <c:y val="-3.3377810124535015E-2"/>
                </c:manualLayout>
              </c:layout>
              <c:dLblPos val="ctr"/>
              <c:showLegendKey val="0"/>
              <c:showVal val="1"/>
              <c:showCatName val="0"/>
              <c:showSerName val="0"/>
              <c:showPercent val="0"/>
              <c:showBubbleSize val="0"/>
            </c:dLbl>
            <c:dLbl>
              <c:idx val="4"/>
              <c:layout>
                <c:manualLayout>
                  <c:x val="2.1354587032553136E-3"/>
                  <c:y val="-2.8242762413068216E-2"/>
                </c:manualLayout>
              </c:layout>
              <c:dLblPos val="ctr"/>
              <c:showLegendKey val="0"/>
              <c:showVal val="1"/>
              <c:showCatName val="0"/>
              <c:showSerName val="0"/>
              <c:showPercent val="0"/>
              <c:showBubbleSize val="0"/>
            </c:dLbl>
            <c:dLbl>
              <c:idx val="5"/>
              <c:layout>
                <c:manualLayout>
                  <c:x val="-2.1354587032553136E-3"/>
                  <c:y val="-2.8242762413068216E-2"/>
                </c:manualLayout>
              </c:layout>
              <c:dLblPos val="ctr"/>
              <c:showLegendKey val="0"/>
              <c:showVal val="1"/>
              <c:showCatName val="0"/>
              <c:showSerName val="0"/>
              <c:showPercent val="0"/>
              <c:showBubbleSize val="0"/>
            </c:dLbl>
            <c:dLbl>
              <c:idx val="6"/>
              <c:layout>
                <c:manualLayout>
                  <c:x val="-2.1354587032553136E-3"/>
                  <c:y val="-2.8242762413068011E-2"/>
                </c:manualLayout>
              </c:layout>
              <c:dLblPos val="ctr"/>
              <c:showLegendKey val="0"/>
              <c:showVal val="1"/>
              <c:showCatName val="0"/>
              <c:showSerName val="0"/>
              <c:showPercent val="0"/>
              <c:showBubbleSize val="0"/>
            </c:dLbl>
            <c:dLbl>
              <c:idx val="7"/>
              <c:layout>
                <c:manualLayout>
                  <c:x val="2.1354587032553136E-3"/>
                  <c:y val="-3.0810286268801581E-2"/>
                </c:manualLayout>
              </c:layout>
              <c:dLblPos val="ctr"/>
              <c:showLegendKey val="0"/>
              <c:showVal val="1"/>
              <c:showCatName val="0"/>
              <c:showSerName val="0"/>
              <c:showPercent val="0"/>
              <c:showBubbleSize val="0"/>
            </c:dLbl>
            <c:dLbl>
              <c:idx val="8"/>
              <c:layout>
                <c:manualLayout>
                  <c:x val="-4.2709174065106523E-3"/>
                  <c:y val="-3.0810286268801581E-2"/>
                </c:manualLayout>
              </c:layout>
              <c:dLblPos val="ctr"/>
              <c:showLegendKey val="0"/>
              <c:showVal val="1"/>
              <c:showCatName val="0"/>
              <c:showSerName val="0"/>
              <c:showPercent val="0"/>
              <c:showBubbleSize val="0"/>
            </c:dLbl>
            <c:dLbl>
              <c:idx val="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Sheet1!$F$2:$F$11</c:f>
              <c:numCache>
                <c:formatCode>0.0</c:formatCode>
                <c:ptCount val="10"/>
                <c:pt idx="0">
                  <c:v>1.2</c:v>
                </c:pt>
                <c:pt idx="1">
                  <c:v>1.1000000000000001</c:v>
                </c:pt>
                <c:pt idx="2">
                  <c:v>1.4</c:v>
                </c:pt>
                <c:pt idx="3">
                  <c:v>1.1000000000000001</c:v>
                </c:pt>
                <c:pt idx="4">
                  <c:v>2.5</c:v>
                </c:pt>
                <c:pt idx="5">
                  <c:v>0.4</c:v>
                </c:pt>
                <c:pt idx="6">
                  <c:v>1.1000000000000001</c:v>
                </c:pt>
                <c:pt idx="7">
                  <c:v>2</c:v>
                </c:pt>
                <c:pt idx="8">
                  <c:v>0.8</c:v>
                </c:pt>
                <c:pt idx="9">
                  <c:v>0</c:v>
                </c:pt>
              </c:numCache>
            </c:numRef>
          </c:val>
        </c:ser>
        <c:ser>
          <c:idx val="5"/>
          <c:order val="5"/>
          <c:tx>
            <c:strRef>
              <c:f>Sheet1!$G$1</c:f>
              <c:strCache>
                <c:ptCount val="1"/>
                <c:pt idx="0">
                  <c:v>わからない</c:v>
                </c:pt>
              </c:strCache>
            </c:strRef>
          </c:tx>
          <c:spPr>
            <a:pattFill prst="ltUp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Sheet1!$G$2:$G$11</c:f>
              <c:numCache>
                <c:formatCode>0.0</c:formatCode>
                <c:ptCount val="10"/>
                <c:pt idx="0">
                  <c:v>16.5</c:v>
                </c:pt>
                <c:pt idx="1">
                  <c:v>16.8</c:v>
                </c:pt>
                <c:pt idx="2">
                  <c:v>16.3</c:v>
                </c:pt>
                <c:pt idx="3">
                  <c:v>14.9</c:v>
                </c:pt>
                <c:pt idx="4">
                  <c:v>16.3</c:v>
                </c:pt>
                <c:pt idx="5">
                  <c:v>18.600000000000001</c:v>
                </c:pt>
                <c:pt idx="6">
                  <c:v>21.4</c:v>
                </c:pt>
                <c:pt idx="7">
                  <c:v>15.5</c:v>
                </c:pt>
                <c:pt idx="8">
                  <c:v>13</c:v>
                </c:pt>
                <c:pt idx="9">
                  <c:v>8.2000000000000011</c:v>
                </c:pt>
              </c:numCache>
            </c:numRef>
          </c:val>
        </c:ser>
        <c:ser>
          <c:idx val="6"/>
          <c:order val="6"/>
          <c:tx>
            <c:strRef>
              <c:f>Sheet1!$H$1</c:f>
              <c:strCache>
                <c:ptCount val="1"/>
                <c:pt idx="0">
                  <c:v>無回答</c:v>
                </c:pt>
              </c:strCache>
            </c:strRef>
          </c:tx>
          <c:spPr>
            <a:pattFill prst="pct60">
              <a:fgClr>
                <a:sysClr val="windowText" lastClr="000000"/>
              </a:fgClr>
              <a:bgClr>
                <a:sysClr val="window" lastClr="FFFFFF"/>
              </a:bgClr>
            </a:pattFill>
            <a:ln>
              <a:solidFill>
                <a:sysClr val="windowText" lastClr="000000"/>
              </a:solidFill>
            </a:ln>
          </c:spPr>
          <c:invertIfNegative val="0"/>
          <c:dLbls>
            <c:dLbl>
              <c:idx val="5"/>
              <c:layout>
                <c:manualLayout>
                  <c:x val="2.8473903685768829E-2"/>
                  <c:y val="2.0216723273491832E-7"/>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Sheet1!$H$2:$H$11</c:f>
              <c:numCache>
                <c:formatCode>0.0</c:formatCode>
                <c:ptCount val="10"/>
                <c:pt idx="0">
                  <c:v>1.1000000000000001</c:v>
                </c:pt>
                <c:pt idx="1">
                  <c:v>1.4</c:v>
                </c:pt>
                <c:pt idx="2">
                  <c:v>0.70000000000000062</c:v>
                </c:pt>
                <c:pt idx="3">
                  <c:v>1.1000000000000001</c:v>
                </c:pt>
                <c:pt idx="4">
                  <c:v>0.5</c:v>
                </c:pt>
                <c:pt idx="5">
                  <c:v>2</c:v>
                </c:pt>
                <c:pt idx="6">
                  <c:v>0.30000000000000032</c:v>
                </c:pt>
                <c:pt idx="7">
                  <c:v>1.2</c:v>
                </c:pt>
                <c:pt idx="8">
                  <c:v>1.1000000000000001</c:v>
                </c:pt>
                <c:pt idx="9">
                  <c:v>1</c:v>
                </c:pt>
              </c:numCache>
            </c:numRef>
          </c:val>
        </c:ser>
        <c:dLbls>
          <c:showLegendKey val="0"/>
          <c:showVal val="0"/>
          <c:showCatName val="0"/>
          <c:showSerName val="0"/>
          <c:showPercent val="0"/>
          <c:showBubbleSize val="0"/>
        </c:dLbls>
        <c:gapWidth val="90"/>
        <c:overlap val="100"/>
        <c:axId val="233672064"/>
        <c:axId val="233698432"/>
      </c:barChart>
      <c:catAx>
        <c:axId val="23367206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33698432"/>
        <c:crosses val="autoZero"/>
        <c:auto val="1"/>
        <c:lblAlgn val="ctr"/>
        <c:lblOffset val="100"/>
        <c:noMultiLvlLbl val="0"/>
      </c:catAx>
      <c:valAx>
        <c:axId val="23369843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33672064"/>
        <c:crosses val="autoZero"/>
        <c:crossBetween val="between"/>
        <c:majorUnit val="0.1"/>
      </c:valAx>
    </c:plotArea>
    <c:legend>
      <c:legendPos val="r"/>
      <c:layout>
        <c:manualLayout>
          <c:xMode val="edge"/>
          <c:yMode val="edge"/>
          <c:x val="1.427451376270274E-2"/>
          <c:y val="1.8843625254239191E-3"/>
          <c:w val="0.96732634170917287"/>
          <c:h val="0.1869278189937240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6191703991726369"/>
          <c:w val="0.68635495640445165"/>
          <c:h val="0.82716956882254511"/>
        </c:manualLayout>
      </c:layout>
      <c:barChart>
        <c:barDir val="bar"/>
        <c:grouping val="percentStacked"/>
        <c:varyColors val="0"/>
        <c:ser>
          <c:idx val="0"/>
          <c:order val="0"/>
          <c:tx>
            <c:strRef>
              <c:f>Sheet1!$B$1</c:f>
              <c:strCache>
                <c:ptCount val="1"/>
                <c:pt idx="0">
                  <c:v>自宅で暮らしながら、訪問診療や訪問看護などにより在宅医療を受ける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16"/>
              <c:layout>
                <c:manualLayout>
                  <c:x val="-1.2387056657175941E-2"/>
                  <c:y val="4.4440958141414409E-5"/>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27.9</c:v>
                </c:pt>
                <c:pt idx="1">
                  <c:v>23.7</c:v>
                </c:pt>
                <c:pt idx="2">
                  <c:v>22.2</c:v>
                </c:pt>
                <c:pt idx="3">
                  <c:v>20.3</c:v>
                </c:pt>
                <c:pt idx="4">
                  <c:v>28.4</c:v>
                </c:pt>
                <c:pt idx="5">
                  <c:v>34.4</c:v>
                </c:pt>
                <c:pt idx="6">
                  <c:v>26.1</c:v>
                </c:pt>
                <c:pt idx="7">
                  <c:v>26.6</c:v>
                </c:pt>
                <c:pt idx="8">
                  <c:v>27.3</c:v>
                </c:pt>
                <c:pt idx="9">
                  <c:v>26.8</c:v>
                </c:pt>
                <c:pt idx="10">
                  <c:v>27.6</c:v>
                </c:pt>
                <c:pt idx="11">
                  <c:v>23.8</c:v>
                </c:pt>
                <c:pt idx="12">
                  <c:v>30</c:v>
                </c:pt>
                <c:pt idx="13">
                  <c:v>29.7</c:v>
                </c:pt>
                <c:pt idx="14">
                  <c:v>24.6</c:v>
                </c:pt>
                <c:pt idx="15">
                  <c:v>28.4</c:v>
                </c:pt>
                <c:pt idx="16">
                  <c:v>29.4</c:v>
                </c:pt>
                <c:pt idx="17">
                  <c:v>31.7</c:v>
                </c:pt>
                <c:pt idx="18">
                  <c:v>25.5</c:v>
                </c:pt>
                <c:pt idx="19">
                  <c:v>22</c:v>
                </c:pt>
                <c:pt idx="20">
                  <c:v>25.4</c:v>
                </c:pt>
              </c:numCache>
            </c:numRef>
          </c:val>
        </c:ser>
        <c:ser>
          <c:idx val="1"/>
          <c:order val="1"/>
          <c:tx>
            <c:strRef>
              <c:f>Sheet1!$C$1</c:f>
              <c:strCache>
                <c:ptCount val="1"/>
                <c:pt idx="0">
                  <c:v>家族などの介護を受けて病院に通院する</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13.9</c:v>
                </c:pt>
                <c:pt idx="1">
                  <c:v>10.3</c:v>
                </c:pt>
                <c:pt idx="2">
                  <c:v>33.300000000000004</c:v>
                </c:pt>
                <c:pt idx="3">
                  <c:v>20.3</c:v>
                </c:pt>
                <c:pt idx="4">
                  <c:v>11.5</c:v>
                </c:pt>
                <c:pt idx="5">
                  <c:v>12.1</c:v>
                </c:pt>
                <c:pt idx="6">
                  <c:v>10.8</c:v>
                </c:pt>
                <c:pt idx="7">
                  <c:v>14.1</c:v>
                </c:pt>
                <c:pt idx="8">
                  <c:v>27.3</c:v>
                </c:pt>
                <c:pt idx="9">
                  <c:v>18.8</c:v>
                </c:pt>
                <c:pt idx="10">
                  <c:v>17.2</c:v>
                </c:pt>
                <c:pt idx="11">
                  <c:v>15.9</c:v>
                </c:pt>
                <c:pt idx="12">
                  <c:v>12.4</c:v>
                </c:pt>
                <c:pt idx="13">
                  <c:v>14.1</c:v>
                </c:pt>
                <c:pt idx="14">
                  <c:v>8.8000000000000007</c:v>
                </c:pt>
                <c:pt idx="15">
                  <c:v>15.7</c:v>
                </c:pt>
                <c:pt idx="16">
                  <c:v>11.8</c:v>
                </c:pt>
                <c:pt idx="17">
                  <c:v>14.3</c:v>
                </c:pt>
                <c:pt idx="18">
                  <c:v>13.7</c:v>
                </c:pt>
                <c:pt idx="19">
                  <c:v>15.4</c:v>
                </c:pt>
                <c:pt idx="20">
                  <c:v>13.4</c:v>
                </c:pt>
              </c:numCache>
            </c:numRef>
          </c:val>
        </c:ser>
        <c:ser>
          <c:idx val="2"/>
          <c:order val="2"/>
          <c:tx>
            <c:strRef>
              <c:f>Sheet1!$D$1</c:f>
              <c:strCache>
                <c:ptCount val="1"/>
                <c:pt idx="0">
                  <c:v>特別養護老人ホームなどの介護施設に入所して療養する</c:v>
                </c:pt>
              </c:strCache>
            </c:strRef>
          </c:tx>
          <c:spPr>
            <a:pattFill prst="pct50">
              <a:fgClr>
                <a:sysClr val="windowText" lastClr="000000"/>
              </a:fgClr>
              <a:bgClr>
                <a:sysClr val="window" lastClr="FFFFFF"/>
              </a:bgClr>
            </a:pattFill>
            <a:ln>
              <a:solidFill>
                <a:sysClr val="windowText" lastClr="000000"/>
              </a:solidFill>
            </a:ln>
          </c:spPr>
          <c:invertIfNegative val="0"/>
          <c:dLbls>
            <c:dLbl>
              <c:idx val="1"/>
              <c:layout>
                <c:manualLayout>
                  <c:x val="2.0630279402210037E-3"/>
                  <c:y val="-1.75511332227750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2"/>
              <c:delete val="1"/>
            </c:dLbl>
            <c:dLbl>
              <c:idx val="6"/>
              <c:layout>
                <c:manualLayout>
                  <c:x val="0"/>
                  <c:y val="-1.75511332227750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7"/>
              <c:layout>
                <c:manualLayout>
                  <c:x val="-2.0630279402210037E-3"/>
                  <c:y val="-1.755113322277508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0"/>
              <c:layout>
                <c:manualLayout>
                  <c:x val="2.0630279402210037E-3"/>
                  <c:y val="-1.75511332227750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2"/>
              <c:layout>
                <c:manualLayout>
                  <c:x val="7.56434839681244E-17"/>
                  <c:y val="-1.93062465450525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4"/>
              <c:layout>
                <c:manualLayout>
                  <c:x val="0"/>
                  <c:y val="-1.75511332227750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5"/>
              <c:layout>
                <c:manualLayout>
                  <c:x val="-4.1260558804419208E-3"/>
                  <c:y val="-1.93062465450525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7"/>
              <c:layout>
                <c:manualLayout>
                  <c:x val="7.56434839681244E-17"/>
                  <c:y val="-1.93062465450525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9"/>
              <c:layout>
                <c:manualLayout>
                  <c:x val="-2.0630279402210037E-3"/>
                  <c:y val="-1.755113322277502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8.3000000000000007</c:v>
                </c:pt>
                <c:pt idx="1">
                  <c:v>5.2</c:v>
                </c:pt>
                <c:pt idx="2">
                  <c:v>0</c:v>
                </c:pt>
                <c:pt idx="3">
                  <c:v>11.6</c:v>
                </c:pt>
                <c:pt idx="4">
                  <c:v>10.1</c:v>
                </c:pt>
                <c:pt idx="5">
                  <c:v>9.6</c:v>
                </c:pt>
                <c:pt idx="6">
                  <c:v>4.9000000000000004</c:v>
                </c:pt>
                <c:pt idx="7">
                  <c:v>4.7</c:v>
                </c:pt>
                <c:pt idx="8">
                  <c:v>13.6</c:v>
                </c:pt>
                <c:pt idx="9">
                  <c:v>13.4</c:v>
                </c:pt>
                <c:pt idx="10">
                  <c:v>1.7</c:v>
                </c:pt>
                <c:pt idx="11">
                  <c:v>11.6</c:v>
                </c:pt>
                <c:pt idx="12">
                  <c:v>3.5</c:v>
                </c:pt>
                <c:pt idx="13">
                  <c:v>8.9</c:v>
                </c:pt>
                <c:pt idx="14">
                  <c:v>7</c:v>
                </c:pt>
                <c:pt idx="15">
                  <c:v>6.1</c:v>
                </c:pt>
                <c:pt idx="16">
                  <c:v>8.8000000000000007</c:v>
                </c:pt>
                <c:pt idx="17">
                  <c:v>5.6</c:v>
                </c:pt>
                <c:pt idx="18">
                  <c:v>7.8</c:v>
                </c:pt>
                <c:pt idx="19">
                  <c:v>6.5</c:v>
                </c:pt>
                <c:pt idx="20">
                  <c:v>10.9</c:v>
                </c:pt>
              </c:numCache>
            </c:numRef>
          </c:val>
        </c:ser>
        <c:ser>
          <c:idx val="3"/>
          <c:order val="3"/>
          <c:tx>
            <c:strRef>
              <c:f>Sheet1!$E$1</c:f>
              <c:strCache>
                <c:ptCount val="1"/>
                <c:pt idx="0">
                  <c:v>病院に入院して診療を受ける</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31.1</c:v>
                </c:pt>
                <c:pt idx="1">
                  <c:v>41.2</c:v>
                </c:pt>
                <c:pt idx="2">
                  <c:v>33.300000000000004</c:v>
                </c:pt>
                <c:pt idx="3">
                  <c:v>27.5</c:v>
                </c:pt>
                <c:pt idx="4">
                  <c:v>31.2</c:v>
                </c:pt>
                <c:pt idx="5">
                  <c:v>25.9</c:v>
                </c:pt>
                <c:pt idx="6">
                  <c:v>33.5</c:v>
                </c:pt>
                <c:pt idx="7">
                  <c:v>39.1</c:v>
                </c:pt>
                <c:pt idx="8">
                  <c:v>22.7</c:v>
                </c:pt>
                <c:pt idx="9">
                  <c:v>25.5</c:v>
                </c:pt>
                <c:pt idx="10">
                  <c:v>34.5</c:v>
                </c:pt>
                <c:pt idx="11">
                  <c:v>33.300000000000004</c:v>
                </c:pt>
                <c:pt idx="12">
                  <c:v>32.4</c:v>
                </c:pt>
                <c:pt idx="13">
                  <c:v>28.6</c:v>
                </c:pt>
                <c:pt idx="14">
                  <c:v>40.4</c:v>
                </c:pt>
                <c:pt idx="15">
                  <c:v>31.9</c:v>
                </c:pt>
                <c:pt idx="16">
                  <c:v>32.4</c:v>
                </c:pt>
                <c:pt idx="17">
                  <c:v>31.7</c:v>
                </c:pt>
                <c:pt idx="18">
                  <c:v>35.300000000000004</c:v>
                </c:pt>
                <c:pt idx="19">
                  <c:v>37.4</c:v>
                </c:pt>
                <c:pt idx="20">
                  <c:v>29.4</c:v>
                </c:pt>
              </c:numCache>
            </c:numRef>
          </c:val>
        </c:ser>
        <c:ser>
          <c:idx val="4"/>
          <c:order val="4"/>
          <c:tx>
            <c:strRef>
              <c:f>Sheet1!$F$1</c:f>
              <c:strCache>
                <c:ptCount val="1"/>
                <c:pt idx="0">
                  <c:v>その他</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0"/>
                  <c:y val="-1.930624654505252E-2"/>
                </c:manualLayout>
              </c:layout>
              <c:dLblPos val="ctr"/>
              <c:showLegendKey val="0"/>
              <c:showVal val="1"/>
              <c:showCatName val="0"/>
              <c:showSerName val="0"/>
              <c:showPercent val="0"/>
              <c:showBubbleSize val="0"/>
            </c:dLbl>
            <c:dLbl>
              <c:idx val="1"/>
              <c:layout>
                <c:manualLayout>
                  <c:x val="0"/>
                  <c:y val="-1.930624654505252E-2"/>
                </c:manualLayout>
              </c:layout>
              <c:dLblPos val="ctr"/>
              <c:showLegendKey val="0"/>
              <c:showVal val="1"/>
              <c:showCatName val="0"/>
              <c:showSerName val="0"/>
              <c:showPercent val="0"/>
              <c:showBubbleSize val="0"/>
            </c:dLbl>
            <c:dLbl>
              <c:idx val="2"/>
              <c:delete val="1"/>
            </c:dLbl>
            <c:dLbl>
              <c:idx val="3"/>
              <c:delete val="1"/>
            </c:dLbl>
            <c:dLbl>
              <c:idx val="4"/>
              <c:layout>
                <c:manualLayout>
                  <c:x val="2.0630279402210037E-3"/>
                  <c:y val="-1.930624654505252E-2"/>
                </c:manualLayout>
              </c:layout>
              <c:dLblPos val="ctr"/>
              <c:showLegendKey val="0"/>
              <c:showVal val="1"/>
              <c:showCatName val="0"/>
              <c:showSerName val="0"/>
              <c:showPercent val="0"/>
              <c:showBubbleSize val="0"/>
            </c:dLbl>
            <c:dLbl>
              <c:idx val="5"/>
              <c:layout>
                <c:manualLayout>
                  <c:x val="0"/>
                  <c:y val="-1.7551133222775021E-2"/>
                </c:manualLayout>
              </c:layout>
              <c:dLblPos val="ctr"/>
              <c:showLegendKey val="0"/>
              <c:showVal val="1"/>
              <c:showCatName val="0"/>
              <c:showSerName val="0"/>
              <c:showPercent val="0"/>
              <c:showBubbleSize val="0"/>
            </c:dLbl>
            <c:dLbl>
              <c:idx val="6"/>
              <c:layout>
                <c:manualLayout>
                  <c:x val="2.0630279402210037E-3"/>
                  <c:y val="-1.7551133222775021E-2"/>
                </c:manualLayout>
              </c:layout>
              <c:dLblPos val="ctr"/>
              <c:showLegendKey val="0"/>
              <c:showVal val="1"/>
              <c:showCatName val="0"/>
              <c:showSerName val="0"/>
              <c:showPercent val="0"/>
              <c:showBubbleSize val="0"/>
            </c:dLbl>
            <c:dLbl>
              <c:idx val="7"/>
              <c:delete val="1"/>
            </c:dLbl>
            <c:dLbl>
              <c:idx val="8"/>
              <c:delete val="1"/>
            </c:dLbl>
            <c:dLbl>
              <c:idx val="9"/>
              <c:layout>
                <c:manualLayout>
                  <c:x val="0"/>
                  <c:y val="-1.9306246545052457E-2"/>
                </c:manualLayout>
              </c:layout>
              <c:dLblPos val="ctr"/>
              <c:showLegendKey val="0"/>
              <c:showVal val="1"/>
              <c:showCatName val="0"/>
              <c:showSerName val="0"/>
              <c:showPercent val="0"/>
              <c:showBubbleSize val="0"/>
            </c:dLbl>
            <c:dLbl>
              <c:idx val="10"/>
              <c:layout>
                <c:manualLayout>
                  <c:x val="2.0630279402210037E-3"/>
                  <c:y val="-1.930624654505252E-2"/>
                </c:manualLayout>
              </c:layout>
              <c:dLblPos val="ctr"/>
              <c:showLegendKey val="0"/>
              <c:showVal val="1"/>
              <c:showCatName val="0"/>
              <c:showSerName val="0"/>
              <c:showPercent val="0"/>
              <c:showBubbleSize val="0"/>
            </c:dLbl>
            <c:dLbl>
              <c:idx val="11"/>
              <c:delete val="1"/>
            </c:dLbl>
            <c:dLbl>
              <c:idx val="12"/>
              <c:layout>
                <c:manualLayout>
                  <c:x val="0"/>
                  <c:y val="-1.930624654505252E-2"/>
                </c:manualLayout>
              </c:layout>
              <c:dLblPos val="ctr"/>
              <c:showLegendKey val="0"/>
              <c:showVal val="1"/>
              <c:showCatName val="0"/>
              <c:showSerName val="0"/>
              <c:showPercent val="0"/>
              <c:showBubbleSize val="0"/>
            </c:dLbl>
            <c:dLbl>
              <c:idx val="13"/>
              <c:layout>
                <c:manualLayout>
                  <c:x val="2.0630279402210037E-3"/>
                  <c:y val="-1.930624654505252E-2"/>
                </c:manualLayout>
              </c:layout>
              <c:dLblPos val="ctr"/>
              <c:showLegendKey val="0"/>
              <c:showVal val="1"/>
              <c:showCatName val="0"/>
              <c:showSerName val="0"/>
              <c:showPercent val="0"/>
              <c:showBubbleSize val="0"/>
            </c:dLbl>
            <c:dLbl>
              <c:idx val="14"/>
              <c:layout>
                <c:manualLayout>
                  <c:x val="0"/>
                  <c:y val="-1.930624654505252E-2"/>
                </c:manualLayout>
              </c:layout>
              <c:dLblPos val="ctr"/>
              <c:showLegendKey val="0"/>
              <c:showVal val="1"/>
              <c:showCatName val="0"/>
              <c:showSerName val="0"/>
              <c:showPercent val="0"/>
              <c:showBubbleSize val="0"/>
            </c:dLbl>
            <c:dLbl>
              <c:idx val="15"/>
              <c:layout>
                <c:manualLayout>
                  <c:x val="0"/>
                  <c:y val="-1.930624654505252E-2"/>
                </c:manualLayout>
              </c:layout>
              <c:dLblPos val="ctr"/>
              <c:showLegendKey val="0"/>
              <c:showVal val="1"/>
              <c:showCatName val="0"/>
              <c:showSerName val="0"/>
              <c:showPercent val="0"/>
              <c:showBubbleSize val="0"/>
            </c:dLbl>
            <c:dLbl>
              <c:idx val="16"/>
              <c:delete val="1"/>
            </c:dLbl>
            <c:dLbl>
              <c:idx val="17"/>
              <c:layout>
                <c:manualLayout>
                  <c:x val="0"/>
                  <c:y val="-1.930624654505252E-2"/>
                </c:manualLayout>
              </c:layout>
              <c:dLblPos val="ctr"/>
              <c:showLegendKey val="0"/>
              <c:showVal val="1"/>
              <c:showCatName val="0"/>
              <c:showSerName val="0"/>
              <c:showPercent val="0"/>
              <c:showBubbleSize val="0"/>
            </c:dLbl>
            <c:dLbl>
              <c:idx val="18"/>
              <c:layout>
                <c:manualLayout>
                  <c:x val="2.0630279402210037E-3"/>
                  <c:y val="-1.7551133222775021E-2"/>
                </c:manualLayout>
              </c:layout>
              <c:dLblPos val="ctr"/>
              <c:showLegendKey val="0"/>
              <c:showVal val="1"/>
              <c:showCatName val="0"/>
              <c:showSerName val="0"/>
              <c:showPercent val="0"/>
              <c:showBubbleSize val="0"/>
            </c:dLbl>
            <c:dLbl>
              <c:idx val="19"/>
              <c:delete val="1"/>
            </c:dLbl>
            <c:dLbl>
              <c:idx val="20"/>
              <c:layout>
                <c:manualLayout>
                  <c:x val="-2.0630279402210037E-3"/>
                  <c:y val="-1.930624654505252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1.2</c:v>
                </c:pt>
                <c:pt idx="1">
                  <c:v>1</c:v>
                </c:pt>
                <c:pt idx="2">
                  <c:v>0</c:v>
                </c:pt>
                <c:pt idx="3">
                  <c:v>0</c:v>
                </c:pt>
                <c:pt idx="4">
                  <c:v>1.8</c:v>
                </c:pt>
                <c:pt idx="5">
                  <c:v>1.4</c:v>
                </c:pt>
                <c:pt idx="6">
                  <c:v>1.5</c:v>
                </c:pt>
                <c:pt idx="7">
                  <c:v>0</c:v>
                </c:pt>
                <c:pt idx="8">
                  <c:v>0</c:v>
                </c:pt>
                <c:pt idx="9">
                  <c:v>0.70000000000000062</c:v>
                </c:pt>
                <c:pt idx="10">
                  <c:v>1.7</c:v>
                </c:pt>
                <c:pt idx="11">
                  <c:v>0</c:v>
                </c:pt>
                <c:pt idx="12">
                  <c:v>2.9</c:v>
                </c:pt>
                <c:pt idx="13">
                  <c:v>1.5</c:v>
                </c:pt>
                <c:pt idx="14">
                  <c:v>0.9</c:v>
                </c:pt>
                <c:pt idx="15">
                  <c:v>0.4</c:v>
                </c:pt>
                <c:pt idx="16">
                  <c:v>0</c:v>
                </c:pt>
                <c:pt idx="17">
                  <c:v>3.2</c:v>
                </c:pt>
                <c:pt idx="18">
                  <c:v>3.9</c:v>
                </c:pt>
                <c:pt idx="19">
                  <c:v>0</c:v>
                </c:pt>
                <c:pt idx="20">
                  <c:v>0.5</c:v>
                </c:pt>
              </c:numCache>
            </c:numRef>
          </c:val>
        </c:ser>
        <c:ser>
          <c:idx val="5"/>
          <c:order val="5"/>
          <c:tx>
            <c:strRef>
              <c:f>Sheet1!$G$1</c:f>
              <c:strCache>
                <c:ptCount val="1"/>
                <c:pt idx="0">
                  <c:v>わからない</c:v>
                </c:pt>
              </c:strCache>
            </c:strRef>
          </c:tx>
          <c:spPr>
            <a:pattFill prst="ltUp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16.5</c:v>
                </c:pt>
                <c:pt idx="1">
                  <c:v>18.600000000000001</c:v>
                </c:pt>
                <c:pt idx="2">
                  <c:v>11.1</c:v>
                </c:pt>
                <c:pt idx="3">
                  <c:v>20.3</c:v>
                </c:pt>
                <c:pt idx="4">
                  <c:v>16.100000000000001</c:v>
                </c:pt>
                <c:pt idx="5">
                  <c:v>15.6</c:v>
                </c:pt>
                <c:pt idx="6">
                  <c:v>22.2</c:v>
                </c:pt>
                <c:pt idx="7">
                  <c:v>14.1</c:v>
                </c:pt>
                <c:pt idx="8">
                  <c:v>9.1</c:v>
                </c:pt>
                <c:pt idx="9">
                  <c:v>12.8</c:v>
                </c:pt>
                <c:pt idx="10">
                  <c:v>16.399999999999999</c:v>
                </c:pt>
                <c:pt idx="11">
                  <c:v>14.8</c:v>
                </c:pt>
                <c:pt idx="12">
                  <c:v>17.100000000000001</c:v>
                </c:pt>
                <c:pt idx="13">
                  <c:v>16.3</c:v>
                </c:pt>
                <c:pt idx="14">
                  <c:v>16.7</c:v>
                </c:pt>
                <c:pt idx="15">
                  <c:v>16.2</c:v>
                </c:pt>
                <c:pt idx="16">
                  <c:v>17.600000000000001</c:v>
                </c:pt>
                <c:pt idx="17">
                  <c:v>11.1</c:v>
                </c:pt>
                <c:pt idx="18">
                  <c:v>13.7</c:v>
                </c:pt>
                <c:pt idx="19">
                  <c:v>18.7</c:v>
                </c:pt>
                <c:pt idx="20">
                  <c:v>19.899999999999999</c:v>
                </c:pt>
              </c:numCache>
            </c:numRef>
          </c:val>
        </c:ser>
        <c:ser>
          <c:idx val="6"/>
          <c:order val="6"/>
          <c:tx>
            <c:strRef>
              <c:f>Sheet1!$H$1</c:f>
              <c:strCache>
                <c:ptCount val="1"/>
                <c:pt idx="0">
                  <c:v>無回答</c:v>
                </c:pt>
              </c:strCache>
            </c:strRef>
          </c:tx>
          <c:spPr>
            <a:pattFill prst="pct60">
              <a:fgClr>
                <a:sysClr val="windowText" lastClr="000000"/>
              </a:fgClr>
              <a:bgClr>
                <a:sysClr val="window" lastClr="FFFFFF"/>
              </a:bgClr>
            </a:pattFill>
            <a:ln>
              <a:solidFill>
                <a:sysClr val="windowText" lastClr="000000"/>
              </a:solidFill>
            </a:ln>
          </c:spPr>
          <c:invertIfNegative val="0"/>
          <c:dLbls>
            <c:dLbl>
              <c:idx val="1"/>
              <c:delete val="1"/>
            </c:dLbl>
            <c:dLbl>
              <c:idx val="2"/>
              <c:delete val="1"/>
            </c:dLbl>
            <c:dLbl>
              <c:idx val="3"/>
              <c:delete val="1"/>
            </c:dLbl>
            <c:dLbl>
              <c:idx val="8"/>
              <c:delete val="1"/>
            </c:dLbl>
            <c:dLbl>
              <c:idx val="9"/>
              <c:layout>
                <c:manualLayout>
                  <c:x val="2.9497400909681608E-2"/>
                  <c:y val="6.4353411734076818E-17"/>
                </c:manualLayout>
              </c:layout>
              <c:dLblPos val="ctr"/>
              <c:showLegendKey val="0"/>
              <c:showVal val="1"/>
              <c:showCatName val="0"/>
              <c:showSerName val="0"/>
              <c:showPercent val="0"/>
              <c:showBubbleSize val="0"/>
            </c:dLbl>
            <c:dLbl>
              <c:idx val="12"/>
              <c:layout>
                <c:manualLayout>
                  <c:x val="2.8126868096166338E-2"/>
                  <c:y val="0"/>
                </c:manualLayout>
              </c:layout>
              <c:dLblPos val="ctr"/>
              <c:showLegendKey val="0"/>
              <c:showVal val="1"/>
              <c:showCatName val="0"/>
              <c:showSerName val="0"/>
              <c:showPercent val="0"/>
              <c:showBubbleSize val="0"/>
            </c:dLbl>
            <c:dLbl>
              <c:idx val="14"/>
              <c:layout>
                <c:manualLayout>
                  <c:x val="2.8133040935672551E-2"/>
                  <c:y val="0"/>
                </c:manualLayout>
              </c:layout>
              <c:dLblPos val="ctr"/>
              <c:showLegendKey val="0"/>
              <c:showVal val="1"/>
              <c:showCatName val="0"/>
              <c:showSerName val="0"/>
              <c:showPercent val="0"/>
              <c:showBubbleSize val="0"/>
            </c:dLbl>
            <c:dLbl>
              <c:idx val="15"/>
              <c:layout>
                <c:manualLayout>
                  <c:x val="2.7777940220923662E-2"/>
                  <c:y val="0"/>
                </c:manualLayout>
              </c:layout>
              <c:dLblPos val="ctr"/>
              <c:showLegendKey val="0"/>
              <c:showVal val="1"/>
              <c:showCatName val="0"/>
              <c:showSerName val="0"/>
              <c:showPercent val="0"/>
              <c:showBubbleSize val="0"/>
            </c:dLbl>
            <c:dLbl>
              <c:idx val="16"/>
              <c:delete val="1"/>
            </c:dLbl>
            <c:dLbl>
              <c:idx val="17"/>
              <c:layout>
                <c:manualLayout>
                  <c:x val="2.3998538011695908E-2"/>
                  <c:y val="-1.7551133222775041E-3"/>
                </c:manualLayout>
              </c:layout>
              <c:dLblPos val="ctr"/>
              <c:showLegendKey val="0"/>
              <c:showVal val="1"/>
              <c:showCatName val="0"/>
              <c:showSerName val="0"/>
              <c:showPercent val="0"/>
              <c:showBubbleSize val="0"/>
            </c:dLbl>
            <c:dLbl>
              <c:idx val="18"/>
              <c:delete val="1"/>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Sheet1!$H$2:$H$22</c:f>
              <c:numCache>
                <c:formatCode>0.0</c:formatCode>
                <c:ptCount val="21"/>
                <c:pt idx="0">
                  <c:v>1.1000000000000001</c:v>
                </c:pt>
                <c:pt idx="1">
                  <c:v>0</c:v>
                </c:pt>
                <c:pt idx="2">
                  <c:v>0</c:v>
                </c:pt>
                <c:pt idx="3">
                  <c:v>0</c:v>
                </c:pt>
                <c:pt idx="4">
                  <c:v>0.9</c:v>
                </c:pt>
                <c:pt idx="5">
                  <c:v>1.1000000000000001</c:v>
                </c:pt>
                <c:pt idx="6">
                  <c:v>1</c:v>
                </c:pt>
                <c:pt idx="7">
                  <c:v>1.6</c:v>
                </c:pt>
                <c:pt idx="8">
                  <c:v>0</c:v>
                </c:pt>
                <c:pt idx="9">
                  <c:v>2</c:v>
                </c:pt>
                <c:pt idx="10">
                  <c:v>0.9</c:v>
                </c:pt>
                <c:pt idx="11">
                  <c:v>0.5</c:v>
                </c:pt>
                <c:pt idx="12">
                  <c:v>1.8</c:v>
                </c:pt>
                <c:pt idx="13">
                  <c:v>0.8</c:v>
                </c:pt>
                <c:pt idx="14">
                  <c:v>1.8</c:v>
                </c:pt>
                <c:pt idx="15">
                  <c:v>1.3</c:v>
                </c:pt>
                <c:pt idx="16">
                  <c:v>0</c:v>
                </c:pt>
                <c:pt idx="17">
                  <c:v>2.4</c:v>
                </c:pt>
                <c:pt idx="18">
                  <c:v>0</c:v>
                </c:pt>
                <c:pt idx="19">
                  <c:v>0</c:v>
                </c:pt>
                <c:pt idx="20">
                  <c:v>0.5</c:v>
                </c:pt>
              </c:numCache>
            </c:numRef>
          </c:val>
        </c:ser>
        <c:dLbls>
          <c:showLegendKey val="0"/>
          <c:showVal val="0"/>
          <c:showCatName val="0"/>
          <c:showSerName val="0"/>
          <c:showPercent val="0"/>
          <c:showBubbleSize val="0"/>
        </c:dLbls>
        <c:gapWidth val="70"/>
        <c:overlap val="100"/>
        <c:axId val="230137216"/>
        <c:axId val="230171776"/>
      </c:barChart>
      <c:catAx>
        <c:axId val="2301372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0171776"/>
        <c:crosses val="autoZero"/>
        <c:auto val="1"/>
        <c:lblAlgn val="ctr"/>
        <c:lblOffset val="100"/>
        <c:noMultiLvlLbl val="0"/>
      </c:catAx>
      <c:valAx>
        <c:axId val="23017177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0137216"/>
        <c:crosses val="autoZero"/>
        <c:crossBetween val="between"/>
      </c:valAx>
    </c:plotArea>
    <c:legend>
      <c:legendPos val="r"/>
      <c:layout>
        <c:manualLayout>
          <c:xMode val="edge"/>
          <c:yMode val="edge"/>
          <c:x val="1.5873454310302414E-2"/>
          <c:y val="1.4755659492010661E-3"/>
          <c:w val="0.98412654320987669"/>
          <c:h val="0.13142288557214288"/>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676109260790065E-2"/>
          <c:y val="4.5950458293195877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4.1677756122117778E-2"/>
                  <c:y val="2.8949312795102686E-2"/>
                </c:manualLayout>
              </c:layout>
              <c:tx>
                <c:rich>
                  <a:bodyPr/>
                  <a:lstStyle/>
                  <a:p>
                    <a:r>
                      <a:rPr lang="en-US" altLang="en-US"/>
                      <a:t>1</a:t>
                    </a:r>
                    <a:r>
                      <a:rPr lang="en-US" altLang="en-US" b="1"/>
                      <a:t>.6</a:t>
                    </a:r>
                  </a:p>
                </c:rich>
              </c:tx>
              <c:dLblPos val="outEnd"/>
              <c:showLegendKey val="0"/>
              <c:showVal val="1"/>
              <c:showCatName val="0"/>
              <c:showSerName val="0"/>
              <c:showPercent val="0"/>
              <c:showBubbleSize val="0"/>
            </c:dLbl>
            <c:dLbl>
              <c:idx val="7"/>
              <c:layout>
                <c:manualLayout>
                  <c:x val="4.3761643928224132E-2"/>
                  <c:y val="2.8949478868858288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Sheet1!$B$1:$J$1</c:f>
              <c:strCache>
                <c:ptCount val="9"/>
                <c:pt idx="0">
                  <c:v>家族の身体的・時間的な負担が大きくならない</c:v>
                </c:pt>
                <c:pt idx="1">
                  <c:v>経済的な負担が少ない</c:v>
                </c:pt>
                <c:pt idx="2">
                  <c:v>急に病状が悪化した場合に、すぐに入院できる医療機関がある</c:v>
                </c:pt>
                <c:pt idx="3">
                  <c:v>急に病状が悪化した場合に、すぐに往診してくれる医師や看護師がいる</c:v>
                </c:pt>
                <c:pt idx="4">
                  <c:v>家族が急な病気や用事で看護できなくなったときに、代わりに看護を引き受けてくれる施設がある</c:v>
                </c:pt>
                <c:pt idx="5">
                  <c:v>在宅での医療や介護について、いつでも相談できる先がある</c:v>
                </c:pt>
                <c:pt idx="6">
                  <c:v>現状でも特に問題がなく、在宅医療を受けられる</c:v>
                </c:pt>
                <c:pt idx="7">
                  <c:v>その他</c:v>
                </c:pt>
                <c:pt idx="8">
                  <c:v>わからない</c:v>
                </c:pt>
              </c:strCache>
            </c:strRef>
          </c:cat>
          <c:val>
            <c:numRef>
              <c:f>Sheet1!$B$2:$J$2</c:f>
              <c:numCache>
                <c:formatCode>General</c:formatCode>
                <c:ptCount val="9"/>
                <c:pt idx="0">
                  <c:v>46.5</c:v>
                </c:pt>
                <c:pt idx="1">
                  <c:v>44.4</c:v>
                </c:pt>
                <c:pt idx="2">
                  <c:v>28.9</c:v>
                </c:pt>
                <c:pt idx="3">
                  <c:v>24.9</c:v>
                </c:pt>
                <c:pt idx="4">
                  <c:v>15.7</c:v>
                </c:pt>
                <c:pt idx="5">
                  <c:v>12.2</c:v>
                </c:pt>
                <c:pt idx="6">
                  <c:v>1.6</c:v>
                </c:pt>
                <c:pt idx="7">
                  <c:v>1.4</c:v>
                </c:pt>
                <c:pt idx="8">
                  <c:v>6.7</c:v>
                </c:pt>
              </c:numCache>
            </c:numRef>
          </c:val>
        </c:ser>
        <c:dLbls>
          <c:showLegendKey val="0"/>
          <c:showVal val="1"/>
          <c:showCatName val="0"/>
          <c:showSerName val="0"/>
          <c:showPercent val="0"/>
          <c:showBubbleSize val="0"/>
        </c:dLbls>
        <c:gapWidth val="100"/>
        <c:axId val="234464000"/>
        <c:axId val="234465536"/>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4.0791666666666712E-2"/>
                  <c:y val="5.16877637130801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874999877034033E-2"/>
                  <c:y val="-4.35706639591125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541666666666672E-2"/>
                  <c:y val="-3.69198312236286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541713461271224E-2"/>
                  <c:y val="3.9039289498754216E-2"/>
                </c:manualLayout>
              </c:layout>
              <c:tx>
                <c:rich>
                  <a:bodyPr/>
                  <a:lstStyle/>
                  <a:p>
                    <a:r>
                      <a:rPr lang="en-US" altLang="en-US"/>
                      <a:t>23</a:t>
                    </a:r>
                    <a:r>
                      <a:rPr lang="en-US" altLang="ja-JP"/>
                      <a:t>.0</a:t>
                    </a:r>
                    <a:endParaRPr lang="en-US"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789428381712803E-2"/>
                  <c:y val="3.48197911865866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7035995638879551E-2"/>
                  <c:y val="3.27092943932857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5616172215072296E-2"/>
                  <c:y val="-5.5176457335999129E-2"/>
                </c:manualLayout>
              </c:layout>
              <c:dLblPos val="r"/>
              <c:showLegendKey val="0"/>
              <c:showVal val="1"/>
              <c:showCatName val="0"/>
              <c:showSerName val="0"/>
              <c:showPercent val="0"/>
              <c:showBubbleSize val="0"/>
            </c:dLbl>
            <c:dLbl>
              <c:idx val="7"/>
              <c:layout>
                <c:manualLayout>
                  <c:x val="-3.6628493200095084E-2"/>
                  <c:y val="-3.90306501353554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6027117643684048E-2"/>
                  <c:y val="-2.9856476914125782E-2"/>
                </c:manualLayout>
              </c:layout>
              <c:dLblPos val="r"/>
              <c:showLegendKey val="0"/>
              <c:showVal val="1"/>
              <c:showCatName val="0"/>
              <c:showSerName val="0"/>
              <c:showPercent val="0"/>
              <c:showBubbleSize val="0"/>
            </c:dLbl>
            <c:dLbl>
              <c:idx val="11"/>
              <c:layout>
                <c:manualLayout>
                  <c:x val="-3.7624999999999999E-2"/>
                  <c:y val="-6.43459915611815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5541666666666812E-2"/>
                  <c:y val="-0.10021097046413628"/>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85000"/>
                </a:sysClr>
              </a:solidFill>
              <a:ln>
                <a:solidFill>
                  <a:sysClr val="windowText" lastClr="000000"/>
                </a:solidFill>
              </a:ln>
            </c:spPr>
            <c:txPr>
              <a:bodyPr/>
              <a:lstStyle/>
              <a:p>
                <a:pPr>
                  <a:defRPr sz="900" b="1"/>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家族の身体的・時間的な負担が大きくならない</c:v>
                </c:pt>
                <c:pt idx="1">
                  <c:v>経済的な負担が少ない</c:v>
                </c:pt>
                <c:pt idx="2">
                  <c:v>急に病状が悪化した場合に、すぐに入院できる医療機関がある</c:v>
                </c:pt>
                <c:pt idx="3">
                  <c:v>急に病状が悪化した場合に、すぐに往診してくれる医師や看護師がいる</c:v>
                </c:pt>
                <c:pt idx="4">
                  <c:v>家族が急な病気や用事で看護できなくなったときに、代わりに看護を引き受けてくれる施設がある</c:v>
                </c:pt>
                <c:pt idx="5">
                  <c:v>在宅での医療や介護について、いつでも相談できる先がある</c:v>
                </c:pt>
                <c:pt idx="6">
                  <c:v>現状でも特に問題がなく、在宅医療を受けられる</c:v>
                </c:pt>
                <c:pt idx="7">
                  <c:v>その他</c:v>
                </c:pt>
                <c:pt idx="8">
                  <c:v>わからない</c:v>
                </c:pt>
              </c:strCache>
            </c:strRef>
          </c:cat>
          <c:val>
            <c:numRef>
              <c:f>Sheet1!$B$3:$J$3</c:f>
              <c:numCache>
                <c:formatCode>General</c:formatCode>
                <c:ptCount val="9"/>
                <c:pt idx="0">
                  <c:v>43.5</c:v>
                </c:pt>
                <c:pt idx="1">
                  <c:v>44.6</c:v>
                </c:pt>
                <c:pt idx="2">
                  <c:v>30.9</c:v>
                </c:pt>
                <c:pt idx="3">
                  <c:v>23</c:v>
                </c:pt>
                <c:pt idx="4">
                  <c:v>15.4</c:v>
                </c:pt>
                <c:pt idx="5">
                  <c:v>10.5</c:v>
                </c:pt>
                <c:pt idx="6">
                  <c:v>1.2</c:v>
                </c:pt>
                <c:pt idx="7">
                  <c:v>1.2</c:v>
                </c:pt>
                <c:pt idx="8">
                  <c:v>8.7000000000000011</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3.8521180172880497E-2"/>
                  <c:y val="4.191022610708893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dLbl>
            <c:dLbl>
              <c:idx val="2"/>
              <c:layout>
                <c:manualLayout>
                  <c:x val="-4.0624999999999988E-2"/>
                  <c:y val="3.2700421940928273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3"/>
              <c:spPr>
                <a:solidFill>
                  <a:sysClr val="window" lastClr="FFFFFF"/>
                </a:solidFill>
                <a:ln>
                  <a:solidFill>
                    <a:sysClr val="windowText" lastClr="000000"/>
                  </a:solidFill>
                </a:ln>
              </c:spPr>
              <c:txPr>
                <a:bodyPr/>
                <a:lstStyle/>
                <a:p>
                  <a:pPr>
                    <a:defRPr sz="900"/>
                  </a:pPr>
                  <a:endParaRPr lang="ja-JP"/>
                </a:p>
              </c:txPr>
              <c:dLblPos val="t"/>
              <c:showLegendKey val="0"/>
              <c:showVal val="1"/>
              <c:showCatName val="0"/>
              <c:showSerName val="0"/>
              <c:showPercent val="0"/>
              <c:showBubbleSize val="0"/>
            </c:dLbl>
            <c:dLbl>
              <c:idx val="4"/>
              <c:layout>
                <c:manualLayout>
                  <c:x val="-2.6050778113083612E-2"/>
                  <c:y val="-3.8306874838444388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624984629509704E-2"/>
                  <c:y val="-3.2709294393285751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5506816300097553E-2"/>
                  <c:y val="-8.6193433352794002E-2"/>
                </c:manualLayout>
              </c:layout>
              <c:dLblPos val="r"/>
              <c:showLegendKey val="0"/>
              <c:showVal val="1"/>
              <c:showCatName val="0"/>
              <c:showSerName val="0"/>
              <c:showPercent val="0"/>
              <c:showBubbleSize val="0"/>
            </c:dLbl>
            <c:dLbl>
              <c:idx val="7"/>
              <c:layout>
                <c:manualLayout>
                  <c:x val="-3.4378417372342956E-2"/>
                  <c:y val="-7.7019426273168032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5118031733509146E-2"/>
                  <c:y val="-2.4991443049738587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dLbl>
            <c:dLbl>
              <c:idx val="9"/>
              <c:layout>
                <c:manualLayout>
                  <c:x val="-3.8541666666666675E-2"/>
                  <c:y val="-3.4810126582278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ltLang="en-US" sz="900"/>
                      <a:t>11</a:t>
                    </a:r>
                    <a:r>
                      <a:rPr lang="en-US" altLang="ja-JP" sz="900"/>
                      <a:t>.0</a:t>
                    </a:r>
                    <a:endParaRPr lang="en-US" altLang="en-US"/>
                  </a:p>
                </c:rich>
              </c:tx>
              <c:dLblPos val="t"/>
              <c:showLegendKey val="0"/>
              <c:showVal val="1"/>
              <c:showCatName val="0"/>
              <c:showSerName val="0"/>
              <c:showPercent val="0"/>
              <c:showBubbleSize val="0"/>
              <c:extLst>
                <c:ext xmlns:c15="http://schemas.microsoft.com/office/drawing/2012/chart" uri="{CE6537A1-D6FC-4f65-9D91-7224C49458BB}"/>
              </c:extLst>
            </c:dLbl>
            <c:dLbl>
              <c:idx val="11"/>
              <c:layout>
                <c:manualLayout>
                  <c:x val="-3.5416666666666666E-2"/>
                  <c:y val="-4.32489451476792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333333333333334E-2"/>
                  <c:y val="-7.2784810126582333E-2"/>
                </c:manualLayout>
              </c:layout>
              <c:dLblPos val="r"/>
              <c:showLegendKey val="0"/>
              <c:showVal val="1"/>
              <c:showCatName val="0"/>
              <c:showSerName val="0"/>
              <c:showPercent val="0"/>
              <c:showBubbleSize val="0"/>
              <c:extLst>
                <c:ext xmlns:c15="http://schemas.microsoft.com/office/drawing/2012/chart" uri="{CE6537A1-D6FC-4f65-9D91-7224C49458BB}"/>
              </c:extLst>
            </c:dLbl>
            <c:spPr>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家族の身体的・時間的な負担が大きくならない</c:v>
                </c:pt>
                <c:pt idx="1">
                  <c:v>経済的な負担が少ない</c:v>
                </c:pt>
                <c:pt idx="2">
                  <c:v>急に病状が悪化した場合に、すぐに入院できる医療機関がある</c:v>
                </c:pt>
                <c:pt idx="3">
                  <c:v>急に病状が悪化した場合に、すぐに往診してくれる医師や看護師がいる</c:v>
                </c:pt>
                <c:pt idx="4">
                  <c:v>家族が急な病気や用事で看護できなくなったときに、代わりに看護を引き受けてくれる施設がある</c:v>
                </c:pt>
                <c:pt idx="5">
                  <c:v>在宅での医療や介護について、いつでも相談できる先がある</c:v>
                </c:pt>
                <c:pt idx="6">
                  <c:v>現状でも特に問題がなく、在宅医療を受けられる</c:v>
                </c:pt>
                <c:pt idx="7">
                  <c:v>その他</c:v>
                </c:pt>
                <c:pt idx="8">
                  <c:v>わからない</c:v>
                </c:pt>
              </c:strCache>
            </c:strRef>
          </c:cat>
          <c:val>
            <c:numRef>
              <c:f>Sheet1!$B$4:$J$4</c:f>
              <c:numCache>
                <c:formatCode>General</c:formatCode>
                <c:ptCount val="9"/>
                <c:pt idx="0">
                  <c:v>49.6</c:v>
                </c:pt>
                <c:pt idx="1">
                  <c:v>44.5</c:v>
                </c:pt>
                <c:pt idx="2">
                  <c:v>27.5</c:v>
                </c:pt>
                <c:pt idx="3">
                  <c:v>26.7</c:v>
                </c:pt>
                <c:pt idx="4">
                  <c:v>16.100000000000001</c:v>
                </c:pt>
                <c:pt idx="5">
                  <c:v>13.6</c:v>
                </c:pt>
                <c:pt idx="6">
                  <c:v>1.9000000000000001</c:v>
                </c:pt>
                <c:pt idx="7">
                  <c:v>1.5</c:v>
                </c:pt>
                <c:pt idx="8">
                  <c:v>4.5</c:v>
                </c:pt>
              </c:numCache>
            </c:numRef>
          </c:val>
          <c:smooth val="0"/>
        </c:ser>
        <c:dLbls>
          <c:showLegendKey val="0"/>
          <c:showVal val="0"/>
          <c:showCatName val="0"/>
          <c:showSerName val="0"/>
          <c:showPercent val="0"/>
          <c:showBubbleSize val="0"/>
        </c:dLbls>
        <c:marker val="1"/>
        <c:smooth val="0"/>
        <c:axId val="234464000"/>
        <c:axId val="234465536"/>
      </c:lineChart>
      <c:catAx>
        <c:axId val="234464000"/>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4465536"/>
        <c:crosses val="autoZero"/>
        <c:auto val="1"/>
        <c:lblAlgn val="ctr"/>
        <c:lblOffset val="100"/>
        <c:noMultiLvlLbl val="0"/>
      </c:catAx>
      <c:valAx>
        <c:axId val="234465536"/>
        <c:scaling>
          <c:orientation val="minMax"/>
          <c:max val="5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4464000"/>
        <c:crosses val="autoZero"/>
        <c:crossBetween val="between"/>
        <c:majorUnit val="10"/>
      </c:valAx>
      <c:spPr>
        <a:ln>
          <a:noFill/>
        </a:ln>
      </c:spPr>
    </c:plotArea>
    <c:legend>
      <c:legendPos val="b"/>
      <c:layout>
        <c:manualLayout>
          <c:xMode val="edge"/>
          <c:yMode val="edge"/>
          <c:x val="0.7559423545132028"/>
          <c:y val="7.9425894547992024E-2"/>
          <c:w val="0.18992072925803569"/>
          <c:h val="0.13060889900949699"/>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Sheet1!$B$2:$B$10</c:f>
              <c:numCache>
                <c:formatCode>0.0_);[Red]\(0.0\)</c:formatCode>
                <c:ptCount val="9"/>
                <c:pt idx="0">
                  <c:v>47.1</c:v>
                </c:pt>
                <c:pt idx="1">
                  <c:v>44.8</c:v>
                </c:pt>
                <c:pt idx="2">
                  <c:v>31</c:v>
                </c:pt>
                <c:pt idx="3">
                  <c:v>35.6</c:v>
                </c:pt>
                <c:pt idx="4">
                  <c:v>10.3</c:v>
                </c:pt>
                <c:pt idx="5">
                  <c:v>10.3</c:v>
                </c:pt>
                <c:pt idx="6">
                  <c:v>0</c:v>
                </c:pt>
                <c:pt idx="7">
                  <c:v>1.1000000000000001</c:v>
                </c:pt>
                <c:pt idx="8">
                  <c:v>5.7</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Sheet1!$C$2:$C$10</c:f>
              <c:numCache>
                <c:formatCode>0.0_);[Red]\(0.0\)</c:formatCode>
                <c:ptCount val="9"/>
                <c:pt idx="0">
                  <c:v>56.9</c:v>
                </c:pt>
                <c:pt idx="1">
                  <c:v>49</c:v>
                </c:pt>
                <c:pt idx="2">
                  <c:v>28.2</c:v>
                </c:pt>
                <c:pt idx="3">
                  <c:v>28.7</c:v>
                </c:pt>
                <c:pt idx="4">
                  <c:v>9.9</c:v>
                </c:pt>
                <c:pt idx="5">
                  <c:v>10.9</c:v>
                </c:pt>
                <c:pt idx="6">
                  <c:v>0.5</c:v>
                </c:pt>
                <c:pt idx="7">
                  <c:v>0.5</c:v>
                </c:pt>
                <c:pt idx="8">
                  <c:v>3</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Sheet1!$D$2:$D$10</c:f>
              <c:numCache>
                <c:formatCode>0.0_);[Red]\(0.0\)</c:formatCode>
                <c:ptCount val="9"/>
                <c:pt idx="0">
                  <c:v>55.3</c:v>
                </c:pt>
                <c:pt idx="1">
                  <c:v>48.6</c:v>
                </c:pt>
                <c:pt idx="2">
                  <c:v>21.7</c:v>
                </c:pt>
                <c:pt idx="3">
                  <c:v>27.7</c:v>
                </c:pt>
                <c:pt idx="4">
                  <c:v>11.5</c:v>
                </c:pt>
                <c:pt idx="5">
                  <c:v>10.7</c:v>
                </c:pt>
                <c:pt idx="6">
                  <c:v>2.4</c:v>
                </c:pt>
                <c:pt idx="7">
                  <c:v>1.6</c:v>
                </c:pt>
                <c:pt idx="8">
                  <c:v>3.6</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Sheet1!$E$2:$E$10</c:f>
              <c:numCache>
                <c:formatCode>0.0_);[Red]\(0.0\)</c:formatCode>
                <c:ptCount val="9"/>
                <c:pt idx="0">
                  <c:v>48.9</c:v>
                </c:pt>
                <c:pt idx="1">
                  <c:v>50.3</c:v>
                </c:pt>
                <c:pt idx="2">
                  <c:v>26.9</c:v>
                </c:pt>
                <c:pt idx="3">
                  <c:v>22</c:v>
                </c:pt>
                <c:pt idx="4">
                  <c:v>16</c:v>
                </c:pt>
                <c:pt idx="5">
                  <c:v>12.9</c:v>
                </c:pt>
                <c:pt idx="6">
                  <c:v>0.30000000000000032</c:v>
                </c:pt>
                <c:pt idx="7">
                  <c:v>1.4</c:v>
                </c:pt>
                <c:pt idx="8">
                  <c:v>6.6</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Sheet1!$F$2:$F$10</c:f>
              <c:numCache>
                <c:formatCode>0.0_);[Red]\(0.0\)</c:formatCode>
                <c:ptCount val="9"/>
                <c:pt idx="0">
                  <c:v>48.7</c:v>
                </c:pt>
                <c:pt idx="1">
                  <c:v>44</c:v>
                </c:pt>
                <c:pt idx="2">
                  <c:v>28.6</c:v>
                </c:pt>
                <c:pt idx="3">
                  <c:v>23.3</c:v>
                </c:pt>
                <c:pt idx="4">
                  <c:v>19.5</c:v>
                </c:pt>
                <c:pt idx="5">
                  <c:v>10.5</c:v>
                </c:pt>
                <c:pt idx="6">
                  <c:v>2</c:v>
                </c:pt>
                <c:pt idx="7">
                  <c:v>1.7</c:v>
                </c:pt>
                <c:pt idx="8">
                  <c:v>5.2</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Sheet1!$G$2:$G$10</c:f>
              <c:numCache>
                <c:formatCode>0.0_);[Red]\(0.0\)</c:formatCode>
                <c:ptCount val="9"/>
                <c:pt idx="0">
                  <c:v>34.1</c:v>
                </c:pt>
                <c:pt idx="1">
                  <c:v>36.800000000000004</c:v>
                </c:pt>
                <c:pt idx="2">
                  <c:v>36</c:v>
                </c:pt>
                <c:pt idx="3">
                  <c:v>23.4</c:v>
                </c:pt>
                <c:pt idx="4">
                  <c:v>21.1</c:v>
                </c:pt>
                <c:pt idx="5">
                  <c:v>14.6</c:v>
                </c:pt>
                <c:pt idx="6">
                  <c:v>2.2999999999999998</c:v>
                </c:pt>
                <c:pt idx="7">
                  <c:v>1.1000000000000001</c:v>
                </c:pt>
                <c:pt idx="8">
                  <c:v>10</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2"/>
              <c:spPr/>
              <c:txPr>
                <a:bodyPr/>
                <a:lstStyle/>
                <a:p>
                  <a:pPr>
                    <a:defRPr sz="9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900"/>
                </a:pPr>
                <a:endParaRPr lang="ja-JP"/>
              </a:p>
            </c:txPr>
            <c:dLblPos val="outEnd"/>
            <c:showLegendKey val="0"/>
            <c:showVal val="1"/>
            <c:showCatName val="0"/>
            <c:showSerName val="0"/>
            <c:showPercent val="0"/>
            <c:showBubbleSize val="0"/>
            <c:showLeaderLines val="0"/>
          </c:dLbls>
          <c:cat>
            <c:strRef>
              <c:f>Sheet1!$A$2:$A$10</c:f>
              <c:strCache>
                <c:ptCount val="9"/>
                <c:pt idx="0">
                  <c:v>家族の身体的・時間的な負担
が大きくならない</c:v>
                </c:pt>
                <c:pt idx="1">
                  <c:v>経済的な負担が少ない　　　</c:v>
                </c:pt>
                <c:pt idx="2">
                  <c:v>急に病状が悪化した場合に、
すぐに入院できる医療機関が
ある</c:v>
                </c:pt>
                <c:pt idx="3">
                  <c:v>急に病状が悪化した場合に、
すぐに往診してくれる医師や
看護師がいる</c:v>
                </c:pt>
                <c:pt idx="4">
                  <c:v>家族が急な病気や用事で看護
できなくなったときに、代わ
りに看護を引き受けてくれる
施設がある</c:v>
                </c:pt>
                <c:pt idx="5">
                  <c:v>在宅での医療や介護につい
て、いつでも相談できる先が
ある</c:v>
                </c:pt>
                <c:pt idx="6">
                  <c:v>現状でも特に問題がなく、在
宅医療を受けられる</c:v>
                </c:pt>
                <c:pt idx="7">
                  <c:v>その他　　　　　　　　　　</c:v>
                </c:pt>
                <c:pt idx="8">
                  <c:v>わからない　　　　　　　　</c:v>
                </c:pt>
              </c:strCache>
            </c:strRef>
          </c:cat>
          <c:val>
            <c:numRef>
              <c:f>Sheet1!$H$2:$H$10</c:f>
              <c:numCache>
                <c:formatCode>0.0_);[Red]\(0.0\)</c:formatCode>
                <c:ptCount val="9"/>
                <c:pt idx="0">
                  <c:v>24.5</c:v>
                </c:pt>
                <c:pt idx="1">
                  <c:v>26.5</c:v>
                </c:pt>
                <c:pt idx="2">
                  <c:v>38.800000000000004</c:v>
                </c:pt>
                <c:pt idx="3">
                  <c:v>23.5</c:v>
                </c:pt>
                <c:pt idx="4">
                  <c:v>16.3</c:v>
                </c:pt>
                <c:pt idx="5">
                  <c:v>17.3</c:v>
                </c:pt>
                <c:pt idx="6">
                  <c:v>5.0999999999999996</c:v>
                </c:pt>
                <c:pt idx="7">
                  <c:v>1</c:v>
                </c:pt>
                <c:pt idx="8">
                  <c:v>15.3</c:v>
                </c:pt>
              </c:numCache>
            </c:numRef>
          </c:val>
        </c:ser>
        <c:dLbls>
          <c:showLegendKey val="0"/>
          <c:showVal val="1"/>
          <c:showCatName val="0"/>
          <c:showSerName val="0"/>
          <c:showPercent val="0"/>
          <c:showBubbleSize val="0"/>
        </c:dLbls>
        <c:gapWidth val="100"/>
        <c:axId val="234210048"/>
        <c:axId val="234211584"/>
      </c:barChart>
      <c:catAx>
        <c:axId val="234210048"/>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4211584"/>
        <c:crosses val="autoZero"/>
        <c:auto val="1"/>
        <c:lblAlgn val="ctr"/>
        <c:lblOffset val="100"/>
        <c:noMultiLvlLbl val="0"/>
      </c:catAx>
      <c:valAx>
        <c:axId val="234211584"/>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4210048"/>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3"/>
              <c:layout>
                <c:manualLayout>
                  <c:x val="6.0432582291417014E-2"/>
                  <c:y val="4.8729859612871955E-2"/>
                </c:manualLayout>
              </c:layout>
              <c:dLblPos val="outEnd"/>
              <c:showLegendKey val="0"/>
              <c:showVal val="1"/>
              <c:showCatName val="0"/>
              <c:showSerName val="0"/>
              <c:showPercent val="0"/>
              <c:showBubbleSize val="0"/>
            </c:dLbl>
            <c:dLbl>
              <c:idx val="4"/>
              <c:layout>
                <c:manualLayout>
                  <c:x val="6.4556382948350102E-2"/>
                  <c:y val="1.5485713422130757E-2"/>
                </c:manualLayout>
              </c:layout>
              <c:dLblPos val="outEnd"/>
              <c:showLegendKey val="0"/>
              <c:showVal val="1"/>
              <c:showCatName val="0"/>
              <c:showSerName val="0"/>
              <c:showPercent val="0"/>
              <c:showBubbleSize val="0"/>
            </c:dLbl>
            <c:spPr>
              <a:solidFill>
                <a:sysClr val="window" lastClr="FFFFFF"/>
              </a:solidFill>
            </c:spPr>
            <c:txPr>
              <a:bodyPr/>
              <a:lstStyle/>
              <a:p>
                <a:pPr>
                  <a:defRPr sz="900" b="1"/>
                </a:pPr>
                <a:endParaRPr lang="ja-JP"/>
              </a:p>
            </c:txPr>
            <c:dLblPos val="inBase"/>
            <c:showLegendKey val="0"/>
            <c:showVal val="1"/>
            <c:showCatName val="0"/>
            <c:showSerName val="0"/>
            <c:showPercent val="0"/>
            <c:showBubbleSize val="0"/>
            <c:showLeaderLines val="0"/>
          </c:dLbls>
          <c:cat>
            <c:strRef>
              <c:f>Sheet1!$B$1:$G$1</c:f>
              <c:strCache>
                <c:ptCount val="6"/>
                <c:pt idx="0">
                  <c:v>かかりつけ医、入院している病院の医療ソーシャルワーカーや主治医</c:v>
                </c:pt>
                <c:pt idx="1">
                  <c:v>市町村（地域包括支援センター）、福祉事務所、保健所、あったかふれあいセンターなどの公共窓口</c:v>
                </c:pt>
                <c:pt idx="2">
                  <c:v>居宅介護支援事業所（ケアマネージャー）</c:v>
                </c:pt>
                <c:pt idx="3">
                  <c:v>地域のお世話役（民生委員・児童委員、町内会長や地区長など）</c:v>
                </c:pt>
                <c:pt idx="4">
                  <c:v>その他</c:v>
                </c:pt>
                <c:pt idx="5">
                  <c:v>わからない</c:v>
                </c:pt>
              </c:strCache>
            </c:strRef>
          </c:cat>
          <c:val>
            <c:numRef>
              <c:f>Sheet1!$B$2:$G$2</c:f>
              <c:numCache>
                <c:formatCode>0.0</c:formatCode>
                <c:ptCount val="6"/>
                <c:pt idx="0">
                  <c:v>57.3</c:v>
                </c:pt>
                <c:pt idx="1">
                  <c:v>52.5</c:v>
                </c:pt>
                <c:pt idx="2">
                  <c:v>22.1</c:v>
                </c:pt>
                <c:pt idx="3">
                  <c:v>4.4000000000000004</c:v>
                </c:pt>
                <c:pt idx="4">
                  <c:v>1</c:v>
                </c:pt>
                <c:pt idx="5">
                  <c:v>16.5</c:v>
                </c:pt>
              </c:numCache>
            </c:numRef>
          </c:val>
        </c:ser>
        <c:dLbls>
          <c:showLegendKey val="0"/>
          <c:showVal val="1"/>
          <c:showCatName val="0"/>
          <c:showSerName val="0"/>
          <c:showPercent val="0"/>
          <c:showBubbleSize val="0"/>
        </c:dLbls>
        <c:gapWidth val="100"/>
        <c:axId val="234324736"/>
        <c:axId val="234326272"/>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4.0748440407584387E-2"/>
                  <c:y val="-2.7746473935792573E-2"/>
                </c:manualLayout>
              </c:layout>
              <c:dLblPos val="r"/>
              <c:showLegendKey val="0"/>
              <c:showVal val="1"/>
              <c:showCatName val="0"/>
              <c:showSerName val="0"/>
              <c:showPercent val="0"/>
              <c:showBubbleSize val="0"/>
            </c:dLbl>
            <c:dLbl>
              <c:idx val="3"/>
              <c:layout>
                <c:manualLayout>
                  <c:x val="-2.5616172215072296E-2"/>
                  <c:y val="-7.4166430330276104E-2"/>
                </c:manualLayout>
              </c:layout>
              <c:dLblPos val="r"/>
              <c:showLegendKey val="0"/>
              <c:showVal val="1"/>
              <c:showCatName val="0"/>
              <c:showSerName val="0"/>
              <c:showPercent val="0"/>
              <c:showBubbleSize val="0"/>
            </c:dLbl>
            <c:dLbl>
              <c:idx val="4"/>
              <c:layout>
                <c:manualLayout>
                  <c:x val="-3.8109306729405656E-2"/>
                  <c:y val="-4.4626458079240573E-2"/>
                </c:manualLayout>
              </c:layout>
              <c:dLblPos val="r"/>
              <c:showLegendKey val="0"/>
              <c:showVal val="1"/>
              <c:showCatName val="0"/>
              <c:showSerName val="0"/>
              <c:showPercent val="0"/>
              <c:showBubbleSize val="0"/>
            </c:dLbl>
            <c:dLbl>
              <c:idx val="5"/>
              <c:layout>
                <c:manualLayout>
                  <c:x val="-3.8666251321862168E-2"/>
                  <c:y val="-2.7746473935792583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900" b="1"/>
                </a:pPr>
                <a:endParaRPr lang="ja-JP"/>
              </a:p>
            </c:txPr>
            <c:dLblPos val="b"/>
            <c:showLegendKey val="0"/>
            <c:showVal val="1"/>
            <c:showCatName val="0"/>
            <c:showSerName val="0"/>
            <c:showPercent val="0"/>
            <c:showBubbleSize val="0"/>
            <c:showLeaderLines val="0"/>
          </c:dLbls>
          <c:cat>
            <c:strRef>
              <c:f>Sheet1!$B$1:$G$1</c:f>
              <c:strCache>
                <c:ptCount val="6"/>
                <c:pt idx="0">
                  <c:v>かかりつけ医、入院している病院の医療ソーシャルワーカーや主治医</c:v>
                </c:pt>
                <c:pt idx="1">
                  <c:v>市町村（地域包括支援センター）、福祉事務所、保健所、あったかふれあいセンターなどの公共窓口</c:v>
                </c:pt>
                <c:pt idx="2">
                  <c:v>居宅介護支援事業所（ケアマネージャー）</c:v>
                </c:pt>
                <c:pt idx="3">
                  <c:v>地域のお世話役（民生委員・児童委員、町内会長や地区長など）</c:v>
                </c:pt>
                <c:pt idx="4">
                  <c:v>その他</c:v>
                </c:pt>
                <c:pt idx="5">
                  <c:v>わからない</c:v>
                </c:pt>
              </c:strCache>
            </c:strRef>
          </c:cat>
          <c:val>
            <c:numRef>
              <c:f>Sheet1!$B$3:$G$3</c:f>
              <c:numCache>
                <c:formatCode>0.0</c:formatCode>
                <c:ptCount val="6"/>
                <c:pt idx="0">
                  <c:v>51.7</c:v>
                </c:pt>
                <c:pt idx="1">
                  <c:v>56.2</c:v>
                </c:pt>
                <c:pt idx="2">
                  <c:v>19.100000000000001</c:v>
                </c:pt>
                <c:pt idx="3">
                  <c:v>5.5</c:v>
                </c:pt>
                <c:pt idx="4">
                  <c:v>0.8</c:v>
                </c:pt>
                <c:pt idx="5">
                  <c:v>18.399999999999999</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4.4767065343029502E-2"/>
                  <c:y val="4.0406462043378923E-2"/>
                </c:manualLayout>
              </c:layout>
              <c:dLblPos val="r"/>
              <c:showLegendKey val="0"/>
              <c:showVal val="1"/>
              <c:showCatName val="0"/>
              <c:showSerName val="0"/>
              <c:showPercent val="0"/>
              <c:showBubbleSize val="0"/>
            </c:dLbl>
            <c:dLbl>
              <c:idx val="3"/>
              <c:layout>
                <c:manualLayout>
                  <c:x val="-2.1342438128653052E-2"/>
                  <c:y val="-4.6103622833368524E-2"/>
                </c:manualLayout>
              </c:layout>
              <c:dLblPos val="r"/>
              <c:showLegendKey val="0"/>
              <c:showVal val="1"/>
              <c:showCatName val="0"/>
              <c:showSerName val="0"/>
              <c:showPercent val="0"/>
              <c:showBubbleSize val="0"/>
            </c:dLbl>
            <c:dLbl>
              <c:idx val="4"/>
              <c:layout>
                <c:manualLayout>
                  <c:x val="-4.0082139900153434E-2"/>
                  <c:y val="-7.5643428942827023E-2"/>
                </c:manualLayout>
              </c:layout>
              <c:dLblPos val="r"/>
              <c:showLegendKey val="0"/>
              <c:showVal val="1"/>
              <c:showCatName val="0"/>
              <c:showSerName val="0"/>
              <c:showPercent val="0"/>
              <c:showBubbleSize val="0"/>
            </c:dLbl>
            <c:dLbl>
              <c:idx val="5"/>
              <c:layout>
                <c:manualLayout>
                  <c:x val="-3.852049808586161E-2"/>
                  <c:y val="4.4626458079240573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dLbls>
          <c:cat>
            <c:strRef>
              <c:f>Sheet1!$B$1:$G$1</c:f>
              <c:strCache>
                <c:ptCount val="6"/>
                <c:pt idx="0">
                  <c:v>かかりつけ医、入院している病院の医療ソーシャルワーカーや主治医</c:v>
                </c:pt>
                <c:pt idx="1">
                  <c:v>市町村（地域包括支援センター）、福祉事務所、保健所、あったかふれあいセンターなどの公共窓口</c:v>
                </c:pt>
                <c:pt idx="2">
                  <c:v>居宅介護支援事業所（ケアマネージャー）</c:v>
                </c:pt>
                <c:pt idx="3">
                  <c:v>地域のお世話役（民生委員・児童委員、町内会長や地区長など）</c:v>
                </c:pt>
                <c:pt idx="4">
                  <c:v>その他</c:v>
                </c:pt>
                <c:pt idx="5">
                  <c:v>わからない</c:v>
                </c:pt>
              </c:strCache>
            </c:strRef>
          </c:cat>
          <c:val>
            <c:numRef>
              <c:f>Sheet1!$B$4:$G$4</c:f>
              <c:numCache>
                <c:formatCode>0.0</c:formatCode>
                <c:ptCount val="6"/>
                <c:pt idx="0">
                  <c:v>62.4</c:v>
                </c:pt>
                <c:pt idx="1">
                  <c:v>49.5</c:v>
                </c:pt>
                <c:pt idx="2">
                  <c:v>24.8</c:v>
                </c:pt>
                <c:pt idx="3">
                  <c:v>3.4</c:v>
                </c:pt>
                <c:pt idx="4">
                  <c:v>1</c:v>
                </c:pt>
                <c:pt idx="5">
                  <c:v>15</c:v>
                </c:pt>
              </c:numCache>
            </c:numRef>
          </c:val>
          <c:smooth val="0"/>
        </c:ser>
        <c:dLbls>
          <c:showLegendKey val="0"/>
          <c:showVal val="0"/>
          <c:showCatName val="0"/>
          <c:showSerName val="0"/>
          <c:showPercent val="0"/>
          <c:showBubbleSize val="0"/>
        </c:dLbls>
        <c:marker val="1"/>
        <c:smooth val="0"/>
        <c:axId val="234324736"/>
        <c:axId val="234326272"/>
      </c:lineChart>
      <c:catAx>
        <c:axId val="234324736"/>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4326272"/>
        <c:crosses val="autoZero"/>
        <c:auto val="1"/>
        <c:lblAlgn val="ctr"/>
        <c:lblOffset val="100"/>
        <c:noMultiLvlLbl val="0"/>
      </c:catAx>
      <c:valAx>
        <c:axId val="234326272"/>
        <c:scaling>
          <c:orientation val="minMax"/>
          <c:max val="7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4324736"/>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Sheet1!$B$2:$B$7</c:f>
              <c:numCache>
                <c:formatCode>0.0_);[Red]\(0.0\)</c:formatCode>
                <c:ptCount val="6"/>
                <c:pt idx="0">
                  <c:v>49.4</c:v>
                </c:pt>
                <c:pt idx="1">
                  <c:v>42.5</c:v>
                </c:pt>
                <c:pt idx="2">
                  <c:v>19.5</c:v>
                </c:pt>
                <c:pt idx="3">
                  <c:v>3.4</c:v>
                </c:pt>
                <c:pt idx="4">
                  <c:v>0</c:v>
                </c:pt>
                <c:pt idx="5">
                  <c:v>26.4</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Sheet1!$C$2:$C$7</c:f>
              <c:numCache>
                <c:formatCode>0.0_);[Red]\(0.0\)</c:formatCode>
                <c:ptCount val="6"/>
                <c:pt idx="0">
                  <c:v>55</c:v>
                </c:pt>
                <c:pt idx="1">
                  <c:v>41.1</c:v>
                </c:pt>
                <c:pt idx="2">
                  <c:v>19.3</c:v>
                </c:pt>
                <c:pt idx="3">
                  <c:v>5.4</c:v>
                </c:pt>
                <c:pt idx="4">
                  <c:v>2.5</c:v>
                </c:pt>
                <c:pt idx="5">
                  <c:v>22.8</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Sheet1!$D$2:$D$7</c:f>
              <c:numCache>
                <c:formatCode>0.0_);[Red]\(0.0\)</c:formatCode>
                <c:ptCount val="6"/>
                <c:pt idx="0">
                  <c:v>59.3</c:v>
                </c:pt>
                <c:pt idx="1">
                  <c:v>46.2</c:v>
                </c:pt>
                <c:pt idx="2">
                  <c:v>18.600000000000001</c:v>
                </c:pt>
                <c:pt idx="3">
                  <c:v>3.6</c:v>
                </c:pt>
                <c:pt idx="4">
                  <c:v>0.4</c:v>
                </c:pt>
                <c:pt idx="5">
                  <c:v>18.600000000000001</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Sheet1!$E$2:$E$7</c:f>
              <c:numCache>
                <c:formatCode>0.0_);[Red]\(0.0\)</c:formatCode>
                <c:ptCount val="6"/>
                <c:pt idx="0">
                  <c:v>58.9</c:v>
                </c:pt>
                <c:pt idx="1">
                  <c:v>54.6</c:v>
                </c:pt>
                <c:pt idx="2">
                  <c:v>20.3</c:v>
                </c:pt>
                <c:pt idx="3">
                  <c:v>4</c:v>
                </c:pt>
                <c:pt idx="4">
                  <c:v>0.9</c:v>
                </c:pt>
                <c:pt idx="5">
                  <c:v>17.399999999999999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Sheet1!$F$2:$F$7</c:f>
              <c:numCache>
                <c:formatCode>0.0_);[Red]\(0.0\)</c:formatCode>
                <c:ptCount val="6"/>
                <c:pt idx="0">
                  <c:v>57.1</c:v>
                </c:pt>
                <c:pt idx="1">
                  <c:v>57.1</c:v>
                </c:pt>
                <c:pt idx="2">
                  <c:v>24.2</c:v>
                </c:pt>
                <c:pt idx="3">
                  <c:v>3.2</c:v>
                </c:pt>
                <c:pt idx="4">
                  <c:v>0.60000000000000064</c:v>
                </c:pt>
                <c:pt idx="5">
                  <c:v>14.3</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Sheet1!$G$2:$G$7</c:f>
              <c:numCache>
                <c:formatCode>0.0_);[Red]\(0.0\)</c:formatCode>
                <c:ptCount val="6"/>
                <c:pt idx="0">
                  <c:v>60.9</c:v>
                </c:pt>
                <c:pt idx="1">
                  <c:v>60.2</c:v>
                </c:pt>
                <c:pt idx="2">
                  <c:v>28.4</c:v>
                </c:pt>
                <c:pt idx="3">
                  <c:v>5.4</c:v>
                </c:pt>
                <c:pt idx="4">
                  <c:v>0.4</c:v>
                </c:pt>
                <c:pt idx="5">
                  <c:v>8.8000000000000007</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かかりつけ医、入院してい
る病院の医療ソーシャルワ
ーカーや主治医</c:v>
                </c:pt>
                <c:pt idx="1">
                  <c:v>市町村（地域包括支援セン
ター）、福祉事務所、保健
所、あったかふれあいセン
ターなどの公共窓口</c:v>
                </c:pt>
                <c:pt idx="2">
                  <c:v>居宅介護支援事業所（ケア
マネージャー）</c:v>
                </c:pt>
                <c:pt idx="3">
                  <c:v>地域のお世話役（民生委員
・児童委員、町内会長や地
区長など）</c:v>
                </c:pt>
                <c:pt idx="4">
                  <c:v>その他　　　　　　　　　</c:v>
                </c:pt>
                <c:pt idx="5">
                  <c:v>わからない　　　　　　　</c:v>
                </c:pt>
              </c:strCache>
            </c:strRef>
          </c:cat>
          <c:val>
            <c:numRef>
              <c:f>Sheet1!$H$2:$H$7</c:f>
              <c:numCache>
                <c:formatCode>0.0_);[Red]\(0.0\)</c:formatCode>
                <c:ptCount val="6"/>
                <c:pt idx="0">
                  <c:v>54.1</c:v>
                </c:pt>
                <c:pt idx="1">
                  <c:v>57.1</c:v>
                </c:pt>
                <c:pt idx="2">
                  <c:v>24.5</c:v>
                </c:pt>
                <c:pt idx="3">
                  <c:v>8.2000000000000011</c:v>
                </c:pt>
                <c:pt idx="4">
                  <c:v>2</c:v>
                </c:pt>
                <c:pt idx="5">
                  <c:v>15.3</c:v>
                </c:pt>
              </c:numCache>
            </c:numRef>
          </c:val>
        </c:ser>
        <c:dLbls>
          <c:showLegendKey val="0"/>
          <c:showVal val="1"/>
          <c:showCatName val="0"/>
          <c:showSerName val="0"/>
          <c:showPercent val="0"/>
          <c:showBubbleSize val="0"/>
        </c:dLbls>
        <c:gapWidth val="100"/>
        <c:axId val="234412672"/>
        <c:axId val="234570112"/>
      </c:barChart>
      <c:catAx>
        <c:axId val="234412672"/>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4570112"/>
        <c:crosses val="autoZero"/>
        <c:auto val="1"/>
        <c:lblAlgn val="ctr"/>
        <c:lblOffset val="100"/>
        <c:noMultiLvlLbl val="0"/>
      </c:catAx>
      <c:valAx>
        <c:axId val="234570112"/>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4412672"/>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04236489669874"/>
          <c:y val="0.14363328476219195"/>
          <c:w val="0.73201847365233264"/>
          <c:h val="0.83717024921723959"/>
        </c:manualLayout>
      </c:layout>
      <c:barChart>
        <c:barDir val="bar"/>
        <c:grouping val="percentStacked"/>
        <c:varyColors val="0"/>
        <c:ser>
          <c:idx val="0"/>
          <c:order val="0"/>
          <c:tx>
            <c:strRef>
              <c:f>Sheet1!$B$1</c:f>
              <c:strCache>
                <c:ptCount val="1"/>
                <c:pt idx="0">
                  <c:v>毎日飲む</c:v>
                </c:pt>
              </c:strCache>
            </c:strRef>
          </c:tx>
          <c:spPr>
            <a:pattFill prst="pct80">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Lst>
            </c:dLbl>
            <c:dLbl>
              <c:idx val="4"/>
              <c:layout>
                <c:manualLayout>
                  <c:x val="0"/>
                  <c:y val="-3.6441586280814696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20</c:v>
                </c:pt>
                <c:pt idx="1">
                  <c:v>30.6</c:v>
                </c:pt>
                <c:pt idx="2">
                  <c:v>11.5</c:v>
                </c:pt>
                <c:pt idx="3">
                  <c:v>0</c:v>
                </c:pt>
                <c:pt idx="4">
                  <c:v>3.5</c:v>
                </c:pt>
                <c:pt idx="5">
                  <c:v>16.2</c:v>
                </c:pt>
                <c:pt idx="6">
                  <c:v>22.6</c:v>
                </c:pt>
                <c:pt idx="7">
                  <c:v>30.3</c:v>
                </c:pt>
                <c:pt idx="8">
                  <c:v>28.4</c:v>
                </c:pt>
                <c:pt idx="9">
                  <c:v>17.3</c:v>
                </c:pt>
              </c:numCache>
            </c:numRef>
          </c:val>
        </c:ser>
        <c:ser>
          <c:idx val="1"/>
          <c:order val="1"/>
          <c:tx>
            <c:strRef>
              <c:f>Sheet1!$C$1</c:f>
              <c:strCache>
                <c:ptCount val="1"/>
                <c:pt idx="0">
                  <c:v>週に４～５回</c:v>
                </c:pt>
              </c:strCache>
            </c:strRef>
          </c:tx>
          <c:spPr>
            <a:pattFill prst="pct20">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8.3000000000000007</c:v>
                </c:pt>
                <c:pt idx="1">
                  <c:v>9.8000000000000007</c:v>
                </c:pt>
                <c:pt idx="2">
                  <c:v>7.1</c:v>
                </c:pt>
                <c:pt idx="3">
                  <c:v>0</c:v>
                </c:pt>
                <c:pt idx="4">
                  <c:v>6.4</c:v>
                </c:pt>
                <c:pt idx="5">
                  <c:v>7.9</c:v>
                </c:pt>
                <c:pt idx="6">
                  <c:v>10</c:v>
                </c:pt>
                <c:pt idx="7">
                  <c:v>9</c:v>
                </c:pt>
                <c:pt idx="8">
                  <c:v>10.3</c:v>
                </c:pt>
                <c:pt idx="9">
                  <c:v>7.1</c:v>
                </c:pt>
              </c:numCache>
            </c:numRef>
          </c:val>
        </c:ser>
        <c:ser>
          <c:idx val="2"/>
          <c:order val="2"/>
          <c:tx>
            <c:strRef>
              <c:f>Sheet1!$D$1</c:f>
              <c:strCache>
                <c:ptCount val="1"/>
                <c:pt idx="0">
                  <c:v>週に２～３回</c:v>
                </c:pt>
              </c:strCache>
            </c:strRef>
          </c:tx>
          <c:spPr>
            <a:pattFill prst="pct50">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Lst>
            </c:dLbl>
            <c:dLbl>
              <c:idx val="9"/>
              <c:layout>
                <c:manualLayout>
                  <c:x val="0"/>
                  <c:y val="-3.8587846853849805E-2"/>
                </c:manualLayout>
              </c:layout>
              <c:dLblPos val="ctr"/>
              <c:showLegendKey val="0"/>
              <c:showVal val="1"/>
              <c:showCatName val="0"/>
              <c:showSerName val="0"/>
              <c:showPercent val="0"/>
              <c:showBubbleSize val="0"/>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7.5</c:v>
                </c:pt>
                <c:pt idx="1">
                  <c:v>9</c:v>
                </c:pt>
                <c:pt idx="2">
                  <c:v>6.3</c:v>
                </c:pt>
                <c:pt idx="3">
                  <c:v>0</c:v>
                </c:pt>
                <c:pt idx="4">
                  <c:v>7.4</c:v>
                </c:pt>
                <c:pt idx="5">
                  <c:v>10.3</c:v>
                </c:pt>
                <c:pt idx="6">
                  <c:v>6.9</c:v>
                </c:pt>
                <c:pt idx="7">
                  <c:v>8.7000000000000011</c:v>
                </c:pt>
                <c:pt idx="8">
                  <c:v>7.3</c:v>
                </c:pt>
                <c:pt idx="9">
                  <c:v>5.0999999999999996</c:v>
                </c:pt>
              </c:numCache>
            </c:numRef>
          </c:val>
        </c:ser>
        <c:ser>
          <c:idx val="3"/>
          <c:order val="3"/>
          <c:tx>
            <c:strRef>
              <c:f>Sheet1!$E$1</c:f>
              <c:strCache>
                <c:ptCount val="1"/>
                <c:pt idx="0">
                  <c:v>週に１回程度</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3"/>
              <c:layout>
                <c:manualLayout>
                  <c:x val="-1.282051282051282E-2"/>
                  <c:y val="-3.644141749162475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6441586280814696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Sheet1!$E$2:$E$11</c:f>
              <c:numCache>
                <c:formatCode>0.0</c:formatCode>
                <c:ptCount val="10"/>
                <c:pt idx="0">
                  <c:v>6.7</c:v>
                </c:pt>
                <c:pt idx="1">
                  <c:v>5.7</c:v>
                </c:pt>
                <c:pt idx="2">
                  <c:v>7.7</c:v>
                </c:pt>
                <c:pt idx="3">
                  <c:v>2.2999999999999998</c:v>
                </c:pt>
                <c:pt idx="4">
                  <c:v>8.9</c:v>
                </c:pt>
                <c:pt idx="5">
                  <c:v>9.5</c:v>
                </c:pt>
                <c:pt idx="6">
                  <c:v>6.6</c:v>
                </c:pt>
                <c:pt idx="7">
                  <c:v>7.3</c:v>
                </c:pt>
                <c:pt idx="8">
                  <c:v>3.4</c:v>
                </c:pt>
                <c:pt idx="9">
                  <c:v>7.1</c:v>
                </c:pt>
              </c:numCache>
            </c:numRef>
          </c:val>
        </c:ser>
        <c:ser>
          <c:idx val="4"/>
          <c:order val="4"/>
          <c:tx>
            <c:strRef>
              <c:f>Sheet1!$F$1</c:f>
              <c:strCache>
                <c:ptCount val="1"/>
                <c:pt idx="0">
                  <c:v>月に２～４回</c:v>
                </c:pt>
              </c:strCache>
            </c:strRef>
          </c:tx>
          <c:spPr>
            <a:pattFill prst="pct5">
              <a:fgClr>
                <a:sysClr val="windowText" lastClr="000000"/>
              </a:fgClr>
              <a:bgClr>
                <a:srgbClr val="FFFF00"/>
              </a:bgClr>
            </a:pattFill>
            <a:ln>
              <a:solidFill>
                <a:sysClr val="windowText" lastClr="000000"/>
              </a:solidFill>
            </a:ln>
          </c:spPr>
          <c:invertIfNegative val="0"/>
          <c:dLbls>
            <c:dLbl>
              <c:idx val="3"/>
              <c:delete val="1"/>
              <c:extLst>
                <c:ext xmlns:c15="http://schemas.microsoft.com/office/drawing/2012/chart" uri="{CE6537A1-D6FC-4f65-9D91-7224C49458BB}"/>
              </c:extLst>
            </c:dLbl>
            <c:dLbl>
              <c:idx val="7"/>
              <c:layout>
                <c:manualLayout>
                  <c:x val="0"/>
                  <c:y val="-3.7323948031218884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layout>
                <c:manualLayout>
                  <c:x val="-8.5470085470085496E-3"/>
                  <c:y val="-3.8585040214024896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Sheet1!$F$2:$F$11</c:f>
              <c:numCache>
                <c:formatCode>0.0</c:formatCode>
                <c:ptCount val="10"/>
                <c:pt idx="0">
                  <c:v>8</c:v>
                </c:pt>
                <c:pt idx="1">
                  <c:v>7.3</c:v>
                </c:pt>
                <c:pt idx="2">
                  <c:v>8.6</c:v>
                </c:pt>
                <c:pt idx="3">
                  <c:v>0</c:v>
                </c:pt>
                <c:pt idx="4">
                  <c:v>23.3</c:v>
                </c:pt>
                <c:pt idx="5">
                  <c:v>8.3000000000000007</c:v>
                </c:pt>
                <c:pt idx="6">
                  <c:v>7.1</c:v>
                </c:pt>
                <c:pt idx="7">
                  <c:v>5.2</c:v>
                </c:pt>
                <c:pt idx="8">
                  <c:v>6.1</c:v>
                </c:pt>
                <c:pt idx="9">
                  <c:v>1</c:v>
                </c:pt>
              </c:numCache>
            </c:numRef>
          </c:val>
        </c:ser>
        <c:ser>
          <c:idx val="5"/>
          <c:order val="5"/>
          <c:tx>
            <c:strRef>
              <c:f>Sheet1!$G$1</c:f>
              <c:strCache>
                <c:ptCount val="1"/>
                <c:pt idx="0">
                  <c:v>月に１回</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layout>
                <c:manualLayout>
                  <c:x val="-2.1369203849518808E-3"/>
                  <c:y val="-3.8587509252390004E-2"/>
                </c:manualLayout>
              </c:layout>
              <c:dLblPos val="ctr"/>
              <c:showLegendKey val="0"/>
              <c:showVal val="1"/>
              <c:showCatName val="0"/>
              <c:showSerName val="0"/>
              <c:showPercent val="0"/>
              <c:showBubbleSize val="0"/>
            </c:dLbl>
            <c:dLbl>
              <c:idx val="1"/>
              <c:layout>
                <c:manualLayout>
                  <c:x val="0"/>
                  <c:y val="-3.8575670159457918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8587846853849805E-2"/>
                </c:manualLayout>
              </c:layout>
              <c:dLblPos val="ctr"/>
              <c:showLegendKey val="0"/>
              <c:showVal val="1"/>
              <c:showCatName val="0"/>
              <c:showSerName val="0"/>
              <c:showPercent val="0"/>
              <c:showBubbleSize val="0"/>
            </c:dLbl>
            <c:dLbl>
              <c:idx val="3"/>
              <c:delete val="1"/>
              <c:extLst>
                <c:ext xmlns:c15="http://schemas.microsoft.com/office/drawing/2012/chart" uri="{CE6537A1-D6FC-4f65-9D91-7224C49458BB}"/>
              </c:extLst>
            </c:dLbl>
            <c:dLbl>
              <c:idx val="5"/>
              <c:layout>
                <c:manualLayout>
                  <c:x val="0"/>
                  <c:y val="-3.4297963558414343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6441586280814696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8.5470085470085496E-3"/>
                  <c:y val="-3.6441300336307401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2.1367521367522137E-3"/>
                  <c:y val="-3.858520900321545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4957264957264856E-2"/>
                  <c:y val="-3.8584639639981787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Sheet1!$G$2:$G$11</c:f>
              <c:numCache>
                <c:formatCode>0.0</c:formatCode>
                <c:ptCount val="10"/>
                <c:pt idx="0">
                  <c:v>4.9000000000000004</c:v>
                </c:pt>
                <c:pt idx="1">
                  <c:v>3.7</c:v>
                </c:pt>
                <c:pt idx="2">
                  <c:v>5.9</c:v>
                </c:pt>
                <c:pt idx="3">
                  <c:v>0</c:v>
                </c:pt>
                <c:pt idx="4">
                  <c:v>16.8</c:v>
                </c:pt>
                <c:pt idx="5">
                  <c:v>2.8</c:v>
                </c:pt>
                <c:pt idx="6">
                  <c:v>4.3</c:v>
                </c:pt>
                <c:pt idx="7">
                  <c:v>2.9</c:v>
                </c:pt>
                <c:pt idx="8">
                  <c:v>4.2</c:v>
                </c:pt>
                <c:pt idx="9">
                  <c:v>2</c:v>
                </c:pt>
              </c:numCache>
            </c:numRef>
          </c:val>
        </c:ser>
        <c:ser>
          <c:idx val="6"/>
          <c:order val="6"/>
          <c:tx>
            <c:strRef>
              <c:f>Sheet1!$H$1</c:f>
              <c:strCache>
                <c:ptCount val="1"/>
                <c:pt idx="0">
                  <c:v>年に数回</c:v>
                </c:pt>
              </c:strCache>
            </c:strRef>
          </c:tx>
          <c:spPr>
            <a:pattFill prst="pct60">
              <a:fgClr>
                <a:sysClr val="windowText" lastClr="000000"/>
              </a:fgClr>
              <a:bgClr>
                <a:sysClr val="window" lastClr="FFFFFF"/>
              </a:bgClr>
            </a:pattFill>
            <a:ln>
              <a:solidFill>
                <a:sysClr val="windowText" lastClr="000000"/>
              </a:solidFill>
            </a:ln>
          </c:spPr>
          <c:invertIfNegative val="0"/>
          <c:dLbls>
            <c:dLbl>
              <c:idx val="3"/>
              <c:layout>
                <c:manualLayout>
                  <c:x val="1.9230769230769554E-2"/>
                  <c:y val="-3.6441417491624759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Sheet1!$H$2:$H$11</c:f>
              <c:numCache>
                <c:formatCode>0.0</c:formatCode>
                <c:ptCount val="10"/>
                <c:pt idx="0">
                  <c:v>15.7</c:v>
                </c:pt>
                <c:pt idx="1">
                  <c:v>11.6</c:v>
                </c:pt>
                <c:pt idx="2">
                  <c:v>19</c:v>
                </c:pt>
                <c:pt idx="3">
                  <c:v>1.1000000000000001</c:v>
                </c:pt>
                <c:pt idx="4">
                  <c:v>17.8</c:v>
                </c:pt>
                <c:pt idx="5">
                  <c:v>22.9</c:v>
                </c:pt>
                <c:pt idx="6">
                  <c:v>16.899999999999999</c:v>
                </c:pt>
                <c:pt idx="7">
                  <c:v>15.2</c:v>
                </c:pt>
                <c:pt idx="8">
                  <c:v>10.7</c:v>
                </c:pt>
                <c:pt idx="9">
                  <c:v>16.3</c:v>
                </c:pt>
              </c:numCache>
            </c:numRef>
          </c:val>
        </c:ser>
        <c:ser>
          <c:idx val="7"/>
          <c:order val="7"/>
          <c:tx>
            <c:strRef>
              <c:f>Sheet1!$I$1</c:f>
              <c:strCache>
                <c:ptCount val="1"/>
                <c:pt idx="0">
                  <c:v>飲まない・飲めない</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Sheet1!$I$2:$I$11</c:f>
              <c:numCache>
                <c:formatCode>0.0</c:formatCode>
                <c:ptCount val="10"/>
                <c:pt idx="0">
                  <c:v>22.1</c:v>
                </c:pt>
                <c:pt idx="1">
                  <c:v>16.100000000000001</c:v>
                </c:pt>
                <c:pt idx="2">
                  <c:v>26.9</c:v>
                </c:pt>
                <c:pt idx="3">
                  <c:v>0</c:v>
                </c:pt>
                <c:pt idx="4">
                  <c:v>15.3</c:v>
                </c:pt>
                <c:pt idx="5">
                  <c:v>21.3</c:v>
                </c:pt>
                <c:pt idx="6">
                  <c:v>23.7</c:v>
                </c:pt>
                <c:pt idx="7">
                  <c:v>19.8</c:v>
                </c:pt>
                <c:pt idx="8">
                  <c:v>28</c:v>
                </c:pt>
                <c:pt idx="9">
                  <c:v>40.800000000000004</c:v>
                </c:pt>
              </c:numCache>
            </c:numRef>
          </c:val>
        </c:ser>
        <c:ser>
          <c:idx val="8"/>
          <c:order val="8"/>
          <c:tx>
            <c:strRef>
              <c:f>Sheet1!$J$1</c:f>
              <c:strCache>
                <c:ptCount val="1"/>
                <c:pt idx="0">
                  <c:v>未成年なので飲めない</c:v>
                </c:pt>
              </c:strCache>
            </c:strRef>
          </c:tx>
          <c:spPr>
            <a:pattFill prst="pct25">
              <a:fgClr>
                <a:sysClr val="windowText" lastClr="000000"/>
              </a:fgClr>
              <a:bgClr>
                <a:srgbClr val="92D050"/>
              </a:bgClr>
            </a:pattFill>
            <a:ln>
              <a:solidFill>
                <a:sysClr val="windowText" lastClr="000000"/>
              </a:solidFill>
            </a:ln>
          </c:spPr>
          <c:invertIfNegative val="0"/>
          <c:dLbls>
            <c:dLbl>
              <c:idx val="0"/>
              <c:layout>
                <c:manualLayout>
                  <c:x val="0"/>
                  <c:y val="-3.6432577372822093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0718762946094514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136752136752137E-3"/>
                  <c:y val="-3.8575670159457918E-2"/>
                </c:manualLayout>
              </c:layout>
              <c:spPr>
                <a:no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Sheet1!$J$2:$J$11</c:f>
              <c:numCache>
                <c:formatCode>0.0</c:formatCode>
                <c:ptCount val="10"/>
                <c:pt idx="0">
                  <c:v>5.2</c:v>
                </c:pt>
                <c:pt idx="1">
                  <c:v>4.5999999999999996</c:v>
                </c:pt>
                <c:pt idx="2">
                  <c:v>5.7</c:v>
                </c:pt>
                <c:pt idx="3">
                  <c:v>95.4</c:v>
                </c:pt>
                <c:pt idx="4">
                  <c:v>0</c:v>
                </c:pt>
                <c:pt idx="5">
                  <c:v>0</c:v>
                </c:pt>
                <c:pt idx="6">
                  <c:v>0</c:v>
                </c:pt>
                <c:pt idx="7">
                  <c:v>0</c:v>
                </c:pt>
                <c:pt idx="8">
                  <c:v>0</c:v>
                </c:pt>
                <c:pt idx="9">
                  <c:v>0</c:v>
                </c:pt>
              </c:numCache>
            </c:numRef>
          </c:val>
        </c:ser>
        <c:ser>
          <c:idx val="9"/>
          <c:order val="9"/>
          <c:tx>
            <c:strRef>
              <c:f>Sheet1!$K$1</c:f>
              <c:strCache>
                <c:ptCount val="1"/>
                <c:pt idx="0">
                  <c:v>無回答</c:v>
                </c:pt>
              </c:strCache>
            </c:strRef>
          </c:tx>
          <c:spPr>
            <a:pattFill prst="wdUpDiag">
              <a:fgClr>
                <a:sysClr val="windowText" lastClr="000000"/>
              </a:fgClr>
              <a:bgClr>
                <a:srgbClr val="00B0F0"/>
              </a:bgClr>
            </a:pattFill>
            <a:ln>
              <a:solidFill>
                <a:sysClr val="windowText" lastClr="000000"/>
              </a:solidFill>
            </a:ln>
          </c:spPr>
          <c:invertIfNegative val="0"/>
          <c:dLbls>
            <c:dLbl>
              <c:idx val="6"/>
              <c:layout>
                <c:manualLayout>
                  <c:x val="2.827641024367223E-2"/>
                  <c:y val="2.0547662666974163E-3"/>
                </c:manualLayout>
              </c:layout>
              <c:dLblPos val="ctr"/>
              <c:showLegendKey val="0"/>
              <c:showVal val="1"/>
              <c:showCatName val="0"/>
              <c:showSerName val="0"/>
              <c:showPercent val="0"/>
              <c:showBubbleSize val="0"/>
            </c:dLbl>
            <c:dLbl>
              <c:idx val="9"/>
              <c:layout>
                <c:manualLayout>
                  <c:x val="2.8394465678113202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Sheet1!$K$2:$K$11</c:f>
              <c:numCache>
                <c:formatCode>0.0</c:formatCode>
                <c:ptCount val="10"/>
                <c:pt idx="0">
                  <c:v>1.7</c:v>
                </c:pt>
                <c:pt idx="1">
                  <c:v>1.5</c:v>
                </c:pt>
                <c:pt idx="2">
                  <c:v>1.4</c:v>
                </c:pt>
                <c:pt idx="3">
                  <c:v>1.1000000000000001</c:v>
                </c:pt>
                <c:pt idx="4">
                  <c:v>0.5</c:v>
                </c:pt>
                <c:pt idx="5">
                  <c:v>0.8</c:v>
                </c:pt>
                <c:pt idx="6">
                  <c:v>2</c:v>
                </c:pt>
                <c:pt idx="7">
                  <c:v>1.5</c:v>
                </c:pt>
                <c:pt idx="8">
                  <c:v>1.5</c:v>
                </c:pt>
                <c:pt idx="9">
                  <c:v>3.1</c:v>
                </c:pt>
              </c:numCache>
            </c:numRef>
          </c:val>
        </c:ser>
        <c:dLbls>
          <c:showLegendKey val="0"/>
          <c:showVal val="0"/>
          <c:showCatName val="0"/>
          <c:showSerName val="0"/>
          <c:showPercent val="0"/>
          <c:showBubbleSize val="0"/>
        </c:dLbls>
        <c:gapWidth val="90"/>
        <c:overlap val="100"/>
        <c:axId val="234652800"/>
        <c:axId val="234654336"/>
      </c:barChart>
      <c:catAx>
        <c:axId val="23465280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234654336"/>
        <c:crosses val="autoZero"/>
        <c:auto val="1"/>
        <c:lblAlgn val="ctr"/>
        <c:lblOffset val="100"/>
        <c:noMultiLvlLbl val="0"/>
      </c:catAx>
      <c:valAx>
        <c:axId val="23465433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234652800"/>
        <c:crosses val="autoZero"/>
        <c:crossBetween val="between"/>
        <c:majorUnit val="0.1"/>
      </c:valAx>
    </c:plotArea>
    <c:legend>
      <c:legendPos val="r"/>
      <c:layout>
        <c:manualLayout>
          <c:xMode val="edge"/>
          <c:yMode val="edge"/>
          <c:x val="1.8551685230063605E-2"/>
          <c:y val="1.8843625254239191E-3"/>
          <c:w val="0.98144828050339861"/>
          <c:h val="0.10111111917007375"/>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925468466178859"/>
          <c:h val="0.88157803649116162"/>
        </c:manualLayout>
      </c:layout>
      <c:barChart>
        <c:barDir val="bar"/>
        <c:grouping val="percentStacked"/>
        <c:varyColors val="0"/>
        <c:ser>
          <c:idx val="0"/>
          <c:order val="0"/>
          <c:tx>
            <c:strRef>
              <c:f>Sheet1!$B$1</c:f>
              <c:strCache>
                <c:ptCount val="1"/>
                <c:pt idx="0">
                  <c:v>毎日飲む</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4.2003043458431504E-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20</c:v>
                </c:pt>
                <c:pt idx="1">
                  <c:v>26.8</c:v>
                </c:pt>
                <c:pt idx="2">
                  <c:v>11.1</c:v>
                </c:pt>
                <c:pt idx="3">
                  <c:v>31.9</c:v>
                </c:pt>
                <c:pt idx="4">
                  <c:v>15.6</c:v>
                </c:pt>
                <c:pt idx="5">
                  <c:v>22.3</c:v>
                </c:pt>
                <c:pt idx="6">
                  <c:v>27.1</c:v>
                </c:pt>
                <c:pt idx="7">
                  <c:v>43.8</c:v>
                </c:pt>
                <c:pt idx="8">
                  <c:v>36.4</c:v>
                </c:pt>
                <c:pt idx="9">
                  <c:v>10.7</c:v>
                </c:pt>
                <c:pt idx="10">
                  <c:v>0</c:v>
                </c:pt>
                <c:pt idx="11">
                  <c:v>20.6</c:v>
                </c:pt>
                <c:pt idx="12">
                  <c:v>17.100000000000001</c:v>
                </c:pt>
                <c:pt idx="13">
                  <c:v>19.899999999999999</c:v>
                </c:pt>
                <c:pt idx="14">
                  <c:v>26.3</c:v>
                </c:pt>
                <c:pt idx="15">
                  <c:v>23.1</c:v>
                </c:pt>
                <c:pt idx="16">
                  <c:v>14.7</c:v>
                </c:pt>
                <c:pt idx="17">
                  <c:v>21.4</c:v>
                </c:pt>
                <c:pt idx="18">
                  <c:v>15.7</c:v>
                </c:pt>
                <c:pt idx="19">
                  <c:v>20.3</c:v>
                </c:pt>
                <c:pt idx="20">
                  <c:v>16.399999999999999</c:v>
                </c:pt>
              </c:numCache>
            </c:numRef>
          </c:val>
        </c:ser>
        <c:ser>
          <c:idx val="1"/>
          <c:order val="1"/>
          <c:tx>
            <c:strRef>
              <c:f>Sheet1!$C$1</c:f>
              <c:strCache>
                <c:ptCount val="1"/>
                <c:pt idx="0">
                  <c:v>週に４～５回</c:v>
                </c:pt>
              </c:strCache>
            </c:strRef>
          </c:tx>
          <c:spPr>
            <a:pattFill prst="pct20">
              <a:fgClr>
                <a:sysClr val="windowText" lastClr="000000"/>
              </a:fgClr>
              <a:bgClr>
                <a:sysClr val="window" lastClr="FFFFFF"/>
              </a:bgClr>
            </a:pattFill>
            <a:ln>
              <a:solidFill>
                <a:sysClr val="windowText" lastClr="000000"/>
              </a:solidFill>
            </a:ln>
          </c:spPr>
          <c:invertIfNegative val="0"/>
          <c:dLbls>
            <c:dLbl>
              <c:idx val="1"/>
              <c:layout>
                <c:manualLayout>
                  <c:x val="-2.236044567504949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6556316451687401E-3"/>
                  <c:y val="-1.9314625291430784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9007114382555791E-2"/>
                  <c:y val="-1.931917799523834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4.0650768857912033E-4"/>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5.9117688264609532E-4"/>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3.298144713709781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5.9575156577780465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2.3272023811843818E-3"/>
                  <c:y val="-1.9313345342284845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8.3000000000000007</c:v>
                </c:pt>
                <c:pt idx="1">
                  <c:v>10.3</c:v>
                </c:pt>
                <c:pt idx="2">
                  <c:v>11.1</c:v>
                </c:pt>
                <c:pt idx="3">
                  <c:v>4.3</c:v>
                </c:pt>
                <c:pt idx="4">
                  <c:v>7.3</c:v>
                </c:pt>
                <c:pt idx="5">
                  <c:v>8.9</c:v>
                </c:pt>
                <c:pt idx="6">
                  <c:v>9.4</c:v>
                </c:pt>
                <c:pt idx="7">
                  <c:v>10.9</c:v>
                </c:pt>
                <c:pt idx="8">
                  <c:v>13.6</c:v>
                </c:pt>
                <c:pt idx="9">
                  <c:v>8.7000000000000011</c:v>
                </c:pt>
                <c:pt idx="10">
                  <c:v>0.9</c:v>
                </c:pt>
                <c:pt idx="11">
                  <c:v>7.9</c:v>
                </c:pt>
                <c:pt idx="12">
                  <c:v>11.8</c:v>
                </c:pt>
                <c:pt idx="13">
                  <c:v>8.6</c:v>
                </c:pt>
                <c:pt idx="14">
                  <c:v>7</c:v>
                </c:pt>
                <c:pt idx="15">
                  <c:v>5.7</c:v>
                </c:pt>
                <c:pt idx="16">
                  <c:v>17.600000000000001</c:v>
                </c:pt>
                <c:pt idx="17">
                  <c:v>10.3</c:v>
                </c:pt>
                <c:pt idx="18">
                  <c:v>11.8</c:v>
                </c:pt>
                <c:pt idx="19">
                  <c:v>6.5</c:v>
                </c:pt>
                <c:pt idx="20">
                  <c:v>9</c:v>
                </c:pt>
              </c:numCache>
            </c:numRef>
          </c:val>
        </c:ser>
        <c:ser>
          <c:idx val="2"/>
          <c:order val="2"/>
          <c:tx>
            <c:strRef>
              <c:f>Sheet1!$D$1</c:f>
              <c:strCache>
                <c:ptCount val="1"/>
                <c:pt idx="0">
                  <c:v>週に２～３回</c:v>
                </c:pt>
              </c:strCache>
            </c:strRef>
          </c:tx>
          <c:spPr>
            <a:pattFill prst="pct50">
              <a:fgClr>
                <a:sysClr val="windowText" lastClr="000000"/>
              </a:fgClr>
              <a:bgClr>
                <a:sysClr val="window" lastClr="FFFFFF"/>
              </a:bgClr>
            </a:pattFill>
            <a:ln>
              <a:solidFill>
                <a:sysClr val="windowText" lastClr="000000"/>
              </a:solidFill>
            </a:ln>
          </c:spPr>
          <c:invertIfNegative val="0"/>
          <c:dLbls>
            <c:dLbl>
              <c:idx val="10"/>
              <c:layout>
                <c:manualLayout>
                  <c:x val="0"/>
                  <c:y val="-1.931945458012817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1359733739986786E-3"/>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2.1359733739986786E-3"/>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1.931530580677544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7.5</c:v>
                </c:pt>
                <c:pt idx="1">
                  <c:v>6.2</c:v>
                </c:pt>
                <c:pt idx="2">
                  <c:v>11.1</c:v>
                </c:pt>
                <c:pt idx="3">
                  <c:v>11.6</c:v>
                </c:pt>
                <c:pt idx="4">
                  <c:v>9.2000000000000011</c:v>
                </c:pt>
                <c:pt idx="5">
                  <c:v>7.1</c:v>
                </c:pt>
                <c:pt idx="6">
                  <c:v>8.4</c:v>
                </c:pt>
                <c:pt idx="7">
                  <c:v>9.4</c:v>
                </c:pt>
                <c:pt idx="8">
                  <c:v>9.1</c:v>
                </c:pt>
                <c:pt idx="9">
                  <c:v>6.7</c:v>
                </c:pt>
                <c:pt idx="10">
                  <c:v>4.3</c:v>
                </c:pt>
                <c:pt idx="11">
                  <c:v>5.3</c:v>
                </c:pt>
                <c:pt idx="12">
                  <c:v>8.2000000000000011</c:v>
                </c:pt>
                <c:pt idx="13">
                  <c:v>7.5</c:v>
                </c:pt>
                <c:pt idx="14">
                  <c:v>6.1</c:v>
                </c:pt>
                <c:pt idx="15">
                  <c:v>9.2000000000000011</c:v>
                </c:pt>
                <c:pt idx="16">
                  <c:v>14.7</c:v>
                </c:pt>
                <c:pt idx="17">
                  <c:v>9.5</c:v>
                </c:pt>
                <c:pt idx="18">
                  <c:v>7.8</c:v>
                </c:pt>
                <c:pt idx="19">
                  <c:v>5.7</c:v>
                </c:pt>
                <c:pt idx="20">
                  <c:v>5</c:v>
                </c:pt>
              </c:numCache>
            </c:numRef>
          </c:val>
        </c:ser>
        <c:ser>
          <c:idx val="3"/>
          <c:order val="3"/>
          <c:tx>
            <c:strRef>
              <c:f>Sheet1!$E$1</c:f>
              <c:strCache>
                <c:ptCount val="1"/>
                <c:pt idx="0">
                  <c:v>週に１回程度</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1"/>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31448703355425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359733739986786E-3"/>
                  <c:y val="-1.9314625291430708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layout>
                <c:manualLayout>
                  <c:x val="0"/>
                  <c:y val="-1.931945458012817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93144870335542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55875026493666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1.93144870335542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7.8318118975696916E-17"/>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4.2719510563192734E-3"/>
                  <c:y val="-1.9313207170717467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2.135912370583571E-3"/>
                  <c:y val="-1.931530580677544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6.7</c:v>
                </c:pt>
                <c:pt idx="1">
                  <c:v>4.0999999999999996</c:v>
                </c:pt>
                <c:pt idx="2">
                  <c:v>11.1</c:v>
                </c:pt>
                <c:pt idx="3">
                  <c:v>5.8</c:v>
                </c:pt>
                <c:pt idx="4">
                  <c:v>8.7000000000000011</c:v>
                </c:pt>
                <c:pt idx="5">
                  <c:v>9.2000000000000011</c:v>
                </c:pt>
                <c:pt idx="6">
                  <c:v>8.4</c:v>
                </c:pt>
                <c:pt idx="7">
                  <c:v>6.3</c:v>
                </c:pt>
                <c:pt idx="8">
                  <c:v>0</c:v>
                </c:pt>
                <c:pt idx="9">
                  <c:v>8.1</c:v>
                </c:pt>
                <c:pt idx="10">
                  <c:v>6</c:v>
                </c:pt>
                <c:pt idx="11">
                  <c:v>3.7</c:v>
                </c:pt>
                <c:pt idx="12">
                  <c:v>4.0999999999999996</c:v>
                </c:pt>
                <c:pt idx="13">
                  <c:v>7.3</c:v>
                </c:pt>
                <c:pt idx="14">
                  <c:v>2.6</c:v>
                </c:pt>
                <c:pt idx="15">
                  <c:v>7</c:v>
                </c:pt>
                <c:pt idx="16">
                  <c:v>5.9</c:v>
                </c:pt>
                <c:pt idx="17">
                  <c:v>7.1</c:v>
                </c:pt>
                <c:pt idx="18">
                  <c:v>2</c:v>
                </c:pt>
                <c:pt idx="19">
                  <c:v>8.9</c:v>
                </c:pt>
                <c:pt idx="20">
                  <c:v>6.5</c:v>
                </c:pt>
              </c:numCache>
            </c:numRef>
          </c:val>
        </c:ser>
        <c:ser>
          <c:idx val="4"/>
          <c:order val="4"/>
          <c:tx>
            <c:strRef>
              <c:f>Sheet1!$F$1</c:f>
              <c:strCache>
                <c:ptCount val="1"/>
                <c:pt idx="0">
                  <c:v>月に２～４回</c:v>
                </c:pt>
              </c:strCache>
            </c:strRef>
          </c:tx>
          <c:spPr>
            <a:pattFill prst="pct5">
              <a:fgClr>
                <a:sysClr val="windowText" lastClr="000000"/>
              </a:fgClr>
              <a:bgClr>
                <a:sysClr val="window" lastClr="FFFFFF"/>
              </a:bgClr>
            </a:pattFill>
            <a:ln>
              <a:solidFill>
                <a:sysClr val="windowText" lastClr="000000"/>
              </a:solidFill>
            </a:ln>
          </c:spPr>
          <c:invertIfNegative val="0"/>
          <c:dLbls>
            <c:dLbl>
              <c:idx val="2"/>
              <c:delete val="1"/>
              <c:extLst>
                <c:ext xmlns:c15="http://schemas.microsoft.com/office/drawing/2012/chart" uri="{CE6537A1-D6FC-4f65-9D91-7224C49458BB}"/>
              </c:extLst>
            </c:dLbl>
            <c:dLbl>
              <c:idx val="6"/>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2.1392176756270002E-3"/>
                  <c:y val="-2.094474217945025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4.2719467479973823E-3"/>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6.4078453841167511E-3"/>
                  <c:y val="-1.931306899915012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1.931530580677544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8</c:v>
                </c:pt>
                <c:pt idx="1">
                  <c:v>7.2</c:v>
                </c:pt>
                <c:pt idx="2">
                  <c:v>0</c:v>
                </c:pt>
                <c:pt idx="3">
                  <c:v>8.7000000000000011</c:v>
                </c:pt>
                <c:pt idx="4">
                  <c:v>12.4</c:v>
                </c:pt>
                <c:pt idx="5">
                  <c:v>10.3</c:v>
                </c:pt>
                <c:pt idx="6">
                  <c:v>5.9</c:v>
                </c:pt>
                <c:pt idx="7">
                  <c:v>7.8</c:v>
                </c:pt>
                <c:pt idx="8">
                  <c:v>4.5</c:v>
                </c:pt>
                <c:pt idx="9">
                  <c:v>6</c:v>
                </c:pt>
                <c:pt idx="10">
                  <c:v>10.3</c:v>
                </c:pt>
                <c:pt idx="11">
                  <c:v>3.7</c:v>
                </c:pt>
                <c:pt idx="12">
                  <c:v>7.6</c:v>
                </c:pt>
                <c:pt idx="13">
                  <c:v>8</c:v>
                </c:pt>
                <c:pt idx="14">
                  <c:v>11.4</c:v>
                </c:pt>
                <c:pt idx="15">
                  <c:v>7.9</c:v>
                </c:pt>
                <c:pt idx="16">
                  <c:v>5.9</c:v>
                </c:pt>
                <c:pt idx="17">
                  <c:v>9.5</c:v>
                </c:pt>
                <c:pt idx="18">
                  <c:v>3.9</c:v>
                </c:pt>
                <c:pt idx="19">
                  <c:v>12.2</c:v>
                </c:pt>
                <c:pt idx="20">
                  <c:v>4.5</c:v>
                </c:pt>
              </c:numCache>
            </c:numRef>
          </c:val>
        </c:ser>
        <c:ser>
          <c:idx val="5"/>
          <c:order val="5"/>
          <c:tx>
            <c:strRef>
              <c:f>Sheet1!$G$1</c:f>
              <c:strCache>
                <c:ptCount val="1"/>
                <c:pt idx="0">
                  <c:v>月に１回</c:v>
                </c:pt>
              </c:strCache>
            </c:strRef>
          </c:tx>
          <c:spPr>
            <a:pattFill prst="ltUpDiag">
              <a:fgClr>
                <a:sysClr val="windowText" lastClr="000000"/>
              </a:fgClr>
              <a:bgClr>
                <a:srgbClr val="FFFF00"/>
              </a:bgClr>
            </a:pattFill>
            <a:ln>
              <a:solidFill>
                <a:sysClr val="windowText" lastClr="000000"/>
              </a:solidFill>
            </a:ln>
          </c:spPr>
          <c:invertIfNegative val="0"/>
          <c:dLbls>
            <c:dLbl>
              <c:idx val="0"/>
              <c:layout>
                <c:manualLayout>
                  <c:x val="7.8318118975696916E-17"/>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314625291430784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7.8318118975696916E-17"/>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7.8318118975696916E-17"/>
                  <c:y val="-2.063844445510568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063844445510568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2.1413553541536358E-3"/>
                  <c:y val="-2.0638167939353656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1.7087786991989349E-2"/>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55875026493666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0"/>
                  <c:y val="-1.9314625291430763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1.755875026493666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4.9000000000000004</c:v>
                </c:pt>
                <c:pt idx="1">
                  <c:v>4.0999999999999996</c:v>
                </c:pt>
                <c:pt idx="2">
                  <c:v>11.1</c:v>
                </c:pt>
                <c:pt idx="3">
                  <c:v>1.4</c:v>
                </c:pt>
                <c:pt idx="4">
                  <c:v>7.3</c:v>
                </c:pt>
                <c:pt idx="5">
                  <c:v>6</c:v>
                </c:pt>
                <c:pt idx="6">
                  <c:v>3.4</c:v>
                </c:pt>
                <c:pt idx="7">
                  <c:v>1.6</c:v>
                </c:pt>
                <c:pt idx="8">
                  <c:v>0</c:v>
                </c:pt>
                <c:pt idx="9">
                  <c:v>4</c:v>
                </c:pt>
                <c:pt idx="10">
                  <c:v>9.5</c:v>
                </c:pt>
                <c:pt idx="11">
                  <c:v>3.2</c:v>
                </c:pt>
                <c:pt idx="12">
                  <c:v>4.7</c:v>
                </c:pt>
                <c:pt idx="13">
                  <c:v>4.9000000000000004</c:v>
                </c:pt>
                <c:pt idx="14">
                  <c:v>4.4000000000000004</c:v>
                </c:pt>
                <c:pt idx="15">
                  <c:v>3.5</c:v>
                </c:pt>
                <c:pt idx="16">
                  <c:v>0</c:v>
                </c:pt>
                <c:pt idx="17">
                  <c:v>4.8</c:v>
                </c:pt>
                <c:pt idx="18">
                  <c:v>7.8</c:v>
                </c:pt>
                <c:pt idx="19">
                  <c:v>4.0999999999999996</c:v>
                </c:pt>
                <c:pt idx="20">
                  <c:v>7</c:v>
                </c:pt>
              </c:numCache>
            </c:numRef>
          </c:val>
        </c:ser>
        <c:ser>
          <c:idx val="6"/>
          <c:order val="6"/>
          <c:tx>
            <c:strRef>
              <c:f>Sheet1!$H$1</c:f>
              <c:strCache>
                <c:ptCount val="1"/>
                <c:pt idx="0">
                  <c:v>年に数回</c:v>
                </c:pt>
              </c:strCache>
            </c:strRef>
          </c:tx>
          <c:spPr>
            <a:pattFill prst="pct60">
              <a:fgClr>
                <a:sysClr val="windowText" lastClr="000000"/>
              </a:fgClr>
              <a:bgClr>
                <a:sysClr val="window" lastClr="FFFFFF"/>
              </a:bgClr>
            </a:pattFill>
            <a:ln>
              <a:solidFill>
                <a:sysClr val="windowText" lastClr="000000"/>
              </a:solidFill>
            </a:ln>
          </c:spPr>
          <c:invertIfNegative val="0"/>
          <c:dLbls>
            <c:dLbl>
              <c:idx val="10"/>
              <c:layout>
                <c:manualLayout>
                  <c:x val="0"/>
                  <c:y val="-2.106149957877001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Sheet1!$H$2:$H$22</c:f>
              <c:numCache>
                <c:formatCode>0.0</c:formatCode>
                <c:ptCount val="21"/>
                <c:pt idx="0">
                  <c:v>15.7</c:v>
                </c:pt>
                <c:pt idx="1">
                  <c:v>16.5</c:v>
                </c:pt>
                <c:pt idx="2">
                  <c:v>11.1</c:v>
                </c:pt>
                <c:pt idx="3">
                  <c:v>10.1</c:v>
                </c:pt>
                <c:pt idx="4">
                  <c:v>19.3</c:v>
                </c:pt>
                <c:pt idx="5">
                  <c:v>19.5</c:v>
                </c:pt>
                <c:pt idx="6">
                  <c:v>17.2</c:v>
                </c:pt>
                <c:pt idx="7">
                  <c:v>14.1</c:v>
                </c:pt>
                <c:pt idx="8">
                  <c:v>13.6</c:v>
                </c:pt>
                <c:pt idx="9">
                  <c:v>18.100000000000001</c:v>
                </c:pt>
                <c:pt idx="10">
                  <c:v>4.3</c:v>
                </c:pt>
                <c:pt idx="11">
                  <c:v>13.2</c:v>
                </c:pt>
                <c:pt idx="12">
                  <c:v>13.5</c:v>
                </c:pt>
                <c:pt idx="13">
                  <c:v>16.2</c:v>
                </c:pt>
                <c:pt idx="14">
                  <c:v>14.9</c:v>
                </c:pt>
                <c:pt idx="15">
                  <c:v>15.3</c:v>
                </c:pt>
                <c:pt idx="16">
                  <c:v>11.8</c:v>
                </c:pt>
                <c:pt idx="17">
                  <c:v>15.9</c:v>
                </c:pt>
                <c:pt idx="18">
                  <c:v>11.8</c:v>
                </c:pt>
                <c:pt idx="19">
                  <c:v>17.899999999999999</c:v>
                </c:pt>
                <c:pt idx="20">
                  <c:v>14.4</c:v>
                </c:pt>
              </c:numCache>
            </c:numRef>
          </c:val>
        </c:ser>
        <c:ser>
          <c:idx val="7"/>
          <c:order val="7"/>
          <c:tx>
            <c:strRef>
              <c:f>Sheet1!$I$1</c:f>
              <c:strCache>
                <c:ptCount val="1"/>
                <c:pt idx="0">
                  <c:v>飲まない・飲めない</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7"/>
              <c:layout>
                <c:manualLayout>
                  <c:x val="0"/>
                  <c:y val="-1.9314625291430708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1772688302023356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Sheet1!$I$2:$I$22</c:f>
              <c:numCache>
                <c:formatCode>0.0</c:formatCode>
                <c:ptCount val="21"/>
                <c:pt idx="0">
                  <c:v>22.1</c:v>
                </c:pt>
                <c:pt idx="1">
                  <c:v>20.6</c:v>
                </c:pt>
                <c:pt idx="2">
                  <c:v>33.300000000000004</c:v>
                </c:pt>
                <c:pt idx="3">
                  <c:v>26.1</c:v>
                </c:pt>
                <c:pt idx="4">
                  <c:v>19.3</c:v>
                </c:pt>
                <c:pt idx="5">
                  <c:v>13.1</c:v>
                </c:pt>
                <c:pt idx="6">
                  <c:v>18.7</c:v>
                </c:pt>
                <c:pt idx="7">
                  <c:v>4.7</c:v>
                </c:pt>
                <c:pt idx="8">
                  <c:v>22.7</c:v>
                </c:pt>
                <c:pt idx="9">
                  <c:v>36.200000000000003</c:v>
                </c:pt>
                <c:pt idx="10">
                  <c:v>6.9</c:v>
                </c:pt>
                <c:pt idx="11">
                  <c:v>38.6</c:v>
                </c:pt>
                <c:pt idx="12">
                  <c:v>27.1</c:v>
                </c:pt>
                <c:pt idx="13">
                  <c:v>21.4</c:v>
                </c:pt>
                <c:pt idx="14">
                  <c:v>22.8</c:v>
                </c:pt>
                <c:pt idx="15">
                  <c:v>23.1</c:v>
                </c:pt>
                <c:pt idx="16">
                  <c:v>23.5</c:v>
                </c:pt>
                <c:pt idx="17">
                  <c:v>19</c:v>
                </c:pt>
                <c:pt idx="18">
                  <c:v>21.6</c:v>
                </c:pt>
                <c:pt idx="19">
                  <c:v>14.6</c:v>
                </c:pt>
                <c:pt idx="20">
                  <c:v>28.4</c:v>
                </c:pt>
              </c:numCache>
            </c:numRef>
          </c:val>
        </c:ser>
        <c:ser>
          <c:idx val="8"/>
          <c:order val="8"/>
          <c:tx>
            <c:strRef>
              <c:f>Sheet1!$J$1</c:f>
              <c:strCache>
                <c:ptCount val="1"/>
                <c:pt idx="0">
                  <c:v>未成年なので飲めない</c:v>
                </c:pt>
              </c:strCache>
            </c:strRef>
          </c:tx>
          <c:spPr>
            <a:pattFill prst="pct25">
              <a:fgClr>
                <a:sysClr val="windowText" lastClr="000000"/>
              </a:fgClr>
              <a:bgClr>
                <a:srgbClr val="92D050"/>
              </a:bgClr>
            </a:pattFill>
            <a:ln>
              <a:solidFill>
                <a:sysClr val="windowText" lastClr="000000"/>
              </a:solidFill>
            </a:ln>
          </c:spPr>
          <c:invertIfNegative val="0"/>
          <c:dLbls>
            <c:dLbl>
              <c:idx val="0"/>
              <c:layout>
                <c:manualLayout>
                  <c:x val="0"/>
                  <c:y val="-1.93146252914307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1.93146252914307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627062706271154E-3"/>
                  <c:y val="-1.9298245614035241E-2"/>
                </c:manualLayout>
              </c:layout>
              <c:dLblPos val="ctr"/>
              <c:showLegendKey val="0"/>
              <c:showVal val="1"/>
              <c:showCatName val="0"/>
              <c:showSerName val="0"/>
              <c:showPercent val="0"/>
              <c:showBubbleSize val="0"/>
            </c:dLbl>
            <c:dLbl>
              <c:idx val="6"/>
              <c:layout>
                <c:manualLayout>
                  <c:x val="-6.0771874431537814E-3"/>
                  <c:y val="-2.105263157894738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layout>
                <c:manualLayout>
                  <c:x val="2.1359733739986786E-3"/>
                  <c:y val="-1.93146252914307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55875026493666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2.1359733739986786E-3"/>
                  <c:y val="-1.755875026493666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1.93146252914307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5"/>
              <c:layout>
                <c:manualLayout>
                  <c:x val="2.1359733739986786E-3"/>
                  <c:y val="-1.93146252914307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1.93146252914307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7"/>
              <c:layout>
                <c:manualLayout>
                  <c:x val="-2.1359733739986786E-3"/>
                  <c:y val="-1.755875026493666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2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Sheet1!$J$2:$J$22</c:f>
              <c:numCache>
                <c:formatCode>0.0</c:formatCode>
                <c:ptCount val="21"/>
                <c:pt idx="0">
                  <c:v>5.2</c:v>
                </c:pt>
                <c:pt idx="1">
                  <c:v>0</c:v>
                </c:pt>
                <c:pt idx="2">
                  <c:v>0</c:v>
                </c:pt>
                <c:pt idx="3">
                  <c:v>0</c:v>
                </c:pt>
                <c:pt idx="4">
                  <c:v>0.9</c:v>
                </c:pt>
                <c:pt idx="5">
                  <c:v>1.1000000000000001</c:v>
                </c:pt>
                <c:pt idx="6">
                  <c:v>1</c:v>
                </c:pt>
                <c:pt idx="7">
                  <c:v>0</c:v>
                </c:pt>
                <c:pt idx="8">
                  <c:v>0</c:v>
                </c:pt>
                <c:pt idx="9">
                  <c:v>0</c:v>
                </c:pt>
                <c:pt idx="10">
                  <c:v>56.9</c:v>
                </c:pt>
                <c:pt idx="11">
                  <c:v>1.6</c:v>
                </c:pt>
                <c:pt idx="12">
                  <c:v>4.0999999999999996</c:v>
                </c:pt>
                <c:pt idx="13">
                  <c:v>4.4000000000000004</c:v>
                </c:pt>
                <c:pt idx="14">
                  <c:v>2.6</c:v>
                </c:pt>
                <c:pt idx="15">
                  <c:v>3.5</c:v>
                </c:pt>
                <c:pt idx="16">
                  <c:v>2.9</c:v>
                </c:pt>
                <c:pt idx="17">
                  <c:v>2.4</c:v>
                </c:pt>
                <c:pt idx="18">
                  <c:v>15.7</c:v>
                </c:pt>
                <c:pt idx="19">
                  <c:v>9.8000000000000007</c:v>
                </c:pt>
                <c:pt idx="20">
                  <c:v>8.5</c:v>
                </c:pt>
              </c:numCache>
            </c:numRef>
          </c:val>
        </c:ser>
        <c:ser>
          <c:idx val="9"/>
          <c:order val="9"/>
          <c:tx>
            <c:strRef>
              <c:f>Sheet1!$K$1</c:f>
              <c:strCache>
                <c:ptCount val="1"/>
                <c:pt idx="0">
                  <c:v>無回答</c:v>
                </c:pt>
              </c:strCache>
            </c:strRef>
          </c:tx>
          <c:spPr>
            <a:pattFill prst="wdUpDiag">
              <a:fgClr>
                <a:sysClr val="windowText" lastClr="000000"/>
              </a:fgClr>
              <a:bgClr>
                <a:srgbClr val="00B0F0"/>
              </a:bgClr>
            </a:pattFill>
            <a:ln>
              <a:solidFill>
                <a:sysClr val="windowText" lastClr="000000"/>
              </a:solidFill>
            </a:ln>
          </c:spPr>
          <c:invertIfNegative val="0"/>
          <c:dLbls>
            <c:dLbl>
              <c:idx val="1"/>
              <c:layout>
                <c:manualLayout>
                  <c:x val="3.0375314141735592E-2"/>
                  <c:y val="0"/>
                </c:manualLayout>
              </c:layout>
              <c:dLblPos val="ctr"/>
              <c:showLegendKey val="0"/>
              <c:showVal val="1"/>
              <c:showCatName val="0"/>
              <c:showSerName val="0"/>
              <c:showPercent val="0"/>
              <c:showBubbleSize val="0"/>
            </c:dLbl>
            <c:dLbl>
              <c:idx val="2"/>
              <c:delete val="1"/>
            </c:dLbl>
            <c:dLbl>
              <c:idx val="3"/>
              <c:delete val="1"/>
            </c:dLbl>
            <c:dLbl>
              <c:idx val="4"/>
              <c:delete val="1"/>
            </c:dLbl>
            <c:dLbl>
              <c:idx val="5"/>
              <c:layout>
                <c:manualLayout>
                  <c:x val="2.5620815502205244E-2"/>
                  <c:y val="0"/>
                </c:manualLayout>
              </c:layout>
              <c:dLblPos val="ctr"/>
              <c:showLegendKey val="0"/>
              <c:showVal val="1"/>
              <c:showCatName val="0"/>
              <c:showSerName val="0"/>
              <c:showPercent val="0"/>
              <c:showBubbleSize val="0"/>
            </c:dLbl>
            <c:dLbl>
              <c:idx val="8"/>
              <c:delete val="1"/>
            </c:dLbl>
            <c:dLbl>
              <c:idx val="11"/>
              <c:layout>
                <c:manualLayout>
                  <c:x val="2.288218142618725E-2"/>
                  <c:y val="0"/>
                </c:manualLayout>
              </c:layout>
              <c:dLblPos val="ctr"/>
              <c:showLegendKey val="0"/>
              <c:showVal val="1"/>
              <c:showCatName val="0"/>
              <c:showSerName val="0"/>
              <c:showPercent val="0"/>
              <c:showBubbleSize val="0"/>
            </c:dLbl>
            <c:dLbl>
              <c:idx val="12"/>
              <c:layout>
                <c:manualLayout>
                  <c:x val="2.185306284133489E-2"/>
                  <c:y val="0"/>
                </c:manualLayout>
              </c:layout>
              <c:dLblPos val="ctr"/>
              <c:showLegendKey val="0"/>
              <c:showVal val="1"/>
              <c:showCatName val="0"/>
              <c:showSerName val="0"/>
              <c:showPercent val="0"/>
              <c:showBubbleSize val="0"/>
            </c:dLbl>
            <c:dLbl>
              <c:idx val="13"/>
              <c:layout>
                <c:manualLayout>
                  <c:x val="2.185306284133489E-2"/>
                  <c:y val="1.755401279894864E-3"/>
                </c:manualLayout>
              </c:layout>
              <c:dLblPos val="ctr"/>
              <c:showLegendKey val="0"/>
              <c:showVal val="1"/>
              <c:showCatName val="0"/>
              <c:showSerName val="0"/>
              <c:showPercent val="0"/>
              <c:showBubbleSize val="0"/>
            </c:dLbl>
            <c:dLbl>
              <c:idx val="16"/>
              <c:layout>
                <c:manualLayout>
                  <c:x val="2.6287412900754516E-2"/>
                  <c:y val="1.755401279894864E-3"/>
                </c:manualLayout>
              </c:layout>
              <c:dLblPos val="ctr"/>
              <c:showLegendKey val="0"/>
              <c:showVal val="1"/>
              <c:showCatName val="0"/>
              <c:showSerName val="0"/>
              <c:showPercent val="0"/>
              <c:showBubbleSize val="0"/>
            </c:dLbl>
            <c:dLbl>
              <c:idx val="17"/>
              <c:delete val="1"/>
            </c:dLbl>
            <c:dLbl>
              <c:idx val="18"/>
              <c:layout>
                <c:manualLayout>
                  <c:x val="2.3228467897474531E-2"/>
                  <c:y val="0"/>
                </c:manualLayout>
              </c:layout>
              <c:dLblPos val="ctr"/>
              <c:showLegendKey val="0"/>
              <c:showVal val="1"/>
              <c:showCatName val="0"/>
              <c:showSerName val="0"/>
              <c:showPercent val="0"/>
              <c:showBubbleSize val="0"/>
            </c:dLbl>
            <c:dLbl>
              <c:idx val="19"/>
              <c:delete val="1"/>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Sheet1!$K$2:$K$22</c:f>
              <c:numCache>
                <c:formatCode>0.0</c:formatCode>
                <c:ptCount val="21"/>
                <c:pt idx="0">
                  <c:v>1.7</c:v>
                </c:pt>
                <c:pt idx="1">
                  <c:v>4.0999999999999996</c:v>
                </c:pt>
                <c:pt idx="2">
                  <c:v>0</c:v>
                </c:pt>
                <c:pt idx="3">
                  <c:v>0</c:v>
                </c:pt>
                <c:pt idx="4">
                  <c:v>0</c:v>
                </c:pt>
                <c:pt idx="5">
                  <c:v>2.5</c:v>
                </c:pt>
                <c:pt idx="6">
                  <c:v>0.5</c:v>
                </c:pt>
                <c:pt idx="7">
                  <c:v>1.6</c:v>
                </c:pt>
                <c:pt idx="8">
                  <c:v>0</c:v>
                </c:pt>
                <c:pt idx="9">
                  <c:v>1.3</c:v>
                </c:pt>
                <c:pt idx="10">
                  <c:v>0.9</c:v>
                </c:pt>
                <c:pt idx="11">
                  <c:v>2.1</c:v>
                </c:pt>
                <c:pt idx="12">
                  <c:v>1.8</c:v>
                </c:pt>
                <c:pt idx="13">
                  <c:v>1.8</c:v>
                </c:pt>
                <c:pt idx="14">
                  <c:v>1.8</c:v>
                </c:pt>
                <c:pt idx="15">
                  <c:v>1.7</c:v>
                </c:pt>
                <c:pt idx="16">
                  <c:v>2.9</c:v>
                </c:pt>
                <c:pt idx="17">
                  <c:v>0</c:v>
                </c:pt>
                <c:pt idx="18">
                  <c:v>2</c:v>
                </c:pt>
                <c:pt idx="19">
                  <c:v>0</c:v>
                </c:pt>
                <c:pt idx="20">
                  <c:v>0.5</c:v>
                </c:pt>
              </c:numCache>
            </c:numRef>
          </c:val>
        </c:ser>
        <c:dLbls>
          <c:showLegendKey val="0"/>
          <c:showVal val="0"/>
          <c:showCatName val="0"/>
          <c:showSerName val="0"/>
          <c:showPercent val="0"/>
          <c:showBubbleSize val="0"/>
        </c:dLbls>
        <c:gapWidth val="70"/>
        <c:overlap val="100"/>
        <c:axId val="235104512"/>
        <c:axId val="235126784"/>
      </c:barChart>
      <c:catAx>
        <c:axId val="23510451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5126784"/>
        <c:crosses val="autoZero"/>
        <c:auto val="1"/>
        <c:lblAlgn val="ctr"/>
        <c:lblOffset val="100"/>
        <c:noMultiLvlLbl val="0"/>
      </c:catAx>
      <c:valAx>
        <c:axId val="23512678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235104512"/>
        <c:crosses val="autoZero"/>
        <c:crossBetween val="between"/>
      </c:valAx>
    </c:plotArea>
    <c:legend>
      <c:legendPos val="r"/>
      <c:layout>
        <c:manualLayout>
          <c:xMode val="edge"/>
          <c:yMode val="edge"/>
          <c:x val="1.5873454310302414E-2"/>
          <c:y val="1.4755659492010661E-3"/>
          <c:w val="0.98412650739328922"/>
          <c:h val="7.9344137851249816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47205439626922E-2"/>
          <c:y val="4.5964878091801172E-2"/>
          <c:w val="0.89462051618549399"/>
          <c:h val="0.67716137144857025"/>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9"/>
              <c:layout>
                <c:manualLayout>
                  <c:x val="4.3771045428830695E-2"/>
                  <c:y val="5.3846668562816516E-2"/>
                </c:manualLayout>
              </c:layout>
              <c:dLblPos val="outEnd"/>
              <c:showLegendKey val="0"/>
              <c:showVal val="1"/>
              <c:showCatName val="0"/>
              <c:showSerName val="0"/>
              <c:showPercent val="0"/>
              <c:showBubbleSize val="0"/>
            </c:dLbl>
            <c:dLbl>
              <c:idx val="12"/>
              <c:layout>
                <c:manualLayout>
                  <c:x val="0"/>
                  <c:y val="-1.7834977906242732E-2"/>
                </c:manualLayout>
              </c:layout>
              <c:spPr>
                <a:noFill/>
              </c:spPr>
              <c:txPr>
                <a:bodyPr/>
                <a:lstStyle/>
                <a:p>
                  <a:pPr>
                    <a:defRPr sz="800" b="1"/>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飲み会や宴会のため</c:v>
                </c:pt>
                <c:pt idx="1">
                  <c:v>友人、仲間との関係を深めるため</c:v>
                </c:pt>
                <c:pt idx="2">
                  <c:v>酒が好きだから</c:v>
                </c:pt>
                <c:pt idx="3">
                  <c:v>ストレス解消になる気がするため</c:v>
                </c:pt>
                <c:pt idx="4">
                  <c:v>仕事上の付き合いのため</c:v>
                </c:pt>
                <c:pt idx="5">
                  <c:v>習慣となっているため</c:v>
                </c:pt>
                <c:pt idx="6">
                  <c:v>疲れがとれる気がするため</c:v>
                </c:pt>
                <c:pt idx="7">
                  <c:v>寝付きが良くなる気がするため</c:v>
                </c:pt>
                <c:pt idx="8">
                  <c:v>不安やイライラを解消する気がするため</c:v>
                </c:pt>
                <c:pt idx="9">
                  <c:v>その他</c:v>
                </c:pt>
              </c:strCache>
            </c:strRef>
          </c:cat>
          <c:val>
            <c:numRef>
              <c:f>Sheet1!$B$2:$K$2</c:f>
              <c:numCache>
                <c:formatCode>0.0</c:formatCode>
                <c:ptCount val="10"/>
                <c:pt idx="0">
                  <c:v>42</c:v>
                </c:pt>
                <c:pt idx="1">
                  <c:v>37.800000000000004</c:v>
                </c:pt>
                <c:pt idx="2">
                  <c:v>37.4</c:v>
                </c:pt>
                <c:pt idx="3">
                  <c:v>26.9</c:v>
                </c:pt>
                <c:pt idx="4">
                  <c:v>25.5</c:v>
                </c:pt>
                <c:pt idx="5">
                  <c:v>22.8</c:v>
                </c:pt>
                <c:pt idx="6">
                  <c:v>13.8</c:v>
                </c:pt>
                <c:pt idx="7">
                  <c:v>13.2</c:v>
                </c:pt>
                <c:pt idx="8">
                  <c:v>9.7000000000000011</c:v>
                </c:pt>
                <c:pt idx="9">
                  <c:v>3.5</c:v>
                </c:pt>
              </c:numCache>
            </c:numRef>
          </c:val>
        </c:ser>
        <c:dLbls>
          <c:showLegendKey val="0"/>
          <c:showVal val="1"/>
          <c:showCatName val="0"/>
          <c:showSerName val="0"/>
          <c:showPercent val="0"/>
          <c:showBubbleSize val="0"/>
        </c:dLbls>
        <c:gapWidth val="100"/>
        <c:axId val="235319296"/>
        <c:axId val="235320832"/>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4.0791666666666712E-2"/>
                  <c:y val="5.16877637130801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706274292971243E-2"/>
                  <c:y val="-5.79665603527705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541666666666672E-2"/>
                  <c:y val="-3.69198312236286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794712812214133E-2"/>
                  <c:y val="2.84510465435036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624999999999998E-2"/>
                  <c:y val="-3.4810126582278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6624999999999998E-2"/>
                  <c:y val="-3.05907172995780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8706110172066072E-2"/>
                  <c:y val="-4.2489860496841073E-2"/>
                </c:manualLayout>
              </c:layout>
              <c:dLblPos val="r"/>
              <c:showLegendKey val="0"/>
              <c:showVal val="1"/>
              <c:showCatName val="0"/>
              <c:showSerName val="0"/>
              <c:showPercent val="0"/>
              <c:showBubbleSize val="0"/>
            </c:dLbl>
            <c:dLbl>
              <c:idx val="7"/>
              <c:layout>
                <c:manualLayout>
                  <c:x val="-4.2875000000000003E-2"/>
                  <c:y val="-3.05907172995780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1.1876355552609307E-2"/>
                  <c:y val="-2.9837807387990984E-2"/>
                </c:manualLayout>
              </c:layout>
              <c:dLblPos val="r"/>
              <c:showLegendKey val="0"/>
              <c:showVal val="1"/>
              <c:showCatName val="0"/>
              <c:showSerName val="0"/>
              <c:showPercent val="0"/>
              <c:showBubbleSize val="0"/>
            </c:dLbl>
            <c:dLbl>
              <c:idx val="11"/>
              <c:layout>
                <c:manualLayout>
                  <c:x val="-3.7624999999999999E-2"/>
                  <c:y val="-6.43459915611815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5541666666666812E-2"/>
                  <c:y val="-0.10021097046413628"/>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85000"/>
                </a:sysClr>
              </a:solidFill>
              <a:ln>
                <a:solidFill>
                  <a:sysClr val="windowText" lastClr="000000"/>
                </a:solidFill>
              </a:ln>
            </c:spPr>
            <c:txPr>
              <a:bodyPr/>
              <a:lstStyle/>
              <a:p>
                <a:pPr>
                  <a:defRPr sz="900" b="1"/>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飲み会や宴会のため</c:v>
                </c:pt>
                <c:pt idx="1">
                  <c:v>友人、仲間との関係を深めるため</c:v>
                </c:pt>
                <c:pt idx="2">
                  <c:v>酒が好きだから</c:v>
                </c:pt>
                <c:pt idx="3">
                  <c:v>ストレス解消になる気がするため</c:v>
                </c:pt>
                <c:pt idx="4">
                  <c:v>仕事上の付き合いのため</c:v>
                </c:pt>
                <c:pt idx="5">
                  <c:v>習慣となっているため</c:v>
                </c:pt>
                <c:pt idx="6">
                  <c:v>疲れがとれる気がするため</c:v>
                </c:pt>
                <c:pt idx="7">
                  <c:v>寝付きが良くなる気がするため</c:v>
                </c:pt>
                <c:pt idx="8">
                  <c:v>不安やイライラを解消する気がするため</c:v>
                </c:pt>
                <c:pt idx="9">
                  <c:v>その他</c:v>
                </c:pt>
              </c:strCache>
            </c:strRef>
          </c:cat>
          <c:val>
            <c:numRef>
              <c:f>Sheet1!$B$3:$K$3</c:f>
              <c:numCache>
                <c:formatCode>0.0</c:formatCode>
                <c:ptCount val="10"/>
                <c:pt idx="0">
                  <c:v>38.300000000000004</c:v>
                </c:pt>
                <c:pt idx="1">
                  <c:v>38.1</c:v>
                </c:pt>
                <c:pt idx="2">
                  <c:v>43.8</c:v>
                </c:pt>
                <c:pt idx="3">
                  <c:v>23.5</c:v>
                </c:pt>
                <c:pt idx="4">
                  <c:v>30.4</c:v>
                </c:pt>
                <c:pt idx="5">
                  <c:v>33.5</c:v>
                </c:pt>
                <c:pt idx="6">
                  <c:v>14.6</c:v>
                </c:pt>
                <c:pt idx="7">
                  <c:v>15.1</c:v>
                </c:pt>
                <c:pt idx="8">
                  <c:v>9.6</c:v>
                </c:pt>
                <c:pt idx="9">
                  <c:v>1.4</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4.0644542183913675E-2"/>
                  <c:y val="4.6707216377420813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dLbl>
            <c:dLbl>
              <c:idx val="2"/>
              <c:layout>
                <c:manualLayout>
                  <c:x val="-4.0624999999999988E-2"/>
                  <c:y val="3.2700421940928273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521180172880497E-2"/>
                  <c:y val="-3.2232599664130862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dLbl>
            <c:dLbl>
              <c:idx val="4"/>
              <c:layout>
                <c:manualLayout>
                  <c:x val="-4.2708333333334104E-2"/>
                  <c:y val="4.1139240506329056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624999999999988E-2"/>
                  <c:y val="3.0590717299578081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8560206687303242E-2"/>
                  <c:y val="2.7729114914811902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dLbl>
            <c:dLbl>
              <c:idx val="7"/>
              <c:layout>
                <c:manualLayout>
                  <c:x val="-4.0625000000000078E-2"/>
                  <c:y val="3.2700421940928273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8541666666666675E-2"/>
                  <c:y val="-3.4810126582278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ltLang="en-US" sz="900"/>
                      <a:t>11</a:t>
                    </a:r>
                    <a:r>
                      <a:rPr lang="en-US" altLang="ja-JP" sz="900"/>
                      <a:t>.0</a:t>
                    </a:r>
                    <a:endParaRPr lang="en-US" altLang="en-US"/>
                  </a:p>
                </c:rich>
              </c:tx>
              <c:dLblPos val="t"/>
              <c:showLegendKey val="0"/>
              <c:showVal val="1"/>
              <c:showCatName val="0"/>
              <c:showSerName val="0"/>
              <c:showPercent val="0"/>
              <c:showBubbleSize val="0"/>
              <c:extLst>
                <c:ext xmlns:c15="http://schemas.microsoft.com/office/drawing/2012/chart" uri="{CE6537A1-D6FC-4f65-9D91-7224C49458BB}"/>
              </c:extLst>
            </c:dLbl>
            <c:dLbl>
              <c:idx val="11"/>
              <c:layout>
                <c:manualLayout>
                  <c:x val="-3.5416666666666666E-2"/>
                  <c:y val="-4.32489451476792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333333333333334E-2"/>
                  <c:y val="-7.2784810126582333E-2"/>
                </c:manualLayout>
              </c:layout>
              <c:dLblPos val="r"/>
              <c:showLegendKey val="0"/>
              <c:showVal val="1"/>
              <c:showCatName val="0"/>
              <c:showSerName val="0"/>
              <c:showPercent val="0"/>
              <c:showBubbleSize val="0"/>
              <c:extLst>
                <c:ext xmlns:c15="http://schemas.microsoft.com/office/drawing/2012/chart" uri="{CE6537A1-D6FC-4f65-9D91-7224C49458BB}"/>
              </c:extLst>
            </c:dLbl>
            <c:spPr>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飲み会や宴会のため</c:v>
                </c:pt>
                <c:pt idx="1">
                  <c:v>友人、仲間との関係を深めるため</c:v>
                </c:pt>
                <c:pt idx="2">
                  <c:v>酒が好きだから</c:v>
                </c:pt>
                <c:pt idx="3">
                  <c:v>ストレス解消になる気がするため</c:v>
                </c:pt>
                <c:pt idx="4">
                  <c:v>仕事上の付き合いのため</c:v>
                </c:pt>
                <c:pt idx="5">
                  <c:v>習慣となっているため</c:v>
                </c:pt>
                <c:pt idx="6">
                  <c:v>疲れがとれる気がするため</c:v>
                </c:pt>
                <c:pt idx="7">
                  <c:v>寝付きが良くなる気がするため</c:v>
                </c:pt>
                <c:pt idx="8">
                  <c:v>不安やイライラを解消する気がするため</c:v>
                </c:pt>
                <c:pt idx="9">
                  <c:v>その他</c:v>
                </c:pt>
              </c:strCache>
            </c:strRef>
          </c:cat>
          <c:val>
            <c:numRef>
              <c:f>Sheet1!$B$4:$K$4</c:f>
              <c:numCache>
                <c:formatCode>0.0</c:formatCode>
                <c:ptCount val="10"/>
                <c:pt idx="0">
                  <c:v>45.8</c:v>
                </c:pt>
                <c:pt idx="1">
                  <c:v>37.700000000000003</c:v>
                </c:pt>
                <c:pt idx="2">
                  <c:v>31.3</c:v>
                </c:pt>
                <c:pt idx="3">
                  <c:v>30.4</c:v>
                </c:pt>
                <c:pt idx="4">
                  <c:v>20.6</c:v>
                </c:pt>
                <c:pt idx="5">
                  <c:v>12.6</c:v>
                </c:pt>
                <c:pt idx="6">
                  <c:v>12.8</c:v>
                </c:pt>
                <c:pt idx="7">
                  <c:v>11.4</c:v>
                </c:pt>
                <c:pt idx="8">
                  <c:v>9.7000000000000011</c:v>
                </c:pt>
                <c:pt idx="9">
                  <c:v>5.5</c:v>
                </c:pt>
              </c:numCache>
            </c:numRef>
          </c:val>
          <c:smooth val="0"/>
        </c:ser>
        <c:dLbls>
          <c:showLegendKey val="0"/>
          <c:showVal val="0"/>
          <c:showCatName val="0"/>
          <c:showSerName val="0"/>
          <c:showPercent val="0"/>
          <c:showBubbleSize val="0"/>
        </c:dLbls>
        <c:marker val="1"/>
        <c:smooth val="0"/>
        <c:axId val="235319296"/>
        <c:axId val="235320832"/>
      </c:lineChart>
      <c:catAx>
        <c:axId val="235319296"/>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5320832"/>
        <c:crosses val="autoZero"/>
        <c:auto val="1"/>
        <c:lblAlgn val="ctr"/>
        <c:lblOffset val="100"/>
        <c:noMultiLvlLbl val="0"/>
      </c:catAx>
      <c:valAx>
        <c:axId val="235320832"/>
        <c:scaling>
          <c:orientation val="minMax"/>
          <c:max val="5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5319296"/>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447043309704031"/>
          <c:y val="4.5945260968926364E-2"/>
          <c:w val="0.71434184346381535"/>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Sheet1!$B$2:$B$12</c:f>
              <c:numCache>
                <c:formatCode>_ * ###0.0_ ;_ * \-###0.0_ ;_ * "-"</c:formatCode>
                <c:ptCount val="11"/>
                <c:pt idx="0">
                  <c:v>42.5</c:v>
                </c:pt>
                <c:pt idx="1">
                  <c:v>31</c:v>
                </c:pt>
                <c:pt idx="2">
                  <c:v>37.9</c:v>
                </c:pt>
                <c:pt idx="3">
                  <c:v>24.1</c:v>
                </c:pt>
                <c:pt idx="4">
                  <c:v>29.9</c:v>
                </c:pt>
                <c:pt idx="5">
                  <c:v>19.5</c:v>
                </c:pt>
                <c:pt idx="6">
                  <c:v>23</c:v>
                </c:pt>
                <c:pt idx="7">
                  <c:v>28.7</c:v>
                </c:pt>
                <c:pt idx="8">
                  <c:v>19.5</c:v>
                </c:pt>
                <c:pt idx="9">
                  <c:v>19.5</c:v>
                </c:pt>
                <c:pt idx="10">
                  <c:v>1.1000000000000001</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Sheet1!$C$2:$C$12</c:f>
              <c:numCache>
                <c:formatCode>_ * ###0.0_ ;_ * \-###0.0_ ;_ * "-"</c:formatCode>
                <c:ptCount val="11"/>
                <c:pt idx="0">
                  <c:v>41.1</c:v>
                </c:pt>
                <c:pt idx="1">
                  <c:v>32.700000000000003</c:v>
                </c:pt>
                <c:pt idx="2">
                  <c:v>27.2</c:v>
                </c:pt>
                <c:pt idx="3">
                  <c:v>27.7</c:v>
                </c:pt>
                <c:pt idx="4">
                  <c:v>33.200000000000003</c:v>
                </c:pt>
                <c:pt idx="5">
                  <c:v>23.8</c:v>
                </c:pt>
                <c:pt idx="6">
                  <c:v>25.2</c:v>
                </c:pt>
                <c:pt idx="7">
                  <c:v>32.200000000000003</c:v>
                </c:pt>
                <c:pt idx="8">
                  <c:v>14.4</c:v>
                </c:pt>
                <c:pt idx="9">
                  <c:v>15.3</c:v>
                </c:pt>
                <c:pt idx="10">
                  <c:v>1.5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c:txPr>
                <a:bodyPr/>
                <a:lstStyle/>
                <a:p>
                  <a:pPr>
                    <a:defRPr sz="800">
                      <a:latin typeface="Arial Black" panose="020B0A04020102020204" pitchFamily="34" charset="0"/>
                      <a:ea typeface="ＭＳ 明朝" panose="02020609040205080304" pitchFamily="17" charset="-128"/>
                    </a:defRPr>
                  </a:pPr>
                  <a:endParaRPr lang="ja-JP"/>
                </a:p>
              </c:txPr>
              <c:dLblPos val="outEnd"/>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Sheet1!$D$2:$D$12</c:f>
              <c:numCache>
                <c:formatCode>_ * ###0.0_ ;_ * \-###0.0_ ;_ * "-"</c:formatCode>
                <c:ptCount val="11"/>
                <c:pt idx="0">
                  <c:v>43.5</c:v>
                </c:pt>
                <c:pt idx="1">
                  <c:v>25.7</c:v>
                </c:pt>
                <c:pt idx="2">
                  <c:v>28.9</c:v>
                </c:pt>
                <c:pt idx="3">
                  <c:v>25.7</c:v>
                </c:pt>
                <c:pt idx="4">
                  <c:v>33.6</c:v>
                </c:pt>
                <c:pt idx="5">
                  <c:v>24.1</c:v>
                </c:pt>
                <c:pt idx="6">
                  <c:v>25.7</c:v>
                </c:pt>
                <c:pt idx="7">
                  <c:v>30.4</c:v>
                </c:pt>
                <c:pt idx="8">
                  <c:v>24.5</c:v>
                </c:pt>
                <c:pt idx="9">
                  <c:v>13</c:v>
                </c:pt>
                <c:pt idx="10">
                  <c:v>2.8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3"/>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Sheet1!$E$2:$E$12</c:f>
              <c:numCache>
                <c:formatCode>_ * ###0.0_ ;_ * \-###0.0_ ;_ * "-"</c:formatCode>
                <c:ptCount val="11"/>
                <c:pt idx="0">
                  <c:v>36.6</c:v>
                </c:pt>
                <c:pt idx="1">
                  <c:v>36.6</c:v>
                </c:pt>
                <c:pt idx="2">
                  <c:v>34.300000000000004</c:v>
                </c:pt>
                <c:pt idx="3">
                  <c:v>38.9</c:v>
                </c:pt>
                <c:pt idx="4">
                  <c:v>33.1</c:v>
                </c:pt>
                <c:pt idx="5">
                  <c:v>29.4</c:v>
                </c:pt>
                <c:pt idx="6">
                  <c:v>24.3</c:v>
                </c:pt>
                <c:pt idx="7">
                  <c:v>23.4</c:v>
                </c:pt>
                <c:pt idx="8">
                  <c:v>18</c:v>
                </c:pt>
                <c:pt idx="9">
                  <c:v>10.9</c:v>
                </c:pt>
                <c:pt idx="10">
                  <c:v>0.9</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3"/>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Sheet1!$F$2:$F$12</c:f>
              <c:numCache>
                <c:formatCode>_ * ###0.0_ ;_ * \-###0.0_ ;_ * "-"</c:formatCode>
                <c:ptCount val="11"/>
                <c:pt idx="0">
                  <c:v>33.800000000000004</c:v>
                </c:pt>
                <c:pt idx="1">
                  <c:v>39.9</c:v>
                </c:pt>
                <c:pt idx="2">
                  <c:v>34.4</c:v>
                </c:pt>
                <c:pt idx="3">
                  <c:v>40.5</c:v>
                </c:pt>
                <c:pt idx="4">
                  <c:v>31.5</c:v>
                </c:pt>
                <c:pt idx="5">
                  <c:v>29.4</c:v>
                </c:pt>
                <c:pt idx="6">
                  <c:v>24.8</c:v>
                </c:pt>
                <c:pt idx="7">
                  <c:v>19.2</c:v>
                </c:pt>
                <c:pt idx="8">
                  <c:v>18.399999999999999</c:v>
                </c:pt>
                <c:pt idx="9">
                  <c:v>10.5</c:v>
                </c:pt>
                <c:pt idx="10">
                  <c:v>1.7</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Sheet1!$G$2:$G$12</c:f>
              <c:numCache>
                <c:formatCode>_ * ###0.0_ ;_ * \-###0.0_ ;_ * "-"</c:formatCode>
                <c:ptCount val="11"/>
                <c:pt idx="0">
                  <c:v>37.200000000000003</c:v>
                </c:pt>
                <c:pt idx="1">
                  <c:v>41</c:v>
                </c:pt>
                <c:pt idx="2">
                  <c:v>40.200000000000003</c:v>
                </c:pt>
                <c:pt idx="3">
                  <c:v>31.4</c:v>
                </c:pt>
                <c:pt idx="4">
                  <c:v>23</c:v>
                </c:pt>
                <c:pt idx="5">
                  <c:v>29.1</c:v>
                </c:pt>
                <c:pt idx="6">
                  <c:v>27.6</c:v>
                </c:pt>
                <c:pt idx="7">
                  <c:v>23</c:v>
                </c:pt>
                <c:pt idx="8">
                  <c:v>13.8</c:v>
                </c:pt>
                <c:pt idx="9">
                  <c:v>14.9</c:v>
                </c:pt>
                <c:pt idx="10">
                  <c:v>1.1000000000000001</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1"/>
              <c:spPr>
                <a:solidFill>
                  <a:sysClr val="window" lastClr="FFFFFF"/>
                </a:solidFill>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少子化対策の推進　　　</c:v>
                </c:pt>
                <c:pt idx="1">
                  <c:v>高齢者がいつまでも元気
に暮らせる地域づくり</c:v>
                </c:pt>
                <c:pt idx="2">
                  <c:v>生涯にわたる健康的な生
活習慣の定着</c:v>
                </c:pt>
                <c:pt idx="3">
                  <c:v>介護などのサービス提供
を担う人材の安定確保</c:v>
                </c:pt>
                <c:pt idx="4">
                  <c:v>がん対策や脳血管疾患・
心臓病・糖尿病などの血
管病対策</c:v>
                </c:pt>
                <c:pt idx="5">
                  <c:v>医師等の地域偏在の是正</c:v>
                </c:pt>
                <c:pt idx="6">
                  <c:v>在宅医療・介護の推進　</c:v>
                </c:pt>
                <c:pt idx="7">
                  <c:v>厳しい環境にある子ども
たちへの支援</c:v>
                </c:pt>
                <c:pt idx="8">
                  <c:v>救急医療体制の強化　　</c:v>
                </c:pt>
                <c:pt idx="9">
                  <c:v>障害のある方の自立を促
し、安心して生活のでき
る地域づくり</c:v>
                </c:pt>
                <c:pt idx="10">
                  <c:v>その他　　　　　　　　</c:v>
                </c:pt>
              </c:strCache>
            </c:strRef>
          </c:cat>
          <c:val>
            <c:numRef>
              <c:f>Sheet1!$H$2:$H$12</c:f>
              <c:numCache>
                <c:formatCode>_ * ###0.0_ ;_ * \-###0.0_ ;_ * "-"</c:formatCode>
                <c:ptCount val="11"/>
                <c:pt idx="0">
                  <c:v>35.700000000000003</c:v>
                </c:pt>
                <c:pt idx="1">
                  <c:v>48</c:v>
                </c:pt>
                <c:pt idx="2">
                  <c:v>39.800000000000004</c:v>
                </c:pt>
                <c:pt idx="3">
                  <c:v>23.5</c:v>
                </c:pt>
                <c:pt idx="4">
                  <c:v>26.5</c:v>
                </c:pt>
                <c:pt idx="5">
                  <c:v>28.6</c:v>
                </c:pt>
                <c:pt idx="6">
                  <c:v>41.8</c:v>
                </c:pt>
                <c:pt idx="7">
                  <c:v>27.6</c:v>
                </c:pt>
                <c:pt idx="8">
                  <c:v>11.2</c:v>
                </c:pt>
                <c:pt idx="9">
                  <c:v>8.2000000000000011</c:v>
                </c:pt>
                <c:pt idx="10" formatCode="0.0_);[Red]\(0.0\)">
                  <c:v>0</c:v>
                </c:pt>
              </c:numCache>
            </c:numRef>
          </c:val>
        </c:ser>
        <c:dLbls>
          <c:showLegendKey val="0"/>
          <c:showVal val="1"/>
          <c:showCatName val="0"/>
          <c:showSerName val="0"/>
          <c:showPercent val="0"/>
          <c:showBubbleSize val="0"/>
        </c:dLbls>
        <c:gapWidth val="100"/>
        <c:axId val="221782016"/>
        <c:axId val="221783552"/>
      </c:barChart>
      <c:catAx>
        <c:axId val="22178201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21783552"/>
        <c:crosses val="autoZero"/>
        <c:auto val="1"/>
        <c:lblAlgn val="ctr"/>
        <c:lblOffset val="100"/>
        <c:noMultiLvlLbl val="0"/>
      </c:catAx>
      <c:valAx>
        <c:axId val="221783552"/>
        <c:scaling>
          <c:orientation val="minMax"/>
          <c:max val="5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21782016"/>
        <c:crosses val="autoZero"/>
        <c:crossBetween val="between"/>
        <c:majorUnit val="10"/>
      </c:valAx>
      <c:spPr>
        <a:ln>
          <a:solidFill>
            <a:schemeClr val="tx1"/>
          </a:solidFill>
        </a:ln>
      </c:spPr>
    </c:plotArea>
    <c:legend>
      <c:legendPos val="b"/>
      <c:layout>
        <c:manualLayout>
          <c:xMode val="edge"/>
          <c:yMode val="edge"/>
          <c:x val="0.79295699148717524"/>
          <c:y val="0.73386976074485155"/>
          <c:w val="0.16015610644115275"/>
          <c:h val="0.23754975335348641"/>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65497212383108"/>
          <c:y val="4.5945260968926364E-2"/>
          <c:w val="0.75719020640471113"/>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Sheet1!$B$2:$B$11</c:f>
              <c:numCache>
                <c:formatCode>0.0_);[Red]\(0.0\)</c:formatCode>
                <c:ptCount val="10"/>
                <c:pt idx="0">
                  <c:v>66.7</c:v>
                </c:pt>
                <c:pt idx="1">
                  <c:v>66.7</c:v>
                </c:pt>
                <c:pt idx="2">
                  <c:v>0</c:v>
                </c:pt>
                <c:pt idx="3">
                  <c:v>0</c:v>
                </c:pt>
                <c:pt idx="4">
                  <c:v>0</c:v>
                </c:pt>
                <c:pt idx="5">
                  <c:v>0</c:v>
                </c:pt>
                <c:pt idx="6">
                  <c:v>0</c:v>
                </c:pt>
                <c:pt idx="7">
                  <c:v>0</c:v>
                </c:pt>
                <c:pt idx="8">
                  <c:v>0</c:v>
                </c:pt>
                <c:pt idx="9">
                  <c:v>33.300000000000004</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Sheet1!$C$2:$C$11</c:f>
              <c:numCache>
                <c:formatCode>0.0_);[Red]\(0.0\)</c:formatCode>
                <c:ptCount val="10"/>
                <c:pt idx="0">
                  <c:v>68.2</c:v>
                </c:pt>
                <c:pt idx="1">
                  <c:v>62.9</c:v>
                </c:pt>
                <c:pt idx="2">
                  <c:v>34.700000000000003</c:v>
                </c:pt>
                <c:pt idx="3">
                  <c:v>21.8</c:v>
                </c:pt>
                <c:pt idx="4">
                  <c:v>40</c:v>
                </c:pt>
                <c:pt idx="5">
                  <c:v>5.9</c:v>
                </c:pt>
                <c:pt idx="6">
                  <c:v>4.0999999999999996</c:v>
                </c:pt>
                <c:pt idx="7">
                  <c:v>5.3</c:v>
                </c:pt>
                <c:pt idx="8">
                  <c:v>9.4</c:v>
                </c:pt>
                <c:pt idx="9">
                  <c:v>2.4</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Sheet1!$D$2:$D$11</c:f>
              <c:numCache>
                <c:formatCode>0.0_);[Red]\(0.0\)</c:formatCode>
                <c:ptCount val="10"/>
                <c:pt idx="0">
                  <c:v>46.7</c:v>
                </c:pt>
                <c:pt idx="1">
                  <c:v>41.1</c:v>
                </c:pt>
                <c:pt idx="2">
                  <c:v>39.6</c:v>
                </c:pt>
                <c:pt idx="3">
                  <c:v>27.4</c:v>
                </c:pt>
                <c:pt idx="4">
                  <c:v>31</c:v>
                </c:pt>
                <c:pt idx="5">
                  <c:v>18.3</c:v>
                </c:pt>
                <c:pt idx="6">
                  <c:v>8.1</c:v>
                </c:pt>
                <c:pt idx="7">
                  <c:v>11.7</c:v>
                </c:pt>
                <c:pt idx="8">
                  <c:v>11.7</c:v>
                </c:pt>
                <c:pt idx="9">
                  <c:v>2</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Sheet1!$E$2:$E$11</c:f>
              <c:numCache>
                <c:formatCode>0.0_);[Red]\(0.0\)</c:formatCode>
                <c:ptCount val="10"/>
                <c:pt idx="0">
                  <c:v>40.800000000000004</c:v>
                </c:pt>
                <c:pt idx="1">
                  <c:v>37.700000000000003</c:v>
                </c:pt>
                <c:pt idx="2">
                  <c:v>37.700000000000003</c:v>
                </c:pt>
                <c:pt idx="3">
                  <c:v>31.2</c:v>
                </c:pt>
                <c:pt idx="4">
                  <c:v>31.9</c:v>
                </c:pt>
                <c:pt idx="5">
                  <c:v>23.8</c:v>
                </c:pt>
                <c:pt idx="6">
                  <c:v>11.5</c:v>
                </c:pt>
                <c:pt idx="7">
                  <c:v>11.5</c:v>
                </c:pt>
                <c:pt idx="8">
                  <c:v>10.4</c:v>
                </c:pt>
                <c:pt idx="9">
                  <c:v>4.5999999999999996</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Sheet1!$F$2:$F$11</c:f>
              <c:numCache>
                <c:formatCode>0.0_);[Red]\(0.0\)</c:formatCode>
                <c:ptCount val="10"/>
                <c:pt idx="0">
                  <c:v>37</c:v>
                </c:pt>
                <c:pt idx="1">
                  <c:v>28.9</c:v>
                </c:pt>
                <c:pt idx="2">
                  <c:v>38.5</c:v>
                </c:pt>
                <c:pt idx="3">
                  <c:v>27.8</c:v>
                </c:pt>
                <c:pt idx="4">
                  <c:v>20.399999999999999</c:v>
                </c:pt>
                <c:pt idx="5">
                  <c:v>29.3</c:v>
                </c:pt>
                <c:pt idx="6">
                  <c:v>20.7</c:v>
                </c:pt>
                <c:pt idx="7">
                  <c:v>15.9</c:v>
                </c:pt>
                <c:pt idx="8">
                  <c:v>10.4</c:v>
                </c:pt>
                <c:pt idx="9">
                  <c:v>4.8</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Sheet1!$G$2:$G$11</c:f>
              <c:numCache>
                <c:formatCode>0.0_);[Red]\(0.0\)</c:formatCode>
                <c:ptCount val="10"/>
                <c:pt idx="0">
                  <c:v>27.7</c:v>
                </c:pt>
                <c:pt idx="1">
                  <c:v>31.5</c:v>
                </c:pt>
                <c:pt idx="2">
                  <c:v>40.800000000000004</c:v>
                </c:pt>
                <c:pt idx="3">
                  <c:v>23.9</c:v>
                </c:pt>
                <c:pt idx="4">
                  <c:v>10.3</c:v>
                </c:pt>
                <c:pt idx="5">
                  <c:v>31.5</c:v>
                </c:pt>
                <c:pt idx="6">
                  <c:v>17.399999999999999</c:v>
                </c:pt>
                <c:pt idx="7">
                  <c:v>17.899999999999999</c:v>
                </c:pt>
                <c:pt idx="8">
                  <c:v>6</c:v>
                </c:pt>
                <c:pt idx="9">
                  <c:v>2.7</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飲み会や宴会のため</c:v>
                </c:pt>
                <c:pt idx="1">
                  <c:v>友人、仲間との関係
を深めるため</c:v>
                </c:pt>
                <c:pt idx="2">
                  <c:v>酒が好きだから　　</c:v>
                </c:pt>
                <c:pt idx="3">
                  <c:v>ストレス解消になる
気がするため</c:v>
                </c:pt>
                <c:pt idx="4">
                  <c:v>仕事上の付き合いの
ため</c:v>
                </c:pt>
                <c:pt idx="5">
                  <c:v>習慣となっているた
め</c:v>
                </c:pt>
                <c:pt idx="6">
                  <c:v>疲れがとれる気がす
るため</c:v>
                </c:pt>
                <c:pt idx="7">
                  <c:v>寝付きが良くなる気
がするため</c:v>
                </c:pt>
                <c:pt idx="8">
                  <c:v>不安やイライラを解
消する気がするため</c:v>
                </c:pt>
                <c:pt idx="9">
                  <c:v>その他　　　　　　</c:v>
                </c:pt>
              </c:strCache>
            </c:strRef>
          </c:cat>
          <c:val>
            <c:numRef>
              <c:f>Sheet1!$H$2:$H$11</c:f>
              <c:numCache>
                <c:formatCode>0.0_);[Red]\(0.0\)</c:formatCode>
                <c:ptCount val="10"/>
                <c:pt idx="0">
                  <c:v>23.6</c:v>
                </c:pt>
                <c:pt idx="1">
                  <c:v>14.5</c:v>
                </c:pt>
                <c:pt idx="2">
                  <c:v>23.6</c:v>
                </c:pt>
                <c:pt idx="3">
                  <c:v>30.9</c:v>
                </c:pt>
                <c:pt idx="4">
                  <c:v>7.3</c:v>
                </c:pt>
                <c:pt idx="5">
                  <c:v>27.3</c:v>
                </c:pt>
                <c:pt idx="6">
                  <c:v>27.3</c:v>
                </c:pt>
                <c:pt idx="7">
                  <c:v>23.6</c:v>
                </c:pt>
                <c:pt idx="8">
                  <c:v>9.1</c:v>
                </c:pt>
                <c:pt idx="9">
                  <c:v>1.8</c:v>
                </c:pt>
              </c:numCache>
            </c:numRef>
          </c:val>
        </c:ser>
        <c:dLbls>
          <c:showLegendKey val="0"/>
          <c:showVal val="1"/>
          <c:showCatName val="0"/>
          <c:showSerName val="0"/>
          <c:showPercent val="0"/>
          <c:showBubbleSize val="0"/>
        </c:dLbls>
        <c:gapWidth val="100"/>
        <c:axId val="235441152"/>
        <c:axId val="235451136"/>
      </c:barChart>
      <c:catAx>
        <c:axId val="235441152"/>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5451136"/>
        <c:crosses val="autoZero"/>
        <c:auto val="1"/>
        <c:lblAlgn val="ctr"/>
        <c:lblOffset val="100"/>
        <c:noMultiLvlLbl val="0"/>
      </c:catAx>
      <c:valAx>
        <c:axId val="235451136"/>
        <c:scaling>
          <c:orientation val="minMax"/>
          <c:max val="8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5441152"/>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9375933023119962"/>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7"/>
              <c:tx>
                <c:rich>
                  <a:bodyPr/>
                  <a:lstStyle/>
                  <a:p>
                    <a:r>
                      <a:rPr lang="en-US" altLang="en-US"/>
                      <a:t>18</a:t>
                    </a:r>
                    <a:r>
                      <a:rPr lang="en-US" altLang="ja-JP"/>
                      <a:t>.0</a:t>
                    </a:r>
                    <a:endParaRPr lang="en-US" altLang="en-US"/>
                  </a:p>
                </c:rich>
              </c:tx>
              <c:dLblPos val="inBase"/>
              <c:showLegendKey val="0"/>
              <c:showVal val="1"/>
              <c:showCatName val="0"/>
              <c:showSerName val="0"/>
              <c:showPercent val="0"/>
              <c:showBubbleSize val="0"/>
            </c:dLbl>
            <c:dLbl>
              <c:idx val="10"/>
              <c:layout>
                <c:manualLayout>
                  <c:x val="3.1258317091588356E-2"/>
                  <c:y val="1.0989100413340901E-2"/>
                </c:manualLayout>
              </c:layout>
              <c:dLblPos val="outEnd"/>
              <c:showLegendKey val="0"/>
              <c:showVal val="1"/>
              <c:showCatName val="0"/>
              <c:showSerName val="0"/>
              <c:showPercent val="0"/>
              <c:showBubbleSize val="0"/>
            </c:dLbl>
            <c:spPr>
              <a:solidFill>
                <a:sysClr val="window" lastClr="FFFFFF"/>
              </a:solidFill>
            </c:spPr>
            <c:txPr>
              <a:bodyPr/>
              <a:lstStyle/>
              <a:p>
                <a:pPr>
                  <a:defRPr sz="800" b="1">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Sheet1!$B$1:$L$1</c:f>
              <c:strCache>
                <c:ptCount val="11"/>
                <c:pt idx="0">
                  <c:v>飲酒運転をしない、させない</c:v>
                </c:pt>
                <c:pt idx="1">
                  <c:v>食べ物も一緒に摂取している</c:v>
                </c:pt>
                <c:pt idx="2">
                  <c:v>他人に飲酒を強要しない</c:v>
                </c:pt>
                <c:pt idx="3">
                  <c:v>イッキ飲みをしない、させない</c:v>
                </c:pt>
                <c:pt idx="4">
                  <c:v>未成年に飲酒をさせない</c:v>
                </c:pt>
                <c:pt idx="5">
                  <c:v>適正量を守っている</c:v>
                </c:pt>
                <c:pt idx="6">
                  <c:v>一日の飲酒量を決めている</c:v>
                </c:pt>
                <c:pt idx="7">
                  <c:v>特になし</c:v>
                </c:pt>
                <c:pt idx="8">
                  <c:v>定期的に検診を受けている</c:v>
                </c:pt>
                <c:pt idx="9">
                  <c:v>休肝日を設けている</c:v>
                </c:pt>
                <c:pt idx="10">
                  <c:v>その他</c:v>
                </c:pt>
              </c:strCache>
            </c:strRef>
          </c:cat>
          <c:val>
            <c:numRef>
              <c:f>Sheet1!$B$2:$L$2</c:f>
              <c:numCache>
                <c:formatCode>0.0_);[Red]\(0.0\)</c:formatCode>
                <c:ptCount val="11"/>
                <c:pt idx="0">
                  <c:v>60.5</c:v>
                </c:pt>
                <c:pt idx="1">
                  <c:v>53.6</c:v>
                </c:pt>
                <c:pt idx="2">
                  <c:v>39.300000000000004</c:v>
                </c:pt>
                <c:pt idx="3">
                  <c:v>35.300000000000004</c:v>
                </c:pt>
                <c:pt idx="4">
                  <c:v>34.700000000000003</c:v>
                </c:pt>
                <c:pt idx="5">
                  <c:v>21.3</c:v>
                </c:pt>
                <c:pt idx="6">
                  <c:v>19.8</c:v>
                </c:pt>
                <c:pt idx="7">
                  <c:v>18</c:v>
                </c:pt>
                <c:pt idx="8">
                  <c:v>16.5</c:v>
                </c:pt>
                <c:pt idx="9">
                  <c:v>14.3</c:v>
                </c:pt>
                <c:pt idx="10">
                  <c:v>0.4</c:v>
                </c:pt>
              </c:numCache>
            </c:numRef>
          </c:val>
        </c:ser>
        <c:dLbls>
          <c:showLegendKey val="0"/>
          <c:showVal val="1"/>
          <c:showCatName val="0"/>
          <c:showSerName val="0"/>
          <c:showPercent val="0"/>
          <c:showBubbleSize val="0"/>
        </c:dLbls>
        <c:gapWidth val="100"/>
        <c:axId val="235518208"/>
        <c:axId val="23658496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4.2810565640779612E-2"/>
                  <c:y val="-2.6446347891925317E-2"/>
                </c:manualLayout>
              </c:layout>
              <c:dLblPos val="r"/>
              <c:showLegendKey val="0"/>
              <c:showVal val="1"/>
              <c:showCatName val="0"/>
              <c:showSerName val="0"/>
              <c:showPercent val="0"/>
              <c:showBubbleSize val="0"/>
            </c:dLbl>
            <c:dLbl>
              <c:idx val="3"/>
              <c:layout>
                <c:manualLayout>
                  <c:x val="-4.4892791596070743E-2"/>
                  <c:y val="2.5701380345673812E-2"/>
                </c:manualLayout>
              </c:layout>
              <c:dLblPos val="r"/>
              <c:showLegendKey val="0"/>
              <c:showVal val="1"/>
              <c:showCatName val="0"/>
              <c:showSerName val="0"/>
              <c:showPercent val="0"/>
              <c:showBubbleSize val="0"/>
            </c:dLbl>
            <c:dLbl>
              <c:idx val="4"/>
              <c:layout>
                <c:manualLayout>
                  <c:x val="-3.6563887774907211E-2"/>
                  <c:y val="3.315105580818787E-2"/>
                </c:manualLayout>
              </c:layout>
              <c:dLblPos val="r"/>
              <c:showLegendKey val="0"/>
              <c:showVal val="1"/>
              <c:showCatName val="0"/>
              <c:showSerName val="0"/>
              <c:showPercent val="0"/>
              <c:showBubbleSize val="0"/>
            </c:dLbl>
            <c:dLbl>
              <c:idx val="5"/>
              <c:layout>
                <c:manualLayout>
                  <c:x val="-3.8646113730197953E-2"/>
                  <c:y val="3.315105580818787E-2"/>
                </c:manualLayout>
              </c:layout>
              <c:dLblPos val="r"/>
              <c:showLegendKey val="0"/>
              <c:showVal val="1"/>
              <c:showCatName val="0"/>
              <c:showSerName val="0"/>
              <c:showPercent val="0"/>
              <c:showBubbleSize val="0"/>
            </c:dLbl>
            <c:dLbl>
              <c:idx val="7"/>
              <c:layout>
                <c:manualLayout>
                  <c:x val="-3.8646113730198023E-2"/>
                  <c:y val="2.7563799211302271E-2"/>
                </c:manualLayout>
              </c:layout>
              <c:dLblPos val="r"/>
              <c:showLegendKey val="0"/>
              <c:showVal val="1"/>
              <c:showCatName val="0"/>
              <c:showSerName val="0"/>
              <c:showPercent val="0"/>
              <c:showBubbleSize val="0"/>
            </c:dLbl>
            <c:dLbl>
              <c:idx val="10"/>
              <c:layout>
                <c:manualLayout>
                  <c:x val="-7.3815729889058525E-3"/>
                  <c:y val="-7.3006966179793339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t"/>
            <c:showLegendKey val="0"/>
            <c:showVal val="1"/>
            <c:showCatName val="0"/>
            <c:showSerName val="0"/>
            <c:showPercent val="0"/>
            <c:showBubbleSize val="0"/>
            <c:showLeaderLines val="0"/>
          </c:dLbls>
          <c:cat>
            <c:strRef>
              <c:f>Sheet1!$B$1:$L$1</c:f>
              <c:strCache>
                <c:ptCount val="11"/>
                <c:pt idx="0">
                  <c:v>飲酒運転をしない、させない</c:v>
                </c:pt>
                <c:pt idx="1">
                  <c:v>食べ物も一緒に摂取している</c:v>
                </c:pt>
                <c:pt idx="2">
                  <c:v>他人に飲酒を強要しない</c:v>
                </c:pt>
                <c:pt idx="3">
                  <c:v>イッキ飲みをしない、させない</c:v>
                </c:pt>
                <c:pt idx="4">
                  <c:v>未成年に飲酒をさせない</c:v>
                </c:pt>
                <c:pt idx="5">
                  <c:v>適正量を守っている</c:v>
                </c:pt>
                <c:pt idx="6">
                  <c:v>一日の飲酒量を決めている</c:v>
                </c:pt>
                <c:pt idx="7">
                  <c:v>特になし</c:v>
                </c:pt>
                <c:pt idx="8">
                  <c:v>定期的に検診を受けている</c:v>
                </c:pt>
                <c:pt idx="9">
                  <c:v>休肝日を設けている</c:v>
                </c:pt>
                <c:pt idx="10">
                  <c:v>その他</c:v>
                </c:pt>
              </c:strCache>
            </c:strRef>
          </c:cat>
          <c:val>
            <c:numRef>
              <c:f>Sheet1!$B$3:$L$3</c:f>
              <c:numCache>
                <c:formatCode>0.0_);[Red]\(0.0\)</c:formatCode>
                <c:ptCount val="11"/>
                <c:pt idx="0">
                  <c:v>60.9</c:v>
                </c:pt>
                <c:pt idx="1">
                  <c:v>53.6</c:v>
                </c:pt>
                <c:pt idx="2">
                  <c:v>39.700000000000003</c:v>
                </c:pt>
                <c:pt idx="3">
                  <c:v>33.5</c:v>
                </c:pt>
                <c:pt idx="4">
                  <c:v>32.6</c:v>
                </c:pt>
                <c:pt idx="5">
                  <c:v>19.2</c:v>
                </c:pt>
                <c:pt idx="6">
                  <c:v>23.3</c:v>
                </c:pt>
                <c:pt idx="7">
                  <c:v>17.600000000000001</c:v>
                </c:pt>
                <c:pt idx="8">
                  <c:v>18.7</c:v>
                </c:pt>
                <c:pt idx="9">
                  <c:v>16.899999999999999</c:v>
                </c:pt>
                <c:pt idx="10">
                  <c:v>0.5</c:v>
                </c:pt>
              </c:numCache>
            </c:numRef>
          </c:val>
          <c:smooth val="0"/>
        </c:ser>
        <c:ser>
          <c:idx val="1"/>
          <c:order val="2"/>
          <c:tx>
            <c:strRef>
              <c:f>Sheet1!$A$4</c:f>
              <c:strCache>
                <c:ptCount val="1"/>
                <c:pt idx="0">
                  <c:v>女性</c:v>
                </c:pt>
              </c:strCache>
            </c:strRef>
          </c:tx>
          <c:spPr>
            <a:ln>
              <a:prstDash val="sysDash"/>
            </a:ln>
          </c:spPr>
          <c:marker>
            <c:symbol val="square"/>
            <c:size val="7"/>
          </c:marker>
          <c:dLbls>
            <c:dLbl>
              <c:idx val="3"/>
              <c:layout>
                <c:manualLayout>
                  <c:x val="-3.6438954217589671E-2"/>
                  <c:y val="-2.3838961480045252E-2"/>
                </c:manualLayout>
              </c:layout>
              <c:dLblPos val="r"/>
              <c:showLegendKey val="0"/>
              <c:showVal val="1"/>
              <c:showCatName val="0"/>
              <c:showSerName val="0"/>
              <c:showPercent val="0"/>
              <c:showBubbleSize val="0"/>
            </c:dLbl>
            <c:dLbl>
              <c:idx val="4"/>
              <c:layout>
                <c:manualLayout>
                  <c:x val="-3.6438954217589671E-2"/>
                  <c:y val="-2.3838961480045252E-2"/>
                </c:manualLayout>
              </c:layout>
              <c:dLblPos val="r"/>
              <c:showLegendKey val="0"/>
              <c:showVal val="1"/>
              <c:showCatName val="0"/>
              <c:showSerName val="0"/>
              <c:showPercent val="0"/>
              <c:showBubbleSize val="0"/>
            </c:dLbl>
            <c:dLbl>
              <c:idx val="5"/>
              <c:layout>
                <c:manualLayout>
                  <c:x val="-4.0603406128171413E-2"/>
                  <c:y val="-2.9426218076930872E-2"/>
                </c:manualLayout>
              </c:layout>
              <c:dLblPos val="r"/>
              <c:showLegendKey val="0"/>
              <c:showVal val="1"/>
              <c:showCatName val="0"/>
              <c:showSerName val="0"/>
              <c:showPercent val="0"/>
              <c:showBubbleSize val="0"/>
            </c:dLbl>
            <c:dLbl>
              <c:idx val="7"/>
              <c:layout>
                <c:manualLayout>
                  <c:x val="-3.6438954217589782E-2"/>
                  <c:y val="-2.5701380345673812E-2"/>
                </c:manualLayout>
              </c:layout>
              <c:dLblPos val="r"/>
              <c:showLegendKey val="0"/>
              <c:showVal val="1"/>
              <c:showCatName val="0"/>
              <c:showSerName val="0"/>
              <c:showPercent val="0"/>
              <c:showBubbleSize val="0"/>
            </c:dLbl>
            <c:dLbl>
              <c:idx val="10"/>
              <c:layout>
                <c:manualLayout>
                  <c:x val="-5.2055648882270954E-3"/>
                  <c:y val="-3.5013474673816401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b"/>
            <c:showLegendKey val="0"/>
            <c:showVal val="1"/>
            <c:showCatName val="0"/>
            <c:showSerName val="0"/>
            <c:showPercent val="0"/>
            <c:showBubbleSize val="0"/>
            <c:showLeaderLines val="0"/>
          </c:dLbls>
          <c:cat>
            <c:strRef>
              <c:f>Sheet1!$B$1:$L$1</c:f>
              <c:strCache>
                <c:ptCount val="11"/>
                <c:pt idx="0">
                  <c:v>飲酒運転をしない、させない</c:v>
                </c:pt>
                <c:pt idx="1">
                  <c:v>食べ物も一緒に摂取している</c:v>
                </c:pt>
                <c:pt idx="2">
                  <c:v>他人に飲酒を強要しない</c:v>
                </c:pt>
                <c:pt idx="3">
                  <c:v>イッキ飲みをしない、させない</c:v>
                </c:pt>
                <c:pt idx="4">
                  <c:v>未成年に飲酒をさせない</c:v>
                </c:pt>
                <c:pt idx="5">
                  <c:v>適正量を守っている</c:v>
                </c:pt>
                <c:pt idx="6">
                  <c:v>一日の飲酒量を決めている</c:v>
                </c:pt>
                <c:pt idx="7">
                  <c:v>特になし</c:v>
                </c:pt>
                <c:pt idx="8">
                  <c:v>定期的に検診を受けている</c:v>
                </c:pt>
                <c:pt idx="9">
                  <c:v>休肝日を設けている</c:v>
                </c:pt>
                <c:pt idx="10">
                  <c:v>その他</c:v>
                </c:pt>
              </c:strCache>
            </c:strRef>
          </c:cat>
          <c:val>
            <c:numRef>
              <c:f>Sheet1!$B$4:$L$4</c:f>
              <c:numCache>
                <c:formatCode>0.0_);[Red]\(0.0\)</c:formatCode>
                <c:ptCount val="11"/>
                <c:pt idx="0">
                  <c:v>60</c:v>
                </c:pt>
                <c:pt idx="1">
                  <c:v>53.6</c:v>
                </c:pt>
                <c:pt idx="2">
                  <c:v>38.9</c:v>
                </c:pt>
                <c:pt idx="3">
                  <c:v>37</c:v>
                </c:pt>
                <c:pt idx="4">
                  <c:v>36.9</c:v>
                </c:pt>
                <c:pt idx="5">
                  <c:v>23.4</c:v>
                </c:pt>
                <c:pt idx="6">
                  <c:v>16.399999999999999</c:v>
                </c:pt>
                <c:pt idx="7">
                  <c:v>18.3</c:v>
                </c:pt>
                <c:pt idx="8">
                  <c:v>14.2</c:v>
                </c:pt>
                <c:pt idx="9">
                  <c:v>11.9</c:v>
                </c:pt>
                <c:pt idx="10">
                  <c:v>0.30000000000000032</c:v>
                </c:pt>
              </c:numCache>
            </c:numRef>
          </c:val>
          <c:smooth val="0"/>
        </c:ser>
        <c:dLbls>
          <c:showLegendKey val="0"/>
          <c:showVal val="0"/>
          <c:showCatName val="0"/>
          <c:showSerName val="0"/>
          <c:showPercent val="0"/>
          <c:showBubbleSize val="0"/>
        </c:dLbls>
        <c:marker val="1"/>
        <c:smooth val="0"/>
        <c:axId val="235518208"/>
        <c:axId val="236584960"/>
      </c:lineChart>
      <c:catAx>
        <c:axId val="235518208"/>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6584960"/>
        <c:crosses val="autoZero"/>
        <c:auto val="1"/>
        <c:lblAlgn val="ctr"/>
        <c:lblOffset val="100"/>
        <c:noMultiLvlLbl val="0"/>
      </c:catAx>
      <c:valAx>
        <c:axId val="236584960"/>
        <c:scaling>
          <c:orientation val="minMax"/>
          <c:max val="7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5518208"/>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0857254013518"/>
          <c:y val="4.5945260968926364E-2"/>
          <c:w val="0.68502168612450365"/>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5"/>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7"/>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Sheet1!$B$2:$B$12</c:f>
              <c:numCache>
                <c:formatCode>0.0_);[Red]\(0.0\)</c:formatCode>
                <c:ptCount val="11"/>
                <c:pt idx="0">
                  <c:v>0</c:v>
                </c:pt>
                <c:pt idx="1">
                  <c:v>33.300000000000004</c:v>
                </c:pt>
                <c:pt idx="2">
                  <c:v>0</c:v>
                </c:pt>
                <c:pt idx="3">
                  <c:v>33.300000000000004</c:v>
                </c:pt>
                <c:pt idx="4">
                  <c:v>0</c:v>
                </c:pt>
                <c:pt idx="5">
                  <c:v>33.300000000000004</c:v>
                </c:pt>
                <c:pt idx="6">
                  <c:v>0</c:v>
                </c:pt>
                <c:pt idx="7">
                  <c:v>33.300000000000004</c:v>
                </c:pt>
                <c:pt idx="8">
                  <c:v>0</c:v>
                </c:pt>
                <c:pt idx="9">
                  <c:v>0</c:v>
                </c:pt>
                <c:pt idx="10">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Sheet1!$C$2:$C$12</c:f>
              <c:numCache>
                <c:formatCode>0.0_);[Red]\(0.0\)</c:formatCode>
                <c:ptCount val="11"/>
                <c:pt idx="0">
                  <c:v>65.3</c:v>
                </c:pt>
                <c:pt idx="1">
                  <c:v>56.5</c:v>
                </c:pt>
                <c:pt idx="2">
                  <c:v>45.3</c:v>
                </c:pt>
                <c:pt idx="3">
                  <c:v>45.9</c:v>
                </c:pt>
                <c:pt idx="4">
                  <c:v>38.200000000000003</c:v>
                </c:pt>
                <c:pt idx="5">
                  <c:v>17.100000000000001</c:v>
                </c:pt>
                <c:pt idx="6">
                  <c:v>8.8000000000000007</c:v>
                </c:pt>
                <c:pt idx="7">
                  <c:v>11.2</c:v>
                </c:pt>
                <c:pt idx="8">
                  <c:v>2.4</c:v>
                </c:pt>
                <c:pt idx="9">
                  <c:v>12.4</c:v>
                </c:pt>
                <c:pt idx="10">
                  <c:v>0</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Sheet1!$D$2:$D$12</c:f>
              <c:numCache>
                <c:formatCode>0.0_);[Red]\(0.0\)</c:formatCode>
                <c:ptCount val="11"/>
                <c:pt idx="0">
                  <c:v>60.4</c:v>
                </c:pt>
                <c:pt idx="1">
                  <c:v>45.2</c:v>
                </c:pt>
                <c:pt idx="2">
                  <c:v>39.1</c:v>
                </c:pt>
                <c:pt idx="3">
                  <c:v>35</c:v>
                </c:pt>
                <c:pt idx="4">
                  <c:v>34</c:v>
                </c:pt>
                <c:pt idx="5">
                  <c:v>18.3</c:v>
                </c:pt>
                <c:pt idx="6">
                  <c:v>15.2</c:v>
                </c:pt>
                <c:pt idx="7">
                  <c:v>18.8</c:v>
                </c:pt>
                <c:pt idx="8">
                  <c:v>9.1</c:v>
                </c:pt>
                <c:pt idx="9">
                  <c:v>12.2</c:v>
                </c:pt>
                <c:pt idx="10">
                  <c:v>1</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Sheet1!$E$2:$E$12</c:f>
              <c:numCache>
                <c:formatCode>0.0_);[Red]\(0.0\)</c:formatCode>
                <c:ptCount val="11"/>
                <c:pt idx="0">
                  <c:v>68.5</c:v>
                </c:pt>
                <c:pt idx="1">
                  <c:v>52.3</c:v>
                </c:pt>
                <c:pt idx="2">
                  <c:v>40.4</c:v>
                </c:pt>
                <c:pt idx="3">
                  <c:v>33.5</c:v>
                </c:pt>
                <c:pt idx="4">
                  <c:v>37.300000000000004</c:v>
                </c:pt>
                <c:pt idx="5">
                  <c:v>21.2</c:v>
                </c:pt>
                <c:pt idx="6">
                  <c:v>17.7</c:v>
                </c:pt>
                <c:pt idx="7">
                  <c:v>19.2</c:v>
                </c:pt>
                <c:pt idx="8">
                  <c:v>18.5</c:v>
                </c:pt>
                <c:pt idx="9">
                  <c:v>16.5</c:v>
                </c:pt>
                <c:pt idx="10">
                  <c:v>0.8</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Sheet1!$F$2:$F$12</c:f>
              <c:numCache>
                <c:formatCode>0.0_);[Red]\(0.0\)</c:formatCode>
                <c:ptCount val="11"/>
                <c:pt idx="0">
                  <c:v>58.9</c:v>
                </c:pt>
                <c:pt idx="1">
                  <c:v>55.9</c:v>
                </c:pt>
                <c:pt idx="2">
                  <c:v>41.1</c:v>
                </c:pt>
                <c:pt idx="3">
                  <c:v>36.700000000000003</c:v>
                </c:pt>
                <c:pt idx="4">
                  <c:v>36.700000000000003</c:v>
                </c:pt>
                <c:pt idx="5">
                  <c:v>20</c:v>
                </c:pt>
                <c:pt idx="6">
                  <c:v>25.9</c:v>
                </c:pt>
                <c:pt idx="7">
                  <c:v>17.399999999999999</c:v>
                </c:pt>
                <c:pt idx="8">
                  <c:v>25.2</c:v>
                </c:pt>
                <c:pt idx="9">
                  <c:v>13.3</c:v>
                </c:pt>
                <c:pt idx="10">
                  <c:v>0</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Sheet1!$G$2:$G$12</c:f>
              <c:numCache>
                <c:formatCode>0.0_);[Red]\(0.0\)</c:formatCode>
                <c:ptCount val="11"/>
                <c:pt idx="0">
                  <c:v>54.9</c:v>
                </c:pt>
                <c:pt idx="1">
                  <c:v>57.6</c:v>
                </c:pt>
                <c:pt idx="2">
                  <c:v>37.5</c:v>
                </c:pt>
                <c:pt idx="3">
                  <c:v>32.6</c:v>
                </c:pt>
                <c:pt idx="4">
                  <c:v>32.6</c:v>
                </c:pt>
                <c:pt idx="5">
                  <c:v>31</c:v>
                </c:pt>
                <c:pt idx="6">
                  <c:v>28.3</c:v>
                </c:pt>
                <c:pt idx="7">
                  <c:v>19</c:v>
                </c:pt>
                <c:pt idx="8">
                  <c:v>19</c:v>
                </c:pt>
                <c:pt idx="9">
                  <c:v>17.399999999999999</c:v>
                </c:pt>
                <c:pt idx="10">
                  <c:v>0.5</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a:lstStyle/>
                <a:p>
                  <a:pPr>
                    <a:defRPr sz="800">
                      <a:latin typeface="Arial Black" panose="020B0A04020102020204" pitchFamily="34" charset="0"/>
                    </a:defRPr>
                  </a:pPr>
                  <a:endParaRPr lang="ja-JP"/>
                </a:p>
              </c:txPr>
              <c:showLegendKey val="0"/>
              <c:showVal val="1"/>
              <c:showCatName val="0"/>
              <c:showSerName val="0"/>
              <c:showPercent val="0"/>
              <c:showBubbleSize val="0"/>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飲酒運転をしない、させない</c:v>
                </c:pt>
                <c:pt idx="1">
                  <c:v>食べ物も一緒に摂取している</c:v>
                </c:pt>
                <c:pt idx="2">
                  <c:v>他人に飲酒を強要しない　　</c:v>
                </c:pt>
                <c:pt idx="3">
                  <c:v>イッキ飲みをしない、させな
い</c:v>
                </c:pt>
                <c:pt idx="4">
                  <c:v>未成年に飲酒をさせない　　</c:v>
                </c:pt>
                <c:pt idx="5">
                  <c:v>適正量を守っている　　　　</c:v>
                </c:pt>
                <c:pt idx="6">
                  <c:v>一日の飲酒量を決めている　</c:v>
                </c:pt>
                <c:pt idx="7">
                  <c:v>特になし　　　　　　　　　</c:v>
                </c:pt>
                <c:pt idx="8">
                  <c:v>定期的に検診を受けている　</c:v>
                </c:pt>
                <c:pt idx="9">
                  <c:v>休肝日を設けている　　　　</c:v>
                </c:pt>
                <c:pt idx="10">
                  <c:v>その他　　　　　　　　　　</c:v>
                </c:pt>
              </c:strCache>
            </c:strRef>
          </c:cat>
          <c:val>
            <c:numRef>
              <c:f>Sheet1!$H$2:$H$12</c:f>
              <c:numCache>
                <c:formatCode>0.0_);[Red]\(0.0\)</c:formatCode>
                <c:ptCount val="11"/>
                <c:pt idx="0">
                  <c:v>38.200000000000003</c:v>
                </c:pt>
                <c:pt idx="1">
                  <c:v>56.4</c:v>
                </c:pt>
                <c:pt idx="2">
                  <c:v>14.5</c:v>
                </c:pt>
                <c:pt idx="3">
                  <c:v>14.5</c:v>
                </c:pt>
                <c:pt idx="4">
                  <c:v>14.5</c:v>
                </c:pt>
                <c:pt idx="5">
                  <c:v>20</c:v>
                </c:pt>
                <c:pt idx="6">
                  <c:v>23.6</c:v>
                </c:pt>
                <c:pt idx="7">
                  <c:v>29.1</c:v>
                </c:pt>
                <c:pt idx="8">
                  <c:v>23.6</c:v>
                </c:pt>
                <c:pt idx="9">
                  <c:v>12.7</c:v>
                </c:pt>
                <c:pt idx="10">
                  <c:v>0</c:v>
                </c:pt>
              </c:numCache>
            </c:numRef>
          </c:val>
        </c:ser>
        <c:dLbls>
          <c:showLegendKey val="0"/>
          <c:showVal val="1"/>
          <c:showCatName val="0"/>
          <c:showSerName val="0"/>
          <c:showPercent val="0"/>
          <c:showBubbleSize val="0"/>
        </c:dLbls>
        <c:gapWidth val="100"/>
        <c:axId val="236660224"/>
        <c:axId val="236661760"/>
      </c:barChart>
      <c:catAx>
        <c:axId val="23666022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6661760"/>
        <c:crosses val="autoZero"/>
        <c:auto val="1"/>
        <c:lblAlgn val="ctr"/>
        <c:lblOffset val="100"/>
        <c:noMultiLvlLbl val="0"/>
      </c:catAx>
      <c:valAx>
        <c:axId val="236661760"/>
        <c:scaling>
          <c:orientation val="minMax"/>
          <c:max val="8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666022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8"/>
              <c:layout>
                <c:manualLayout>
                  <c:x val="4.3761643928224132E-2"/>
                  <c:y val="1.284829610817771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Sheet1!$B$1:$J$1</c:f>
              <c:strCache>
                <c:ptCount val="9"/>
                <c:pt idx="0">
                  <c:v>急性アルコール中毒は死に至ることがある</c:v>
                </c:pt>
                <c:pt idx="1">
                  <c:v>妊婦の飲酒は脳障害や発育障害など胎児の発育に悪影響がある</c:v>
                </c:pt>
                <c:pt idx="2">
                  <c:v>アルコールの飲みすぎは肝臓病だけでなく全身に様々な障害を起こす</c:v>
                </c:pt>
                <c:pt idx="3">
                  <c:v>未成年者の飲酒は脳の発達に悪影響がある</c:v>
                </c:pt>
                <c:pt idx="4">
                  <c:v>アルコールの飲み過ぎは高血圧や糖尿病の合併症が引き起こされる</c:v>
                </c:pt>
                <c:pt idx="5">
                  <c:v>アルコールの飲み過ぎは脳に影響を及ぼす</c:v>
                </c:pt>
                <c:pt idx="6">
                  <c:v>未成年者の飲酒は性ホルモンの成長に悪影響がある</c:v>
                </c:pt>
                <c:pt idx="7">
                  <c:v>アルコールが原因で不眠症やうつ病、認知症になることがある</c:v>
                </c:pt>
                <c:pt idx="8">
                  <c:v>知らない</c:v>
                </c:pt>
              </c:strCache>
            </c:strRef>
          </c:cat>
          <c:val>
            <c:numRef>
              <c:f>Sheet1!$B$2:$J$2</c:f>
              <c:numCache>
                <c:formatCode>0.0</c:formatCode>
                <c:ptCount val="9"/>
                <c:pt idx="0">
                  <c:v>85.9</c:v>
                </c:pt>
                <c:pt idx="1">
                  <c:v>81</c:v>
                </c:pt>
                <c:pt idx="2">
                  <c:v>76.599999999999994</c:v>
                </c:pt>
                <c:pt idx="3">
                  <c:v>65.2</c:v>
                </c:pt>
                <c:pt idx="4">
                  <c:v>63.9</c:v>
                </c:pt>
                <c:pt idx="5">
                  <c:v>49.6</c:v>
                </c:pt>
                <c:pt idx="6">
                  <c:v>34</c:v>
                </c:pt>
                <c:pt idx="7">
                  <c:v>30.3</c:v>
                </c:pt>
                <c:pt idx="8">
                  <c:v>2.1</c:v>
                </c:pt>
              </c:numCache>
            </c:numRef>
          </c:val>
        </c:ser>
        <c:dLbls>
          <c:showLegendKey val="0"/>
          <c:showVal val="1"/>
          <c:showCatName val="0"/>
          <c:showSerName val="0"/>
          <c:showPercent val="0"/>
          <c:showBubbleSize val="0"/>
        </c:dLbls>
        <c:gapWidth val="100"/>
        <c:axId val="236755584"/>
        <c:axId val="236769664"/>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4.0791666666666712E-2"/>
                  <c:y val="5.16877637130801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874999999999983E-2"/>
                  <c:y val="4.53586497890295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0794876933119034E-2"/>
                  <c:y val="4.95359995324391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879048308824295E-2"/>
                  <c:y val="3.4777246402006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624999999999998E-2"/>
                  <c:y val="-3.4810126582278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793728086781923E-2"/>
                  <c:y val="3.47782426278053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874945286193213E-2"/>
                  <c:y val="3.47782426278053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6224539718818219E-3"/>
                  <c:y val="-7.201135166089935E-2"/>
                </c:manualLayout>
              </c:layout>
              <c:dLblPos val="r"/>
              <c:showLegendKey val="0"/>
              <c:showVal val="1"/>
              <c:showCatName val="0"/>
              <c:showSerName val="0"/>
              <c:showPercent val="0"/>
              <c:showBubbleSize val="0"/>
            </c:dLbl>
            <c:dLbl>
              <c:idx val="11"/>
              <c:layout>
                <c:manualLayout>
                  <c:x val="-3.7624999999999999E-2"/>
                  <c:y val="-6.43459915611815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5541666666666812E-2"/>
                  <c:y val="-0.10021097046413628"/>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85000"/>
                </a:sysClr>
              </a:solidFill>
              <a:ln>
                <a:solidFill>
                  <a:sysClr val="windowText" lastClr="000000"/>
                </a:solidFill>
              </a:ln>
            </c:spPr>
            <c:txPr>
              <a:bodyPr/>
              <a:lstStyle/>
              <a:p>
                <a:pPr>
                  <a:defRPr sz="900" b="1"/>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急性アルコール中毒は死に至ることがある</c:v>
                </c:pt>
                <c:pt idx="1">
                  <c:v>妊婦の飲酒は脳障害や発育障害など胎児の発育に悪影響がある</c:v>
                </c:pt>
                <c:pt idx="2">
                  <c:v>アルコールの飲みすぎは肝臓病だけでなく全身に様々な障害を起こす</c:v>
                </c:pt>
                <c:pt idx="3">
                  <c:v>未成年者の飲酒は脳の発達に悪影響がある</c:v>
                </c:pt>
                <c:pt idx="4">
                  <c:v>アルコールの飲み過ぎは高血圧や糖尿病の合併症が引き起こされる</c:v>
                </c:pt>
                <c:pt idx="5">
                  <c:v>アルコールの飲み過ぎは脳に影響を及ぼす</c:v>
                </c:pt>
                <c:pt idx="6">
                  <c:v>未成年者の飲酒は性ホルモンの成長に悪影響がある</c:v>
                </c:pt>
                <c:pt idx="7">
                  <c:v>アルコールが原因で不眠症やうつ病、認知症になることがある</c:v>
                </c:pt>
                <c:pt idx="8">
                  <c:v>知らない</c:v>
                </c:pt>
              </c:strCache>
            </c:strRef>
          </c:cat>
          <c:val>
            <c:numRef>
              <c:f>Sheet1!$B$3:$J$3</c:f>
              <c:numCache>
                <c:formatCode>0.0</c:formatCode>
                <c:ptCount val="9"/>
                <c:pt idx="0">
                  <c:v>82.1</c:v>
                </c:pt>
                <c:pt idx="1">
                  <c:v>74.8</c:v>
                </c:pt>
                <c:pt idx="2">
                  <c:v>75.5</c:v>
                </c:pt>
                <c:pt idx="3">
                  <c:v>58.3</c:v>
                </c:pt>
                <c:pt idx="4">
                  <c:v>64.099999999999994</c:v>
                </c:pt>
                <c:pt idx="5">
                  <c:v>47.5</c:v>
                </c:pt>
                <c:pt idx="6">
                  <c:v>29.1</c:v>
                </c:pt>
                <c:pt idx="7">
                  <c:v>27</c:v>
                </c:pt>
                <c:pt idx="8">
                  <c:v>3</c:v>
                </c:pt>
              </c:numCache>
            </c:numRef>
          </c:val>
          <c:smooth val="0"/>
        </c:ser>
        <c:ser>
          <c:idx val="1"/>
          <c:order val="2"/>
          <c:tx>
            <c:strRef>
              <c:f>Sheet1!$A$4</c:f>
              <c:strCache>
                <c:ptCount val="1"/>
                <c:pt idx="0">
                  <c:v>女性</c:v>
                </c:pt>
              </c:strCache>
            </c:strRef>
          </c:tx>
          <c:spPr>
            <a:ln>
              <a:prstDash val="sysDash"/>
            </a:ln>
          </c:spPr>
          <c:marker>
            <c:symbol val="square"/>
            <c:size val="7"/>
          </c:marker>
          <c:dLbls>
            <c:dLbl>
              <c:idx val="2"/>
              <c:layout>
                <c:manualLayout>
                  <c:x val="-3.2287669809746192E-2"/>
                  <c:y val="-5.3755347864614896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3"/>
              <c:spPr>
                <a:solidFill>
                  <a:sysClr val="window" lastClr="FFFFFF"/>
                </a:solidFill>
                <a:ln>
                  <a:solidFill>
                    <a:sysClr val="windowText" lastClr="000000"/>
                  </a:solidFill>
                </a:ln>
              </c:spPr>
              <c:txPr>
                <a:bodyPr/>
                <a:lstStyle/>
                <a:p>
                  <a:pPr>
                    <a:defRPr sz="900"/>
                  </a:pPr>
                  <a:endParaRPr lang="ja-JP"/>
                </a:p>
              </c:txPr>
              <c:dLblPos val="t"/>
              <c:showLegendKey val="0"/>
              <c:showVal val="1"/>
              <c:showCatName val="0"/>
              <c:showSerName val="0"/>
              <c:showPercent val="0"/>
              <c:showBubbleSize val="0"/>
            </c:dLbl>
            <c:dLbl>
              <c:idx val="4"/>
              <c:layout>
                <c:manualLayout>
                  <c:x val="-4.2708333333334104E-2"/>
                  <c:y val="4.1139240506329056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0203334313135082E-2"/>
                  <c:y val="-3.4778242627805371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230026099464129E-2"/>
                  <c:y val="-3.1320679952456403E-2"/>
                </c:manualLayout>
              </c:layout>
              <c:dLblPos val="r"/>
              <c:showLegendKey val="0"/>
              <c:showVal val="1"/>
              <c:showCatName val="0"/>
              <c:showSerName val="0"/>
              <c:showPercent val="0"/>
              <c:showBubbleSize val="0"/>
            </c:dLbl>
            <c:dLbl>
              <c:idx val="7"/>
              <c:layout>
                <c:manualLayout>
                  <c:x val="-3.6456340802968092E-2"/>
                  <c:y val="-3.0559890521426786E-2"/>
                </c:manualLayout>
              </c:layout>
              <c:spPr>
                <a:solidFill>
                  <a:sysClr val="window" lastClr="FFFFFF"/>
                </a:solidFill>
                <a:ln>
                  <a:solidFill>
                    <a:sysClr val="windowText" lastClr="000000"/>
                  </a:solidFill>
                </a:ln>
              </c:spPr>
              <c:txPr>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7.8162581122913546E-3"/>
                  <c:y val="-4.8183290935624887E-2"/>
                </c:manualLayout>
              </c:layout>
              <c:dLblPos val="r"/>
              <c:showLegendKey val="0"/>
              <c:showVal val="1"/>
              <c:showCatName val="0"/>
              <c:showSerName val="0"/>
              <c:showPercent val="0"/>
              <c:showBubbleSize val="0"/>
            </c:dLbl>
            <c:dLbl>
              <c:idx val="9"/>
              <c:layout>
                <c:manualLayout>
                  <c:x val="-3.8541666666666675E-2"/>
                  <c:y val="-3.4810126582278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ltLang="en-US" sz="900"/>
                      <a:t>11</a:t>
                    </a:r>
                    <a:r>
                      <a:rPr lang="en-US" altLang="ja-JP" sz="900"/>
                      <a:t>.0</a:t>
                    </a:r>
                    <a:endParaRPr lang="en-US" altLang="en-US"/>
                  </a:p>
                </c:rich>
              </c:tx>
              <c:dLblPos val="t"/>
              <c:showLegendKey val="0"/>
              <c:showVal val="1"/>
              <c:showCatName val="0"/>
              <c:showSerName val="0"/>
              <c:showPercent val="0"/>
              <c:showBubbleSize val="0"/>
              <c:extLst>
                <c:ext xmlns:c15="http://schemas.microsoft.com/office/drawing/2012/chart" uri="{CE6537A1-D6FC-4f65-9D91-7224C49458BB}"/>
              </c:extLst>
            </c:dLbl>
            <c:dLbl>
              <c:idx val="11"/>
              <c:layout>
                <c:manualLayout>
                  <c:x val="-3.5416666666666666E-2"/>
                  <c:y val="-4.32489451476792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333333333333334E-2"/>
                  <c:y val="-7.2784810126582333E-2"/>
                </c:manualLayout>
              </c:layout>
              <c:dLblPos val="r"/>
              <c:showLegendKey val="0"/>
              <c:showVal val="1"/>
              <c:showCatName val="0"/>
              <c:showSerName val="0"/>
              <c:showPercent val="0"/>
              <c:showBubbleSize val="0"/>
              <c:extLst>
                <c:ext xmlns:c15="http://schemas.microsoft.com/office/drawing/2012/chart" uri="{CE6537A1-D6FC-4f65-9D91-7224C49458BB}"/>
              </c:extLst>
            </c:dLbl>
            <c:spPr>
              <a:ln>
                <a:solidFill>
                  <a:sysClr val="windowText" lastClr="000000"/>
                </a:solidFill>
              </a:ln>
            </c:spPr>
            <c:txPr>
              <a:bodyPr/>
              <a:lstStyle/>
              <a:p>
                <a:pPr>
                  <a:defRPr sz="9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急性アルコール中毒は死に至ることがある</c:v>
                </c:pt>
                <c:pt idx="1">
                  <c:v>妊婦の飲酒は脳障害や発育障害など胎児の発育に悪影響がある</c:v>
                </c:pt>
                <c:pt idx="2">
                  <c:v>アルコールの飲みすぎは肝臓病だけでなく全身に様々な障害を起こす</c:v>
                </c:pt>
                <c:pt idx="3">
                  <c:v>未成年者の飲酒は脳の発達に悪影響がある</c:v>
                </c:pt>
                <c:pt idx="4">
                  <c:v>アルコールの飲み過ぎは高血圧や糖尿病の合併症が引き起こされる</c:v>
                </c:pt>
                <c:pt idx="5">
                  <c:v>アルコールの飲み過ぎは脳に影響を及ぼす</c:v>
                </c:pt>
                <c:pt idx="6">
                  <c:v>未成年者の飲酒は性ホルモンの成長に悪影響がある</c:v>
                </c:pt>
                <c:pt idx="7">
                  <c:v>アルコールが原因で不眠症やうつ病、認知症になることがある</c:v>
                </c:pt>
                <c:pt idx="8">
                  <c:v>知らない</c:v>
                </c:pt>
              </c:strCache>
            </c:strRef>
          </c:cat>
          <c:val>
            <c:numRef>
              <c:f>Sheet1!$B$4:$J$4</c:f>
              <c:numCache>
                <c:formatCode>0.0</c:formatCode>
                <c:ptCount val="9"/>
                <c:pt idx="0">
                  <c:v>89.5</c:v>
                </c:pt>
                <c:pt idx="1">
                  <c:v>86.6</c:v>
                </c:pt>
                <c:pt idx="2">
                  <c:v>77.8</c:v>
                </c:pt>
                <c:pt idx="3">
                  <c:v>71</c:v>
                </c:pt>
                <c:pt idx="4">
                  <c:v>63.8</c:v>
                </c:pt>
                <c:pt idx="5">
                  <c:v>51.4</c:v>
                </c:pt>
                <c:pt idx="6">
                  <c:v>38.1</c:v>
                </c:pt>
                <c:pt idx="7">
                  <c:v>33.1</c:v>
                </c:pt>
                <c:pt idx="8">
                  <c:v>1.3</c:v>
                </c:pt>
              </c:numCache>
            </c:numRef>
          </c:val>
          <c:smooth val="0"/>
        </c:ser>
        <c:dLbls>
          <c:showLegendKey val="0"/>
          <c:showVal val="0"/>
          <c:showCatName val="0"/>
          <c:showSerName val="0"/>
          <c:showPercent val="0"/>
          <c:showBubbleSize val="0"/>
        </c:dLbls>
        <c:marker val="1"/>
        <c:smooth val="0"/>
        <c:axId val="236755584"/>
        <c:axId val="236769664"/>
      </c:lineChart>
      <c:catAx>
        <c:axId val="236755584"/>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6769664"/>
        <c:crosses val="autoZero"/>
        <c:auto val="1"/>
        <c:lblAlgn val="ctr"/>
        <c:lblOffset val="100"/>
        <c:noMultiLvlLbl val="0"/>
      </c:catAx>
      <c:valAx>
        <c:axId val="236769664"/>
        <c:scaling>
          <c:orientation val="minMax"/>
          <c:max val="9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6755584"/>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Sheet1!$B$2:$B$10</c:f>
              <c:numCache>
                <c:formatCode>0.0_);[Red]\(0.0\)</c:formatCode>
                <c:ptCount val="9"/>
                <c:pt idx="0">
                  <c:v>89.7</c:v>
                </c:pt>
                <c:pt idx="1">
                  <c:v>85.1</c:v>
                </c:pt>
                <c:pt idx="2">
                  <c:v>74.7</c:v>
                </c:pt>
                <c:pt idx="3">
                  <c:v>82.8</c:v>
                </c:pt>
                <c:pt idx="4">
                  <c:v>58.6</c:v>
                </c:pt>
                <c:pt idx="5">
                  <c:v>67.8</c:v>
                </c:pt>
                <c:pt idx="6">
                  <c:v>47.1</c:v>
                </c:pt>
                <c:pt idx="7">
                  <c:v>33.300000000000004</c:v>
                </c:pt>
                <c:pt idx="8">
                  <c:v>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Sheet1!$C$2:$C$10</c:f>
              <c:numCache>
                <c:formatCode>0.0_);[Red]\(0.0\)</c:formatCode>
                <c:ptCount val="9"/>
                <c:pt idx="0">
                  <c:v>89.1</c:v>
                </c:pt>
                <c:pt idx="1">
                  <c:v>85.1</c:v>
                </c:pt>
                <c:pt idx="2">
                  <c:v>78.2</c:v>
                </c:pt>
                <c:pt idx="3">
                  <c:v>77.7</c:v>
                </c:pt>
                <c:pt idx="4">
                  <c:v>62.9</c:v>
                </c:pt>
                <c:pt idx="5">
                  <c:v>57.9</c:v>
                </c:pt>
                <c:pt idx="6">
                  <c:v>44.6</c:v>
                </c:pt>
                <c:pt idx="7">
                  <c:v>30.2</c:v>
                </c:pt>
                <c:pt idx="8">
                  <c:v>2.5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Sheet1!$D$2:$D$10</c:f>
              <c:numCache>
                <c:formatCode>0.0_);[Red]\(0.0\)</c:formatCode>
                <c:ptCount val="9"/>
                <c:pt idx="0">
                  <c:v>91.7</c:v>
                </c:pt>
                <c:pt idx="1">
                  <c:v>86.2</c:v>
                </c:pt>
                <c:pt idx="2">
                  <c:v>73.099999999999994</c:v>
                </c:pt>
                <c:pt idx="3">
                  <c:v>65.2</c:v>
                </c:pt>
                <c:pt idx="4">
                  <c:v>64.8</c:v>
                </c:pt>
                <c:pt idx="5">
                  <c:v>48.6</c:v>
                </c:pt>
                <c:pt idx="6">
                  <c:v>34</c:v>
                </c:pt>
                <c:pt idx="7">
                  <c:v>29.6</c:v>
                </c:pt>
                <c:pt idx="8">
                  <c:v>0.8</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Sheet1!$E$2:$E$10</c:f>
              <c:numCache>
                <c:formatCode>0.0_);[Red]\(0.0\)</c:formatCode>
                <c:ptCount val="9"/>
                <c:pt idx="0">
                  <c:v>88.9</c:v>
                </c:pt>
                <c:pt idx="1">
                  <c:v>82.6</c:v>
                </c:pt>
                <c:pt idx="2">
                  <c:v>74.3</c:v>
                </c:pt>
                <c:pt idx="3">
                  <c:v>64.3</c:v>
                </c:pt>
                <c:pt idx="4">
                  <c:v>64</c:v>
                </c:pt>
                <c:pt idx="5">
                  <c:v>44.9</c:v>
                </c:pt>
                <c:pt idx="6">
                  <c:v>34.9</c:v>
                </c:pt>
                <c:pt idx="7">
                  <c:v>32.300000000000004</c:v>
                </c:pt>
                <c:pt idx="8">
                  <c:v>2.6</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Sheet1!$F$2:$F$10</c:f>
              <c:numCache>
                <c:formatCode>0.0_);[Red]\(0.0\)</c:formatCode>
                <c:ptCount val="9"/>
                <c:pt idx="0">
                  <c:v>83.4</c:v>
                </c:pt>
                <c:pt idx="1">
                  <c:v>79.900000000000006</c:v>
                </c:pt>
                <c:pt idx="2">
                  <c:v>78.099999999999994</c:v>
                </c:pt>
                <c:pt idx="3">
                  <c:v>63.6</c:v>
                </c:pt>
                <c:pt idx="4">
                  <c:v>63.8</c:v>
                </c:pt>
                <c:pt idx="5">
                  <c:v>51.6</c:v>
                </c:pt>
                <c:pt idx="6">
                  <c:v>35.9</c:v>
                </c:pt>
                <c:pt idx="7">
                  <c:v>31.8</c:v>
                </c:pt>
                <c:pt idx="8">
                  <c:v>2.9</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Sheet1!$G$2:$G$10</c:f>
              <c:numCache>
                <c:formatCode>0.0_);[Red]\(0.0\)</c:formatCode>
                <c:ptCount val="9"/>
                <c:pt idx="0">
                  <c:v>81.2</c:v>
                </c:pt>
                <c:pt idx="1">
                  <c:v>78.5</c:v>
                </c:pt>
                <c:pt idx="2">
                  <c:v>80.5</c:v>
                </c:pt>
                <c:pt idx="3">
                  <c:v>59.8</c:v>
                </c:pt>
                <c:pt idx="4">
                  <c:v>65.5</c:v>
                </c:pt>
                <c:pt idx="5">
                  <c:v>47.9</c:v>
                </c:pt>
                <c:pt idx="6">
                  <c:v>24.5</c:v>
                </c:pt>
                <c:pt idx="7">
                  <c:v>29.1</c:v>
                </c:pt>
                <c:pt idx="8">
                  <c:v>1.5</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急性アルコール中毒は死に至
ることがある</c:v>
                </c:pt>
                <c:pt idx="1">
                  <c:v>妊婦の飲酒は脳障害や発育障
害など胎児の発育に悪影響が
ある</c:v>
                </c:pt>
                <c:pt idx="2">
                  <c:v>アルコールの飲みすぎは肝臓
病だけでなく全身に様々な障
害を起こす</c:v>
                </c:pt>
                <c:pt idx="3">
                  <c:v>未成年者の飲酒は脳の発達に
悪影響がある</c:v>
                </c:pt>
                <c:pt idx="4">
                  <c:v>アルコールの飲み過ぎは高血
圧や糖尿病の合併症が引き起
こされる</c:v>
                </c:pt>
                <c:pt idx="5">
                  <c:v>アルコールの飲み過ぎは脳に
影響を及ぼす</c:v>
                </c:pt>
                <c:pt idx="6">
                  <c:v>未成年者の飲酒は性ホルモン
の成長に悪影響がある</c:v>
                </c:pt>
                <c:pt idx="7">
                  <c:v>アルコールが原因で不眠症や
うつ病、認知症になることが
ある</c:v>
                </c:pt>
                <c:pt idx="8">
                  <c:v>知らない　　　　　　　　　</c:v>
                </c:pt>
              </c:strCache>
            </c:strRef>
          </c:cat>
          <c:val>
            <c:numRef>
              <c:f>Sheet1!$H$2:$H$10</c:f>
              <c:numCache>
                <c:formatCode>0.0_);[Red]\(0.0\)</c:formatCode>
                <c:ptCount val="9"/>
                <c:pt idx="0">
                  <c:v>76.5</c:v>
                </c:pt>
                <c:pt idx="1">
                  <c:v>67.3</c:v>
                </c:pt>
                <c:pt idx="2">
                  <c:v>79.599999999999994</c:v>
                </c:pt>
                <c:pt idx="3">
                  <c:v>49</c:v>
                </c:pt>
                <c:pt idx="4">
                  <c:v>65.3</c:v>
                </c:pt>
                <c:pt idx="5">
                  <c:v>35.700000000000003</c:v>
                </c:pt>
                <c:pt idx="6">
                  <c:v>17.3</c:v>
                </c:pt>
                <c:pt idx="7">
                  <c:v>22.4</c:v>
                </c:pt>
                <c:pt idx="8">
                  <c:v>3.1</c:v>
                </c:pt>
              </c:numCache>
            </c:numRef>
          </c:val>
        </c:ser>
        <c:dLbls>
          <c:showLegendKey val="0"/>
          <c:showVal val="1"/>
          <c:showCatName val="0"/>
          <c:showSerName val="0"/>
          <c:showPercent val="0"/>
          <c:showBubbleSize val="0"/>
        </c:dLbls>
        <c:gapWidth val="100"/>
        <c:axId val="234115456"/>
        <c:axId val="234116992"/>
      </c:barChart>
      <c:catAx>
        <c:axId val="234115456"/>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4116992"/>
        <c:crosses val="autoZero"/>
        <c:auto val="1"/>
        <c:lblAlgn val="ctr"/>
        <c:lblOffset val="100"/>
        <c:noMultiLvlLbl val="0"/>
      </c:catAx>
      <c:valAx>
        <c:axId val="234116992"/>
        <c:scaling>
          <c:orientation val="minMax"/>
          <c:max val="10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4115456"/>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7"/>
              <c:layout>
                <c:manualLayout>
                  <c:x val="3.7480067195235091E-2"/>
                  <c:y val="2.3809719618372579E-2"/>
                </c:manualLayout>
              </c:layout>
              <c:dLblPos val="outEnd"/>
              <c:showLegendKey val="0"/>
              <c:showVal val="1"/>
              <c:showCatName val="0"/>
              <c:showSerName val="0"/>
              <c:showPercent val="0"/>
              <c:showBubbleSize val="0"/>
            </c:dLbl>
            <c:dLbl>
              <c:idx val="8"/>
              <c:layout>
                <c:manualLayout>
                  <c:x val="3.9562293150525916E-2"/>
                  <c:y val="1.0989135252318857E-2"/>
                </c:manualLayout>
              </c:layout>
              <c:dLblPos val="outEnd"/>
              <c:showLegendKey val="0"/>
              <c:showVal val="1"/>
              <c:showCatName val="0"/>
              <c:showSerName val="0"/>
              <c:showPercent val="0"/>
              <c:showBubbleSize val="0"/>
            </c:dLbl>
            <c:dLbl>
              <c:idx val="9"/>
              <c:layout>
                <c:manualLayout>
                  <c:x val="3.3315615284653412E-2"/>
                  <c:y val="1.4652180336425081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Sheet1!$B$1:$L$1</c:f>
              <c:strCache>
                <c:ptCount val="11"/>
                <c:pt idx="0">
                  <c:v>家族関係の悪化</c:v>
                </c:pt>
                <c:pt idx="1">
                  <c:v>飲酒運転や飲酒による交通事故</c:v>
                </c:pt>
                <c:pt idx="2">
                  <c:v>配偶者（内縁も含む）や親などへの暴言、暴力</c:v>
                </c:pt>
                <c:pt idx="3">
                  <c:v>友人や社会的信用の喪失</c:v>
                </c:pt>
                <c:pt idx="4">
                  <c:v>他人への傷害、暴力</c:v>
                </c:pt>
                <c:pt idx="5">
                  <c:v>飲酒代の家計への負担や失業による経済的困窮</c:v>
                </c:pt>
                <c:pt idx="6">
                  <c:v>育児放棄や暴力などの子どもへの虐待</c:v>
                </c:pt>
                <c:pt idx="7">
                  <c:v>自殺または自殺未遂</c:v>
                </c:pt>
                <c:pt idx="8">
                  <c:v>万引きなどの窃盗</c:v>
                </c:pt>
                <c:pt idx="9">
                  <c:v>その他</c:v>
                </c:pt>
                <c:pt idx="10">
                  <c:v>特になし</c:v>
                </c:pt>
              </c:strCache>
            </c:strRef>
          </c:cat>
          <c:val>
            <c:numRef>
              <c:f>Sheet1!$B$2:$L$2</c:f>
              <c:numCache>
                <c:formatCode>0.0</c:formatCode>
                <c:ptCount val="11"/>
                <c:pt idx="0">
                  <c:v>21.6</c:v>
                </c:pt>
                <c:pt idx="1">
                  <c:v>21.5</c:v>
                </c:pt>
                <c:pt idx="2">
                  <c:v>21.1</c:v>
                </c:pt>
                <c:pt idx="3">
                  <c:v>12.8</c:v>
                </c:pt>
                <c:pt idx="4">
                  <c:v>12</c:v>
                </c:pt>
                <c:pt idx="5">
                  <c:v>11.9</c:v>
                </c:pt>
                <c:pt idx="6">
                  <c:v>5.3</c:v>
                </c:pt>
                <c:pt idx="7">
                  <c:v>2.6</c:v>
                </c:pt>
                <c:pt idx="8">
                  <c:v>1.2</c:v>
                </c:pt>
                <c:pt idx="9">
                  <c:v>1.6</c:v>
                </c:pt>
                <c:pt idx="10">
                  <c:v>52.1</c:v>
                </c:pt>
              </c:numCache>
            </c:numRef>
          </c:val>
        </c:ser>
        <c:dLbls>
          <c:showLegendKey val="0"/>
          <c:showVal val="1"/>
          <c:showCatName val="0"/>
          <c:showSerName val="0"/>
          <c:showPercent val="0"/>
          <c:showBubbleSize val="0"/>
        </c:dLbls>
        <c:gapWidth val="100"/>
        <c:axId val="234495360"/>
        <c:axId val="23452992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1"/>
              <c:layout>
                <c:manualLayout>
                  <c:x val="-4.0769602313710893E-2"/>
                  <c:y val="-2.6991077635711014E-2"/>
                </c:manualLayout>
              </c:layout>
              <c:dLblPos val="r"/>
              <c:showLegendKey val="0"/>
              <c:showVal val="1"/>
              <c:showCatName val="0"/>
              <c:showSerName val="0"/>
              <c:showPercent val="0"/>
              <c:showBubbleSize val="0"/>
            </c:dLbl>
            <c:dLbl>
              <c:idx val="3"/>
              <c:layout>
                <c:manualLayout>
                  <c:x val="-3.8685266817099856E-2"/>
                  <c:y val="-3.5425789396869981E-2"/>
                </c:manualLayout>
              </c:layout>
              <c:dLblPos val="r"/>
              <c:showLegendKey val="0"/>
              <c:showVal val="1"/>
              <c:showCatName val="0"/>
              <c:showSerName val="0"/>
              <c:showPercent val="0"/>
              <c:showBubbleSize val="0"/>
            </c:dLbl>
            <c:dLbl>
              <c:idx val="4"/>
              <c:layout>
                <c:manualLayout>
                  <c:x val="-3.6600931320488909E-2"/>
                  <c:y val="-3.1208433516290282E-2"/>
                </c:manualLayout>
              </c:layout>
              <c:dLblPos val="r"/>
              <c:showLegendKey val="0"/>
              <c:showVal val="1"/>
              <c:showCatName val="0"/>
              <c:showSerName val="0"/>
              <c:showPercent val="0"/>
              <c:showBubbleSize val="0"/>
            </c:dLbl>
            <c:dLbl>
              <c:idx val="6"/>
              <c:layout>
                <c:manualLayout>
                  <c:x val="-3.0316741858659405E-2"/>
                  <c:y val="-3.9643145277450616E-2"/>
                </c:manualLayout>
              </c:layout>
              <c:dLblPos val="r"/>
              <c:showLegendKey val="0"/>
              <c:showVal val="1"/>
              <c:showCatName val="0"/>
              <c:showSerName val="0"/>
              <c:showPercent val="0"/>
              <c:showBubbleSize val="0"/>
            </c:dLbl>
            <c:dLbl>
              <c:idx val="7"/>
              <c:layout>
                <c:manualLayout>
                  <c:x val="-3.4485412851881392E-2"/>
                  <c:y val="-6.9164636441509497E-2"/>
                </c:manualLayout>
              </c:layout>
              <c:dLblPos val="r"/>
              <c:showLegendKey val="0"/>
              <c:showVal val="1"/>
              <c:showCatName val="0"/>
              <c:showSerName val="0"/>
              <c:showPercent val="0"/>
              <c:showBubbleSize val="0"/>
            </c:dLbl>
            <c:dLbl>
              <c:idx val="8"/>
              <c:layout>
                <c:manualLayout>
                  <c:x val="-3.2401077355271299E-2"/>
                  <c:y val="-7.7599348202667451E-2"/>
                </c:manualLayout>
              </c:layout>
              <c:dLblPos val="r"/>
              <c:showLegendKey val="0"/>
              <c:showVal val="1"/>
              <c:showCatName val="0"/>
              <c:showSerName val="0"/>
              <c:showPercent val="0"/>
              <c:showBubbleSize val="0"/>
            </c:dLbl>
            <c:dLbl>
              <c:idx val="9"/>
              <c:layout>
                <c:manualLayout>
                  <c:x val="-3.2401077355271299E-2"/>
                  <c:y val="-8.3925382023538248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Sheet1!$B$1:$L$1</c:f>
              <c:strCache>
                <c:ptCount val="11"/>
                <c:pt idx="0">
                  <c:v>家族関係の悪化</c:v>
                </c:pt>
                <c:pt idx="1">
                  <c:v>飲酒運転や飲酒による交通事故</c:v>
                </c:pt>
                <c:pt idx="2">
                  <c:v>配偶者（内縁も含む）や親などへの暴言、暴力</c:v>
                </c:pt>
                <c:pt idx="3">
                  <c:v>友人や社会的信用の喪失</c:v>
                </c:pt>
                <c:pt idx="4">
                  <c:v>他人への傷害、暴力</c:v>
                </c:pt>
                <c:pt idx="5">
                  <c:v>飲酒代の家計への負担や失業による経済的困窮</c:v>
                </c:pt>
                <c:pt idx="6">
                  <c:v>育児放棄や暴力などの子どもへの虐待</c:v>
                </c:pt>
                <c:pt idx="7">
                  <c:v>自殺または自殺未遂</c:v>
                </c:pt>
                <c:pt idx="8">
                  <c:v>万引きなどの窃盗</c:v>
                </c:pt>
                <c:pt idx="9">
                  <c:v>その他</c:v>
                </c:pt>
                <c:pt idx="10">
                  <c:v>特になし</c:v>
                </c:pt>
              </c:strCache>
            </c:strRef>
          </c:cat>
          <c:val>
            <c:numRef>
              <c:f>Sheet1!$B$3:$L$3</c:f>
              <c:numCache>
                <c:formatCode>0.0</c:formatCode>
                <c:ptCount val="11"/>
                <c:pt idx="0">
                  <c:v>17.899999999999999</c:v>
                </c:pt>
                <c:pt idx="1">
                  <c:v>24.8</c:v>
                </c:pt>
                <c:pt idx="2">
                  <c:v>19.3</c:v>
                </c:pt>
                <c:pt idx="3">
                  <c:v>14.3</c:v>
                </c:pt>
                <c:pt idx="4">
                  <c:v>14.8</c:v>
                </c:pt>
                <c:pt idx="5">
                  <c:v>11.6</c:v>
                </c:pt>
                <c:pt idx="6">
                  <c:v>4.8</c:v>
                </c:pt>
                <c:pt idx="7">
                  <c:v>2.9</c:v>
                </c:pt>
                <c:pt idx="8">
                  <c:v>1.5</c:v>
                </c:pt>
                <c:pt idx="9">
                  <c:v>1.5</c:v>
                </c:pt>
                <c:pt idx="10">
                  <c:v>51.2</c:v>
                </c:pt>
              </c:numCache>
            </c:numRef>
          </c:val>
          <c:smooth val="0"/>
        </c:ser>
        <c:ser>
          <c:idx val="1"/>
          <c:order val="2"/>
          <c:tx>
            <c:strRef>
              <c:f>Sheet1!$A$4</c:f>
              <c:strCache>
                <c:ptCount val="1"/>
                <c:pt idx="0">
                  <c:v>女性</c:v>
                </c:pt>
              </c:strCache>
            </c:strRef>
          </c:tx>
          <c:spPr>
            <a:ln>
              <a:prstDash val="sysDash"/>
            </a:ln>
          </c:spPr>
          <c:marker>
            <c:symbol val="square"/>
            <c:size val="7"/>
          </c:marker>
          <c:dLbls>
            <c:dLbl>
              <c:idx val="1"/>
              <c:layout>
                <c:manualLayout>
                  <c:x val="-4.0644542183913675E-2"/>
                  <c:y val="2.9099755576000412E-2"/>
                </c:manualLayout>
              </c:layout>
              <c:dLblPos val="r"/>
              <c:showLegendKey val="0"/>
              <c:showVal val="1"/>
              <c:showCatName val="0"/>
              <c:showSerName val="0"/>
              <c:showPercent val="0"/>
              <c:showBubbleSize val="0"/>
            </c:dLbl>
            <c:dLbl>
              <c:idx val="3"/>
              <c:layout>
                <c:manualLayout>
                  <c:x val="-3.6475871190692205E-2"/>
                  <c:y val="3.1208433516290202E-2"/>
                </c:manualLayout>
              </c:layout>
              <c:dLblPos val="r"/>
              <c:showLegendKey val="0"/>
              <c:showVal val="1"/>
              <c:showCatName val="0"/>
              <c:showSerName val="0"/>
              <c:showPercent val="0"/>
              <c:showBubbleSize val="0"/>
            </c:dLbl>
            <c:dLbl>
              <c:idx val="4"/>
              <c:layout>
                <c:manualLayout>
                  <c:x val="-3.2307200197470416E-2"/>
                  <c:y val="2.6991077635711014E-2"/>
                </c:manualLayout>
              </c:layout>
              <c:dLblPos val="r"/>
              <c:showLegendKey val="0"/>
              <c:showVal val="1"/>
              <c:showCatName val="0"/>
              <c:showSerName val="0"/>
              <c:showPercent val="0"/>
              <c:showBubbleSize val="0"/>
            </c:dLbl>
            <c:dLbl>
              <c:idx val="6"/>
              <c:layout>
                <c:manualLayout>
                  <c:x val="-3.0222864700859386E-2"/>
                  <c:y val="-7.000810761762398E-2"/>
                </c:manualLayout>
              </c:layout>
              <c:dLblPos val="r"/>
              <c:showLegendKey val="0"/>
              <c:showVal val="1"/>
              <c:showCatName val="0"/>
              <c:showSerName val="0"/>
              <c:showPercent val="0"/>
              <c:showBubbleSize val="0"/>
            </c:dLbl>
            <c:dLbl>
              <c:idx val="7"/>
              <c:layout>
                <c:manualLayout>
                  <c:x val="-3.2307200197470416E-2"/>
                  <c:y val="-3.8377938513276526E-2"/>
                </c:manualLayout>
              </c:layout>
              <c:dLblPos val="r"/>
              <c:showLegendKey val="0"/>
              <c:showVal val="1"/>
              <c:showCatName val="0"/>
              <c:showSerName val="0"/>
              <c:showPercent val="0"/>
              <c:showBubbleSize val="0"/>
            </c:dLbl>
            <c:dLbl>
              <c:idx val="8"/>
              <c:layout>
                <c:manualLayout>
                  <c:x val="-3.2307200197470416E-2"/>
                  <c:y val="-5.1030006155015094E-2"/>
                </c:manualLayout>
              </c:layout>
              <c:dLblPos val="r"/>
              <c:showLegendKey val="0"/>
              <c:showVal val="1"/>
              <c:showCatName val="0"/>
              <c:showSerName val="0"/>
              <c:showPercent val="0"/>
              <c:showBubbleSize val="0"/>
            </c:dLbl>
            <c:dLbl>
              <c:idx val="9"/>
              <c:layout>
                <c:manualLayout>
                  <c:x val="-3.2307200197470416E-2"/>
                  <c:y val="-5.1030006155015094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Sheet1!$B$1:$L$1</c:f>
              <c:strCache>
                <c:ptCount val="11"/>
                <c:pt idx="0">
                  <c:v>家族関係の悪化</c:v>
                </c:pt>
                <c:pt idx="1">
                  <c:v>飲酒運転や飲酒による交通事故</c:v>
                </c:pt>
                <c:pt idx="2">
                  <c:v>配偶者（内縁も含む）や親などへの暴言、暴力</c:v>
                </c:pt>
                <c:pt idx="3">
                  <c:v>友人や社会的信用の喪失</c:v>
                </c:pt>
                <c:pt idx="4">
                  <c:v>他人への傷害、暴力</c:v>
                </c:pt>
                <c:pt idx="5">
                  <c:v>飲酒代の家計への負担や失業による経済的困窮</c:v>
                </c:pt>
                <c:pt idx="6">
                  <c:v>育児放棄や暴力などの子どもへの虐待</c:v>
                </c:pt>
                <c:pt idx="7">
                  <c:v>自殺または自殺未遂</c:v>
                </c:pt>
                <c:pt idx="8">
                  <c:v>万引きなどの窃盗</c:v>
                </c:pt>
                <c:pt idx="9">
                  <c:v>その他</c:v>
                </c:pt>
                <c:pt idx="10">
                  <c:v>特になし</c:v>
                </c:pt>
              </c:strCache>
            </c:strRef>
          </c:cat>
          <c:val>
            <c:numRef>
              <c:f>Sheet1!$B$4:$L$4</c:f>
              <c:numCache>
                <c:formatCode>0.0</c:formatCode>
                <c:ptCount val="11"/>
                <c:pt idx="0">
                  <c:v>24.6</c:v>
                </c:pt>
                <c:pt idx="1">
                  <c:v>18.600000000000001</c:v>
                </c:pt>
                <c:pt idx="2">
                  <c:v>22.7</c:v>
                </c:pt>
                <c:pt idx="3">
                  <c:v>11.4</c:v>
                </c:pt>
                <c:pt idx="4">
                  <c:v>9.6</c:v>
                </c:pt>
                <c:pt idx="5">
                  <c:v>12.2</c:v>
                </c:pt>
                <c:pt idx="6">
                  <c:v>5.6</c:v>
                </c:pt>
                <c:pt idx="7">
                  <c:v>2.4</c:v>
                </c:pt>
                <c:pt idx="8">
                  <c:v>1</c:v>
                </c:pt>
                <c:pt idx="9">
                  <c:v>1.7</c:v>
                </c:pt>
                <c:pt idx="10">
                  <c:v>53</c:v>
                </c:pt>
              </c:numCache>
            </c:numRef>
          </c:val>
          <c:smooth val="0"/>
        </c:ser>
        <c:dLbls>
          <c:showLegendKey val="0"/>
          <c:showVal val="0"/>
          <c:showCatName val="0"/>
          <c:showSerName val="0"/>
          <c:showPercent val="0"/>
          <c:showBubbleSize val="0"/>
        </c:dLbls>
        <c:marker val="1"/>
        <c:smooth val="0"/>
        <c:axId val="234495360"/>
        <c:axId val="234529920"/>
      </c:lineChart>
      <c:catAx>
        <c:axId val="234495360"/>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4529920"/>
        <c:crosses val="autoZero"/>
        <c:auto val="1"/>
        <c:lblAlgn val="ctr"/>
        <c:lblOffset val="100"/>
        <c:noMultiLvlLbl val="0"/>
      </c:catAx>
      <c:valAx>
        <c:axId val="234529920"/>
        <c:scaling>
          <c:orientation val="minMax"/>
          <c:max val="7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4495360"/>
        <c:crosses val="autoZero"/>
        <c:crossBetween val="between"/>
        <c:majorUnit val="10"/>
      </c:valAx>
      <c:spPr>
        <a:ln>
          <a:noFill/>
        </a:ln>
      </c:spPr>
    </c:plotArea>
    <c:legend>
      <c:legendPos val="b"/>
      <c:layout>
        <c:manualLayout>
          <c:xMode val="edge"/>
          <c:yMode val="edge"/>
          <c:x val="0.73087453957932669"/>
          <c:y val="6.681733612412392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61170555854248"/>
          <c:y val="4.5945260968926364E-2"/>
          <c:w val="0.72524472669008944"/>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1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800"/>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Sheet1!$B$2:$B$12</c:f>
              <c:numCache>
                <c:formatCode>0.0_);[Red]\(0.0\)</c:formatCode>
                <c:ptCount val="11"/>
                <c:pt idx="0">
                  <c:v>10.3</c:v>
                </c:pt>
                <c:pt idx="1">
                  <c:v>6.9</c:v>
                </c:pt>
                <c:pt idx="2">
                  <c:v>13.8</c:v>
                </c:pt>
                <c:pt idx="3">
                  <c:v>2.2999999999999998</c:v>
                </c:pt>
                <c:pt idx="4">
                  <c:v>6.9</c:v>
                </c:pt>
                <c:pt idx="5">
                  <c:v>5.7</c:v>
                </c:pt>
                <c:pt idx="6">
                  <c:v>1.1000000000000001</c:v>
                </c:pt>
                <c:pt idx="7">
                  <c:v>0</c:v>
                </c:pt>
                <c:pt idx="8">
                  <c:v>1.1000000000000001</c:v>
                </c:pt>
                <c:pt idx="9">
                  <c:v>1.1000000000000001</c:v>
                </c:pt>
                <c:pt idx="10">
                  <c:v>77</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1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800"/>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Sheet1!$C$2:$C$12</c:f>
              <c:numCache>
                <c:formatCode>0.0_);[Red]\(0.0\)</c:formatCode>
                <c:ptCount val="11"/>
                <c:pt idx="0">
                  <c:v>16.8</c:v>
                </c:pt>
                <c:pt idx="1">
                  <c:v>14.4</c:v>
                </c:pt>
                <c:pt idx="2">
                  <c:v>15.3</c:v>
                </c:pt>
                <c:pt idx="3">
                  <c:v>6.9</c:v>
                </c:pt>
                <c:pt idx="4">
                  <c:v>7.9</c:v>
                </c:pt>
                <c:pt idx="5">
                  <c:v>8.4</c:v>
                </c:pt>
                <c:pt idx="6">
                  <c:v>4.5</c:v>
                </c:pt>
                <c:pt idx="7">
                  <c:v>1</c:v>
                </c:pt>
                <c:pt idx="8">
                  <c:v>1</c:v>
                </c:pt>
                <c:pt idx="9">
                  <c:v>3</c:v>
                </c:pt>
                <c:pt idx="10">
                  <c:v>62.4</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1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800"/>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Sheet1!$D$2:$D$12</c:f>
              <c:numCache>
                <c:formatCode>0.0_);[Red]\(0.0\)</c:formatCode>
                <c:ptCount val="11"/>
                <c:pt idx="0">
                  <c:v>22.9</c:v>
                </c:pt>
                <c:pt idx="1">
                  <c:v>24.9</c:v>
                </c:pt>
                <c:pt idx="2">
                  <c:v>24.9</c:v>
                </c:pt>
                <c:pt idx="3">
                  <c:v>13.4</c:v>
                </c:pt>
                <c:pt idx="4">
                  <c:v>14.6</c:v>
                </c:pt>
                <c:pt idx="5">
                  <c:v>12.3</c:v>
                </c:pt>
                <c:pt idx="6">
                  <c:v>5.9</c:v>
                </c:pt>
                <c:pt idx="7">
                  <c:v>3.2</c:v>
                </c:pt>
                <c:pt idx="8">
                  <c:v>0.8</c:v>
                </c:pt>
                <c:pt idx="9">
                  <c:v>2</c:v>
                </c:pt>
                <c:pt idx="10">
                  <c:v>47</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10"/>
              <c:spPr/>
              <c:txPr>
                <a:bodyPr/>
                <a:lstStyle/>
                <a:p>
                  <a:pPr>
                    <a:defRPr sz="800">
                      <a:latin typeface="Arial Black" panose="020B0A04020102020204" pitchFamily="34" charset="0"/>
                      <a:ea typeface="ＭＳ 明朝" panose="02020609040205080304" pitchFamily="17" charset="-128"/>
                    </a:defRPr>
                  </a:pPr>
                  <a:endParaRPr lang="ja-JP"/>
                </a:p>
              </c:txPr>
              <c:dLblPos val="outEnd"/>
              <c:showLegendKey val="0"/>
              <c:showVal val="1"/>
              <c:showCatName val="0"/>
              <c:showSerName val="0"/>
              <c:showPercent val="0"/>
              <c:showBubbleSize val="0"/>
            </c:dLbl>
            <c:txPr>
              <a:bodyPr/>
              <a:lstStyle/>
              <a:p>
                <a:pPr>
                  <a:defRPr sz="800">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Sheet1!$E$2:$E$12</c:f>
              <c:numCache>
                <c:formatCode>0.0_);[Red]\(0.0\)</c:formatCode>
                <c:ptCount val="11"/>
                <c:pt idx="0">
                  <c:v>22.9</c:v>
                </c:pt>
                <c:pt idx="1">
                  <c:v>23.1</c:v>
                </c:pt>
                <c:pt idx="2">
                  <c:v>22.9</c:v>
                </c:pt>
                <c:pt idx="3">
                  <c:v>15.1</c:v>
                </c:pt>
                <c:pt idx="4">
                  <c:v>14</c:v>
                </c:pt>
                <c:pt idx="5">
                  <c:v>14.3</c:v>
                </c:pt>
                <c:pt idx="6">
                  <c:v>6</c:v>
                </c:pt>
                <c:pt idx="7">
                  <c:v>2.9</c:v>
                </c:pt>
                <c:pt idx="8">
                  <c:v>1.1000000000000001</c:v>
                </c:pt>
                <c:pt idx="9">
                  <c:v>2</c:v>
                </c:pt>
                <c:pt idx="10">
                  <c:v>47.7</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1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800"/>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Sheet1!$F$2:$F$12</c:f>
              <c:numCache>
                <c:formatCode>0.0_);[Red]\(0.0\)</c:formatCode>
                <c:ptCount val="11"/>
                <c:pt idx="0">
                  <c:v>21.3</c:v>
                </c:pt>
                <c:pt idx="1">
                  <c:v>23</c:v>
                </c:pt>
                <c:pt idx="2">
                  <c:v>21</c:v>
                </c:pt>
                <c:pt idx="3">
                  <c:v>12</c:v>
                </c:pt>
                <c:pt idx="4">
                  <c:v>11.4</c:v>
                </c:pt>
                <c:pt idx="5">
                  <c:v>10.5</c:v>
                </c:pt>
                <c:pt idx="6">
                  <c:v>4.7</c:v>
                </c:pt>
                <c:pt idx="7">
                  <c:v>4.0999999999999996</c:v>
                </c:pt>
                <c:pt idx="8">
                  <c:v>1.2</c:v>
                </c:pt>
                <c:pt idx="9">
                  <c:v>0.9</c:v>
                </c:pt>
                <c:pt idx="10">
                  <c:v>54.8</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800"/>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Sheet1!$G$2:$G$12</c:f>
              <c:numCache>
                <c:formatCode>0.0_);[Red]\(0.0\)</c:formatCode>
                <c:ptCount val="11"/>
                <c:pt idx="0">
                  <c:v>27.2</c:v>
                </c:pt>
                <c:pt idx="1">
                  <c:v>23.4</c:v>
                </c:pt>
                <c:pt idx="2">
                  <c:v>24.1</c:v>
                </c:pt>
                <c:pt idx="3">
                  <c:v>18</c:v>
                </c:pt>
                <c:pt idx="4">
                  <c:v>11.9</c:v>
                </c:pt>
                <c:pt idx="5">
                  <c:v>14.2</c:v>
                </c:pt>
                <c:pt idx="6">
                  <c:v>5.7</c:v>
                </c:pt>
                <c:pt idx="7">
                  <c:v>2.2999999999999998</c:v>
                </c:pt>
                <c:pt idx="8">
                  <c:v>1.9000000000000001</c:v>
                </c:pt>
                <c:pt idx="9">
                  <c:v>0.4</c:v>
                </c:pt>
                <c:pt idx="10">
                  <c:v>45.6</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10"/>
              <c:spPr/>
              <c:txPr>
                <a:bodyPr/>
                <a:lstStyle/>
                <a:p>
                  <a:pPr>
                    <a:defRPr sz="800">
                      <a:latin typeface="Arial Black" panose="020B0A04020102020204" pitchFamily="34" charset="0"/>
                    </a:defRPr>
                  </a:pPr>
                  <a:endParaRPr lang="ja-JP"/>
                </a:p>
              </c:txPr>
              <c:dLblPos val="outEnd"/>
              <c:showLegendKey val="0"/>
              <c:showVal val="1"/>
              <c:showCatName val="0"/>
              <c:showSerName val="0"/>
              <c:showPercent val="0"/>
              <c:showBubbleSize val="0"/>
            </c:dLbl>
            <c:txPr>
              <a:bodyPr/>
              <a:lstStyle/>
              <a:p>
                <a:pPr>
                  <a:defRPr sz="800"/>
                </a:pPr>
                <a:endParaRPr lang="ja-JP"/>
              </a:p>
            </c:txPr>
            <c:dLblPos val="outEnd"/>
            <c:showLegendKey val="0"/>
            <c:showVal val="1"/>
            <c:showCatName val="0"/>
            <c:showSerName val="0"/>
            <c:showPercent val="0"/>
            <c:showBubbleSize val="0"/>
            <c:showLeaderLines val="0"/>
          </c:dLbls>
          <c:cat>
            <c:strRef>
              <c:f>Sheet1!$A$2:$A$12</c:f>
              <c:strCache>
                <c:ptCount val="11"/>
                <c:pt idx="0">
                  <c:v>家族関係の悪化　　　　</c:v>
                </c:pt>
                <c:pt idx="1">
                  <c:v>飲酒運転や飲酒による交
通事故</c:v>
                </c:pt>
                <c:pt idx="2">
                  <c:v>配偶者（内縁も含む）や
親などへの暴言、暴力</c:v>
                </c:pt>
                <c:pt idx="3">
                  <c:v>友人や社会的信用の喪失</c:v>
                </c:pt>
                <c:pt idx="4">
                  <c:v>他人への傷害、暴力　　</c:v>
                </c:pt>
                <c:pt idx="5">
                  <c:v>飲酒代の家計への負担や
失業による経済的困窮</c:v>
                </c:pt>
                <c:pt idx="6">
                  <c:v>育児放棄や暴力などの子
どもへの虐待</c:v>
                </c:pt>
                <c:pt idx="7">
                  <c:v>自殺または自殺未遂　　</c:v>
                </c:pt>
                <c:pt idx="8">
                  <c:v>万引きなどの窃盗　　　</c:v>
                </c:pt>
                <c:pt idx="9">
                  <c:v>その他　　　　　　　　</c:v>
                </c:pt>
                <c:pt idx="10">
                  <c:v>特になし　　　　　　　</c:v>
                </c:pt>
              </c:strCache>
            </c:strRef>
          </c:cat>
          <c:val>
            <c:numRef>
              <c:f>Sheet1!$H$2:$H$12</c:f>
              <c:numCache>
                <c:formatCode>0.0_);[Red]\(0.0\)</c:formatCode>
                <c:ptCount val="11"/>
                <c:pt idx="0">
                  <c:v>19.399999999999999</c:v>
                </c:pt>
                <c:pt idx="1">
                  <c:v>22.4</c:v>
                </c:pt>
                <c:pt idx="2">
                  <c:v>17.3</c:v>
                </c:pt>
                <c:pt idx="3">
                  <c:v>11.2</c:v>
                </c:pt>
                <c:pt idx="4">
                  <c:v>12.2</c:v>
                </c:pt>
                <c:pt idx="5">
                  <c:v>14.3</c:v>
                </c:pt>
                <c:pt idx="6">
                  <c:v>7.1</c:v>
                </c:pt>
                <c:pt idx="7">
                  <c:v>2</c:v>
                </c:pt>
                <c:pt idx="8">
                  <c:v>2</c:v>
                </c:pt>
                <c:pt idx="9">
                  <c:v>3.1</c:v>
                </c:pt>
                <c:pt idx="10">
                  <c:v>48</c:v>
                </c:pt>
              </c:numCache>
            </c:numRef>
          </c:val>
        </c:ser>
        <c:dLbls>
          <c:showLegendKey val="0"/>
          <c:showVal val="1"/>
          <c:showCatName val="0"/>
          <c:showSerName val="0"/>
          <c:showPercent val="0"/>
          <c:showBubbleSize val="0"/>
        </c:dLbls>
        <c:gapWidth val="100"/>
        <c:axId val="237464960"/>
        <c:axId val="237483136"/>
      </c:barChart>
      <c:catAx>
        <c:axId val="237464960"/>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237483136"/>
        <c:crosses val="autoZero"/>
        <c:auto val="1"/>
        <c:lblAlgn val="ctr"/>
        <c:lblOffset val="100"/>
        <c:noMultiLvlLbl val="0"/>
      </c:catAx>
      <c:valAx>
        <c:axId val="237483136"/>
        <c:scaling>
          <c:orientation val="minMax"/>
          <c:max val="9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237464960"/>
        <c:crosses val="autoZero"/>
        <c:crossBetween val="between"/>
        <c:majorUnit val="10"/>
      </c:valAx>
      <c:spPr>
        <a:ln>
          <a:solidFill>
            <a:schemeClr val="tx1"/>
          </a:solidFill>
        </a:ln>
      </c:spPr>
    </c:plotArea>
    <c:legend>
      <c:legendPos val="b"/>
      <c:layout>
        <c:manualLayout>
          <c:xMode val="edge"/>
          <c:yMode val="edge"/>
          <c:x val="0.79295696585054831"/>
          <c:y val="0.64698218665289864"/>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58833234731158257"/>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9"/>
              <c:layout>
                <c:manualLayout>
                  <c:x val="3.1265032449165488E-2"/>
                  <c:y val="1.4788805942022282E-2"/>
                </c:manualLayout>
              </c:layout>
              <c:dLblPos val="outEnd"/>
              <c:showLegendKey val="0"/>
              <c:showVal val="1"/>
              <c:showCatName val="0"/>
              <c:showSerName val="0"/>
              <c:showPercent val="0"/>
              <c:showBubbleSize val="0"/>
            </c:dLbl>
            <c:dLbl>
              <c:idx val="10"/>
              <c:layout>
                <c:manualLayout>
                  <c:x val="3.9602374435608746E-2"/>
                  <c:y val="3.4188310917422811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Sheet1!$B$1:$L$1</c:f>
              <c:strCache>
                <c:ptCount val="11"/>
                <c:pt idx="0">
                  <c:v>飲酒をコントロールすることができない精神疾患である</c:v>
                </c:pt>
                <c:pt idx="1">
                  <c:v>専門的な治療が必要となる</c:v>
                </c:pt>
                <c:pt idx="2">
                  <c:v>飲酒をしていれば、誰もが依存症になる可能性がある</c:v>
                </c:pt>
                <c:pt idx="3">
                  <c:v>アルコール依存症はゆっくり進行していくため、飲酒をしていても、依存が作られている途中では自分では気付かない</c:v>
                </c:pt>
                <c:pt idx="4">
                  <c:v>断酒を続けることにより、依存状態から回復する</c:v>
                </c:pt>
                <c:pt idx="5">
                  <c:v>相談できる機関・団体がある</c:v>
                </c:pt>
                <c:pt idx="6">
                  <c:v>女性の方が短期間で発症する傾向がある</c:v>
                </c:pt>
                <c:pt idx="7">
                  <c:v>一度依存症になると治らない</c:v>
                </c:pt>
                <c:pt idx="8">
                  <c:v>お酒に強い人ほどなりやすい</c:v>
                </c:pt>
                <c:pt idx="9">
                  <c:v>その他</c:v>
                </c:pt>
                <c:pt idx="10">
                  <c:v>特になし</c:v>
                </c:pt>
              </c:strCache>
            </c:strRef>
          </c:cat>
          <c:val>
            <c:numRef>
              <c:f>Sheet1!$B$2:$L$2</c:f>
              <c:numCache>
                <c:formatCode>0.0</c:formatCode>
                <c:ptCount val="11"/>
                <c:pt idx="0">
                  <c:v>79.3</c:v>
                </c:pt>
                <c:pt idx="1">
                  <c:v>64.7</c:v>
                </c:pt>
                <c:pt idx="2">
                  <c:v>45.9</c:v>
                </c:pt>
                <c:pt idx="3">
                  <c:v>39.5</c:v>
                </c:pt>
                <c:pt idx="4">
                  <c:v>37.300000000000004</c:v>
                </c:pt>
                <c:pt idx="5">
                  <c:v>36.9</c:v>
                </c:pt>
                <c:pt idx="6">
                  <c:v>20.3</c:v>
                </c:pt>
                <c:pt idx="7">
                  <c:v>16.5</c:v>
                </c:pt>
                <c:pt idx="8">
                  <c:v>13.4</c:v>
                </c:pt>
                <c:pt idx="9">
                  <c:v>0.30000000000000032</c:v>
                </c:pt>
                <c:pt idx="10">
                  <c:v>4.8</c:v>
                </c:pt>
              </c:numCache>
            </c:numRef>
          </c:val>
        </c:ser>
        <c:dLbls>
          <c:showLegendKey val="0"/>
          <c:showVal val="1"/>
          <c:showCatName val="0"/>
          <c:showSerName val="0"/>
          <c:showPercent val="0"/>
          <c:showBubbleSize val="0"/>
        </c:dLbls>
        <c:gapWidth val="100"/>
        <c:axId val="237206144"/>
        <c:axId val="23722432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9"/>
              <c:layout>
                <c:manualLayout>
                  <c:x val="-3.2401009586212941E-2"/>
                  <c:y val="-8.3930188571767567E-2"/>
                </c:manualLayout>
              </c:layout>
              <c:dLblPos val="r"/>
              <c:showLegendKey val="0"/>
              <c:showVal val="1"/>
              <c:showCatName val="0"/>
              <c:showSerName val="0"/>
              <c:showPercent val="0"/>
              <c:showBubbleSize val="0"/>
            </c:dLbl>
            <c:dLbl>
              <c:idx val="10"/>
              <c:layout>
                <c:manualLayout>
                  <c:x val="-3.2401077355271299E-2"/>
                  <c:y val="-6.0729924680348532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Sheet1!$B$1:$L$1</c:f>
              <c:strCache>
                <c:ptCount val="11"/>
                <c:pt idx="0">
                  <c:v>飲酒をコントロールすることができない精神疾患である</c:v>
                </c:pt>
                <c:pt idx="1">
                  <c:v>専門的な治療が必要となる</c:v>
                </c:pt>
                <c:pt idx="2">
                  <c:v>飲酒をしていれば、誰もが依存症になる可能性がある</c:v>
                </c:pt>
                <c:pt idx="3">
                  <c:v>アルコール依存症はゆっくり進行していくため、飲酒をしていても、依存が作られている途中では自分では気付かない</c:v>
                </c:pt>
                <c:pt idx="4">
                  <c:v>断酒を続けることにより、依存状態から回復する</c:v>
                </c:pt>
                <c:pt idx="5">
                  <c:v>相談できる機関・団体がある</c:v>
                </c:pt>
                <c:pt idx="6">
                  <c:v>女性の方が短期間で発症する傾向がある</c:v>
                </c:pt>
                <c:pt idx="7">
                  <c:v>一度依存症になると治らない</c:v>
                </c:pt>
                <c:pt idx="8">
                  <c:v>お酒に強い人ほどなりやすい</c:v>
                </c:pt>
                <c:pt idx="9">
                  <c:v>その他</c:v>
                </c:pt>
                <c:pt idx="10">
                  <c:v>特になし</c:v>
                </c:pt>
              </c:strCache>
            </c:strRef>
          </c:cat>
          <c:val>
            <c:numRef>
              <c:f>Sheet1!$B$3:$L$3</c:f>
              <c:numCache>
                <c:formatCode>0.0</c:formatCode>
                <c:ptCount val="11"/>
                <c:pt idx="0">
                  <c:v>74.7</c:v>
                </c:pt>
                <c:pt idx="1">
                  <c:v>57.3</c:v>
                </c:pt>
                <c:pt idx="2">
                  <c:v>43.1</c:v>
                </c:pt>
                <c:pt idx="3">
                  <c:v>37.300000000000004</c:v>
                </c:pt>
                <c:pt idx="4">
                  <c:v>32.5</c:v>
                </c:pt>
                <c:pt idx="5">
                  <c:v>30.5</c:v>
                </c:pt>
                <c:pt idx="6">
                  <c:v>15.8</c:v>
                </c:pt>
                <c:pt idx="7">
                  <c:v>13.4</c:v>
                </c:pt>
                <c:pt idx="8">
                  <c:v>13</c:v>
                </c:pt>
                <c:pt idx="9">
                  <c:v>0.4</c:v>
                </c:pt>
                <c:pt idx="10">
                  <c:v>6.9</c:v>
                </c:pt>
              </c:numCache>
            </c:numRef>
          </c:val>
          <c:smooth val="0"/>
        </c:ser>
        <c:ser>
          <c:idx val="1"/>
          <c:order val="2"/>
          <c:tx>
            <c:strRef>
              <c:f>Sheet1!$A$4</c:f>
              <c:strCache>
                <c:ptCount val="1"/>
                <c:pt idx="0">
                  <c:v>女性</c:v>
                </c:pt>
              </c:strCache>
            </c:strRef>
          </c:tx>
          <c:spPr>
            <a:ln>
              <a:prstDash val="sysDash"/>
            </a:ln>
          </c:spPr>
          <c:marker>
            <c:symbol val="square"/>
            <c:size val="7"/>
          </c:marker>
          <c:dLbls>
            <c:dLbl>
              <c:idx val="9"/>
              <c:layout>
                <c:manualLayout>
                  <c:x val="-3.230026099464129E-2"/>
                  <c:y val="-4.6822834676399465E-2"/>
                </c:manualLayout>
              </c:layout>
              <c:dLblPos val="r"/>
              <c:showLegendKey val="0"/>
              <c:showVal val="1"/>
              <c:showCatName val="0"/>
              <c:showSerName val="0"/>
              <c:showPercent val="0"/>
              <c:showBubbleSize val="0"/>
            </c:dLbl>
            <c:dLbl>
              <c:idx val="10"/>
              <c:layout>
                <c:manualLayout>
                  <c:x val="-3.2307200197470416E-2"/>
                  <c:y val="-5.5247362035594695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Sheet1!$B$1:$L$1</c:f>
              <c:strCache>
                <c:ptCount val="11"/>
                <c:pt idx="0">
                  <c:v>飲酒をコントロールすることができない精神疾患である</c:v>
                </c:pt>
                <c:pt idx="1">
                  <c:v>専門的な治療が必要となる</c:v>
                </c:pt>
                <c:pt idx="2">
                  <c:v>飲酒をしていれば、誰もが依存症になる可能性がある</c:v>
                </c:pt>
                <c:pt idx="3">
                  <c:v>アルコール依存症はゆっくり進行していくため、飲酒をしていても、依存が作られている途中では自分では気付かない</c:v>
                </c:pt>
                <c:pt idx="4">
                  <c:v>断酒を続けることにより、依存状態から回復する</c:v>
                </c:pt>
                <c:pt idx="5">
                  <c:v>相談できる機関・団体がある</c:v>
                </c:pt>
                <c:pt idx="6">
                  <c:v>女性の方が短期間で発症する傾向がある</c:v>
                </c:pt>
                <c:pt idx="7">
                  <c:v>一度依存症になると治らない</c:v>
                </c:pt>
                <c:pt idx="8">
                  <c:v>お酒に強い人ほどなりやすい</c:v>
                </c:pt>
                <c:pt idx="9">
                  <c:v>その他</c:v>
                </c:pt>
                <c:pt idx="10">
                  <c:v>特になし</c:v>
                </c:pt>
              </c:strCache>
            </c:strRef>
          </c:cat>
          <c:val>
            <c:numRef>
              <c:f>Sheet1!$B$4:$L$4</c:f>
              <c:numCache>
                <c:formatCode>0.0</c:formatCode>
                <c:ptCount val="11"/>
                <c:pt idx="0">
                  <c:v>83.4</c:v>
                </c:pt>
                <c:pt idx="1">
                  <c:v>71.099999999999994</c:v>
                </c:pt>
                <c:pt idx="2">
                  <c:v>48.3</c:v>
                </c:pt>
                <c:pt idx="3">
                  <c:v>41.5</c:v>
                </c:pt>
                <c:pt idx="4">
                  <c:v>41.3</c:v>
                </c:pt>
                <c:pt idx="5">
                  <c:v>42.4</c:v>
                </c:pt>
                <c:pt idx="6">
                  <c:v>24</c:v>
                </c:pt>
                <c:pt idx="7">
                  <c:v>18.899999999999999</c:v>
                </c:pt>
                <c:pt idx="8">
                  <c:v>13.7</c:v>
                </c:pt>
                <c:pt idx="9">
                  <c:v>0.2</c:v>
                </c:pt>
                <c:pt idx="10">
                  <c:v>3</c:v>
                </c:pt>
              </c:numCache>
            </c:numRef>
          </c:val>
          <c:smooth val="0"/>
        </c:ser>
        <c:dLbls>
          <c:showLegendKey val="0"/>
          <c:showVal val="0"/>
          <c:showCatName val="0"/>
          <c:showSerName val="0"/>
          <c:showPercent val="0"/>
          <c:showBubbleSize val="0"/>
        </c:dLbls>
        <c:marker val="1"/>
        <c:smooth val="0"/>
        <c:axId val="237206144"/>
        <c:axId val="237224320"/>
      </c:lineChart>
      <c:catAx>
        <c:axId val="237206144"/>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237224320"/>
        <c:crosses val="autoZero"/>
        <c:auto val="1"/>
        <c:lblAlgn val="ctr"/>
        <c:lblOffset val="100"/>
        <c:noMultiLvlLbl val="0"/>
      </c:catAx>
      <c:valAx>
        <c:axId val="237224320"/>
        <c:scaling>
          <c:orientation val="minMax"/>
          <c:max val="9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237206144"/>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Sheet1!$B$2:$B$12</c:f>
              <c:numCache>
                <c:formatCode>0.0_);[Red]\(0.0\)</c:formatCode>
                <c:ptCount val="11"/>
                <c:pt idx="0">
                  <c:v>80.5</c:v>
                </c:pt>
                <c:pt idx="1">
                  <c:v>59.8</c:v>
                </c:pt>
                <c:pt idx="2">
                  <c:v>59.8</c:v>
                </c:pt>
                <c:pt idx="3">
                  <c:v>40.200000000000003</c:v>
                </c:pt>
                <c:pt idx="4">
                  <c:v>37.9</c:v>
                </c:pt>
                <c:pt idx="5">
                  <c:v>28.7</c:v>
                </c:pt>
                <c:pt idx="6">
                  <c:v>11.5</c:v>
                </c:pt>
                <c:pt idx="7">
                  <c:v>19.5</c:v>
                </c:pt>
                <c:pt idx="8">
                  <c:v>20.7</c:v>
                </c:pt>
                <c:pt idx="9">
                  <c:v>0</c:v>
                </c:pt>
                <c:pt idx="10">
                  <c:v>5.7</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Sheet1!$C$2:$C$12</c:f>
              <c:numCache>
                <c:formatCode>0.0_);[Red]\(0.0\)</c:formatCode>
                <c:ptCount val="11"/>
                <c:pt idx="0">
                  <c:v>84.2</c:v>
                </c:pt>
                <c:pt idx="1">
                  <c:v>66.8</c:v>
                </c:pt>
                <c:pt idx="2">
                  <c:v>49.5</c:v>
                </c:pt>
                <c:pt idx="3">
                  <c:v>33.200000000000003</c:v>
                </c:pt>
                <c:pt idx="4">
                  <c:v>31.2</c:v>
                </c:pt>
                <c:pt idx="5">
                  <c:v>38.6</c:v>
                </c:pt>
                <c:pt idx="6">
                  <c:v>17.8</c:v>
                </c:pt>
                <c:pt idx="7">
                  <c:v>20.3</c:v>
                </c:pt>
                <c:pt idx="8">
                  <c:v>19.3</c:v>
                </c:pt>
                <c:pt idx="9">
                  <c:v>0</c:v>
                </c:pt>
                <c:pt idx="10">
                  <c:v>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Sheet1!$D$2:$D$12</c:f>
              <c:numCache>
                <c:formatCode>0.0_);[Red]\(0.0\)</c:formatCode>
                <c:ptCount val="11"/>
                <c:pt idx="0">
                  <c:v>80.599999999999994</c:v>
                </c:pt>
                <c:pt idx="1">
                  <c:v>66</c:v>
                </c:pt>
                <c:pt idx="2">
                  <c:v>50.2</c:v>
                </c:pt>
                <c:pt idx="3">
                  <c:v>36</c:v>
                </c:pt>
                <c:pt idx="4">
                  <c:v>33.6</c:v>
                </c:pt>
                <c:pt idx="5">
                  <c:v>34</c:v>
                </c:pt>
                <c:pt idx="6">
                  <c:v>14.2</c:v>
                </c:pt>
                <c:pt idx="7">
                  <c:v>15.8</c:v>
                </c:pt>
                <c:pt idx="8">
                  <c:v>13.4</c:v>
                </c:pt>
                <c:pt idx="9">
                  <c:v>0.8</c:v>
                </c:pt>
                <c:pt idx="10">
                  <c:v>4.3</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Sheet1!$E$2:$E$12</c:f>
              <c:numCache>
                <c:formatCode>0.0_);[Red]\(0.0\)</c:formatCode>
                <c:ptCount val="11"/>
                <c:pt idx="0">
                  <c:v>80.599999999999994</c:v>
                </c:pt>
                <c:pt idx="1">
                  <c:v>65.400000000000006</c:v>
                </c:pt>
                <c:pt idx="2">
                  <c:v>45.1</c:v>
                </c:pt>
                <c:pt idx="3">
                  <c:v>36</c:v>
                </c:pt>
                <c:pt idx="4">
                  <c:v>30.9</c:v>
                </c:pt>
                <c:pt idx="5">
                  <c:v>36.300000000000004</c:v>
                </c:pt>
                <c:pt idx="6">
                  <c:v>18.899999999999999</c:v>
                </c:pt>
                <c:pt idx="7">
                  <c:v>19.100000000000001</c:v>
                </c:pt>
                <c:pt idx="8">
                  <c:v>10.9</c:v>
                </c:pt>
                <c:pt idx="9">
                  <c:v>0.30000000000000032</c:v>
                </c:pt>
                <c:pt idx="10">
                  <c:v>6.6</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Sheet1!$F$2:$F$12</c:f>
              <c:numCache>
                <c:formatCode>0.0_);[Red]\(0.0\)</c:formatCode>
                <c:ptCount val="11"/>
                <c:pt idx="0">
                  <c:v>80.5</c:v>
                </c:pt>
                <c:pt idx="1">
                  <c:v>67.900000000000006</c:v>
                </c:pt>
                <c:pt idx="2">
                  <c:v>44</c:v>
                </c:pt>
                <c:pt idx="3">
                  <c:v>39.9</c:v>
                </c:pt>
                <c:pt idx="4">
                  <c:v>40.800000000000004</c:v>
                </c:pt>
                <c:pt idx="5">
                  <c:v>42.6</c:v>
                </c:pt>
                <c:pt idx="6">
                  <c:v>23.6</c:v>
                </c:pt>
                <c:pt idx="7">
                  <c:v>15.5</c:v>
                </c:pt>
                <c:pt idx="8">
                  <c:v>12.5</c:v>
                </c:pt>
                <c:pt idx="9">
                  <c:v>0.60000000000000064</c:v>
                </c:pt>
                <c:pt idx="10">
                  <c:v>5</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Sheet1!$G$2:$G$12</c:f>
              <c:numCache>
                <c:formatCode>0.0_);[Red]\(0.0\)</c:formatCode>
                <c:ptCount val="11"/>
                <c:pt idx="0">
                  <c:v>74.3</c:v>
                </c:pt>
                <c:pt idx="1">
                  <c:v>62.1</c:v>
                </c:pt>
                <c:pt idx="2">
                  <c:v>42.9</c:v>
                </c:pt>
                <c:pt idx="3">
                  <c:v>48.7</c:v>
                </c:pt>
                <c:pt idx="4">
                  <c:v>42.5</c:v>
                </c:pt>
                <c:pt idx="5">
                  <c:v>37.5</c:v>
                </c:pt>
                <c:pt idx="6">
                  <c:v>26.4</c:v>
                </c:pt>
                <c:pt idx="7">
                  <c:v>11.1</c:v>
                </c:pt>
                <c:pt idx="8">
                  <c:v>11.9</c:v>
                </c:pt>
                <c:pt idx="9">
                  <c:v>0</c:v>
                </c:pt>
                <c:pt idx="10">
                  <c:v>2.7</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飲酒をコントロールすることが
できない精神疾患である</c:v>
                </c:pt>
                <c:pt idx="1">
                  <c:v>専門的な治療が必要となる  　</c:v>
                </c:pt>
                <c:pt idx="2">
                  <c:v>飲酒をしていれば、誰もが依存
症になる可能性がある</c:v>
                </c:pt>
                <c:pt idx="3">
                  <c:v>アルコール依存症はゆっくり進
行していくため、飲酒をしてい
ても、依存が作られている途
中では自分では気付かない</c:v>
                </c:pt>
                <c:pt idx="4">
                  <c:v>断酒を続けることにより、依存
状態から回復する</c:v>
                </c:pt>
                <c:pt idx="5">
                  <c:v>相談できる機関・団体がある　</c:v>
                </c:pt>
                <c:pt idx="6">
                  <c:v>女性の方が短期間で発症する傾
向がある</c:v>
                </c:pt>
                <c:pt idx="7">
                  <c:v>一度依存症になると治らない　</c:v>
                </c:pt>
                <c:pt idx="8">
                  <c:v>お酒に強い人ほどなりやすい　</c:v>
                </c:pt>
                <c:pt idx="9">
                  <c:v>その他　　　　　　　　　　　</c:v>
                </c:pt>
                <c:pt idx="10">
                  <c:v>特になし　　　　　　　　　　</c:v>
                </c:pt>
              </c:strCache>
            </c:strRef>
          </c:cat>
          <c:val>
            <c:numRef>
              <c:f>Sheet1!$H$2:$H$12</c:f>
              <c:numCache>
                <c:formatCode>0.0_);[Red]\(0.0\)</c:formatCode>
                <c:ptCount val="11"/>
                <c:pt idx="0">
                  <c:v>73.5</c:v>
                </c:pt>
                <c:pt idx="1">
                  <c:v>58.2</c:v>
                </c:pt>
                <c:pt idx="2">
                  <c:v>33.700000000000003</c:v>
                </c:pt>
                <c:pt idx="3">
                  <c:v>49</c:v>
                </c:pt>
                <c:pt idx="4">
                  <c:v>56.1</c:v>
                </c:pt>
                <c:pt idx="5">
                  <c:v>31.6</c:v>
                </c:pt>
                <c:pt idx="6">
                  <c:v>26.5</c:v>
                </c:pt>
                <c:pt idx="7">
                  <c:v>15.3</c:v>
                </c:pt>
                <c:pt idx="8">
                  <c:v>11.2</c:v>
                </c:pt>
                <c:pt idx="9">
                  <c:v>0</c:v>
                </c:pt>
                <c:pt idx="10">
                  <c:v>2</c:v>
                </c:pt>
              </c:numCache>
            </c:numRef>
          </c:val>
        </c:ser>
        <c:dLbls>
          <c:showLegendKey val="0"/>
          <c:showVal val="1"/>
          <c:showCatName val="0"/>
          <c:showSerName val="0"/>
          <c:showPercent val="0"/>
          <c:showBubbleSize val="0"/>
        </c:dLbls>
        <c:gapWidth val="100"/>
        <c:axId val="156995584"/>
        <c:axId val="156997120"/>
      </c:barChart>
      <c:catAx>
        <c:axId val="156995584"/>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56997120"/>
        <c:crosses val="autoZero"/>
        <c:auto val="1"/>
        <c:lblAlgn val="ctr"/>
        <c:lblOffset val="100"/>
        <c:noMultiLvlLbl val="0"/>
      </c:catAx>
      <c:valAx>
        <c:axId val="156997120"/>
        <c:scaling>
          <c:orientation val="minMax"/>
          <c:max val="10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56995584"/>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する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84.6</c:v>
                </c:pt>
                <c:pt idx="1">
                  <c:v>82.1</c:v>
                </c:pt>
                <c:pt idx="2">
                  <c:v>87.1</c:v>
                </c:pt>
                <c:pt idx="3">
                  <c:v>88.5</c:v>
                </c:pt>
                <c:pt idx="4">
                  <c:v>80.7</c:v>
                </c:pt>
                <c:pt idx="5">
                  <c:v>85.4</c:v>
                </c:pt>
                <c:pt idx="6">
                  <c:v>84.9</c:v>
                </c:pt>
                <c:pt idx="7">
                  <c:v>85.1</c:v>
                </c:pt>
                <c:pt idx="8">
                  <c:v>86.2</c:v>
                </c:pt>
                <c:pt idx="9">
                  <c:v>83.7</c:v>
                </c:pt>
              </c:numCache>
            </c:numRef>
          </c:val>
        </c:ser>
        <c:ser>
          <c:idx val="1"/>
          <c:order val="1"/>
          <c:tx>
            <c:strRef>
              <c:f>Sheet1!$C$1</c:f>
              <c:strCache>
                <c:ptCount val="1"/>
                <c:pt idx="0">
                  <c:v>しない</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13.6</c:v>
                </c:pt>
                <c:pt idx="1">
                  <c:v>16.100000000000001</c:v>
                </c:pt>
                <c:pt idx="2">
                  <c:v>11.5</c:v>
                </c:pt>
                <c:pt idx="3">
                  <c:v>11.5</c:v>
                </c:pt>
                <c:pt idx="4">
                  <c:v>18.3</c:v>
                </c:pt>
                <c:pt idx="5">
                  <c:v>13.8</c:v>
                </c:pt>
                <c:pt idx="6">
                  <c:v>14</c:v>
                </c:pt>
                <c:pt idx="7">
                  <c:v>13.7</c:v>
                </c:pt>
                <c:pt idx="8">
                  <c:v>11.9</c:v>
                </c:pt>
                <c:pt idx="9">
                  <c:v>8.2000000000000011</c:v>
                </c:pt>
              </c:numCache>
            </c:numRef>
          </c:val>
        </c:ser>
        <c:ser>
          <c:idx val="2"/>
          <c:order val="2"/>
          <c:tx>
            <c:strRef>
              <c:f>Sheet1!$D$1</c:f>
              <c:strCache>
                <c:ptCount val="1"/>
                <c:pt idx="0">
                  <c:v>無回答</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2.136752136752137E-3"/>
                  <c:y val="-3.8552787062939395E-2"/>
                </c:manualLayout>
              </c:layout>
              <c:dLblPos val="ctr"/>
              <c:showLegendKey val="0"/>
              <c:showVal val="1"/>
              <c:showCatName val="0"/>
              <c:showSerName val="0"/>
              <c:showPercent val="0"/>
              <c:showBubbleSize val="0"/>
            </c:dLbl>
            <c:dLbl>
              <c:idx val="1"/>
              <c:layout>
                <c:manualLayout>
                  <c:x val="0"/>
                  <c:y val="-3.8552787062939395E-2"/>
                </c:manualLayout>
              </c:layout>
              <c:dLblPos val="ctr"/>
              <c:showLegendKey val="0"/>
              <c:showVal val="1"/>
              <c:showCatName val="0"/>
              <c:showSerName val="0"/>
              <c:showPercent val="0"/>
              <c:showBubbleSize val="0"/>
            </c:dLbl>
            <c:dLbl>
              <c:idx val="2"/>
              <c:layout>
                <c:manualLayout>
                  <c:x val="0"/>
                  <c:y val="-4.3693158671331368E-2"/>
                </c:manualLayout>
              </c:layout>
              <c:dLblPos val="ctr"/>
              <c:showLegendKey val="0"/>
              <c:showVal val="1"/>
              <c:showCatName val="0"/>
              <c:showSerName val="0"/>
              <c:showPercent val="0"/>
              <c:showBubbleSize val="0"/>
            </c:dLbl>
            <c:dLbl>
              <c:idx val="3"/>
              <c:delete val="1"/>
            </c:dLbl>
            <c:dLbl>
              <c:idx val="4"/>
              <c:layout>
                <c:manualLayout>
                  <c:x val="-2.136752136752137E-3"/>
                  <c:y val="-3.8552787062939395E-2"/>
                </c:manualLayout>
              </c:layout>
              <c:dLblPos val="ctr"/>
              <c:showLegendKey val="0"/>
              <c:showVal val="1"/>
              <c:showCatName val="0"/>
              <c:showSerName val="0"/>
              <c:showPercent val="0"/>
              <c:showBubbleSize val="0"/>
            </c:dLbl>
            <c:dLbl>
              <c:idx val="5"/>
              <c:layout>
                <c:manualLayout>
                  <c:x val="0"/>
                  <c:y val="-3.8552787062939395E-2"/>
                </c:manualLayout>
              </c:layout>
              <c:dLblPos val="ctr"/>
              <c:showLegendKey val="0"/>
              <c:showVal val="1"/>
              <c:showCatName val="0"/>
              <c:showSerName val="0"/>
              <c:showPercent val="0"/>
              <c:showBubbleSize val="0"/>
            </c:dLbl>
            <c:dLbl>
              <c:idx val="6"/>
              <c:layout>
                <c:manualLayout>
                  <c:x val="-2.136752136752137E-3"/>
                  <c:y val="-3.8552787062939395E-2"/>
                </c:manualLayout>
              </c:layout>
              <c:dLblPos val="ctr"/>
              <c:showLegendKey val="0"/>
              <c:showVal val="1"/>
              <c:showCatName val="0"/>
              <c:showSerName val="0"/>
              <c:showPercent val="0"/>
              <c:showBubbleSize val="0"/>
            </c:dLbl>
            <c:dLbl>
              <c:idx val="7"/>
              <c:layout>
                <c:manualLayout>
                  <c:x val="-4.2735042735042739E-3"/>
                  <c:y val="-3.8552787062939395E-2"/>
                </c:manualLayout>
              </c:layout>
              <c:dLblPos val="ctr"/>
              <c:showLegendKey val="0"/>
              <c:showVal val="1"/>
              <c:showCatName val="0"/>
              <c:showSerName val="0"/>
              <c:showPercent val="0"/>
              <c:showBubbleSize val="0"/>
            </c:dLbl>
            <c:dLbl>
              <c:idx val="8"/>
              <c:layout>
                <c:manualLayout>
                  <c:x val="-4.2735042735042739E-3"/>
                  <c:y val="-4.1122972867135392E-2"/>
                </c:manualLayout>
              </c:layout>
              <c:dLblPos val="ctr"/>
              <c:showLegendKey val="0"/>
              <c:showVal val="1"/>
              <c:showCatName val="0"/>
              <c:showSerName val="0"/>
              <c:showPercent val="0"/>
              <c:showBubbleSize val="0"/>
            </c:dLbl>
            <c:dLbl>
              <c:idx val="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1.8</c:v>
                </c:pt>
                <c:pt idx="1">
                  <c:v>1.8</c:v>
                </c:pt>
                <c:pt idx="2">
                  <c:v>1.4</c:v>
                </c:pt>
                <c:pt idx="3">
                  <c:v>0</c:v>
                </c:pt>
                <c:pt idx="4">
                  <c:v>1</c:v>
                </c:pt>
                <c:pt idx="5">
                  <c:v>0.8</c:v>
                </c:pt>
                <c:pt idx="6">
                  <c:v>1.1000000000000001</c:v>
                </c:pt>
                <c:pt idx="7">
                  <c:v>1.2</c:v>
                </c:pt>
                <c:pt idx="8">
                  <c:v>1.9000000000000001</c:v>
                </c:pt>
                <c:pt idx="9">
                  <c:v>8.2000000000000011</c:v>
                </c:pt>
              </c:numCache>
            </c:numRef>
          </c:val>
        </c:ser>
        <c:dLbls>
          <c:showLegendKey val="0"/>
          <c:showVal val="0"/>
          <c:showCatName val="0"/>
          <c:showSerName val="0"/>
          <c:showPercent val="0"/>
          <c:showBubbleSize val="0"/>
        </c:dLbls>
        <c:gapWidth val="90"/>
        <c:overlap val="100"/>
        <c:axId val="69733376"/>
        <c:axId val="69747456"/>
      </c:barChart>
      <c:catAx>
        <c:axId val="6973337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69747456"/>
        <c:crosses val="autoZero"/>
        <c:auto val="1"/>
        <c:lblAlgn val="ctr"/>
        <c:lblOffset val="100"/>
        <c:noMultiLvlLbl val="0"/>
      </c:catAx>
      <c:valAx>
        <c:axId val="6974745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69733376"/>
        <c:crosses val="autoZero"/>
        <c:crossBetween val="between"/>
        <c:majorUnit val="0.1"/>
      </c:valAx>
    </c:plotArea>
    <c:legend>
      <c:legendPos val="r"/>
      <c:layout>
        <c:manualLayout>
          <c:xMode val="edge"/>
          <c:yMode val="edge"/>
          <c:x val="1.427451376270274E-2"/>
          <c:y val="1.8843625254239191E-3"/>
          <c:w val="0.98547008547008552"/>
          <c:h val="8.9517684887459828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679545796311867"/>
          <c:y val="3.8354251629593647E-2"/>
          <c:w val="0.53334474495035356"/>
          <c:h val="0.93057339855473586"/>
        </c:manualLayout>
      </c:layout>
      <c:barChart>
        <c:barDir val="bar"/>
        <c:grouping val="clustered"/>
        <c:varyColors val="0"/>
        <c:ser>
          <c:idx val="2"/>
          <c:order val="0"/>
          <c:tx>
            <c:strRef>
              <c:f>Sheet1!$A$2</c:f>
              <c:strCache>
                <c:ptCount val="1"/>
                <c:pt idx="0">
                  <c:v>平成28年度</c:v>
                </c:pt>
              </c:strCache>
            </c:strRef>
          </c:tx>
          <c:spPr>
            <a:pattFill prst="pct25">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Sheet1!$B$2:$L$2</c:f>
              <c:numCache>
                <c:formatCode>0.0_);[Red]\(0.0\)</c:formatCode>
                <c:ptCount val="11"/>
                <c:pt idx="0">
                  <c:v>42.2</c:v>
                </c:pt>
                <c:pt idx="1">
                  <c:v>40.4</c:v>
                </c:pt>
                <c:pt idx="2">
                  <c:v>32.5</c:v>
                </c:pt>
                <c:pt idx="3">
                  <c:v>27</c:v>
                </c:pt>
                <c:pt idx="4">
                  <c:v>33.4</c:v>
                </c:pt>
                <c:pt idx="5">
                  <c:v>22.8</c:v>
                </c:pt>
                <c:pt idx="6">
                  <c:v>19.2</c:v>
                </c:pt>
                <c:pt idx="7">
                  <c:v>20.7</c:v>
                </c:pt>
                <c:pt idx="8">
                  <c:v>19</c:v>
                </c:pt>
                <c:pt idx="9">
                  <c:v>16.7</c:v>
                </c:pt>
                <c:pt idx="10">
                  <c:v>1.7</c:v>
                </c:pt>
              </c:numCache>
            </c:numRef>
          </c:val>
        </c:ser>
        <c:ser>
          <c:idx val="0"/>
          <c:order val="1"/>
          <c:tx>
            <c:strRef>
              <c:f>Sheet1!$A$3</c:f>
              <c:strCache>
                <c:ptCount val="1"/>
                <c:pt idx="0">
                  <c:v>平成27年度</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1"/>
              <c:spPr/>
              <c:txPr>
                <a:bodyPr/>
                <a:lstStyle/>
                <a:p>
                  <a:pPr>
                    <a:defRPr sz="800" b="0">
                      <a:latin typeface="Arial Black" panose="020B0A04020102020204" pitchFamily="34" charset="0"/>
                      <a:ea typeface="ＭＳ 明朝" panose="02020609040205080304" pitchFamily="17" charset="-128"/>
                      <a:cs typeface="Segoe UI Black" panose="020B0A02040204020203" pitchFamily="34" charset="0"/>
                    </a:defRPr>
                  </a:pPr>
                  <a:endParaRPr lang="ja-JP"/>
                </a:p>
              </c:txPr>
              <c:showLegendKey val="0"/>
              <c:showVal val="1"/>
              <c:showCatName val="0"/>
              <c:showSerName val="0"/>
              <c:showPercent val="0"/>
              <c:showBubbleSize val="0"/>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学力向上に向けた学校の
組織力の強化</c:v>
                </c:pt>
                <c:pt idx="1">
                  <c:v>いじめや暴力行為、不登
校などへの対策の充実</c:v>
                </c:pt>
                <c:pt idx="2">
                  <c:v>貧困の世代間連鎖を教育
によって断ち切るための
支援の充実</c:v>
                </c:pt>
                <c:pt idx="3">
                  <c:v>社会的・職業的自立に向
けたキャリア教育の推進</c:v>
                </c:pt>
                <c:pt idx="4">
                  <c:v>道徳教育の推進　　　　</c:v>
                </c:pt>
                <c:pt idx="5">
                  <c:v>地域の方々との連携・協
働による学習やスポーツ
活動などの推進</c:v>
                </c:pt>
                <c:pt idx="6">
                  <c:v>就学前の教育・保育の充
実</c:v>
                </c:pt>
                <c:pt idx="7">
                  <c:v>生涯にわたって学び続け
られる環境づくりの推進</c:v>
                </c:pt>
                <c:pt idx="8">
                  <c:v>運動能力の向上、運動習
慣の確立</c:v>
                </c:pt>
                <c:pt idx="9">
                  <c:v>発達障害など特別な支援
を必要とする子どもへの
指導・支援の充実</c:v>
                </c:pt>
                <c:pt idx="10">
                  <c:v>その他　　　　　　　　</c:v>
                </c:pt>
              </c:strCache>
            </c:strRef>
          </c:cat>
          <c:val>
            <c:numRef>
              <c:f>Sheet1!$B$3:$L$3</c:f>
              <c:numCache>
                <c:formatCode>0.0_);[Red]\(0.0\)</c:formatCode>
                <c:ptCount val="11"/>
                <c:pt idx="0">
                  <c:v>35.300000000000004</c:v>
                </c:pt>
                <c:pt idx="1">
                  <c:v>46</c:v>
                </c:pt>
                <c:pt idx="3">
                  <c:v>24.7</c:v>
                </c:pt>
                <c:pt idx="4">
                  <c:v>27.6</c:v>
                </c:pt>
                <c:pt idx="6">
                  <c:v>21.2</c:v>
                </c:pt>
                <c:pt idx="8">
                  <c:v>13.4</c:v>
                </c:pt>
                <c:pt idx="9">
                  <c:v>12.2</c:v>
                </c:pt>
                <c:pt idx="10">
                  <c:v>3.3</c:v>
                </c:pt>
              </c:numCache>
            </c:numRef>
          </c:val>
        </c:ser>
        <c:dLbls>
          <c:showLegendKey val="0"/>
          <c:showVal val="1"/>
          <c:showCatName val="0"/>
          <c:showSerName val="0"/>
          <c:showPercent val="0"/>
          <c:showBubbleSize val="0"/>
        </c:dLbls>
        <c:gapWidth val="75"/>
        <c:axId val="221872896"/>
        <c:axId val="221874432"/>
      </c:barChart>
      <c:catAx>
        <c:axId val="221872896"/>
        <c:scaling>
          <c:orientation val="maxMin"/>
        </c:scaling>
        <c:delete val="0"/>
        <c:axPos val="l"/>
        <c:numFmt formatCode="General" sourceLinked="1"/>
        <c:majorTickMark val="in"/>
        <c:minorTickMark val="none"/>
        <c:tickLblPos val="nextTo"/>
        <c:spPr>
          <a:ln>
            <a:solidFill>
              <a:schemeClr val="tx1"/>
            </a:solidFill>
          </a:ln>
        </c:spPr>
        <c:txPr>
          <a:bodyPr/>
          <a:lstStyle/>
          <a:p>
            <a:pPr algn="just">
              <a:defRPr sz="800"/>
            </a:pPr>
            <a:endParaRPr lang="ja-JP"/>
          </a:p>
        </c:txPr>
        <c:crossAx val="221874432"/>
        <c:crosses val="autoZero"/>
        <c:auto val="1"/>
        <c:lblAlgn val="ctr"/>
        <c:lblOffset val="100"/>
        <c:noMultiLvlLbl val="0"/>
      </c:catAx>
      <c:valAx>
        <c:axId val="221874432"/>
        <c:scaling>
          <c:orientation val="minMax"/>
          <c:max val="50"/>
        </c:scaling>
        <c:delete val="0"/>
        <c:axPos val="t"/>
        <c:numFmt formatCode="#&quot;%&quot;;;&quot;0%&quot;;" sourceLinked="0"/>
        <c:majorTickMark val="in"/>
        <c:minorTickMark val="none"/>
        <c:tickLblPos val="nextTo"/>
        <c:spPr>
          <a:ln>
            <a:solidFill>
              <a:schemeClr val="tx1"/>
            </a:solidFill>
          </a:ln>
        </c:spPr>
        <c:crossAx val="221872896"/>
        <c:crosses val="autoZero"/>
        <c:crossBetween val="between"/>
        <c:majorUnit val="10"/>
      </c:valAx>
      <c:spPr>
        <a:ln>
          <a:noFill/>
        </a:ln>
      </c:spPr>
    </c:plotArea>
    <c:legend>
      <c:legendPos val="r"/>
      <c:layout>
        <c:manualLayout>
          <c:xMode val="edge"/>
          <c:yMode val="edge"/>
          <c:x val="0.69936108792732299"/>
          <c:y val="0.80077579554087386"/>
          <c:w val="0.23663663663663664"/>
          <c:h val="7.1958917654435794E-2"/>
        </c:manualLayout>
      </c:layout>
      <c:overlay val="0"/>
    </c:legend>
    <c:plotVisOnly val="1"/>
    <c:dispBlanksAs val="gap"/>
    <c:showDLblsOverMax val="0"/>
  </c:chart>
  <c:spPr>
    <a:ln>
      <a:noFill/>
    </a:ln>
  </c:spPr>
  <c:txPr>
    <a:bodyPr/>
    <a:lstStyle/>
    <a:p>
      <a:pPr>
        <a:defRPr sz="900">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0751675914161897"/>
          <c:w val="0.68635495640445165"/>
          <c:h val="0.88157803649116162"/>
        </c:manualLayout>
      </c:layout>
      <c:barChart>
        <c:barDir val="bar"/>
        <c:grouping val="percentStacked"/>
        <c:varyColors val="0"/>
        <c:ser>
          <c:idx val="0"/>
          <c:order val="0"/>
          <c:tx>
            <c:strRef>
              <c:f>Sheet1!$B$1</c:f>
              <c:strCache>
                <c:ptCount val="1"/>
                <c:pt idx="0">
                  <c:v>する</c:v>
                </c:pt>
              </c:strCache>
            </c:strRef>
          </c:tx>
          <c:spPr>
            <a:pattFill prst="pct80">
              <a:fgClr>
                <a:sysClr val="windowText" lastClr="000000"/>
              </a:fgClr>
              <a:bgClr>
                <a:sysClr val="window" lastClr="FFFFFF"/>
              </a:bgClr>
            </a:pattFill>
            <a:ln>
              <a:solidFill>
                <a:sysClr val="windowText" lastClr="000000"/>
              </a:solidFill>
            </a:ln>
          </c:spPr>
          <c:invertIfNegative val="0"/>
          <c:dLbls>
            <c:dLbl>
              <c:idx val="16"/>
              <c:layout>
                <c:manualLayout>
                  <c:x val="-1.4448832299014641E-2"/>
                  <c:y val="1.7622828085249321E-3"/>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84.6</c:v>
                </c:pt>
                <c:pt idx="1">
                  <c:v>85.6</c:v>
                </c:pt>
                <c:pt idx="2">
                  <c:v>44.4</c:v>
                </c:pt>
                <c:pt idx="3">
                  <c:v>87</c:v>
                </c:pt>
                <c:pt idx="4">
                  <c:v>87.6</c:v>
                </c:pt>
                <c:pt idx="5">
                  <c:v>86.2</c:v>
                </c:pt>
                <c:pt idx="6">
                  <c:v>83.3</c:v>
                </c:pt>
                <c:pt idx="7">
                  <c:v>93.8</c:v>
                </c:pt>
                <c:pt idx="8">
                  <c:v>81.8</c:v>
                </c:pt>
                <c:pt idx="9">
                  <c:v>86.6</c:v>
                </c:pt>
                <c:pt idx="10">
                  <c:v>87.1</c:v>
                </c:pt>
                <c:pt idx="11">
                  <c:v>76.2</c:v>
                </c:pt>
                <c:pt idx="12">
                  <c:v>85.9</c:v>
                </c:pt>
                <c:pt idx="13">
                  <c:v>85.9</c:v>
                </c:pt>
                <c:pt idx="14">
                  <c:v>86</c:v>
                </c:pt>
                <c:pt idx="15">
                  <c:v>83.4</c:v>
                </c:pt>
                <c:pt idx="16">
                  <c:v>82.4</c:v>
                </c:pt>
                <c:pt idx="17">
                  <c:v>86.5</c:v>
                </c:pt>
                <c:pt idx="18">
                  <c:v>78.400000000000006</c:v>
                </c:pt>
                <c:pt idx="19">
                  <c:v>85.4</c:v>
                </c:pt>
                <c:pt idx="20">
                  <c:v>83.1</c:v>
                </c:pt>
              </c:numCache>
            </c:numRef>
          </c:val>
        </c:ser>
        <c:ser>
          <c:idx val="1"/>
          <c:order val="1"/>
          <c:tx>
            <c:strRef>
              <c:f>Sheet1!$C$1</c:f>
              <c:strCache>
                <c:ptCount val="1"/>
                <c:pt idx="0">
                  <c:v>しない</c:v>
                </c:pt>
              </c:strCache>
            </c:strRef>
          </c:tx>
          <c:spPr>
            <a:pattFill prst="pct20">
              <a:fgClr>
                <a:sysClr val="windowText" lastClr="000000"/>
              </a:fgClr>
              <a:bgClr>
                <a:sysClr val="window" lastClr="FFFFFF"/>
              </a:bgClr>
            </a:pattFill>
            <a:ln>
              <a:solidFill>
                <a:sysClr val="windowText" lastClr="000000"/>
              </a:solidFill>
            </a:ln>
          </c:spPr>
          <c:invertIfNegative val="0"/>
          <c:dLbls>
            <c:dLbl>
              <c:idx val="7"/>
              <c:layout>
                <c:manualLayout>
                  <c:x val="0"/>
                  <c:y val="-2.281625562166489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13.6</c:v>
                </c:pt>
                <c:pt idx="1">
                  <c:v>14.4</c:v>
                </c:pt>
                <c:pt idx="2">
                  <c:v>55.6</c:v>
                </c:pt>
                <c:pt idx="3">
                  <c:v>11.6</c:v>
                </c:pt>
                <c:pt idx="4">
                  <c:v>11</c:v>
                </c:pt>
                <c:pt idx="5">
                  <c:v>13.5</c:v>
                </c:pt>
                <c:pt idx="6">
                  <c:v>15.8</c:v>
                </c:pt>
                <c:pt idx="7">
                  <c:v>6.3</c:v>
                </c:pt>
                <c:pt idx="8">
                  <c:v>18.2</c:v>
                </c:pt>
                <c:pt idx="9">
                  <c:v>12.8</c:v>
                </c:pt>
                <c:pt idx="10">
                  <c:v>12.9</c:v>
                </c:pt>
                <c:pt idx="11">
                  <c:v>16.899999999999999</c:v>
                </c:pt>
                <c:pt idx="12">
                  <c:v>12.4</c:v>
                </c:pt>
                <c:pt idx="13">
                  <c:v>12.7</c:v>
                </c:pt>
                <c:pt idx="14">
                  <c:v>13.2</c:v>
                </c:pt>
                <c:pt idx="15">
                  <c:v>14.8</c:v>
                </c:pt>
                <c:pt idx="16">
                  <c:v>17.600000000000001</c:v>
                </c:pt>
                <c:pt idx="17">
                  <c:v>12.7</c:v>
                </c:pt>
                <c:pt idx="18">
                  <c:v>19.600000000000001</c:v>
                </c:pt>
                <c:pt idx="19">
                  <c:v>12.2</c:v>
                </c:pt>
                <c:pt idx="20">
                  <c:v>14.4</c:v>
                </c:pt>
              </c:numCache>
            </c:numRef>
          </c:val>
        </c:ser>
        <c:ser>
          <c:idx val="2"/>
          <c:order val="2"/>
          <c:tx>
            <c:strRef>
              <c:f>Sheet1!$D$1</c:f>
              <c:strCache>
                <c:ptCount val="1"/>
                <c:pt idx="0">
                  <c:v>無回答</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0"/>
                  <c:y val="-1.9306062449100561E-2"/>
                </c:manualLayout>
              </c:layout>
              <c:dLblPos val="ctr"/>
              <c:showLegendKey val="0"/>
              <c:showVal val="1"/>
              <c:showCatName val="0"/>
              <c:showSerName val="0"/>
              <c:showPercent val="0"/>
              <c:showBubbleSize val="0"/>
            </c:dLbl>
            <c:dLbl>
              <c:idx val="1"/>
              <c:delete val="1"/>
            </c:dLbl>
            <c:dLbl>
              <c:idx val="2"/>
              <c:delete val="1"/>
            </c:dLbl>
            <c:dLbl>
              <c:idx val="3"/>
              <c:layout>
                <c:manualLayout>
                  <c:x val="0"/>
                  <c:y val="-1.9306062449100481E-2"/>
                </c:manualLayout>
              </c:layout>
              <c:dLblPos val="ctr"/>
              <c:showLegendKey val="0"/>
              <c:showVal val="1"/>
              <c:showCatName val="0"/>
              <c:showSerName val="0"/>
              <c:showPercent val="0"/>
              <c:showBubbleSize val="0"/>
            </c:dLbl>
            <c:dLbl>
              <c:idx val="4"/>
              <c:layout>
                <c:manualLayout>
                  <c:x val="0"/>
                  <c:y val="-1.9306062449100481E-2"/>
                </c:manualLayout>
              </c:layout>
              <c:dLblPos val="ctr"/>
              <c:showLegendKey val="0"/>
              <c:showVal val="1"/>
              <c:showCatName val="0"/>
              <c:showSerName val="0"/>
              <c:showPercent val="0"/>
              <c:showBubbleSize val="0"/>
            </c:dLbl>
            <c:dLbl>
              <c:idx val="5"/>
              <c:layout>
                <c:manualLayout>
                  <c:x val="0"/>
                  <c:y val="-2.1061159035382328E-2"/>
                </c:manualLayout>
              </c:layout>
              <c:dLblPos val="ctr"/>
              <c:showLegendKey val="0"/>
              <c:showVal val="1"/>
              <c:showCatName val="0"/>
              <c:showSerName val="0"/>
              <c:showPercent val="0"/>
              <c:showBubbleSize val="0"/>
            </c:dLbl>
            <c:dLbl>
              <c:idx val="6"/>
              <c:layout>
                <c:manualLayout>
                  <c:x val="0"/>
                  <c:y val="-1.9306062449100481E-2"/>
                </c:manualLayout>
              </c:layout>
              <c:dLblPos val="ctr"/>
              <c:showLegendKey val="0"/>
              <c:showVal val="1"/>
              <c:showCatName val="0"/>
              <c:showSerName val="0"/>
              <c:showPercent val="0"/>
              <c:showBubbleSize val="0"/>
            </c:dLbl>
            <c:dLbl>
              <c:idx val="7"/>
              <c:delete val="1"/>
            </c:dLbl>
            <c:dLbl>
              <c:idx val="8"/>
              <c:delete val="1"/>
            </c:dLbl>
            <c:dLbl>
              <c:idx val="9"/>
              <c:layout>
                <c:manualLayout>
                  <c:x val="3.0170730783911116E-3"/>
                  <c:y val="-1.9307081691068363E-2"/>
                </c:manualLayout>
              </c:layout>
              <c:dLblPos val="ctr"/>
              <c:showLegendKey val="0"/>
              <c:showVal val="1"/>
              <c:showCatName val="0"/>
              <c:showSerName val="0"/>
              <c:showPercent val="0"/>
              <c:showBubbleSize val="0"/>
            </c:dLbl>
            <c:dLbl>
              <c:idx val="10"/>
              <c:delete val="1"/>
            </c:dLbl>
            <c:dLbl>
              <c:idx val="11"/>
              <c:layout>
                <c:manualLayout>
                  <c:x val="0"/>
                  <c:y val="-1.9306062449100481E-2"/>
                </c:manualLayout>
              </c:layout>
              <c:dLblPos val="ctr"/>
              <c:showLegendKey val="0"/>
              <c:showVal val="1"/>
              <c:showCatName val="0"/>
              <c:showSerName val="0"/>
              <c:showPercent val="0"/>
              <c:showBubbleSize val="0"/>
            </c:dLbl>
            <c:dLbl>
              <c:idx val="12"/>
              <c:layout>
                <c:manualLayout>
                  <c:x val="0"/>
                  <c:y val="-1.9306062449100481E-2"/>
                </c:manualLayout>
              </c:layout>
              <c:dLblPos val="ctr"/>
              <c:showLegendKey val="0"/>
              <c:showVal val="1"/>
              <c:showCatName val="0"/>
              <c:showSerName val="0"/>
              <c:showPercent val="0"/>
              <c:showBubbleSize val="0"/>
            </c:dLbl>
            <c:dLbl>
              <c:idx val="13"/>
              <c:layout>
                <c:manualLayout>
                  <c:x val="0"/>
                  <c:y val="-1.9306062449100481E-2"/>
                </c:manualLayout>
              </c:layout>
              <c:dLblPos val="ctr"/>
              <c:showLegendKey val="0"/>
              <c:showVal val="1"/>
              <c:showCatName val="0"/>
              <c:showSerName val="0"/>
              <c:showPercent val="0"/>
              <c:showBubbleSize val="0"/>
            </c:dLbl>
            <c:dLbl>
              <c:idx val="14"/>
              <c:layout>
                <c:manualLayout>
                  <c:x val="-2.0634921924442082E-3"/>
                  <c:y val="-1.9306062449100481E-2"/>
                </c:manualLayout>
              </c:layout>
              <c:dLblPos val="ctr"/>
              <c:showLegendKey val="0"/>
              <c:showVal val="1"/>
              <c:showCatName val="0"/>
              <c:showSerName val="0"/>
              <c:showPercent val="0"/>
              <c:showBubbleSize val="0"/>
            </c:dLbl>
            <c:dLbl>
              <c:idx val="15"/>
              <c:layout>
                <c:manualLayout>
                  <c:x val="-2.0634921924442082E-3"/>
                  <c:y val="-1.7550965862818613E-2"/>
                </c:manualLayout>
              </c:layout>
              <c:dLblPos val="ctr"/>
              <c:showLegendKey val="0"/>
              <c:showVal val="1"/>
              <c:showCatName val="0"/>
              <c:showSerName val="0"/>
              <c:showPercent val="0"/>
              <c:showBubbleSize val="0"/>
            </c:dLbl>
            <c:dLbl>
              <c:idx val="16"/>
              <c:delete val="1"/>
            </c:dLbl>
            <c:dLbl>
              <c:idx val="17"/>
              <c:layout>
                <c:manualLayout>
                  <c:x val="0"/>
                  <c:y val="-1.9306062449100481E-2"/>
                </c:manualLayout>
              </c:layout>
              <c:dLblPos val="ctr"/>
              <c:showLegendKey val="0"/>
              <c:showVal val="1"/>
              <c:showCatName val="0"/>
              <c:showSerName val="0"/>
              <c:showPercent val="0"/>
              <c:showBubbleSize val="0"/>
            </c:dLbl>
            <c:dLbl>
              <c:idx val="18"/>
              <c:layout>
                <c:manualLayout>
                  <c:x val="3.3852645535098458E-3"/>
                  <c:y val="-1.930523326961122E-2"/>
                </c:manualLayout>
              </c:layout>
              <c:dLblPos val="ctr"/>
              <c:showLegendKey val="0"/>
              <c:showVal val="1"/>
              <c:showCatName val="0"/>
              <c:showSerName val="0"/>
              <c:showPercent val="0"/>
              <c:showBubbleSize val="0"/>
            </c:dLbl>
            <c:dLbl>
              <c:idx val="19"/>
              <c:layout>
                <c:manualLayout>
                  <c:x val="8.2612803562854865E-3"/>
                  <c:y val="-1.9307168021753383E-2"/>
                </c:manualLayout>
              </c:layout>
              <c:dLblPos val="ctr"/>
              <c:showLegendKey val="0"/>
              <c:showVal val="1"/>
              <c:showCatName val="0"/>
              <c:showSerName val="0"/>
              <c:showPercent val="0"/>
              <c:showBubbleSize val="0"/>
            </c:dLbl>
            <c:dLbl>
              <c:idx val="20"/>
              <c:layout>
                <c:manualLayout>
                  <c:x val="0"/>
                  <c:y val="-1.9306062449100481E-2"/>
                </c:manualLayout>
              </c:layout>
              <c:dLblPos val="ctr"/>
              <c:showLegendKey val="0"/>
              <c:showVal val="1"/>
              <c:showCatName val="0"/>
              <c:showSerName val="0"/>
              <c:showPercent val="0"/>
              <c:showBubbleSize val="0"/>
            </c:dLbl>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1.8</c:v>
                </c:pt>
                <c:pt idx="1">
                  <c:v>0</c:v>
                </c:pt>
                <c:pt idx="2">
                  <c:v>0</c:v>
                </c:pt>
                <c:pt idx="3">
                  <c:v>1.4</c:v>
                </c:pt>
                <c:pt idx="4">
                  <c:v>1.4</c:v>
                </c:pt>
                <c:pt idx="5">
                  <c:v>0.4</c:v>
                </c:pt>
                <c:pt idx="6">
                  <c:v>1</c:v>
                </c:pt>
                <c:pt idx="7">
                  <c:v>0</c:v>
                </c:pt>
                <c:pt idx="8">
                  <c:v>0</c:v>
                </c:pt>
                <c:pt idx="9">
                  <c:v>0.70000000000000062</c:v>
                </c:pt>
                <c:pt idx="10">
                  <c:v>0</c:v>
                </c:pt>
                <c:pt idx="11">
                  <c:v>6.9</c:v>
                </c:pt>
                <c:pt idx="12">
                  <c:v>1.8</c:v>
                </c:pt>
                <c:pt idx="13">
                  <c:v>1.4</c:v>
                </c:pt>
                <c:pt idx="14">
                  <c:v>0.9</c:v>
                </c:pt>
                <c:pt idx="15">
                  <c:v>1.7</c:v>
                </c:pt>
                <c:pt idx="16">
                  <c:v>0</c:v>
                </c:pt>
                <c:pt idx="17">
                  <c:v>0.8</c:v>
                </c:pt>
                <c:pt idx="18">
                  <c:v>2</c:v>
                </c:pt>
                <c:pt idx="19">
                  <c:v>2.4</c:v>
                </c:pt>
                <c:pt idx="20">
                  <c:v>2.5</c:v>
                </c:pt>
              </c:numCache>
            </c:numRef>
          </c:val>
        </c:ser>
        <c:dLbls>
          <c:showLegendKey val="0"/>
          <c:showVal val="0"/>
          <c:showCatName val="0"/>
          <c:showSerName val="0"/>
          <c:showPercent val="0"/>
          <c:showBubbleSize val="0"/>
        </c:dLbls>
        <c:gapWidth val="70"/>
        <c:overlap val="100"/>
        <c:axId val="157663616"/>
        <c:axId val="157665152"/>
      </c:barChart>
      <c:catAx>
        <c:axId val="1576636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7665152"/>
        <c:crosses val="autoZero"/>
        <c:auto val="1"/>
        <c:lblAlgn val="ctr"/>
        <c:lblOffset val="100"/>
        <c:noMultiLvlLbl val="0"/>
      </c:catAx>
      <c:valAx>
        <c:axId val="15766515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7663616"/>
        <c:crosses val="autoZero"/>
        <c:crossBetween val="between"/>
      </c:valAx>
    </c:plotArea>
    <c:legend>
      <c:legendPos val="r"/>
      <c:layout>
        <c:manualLayout>
          <c:xMode val="edge"/>
          <c:yMode val="edge"/>
          <c:x val="1.5873454310302414E-2"/>
          <c:y val="1.4755659492010661E-3"/>
          <c:w val="0.98315121406978878"/>
          <c:h val="6.997031122837552E-2"/>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3.7518038938997737E-2"/>
                  <c:y val="6.1853999456392902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Sheet1!$B$1:$J$1</c:f>
              <c:strCache>
                <c:ptCount val="9"/>
                <c:pt idx="0">
                  <c:v>相談しても解決すると思えないから</c:v>
                </c:pt>
                <c:pt idx="1">
                  <c:v>どのような対応をしてもらえるか不安だから</c:v>
                </c:pt>
                <c:pt idx="2">
                  <c:v>相談する必要を感じないから</c:v>
                </c:pt>
                <c:pt idx="3">
                  <c:v>お金がかかるから</c:v>
                </c:pt>
                <c:pt idx="4">
                  <c:v>相談に行く時間がないから</c:v>
                </c:pt>
                <c:pt idx="5">
                  <c:v>アルコール依存症の相談をすることが恥ずかしいから</c:v>
                </c:pt>
                <c:pt idx="6">
                  <c:v>アルコール依存症と認めたくないから</c:v>
                </c:pt>
                <c:pt idx="7">
                  <c:v>その他</c:v>
                </c:pt>
                <c:pt idx="8">
                  <c:v>特になし</c:v>
                </c:pt>
              </c:strCache>
            </c:strRef>
          </c:cat>
          <c:val>
            <c:numRef>
              <c:f>Sheet1!$B$2:$J$2</c:f>
              <c:numCache>
                <c:formatCode>0.0</c:formatCode>
                <c:ptCount val="9"/>
                <c:pt idx="0">
                  <c:v>44</c:v>
                </c:pt>
                <c:pt idx="1">
                  <c:v>19.7</c:v>
                </c:pt>
                <c:pt idx="2">
                  <c:v>19.7</c:v>
                </c:pt>
                <c:pt idx="3">
                  <c:v>11.5</c:v>
                </c:pt>
                <c:pt idx="4">
                  <c:v>11</c:v>
                </c:pt>
                <c:pt idx="5">
                  <c:v>8.7000000000000011</c:v>
                </c:pt>
                <c:pt idx="6">
                  <c:v>5</c:v>
                </c:pt>
                <c:pt idx="7">
                  <c:v>6</c:v>
                </c:pt>
                <c:pt idx="8">
                  <c:v>14.7</c:v>
                </c:pt>
              </c:numCache>
            </c:numRef>
          </c:val>
        </c:ser>
        <c:dLbls>
          <c:showLegendKey val="0"/>
          <c:showVal val="1"/>
          <c:showCatName val="0"/>
          <c:showSerName val="0"/>
          <c:showPercent val="0"/>
          <c:showBubbleSize val="0"/>
        </c:dLbls>
        <c:gapWidth val="100"/>
        <c:axId val="156875392"/>
        <c:axId val="157688192"/>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0"/>
              <c:layout>
                <c:manualLayout>
                  <c:x val="-3.8685266817100016E-2"/>
                  <c:y val="-2.9943226752116282E-2"/>
                </c:manualLayout>
              </c:layout>
              <c:dLblPos val="r"/>
              <c:showLegendKey val="0"/>
              <c:showVal val="1"/>
              <c:showCatName val="0"/>
              <c:showSerName val="0"/>
              <c:showPercent val="0"/>
              <c:showBubbleSize val="0"/>
            </c:dLbl>
            <c:dLbl>
              <c:idx val="1"/>
              <c:layout>
                <c:manualLayout>
                  <c:x val="-3.8685266817100016E-2"/>
                  <c:y val="3.1208433516290282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t"/>
            <c:showLegendKey val="0"/>
            <c:showVal val="1"/>
            <c:showCatName val="0"/>
            <c:showSerName val="0"/>
            <c:showPercent val="0"/>
            <c:showBubbleSize val="0"/>
            <c:showLeaderLines val="0"/>
          </c:dLbls>
          <c:cat>
            <c:strRef>
              <c:f>Sheet1!$B$1:$J$1</c:f>
              <c:strCache>
                <c:ptCount val="9"/>
                <c:pt idx="0">
                  <c:v>相談しても解決すると思えないから</c:v>
                </c:pt>
                <c:pt idx="1">
                  <c:v>どのような対応をしてもらえるか不安だから</c:v>
                </c:pt>
                <c:pt idx="2">
                  <c:v>相談する必要を感じないから</c:v>
                </c:pt>
                <c:pt idx="3">
                  <c:v>お金がかかるから</c:v>
                </c:pt>
                <c:pt idx="4">
                  <c:v>相談に行く時間がないから</c:v>
                </c:pt>
                <c:pt idx="5">
                  <c:v>アルコール依存症の相談をすることが恥ずかしいから</c:v>
                </c:pt>
                <c:pt idx="6">
                  <c:v>アルコール依存症と認めたくないから</c:v>
                </c:pt>
                <c:pt idx="7">
                  <c:v>その他</c:v>
                </c:pt>
                <c:pt idx="8">
                  <c:v>特になし</c:v>
                </c:pt>
              </c:strCache>
            </c:strRef>
          </c:cat>
          <c:val>
            <c:numRef>
              <c:f>Sheet1!$B$3:$J$3</c:f>
              <c:numCache>
                <c:formatCode>0.0</c:formatCode>
                <c:ptCount val="9"/>
                <c:pt idx="0">
                  <c:v>37.9</c:v>
                </c:pt>
                <c:pt idx="1">
                  <c:v>10.3</c:v>
                </c:pt>
                <c:pt idx="2">
                  <c:v>25.9</c:v>
                </c:pt>
                <c:pt idx="3">
                  <c:v>12.1</c:v>
                </c:pt>
                <c:pt idx="4">
                  <c:v>13.8</c:v>
                </c:pt>
                <c:pt idx="5">
                  <c:v>4.3</c:v>
                </c:pt>
                <c:pt idx="6">
                  <c:v>7.8</c:v>
                </c:pt>
                <c:pt idx="7">
                  <c:v>4.3</c:v>
                </c:pt>
                <c:pt idx="8">
                  <c:v>19</c:v>
                </c:pt>
              </c:numCache>
            </c:numRef>
          </c:val>
          <c:smooth val="0"/>
        </c:ser>
        <c:ser>
          <c:idx val="1"/>
          <c:order val="2"/>
          <c:tx>
            <c:strRef>
              <c:f>Sheet1!$A$4</c:f>
              <c:strCache>
                <c:ptCount val="1"/>
                <c:pt idx="0">
                  <c:v>女性</c:v>
                </c:pt>
              </c:strCache>
            </c:strRef>
          </c:tx>
          <c:spPr>
            <a:ln>
              <a:prstDash val="sysDash"/>
            </a:ln>
          </c:spPr>
          <c:marker>
            <c:symbol val="square"/>
            <c:size val="7"/>
          </c:marker>
          <c:dLbls>
            <c:dLbl>
              <c:idx val="2"/>
              <c:layout>
                <c:manualLayout>
                  <c:x val="-3.7518038938997737E-2"/>
                  <c:y val="2.6358474253623559E-2"/>
                </c:manualLayout>
              </c:layout>
              <c:dLblPos val="r"/>
              <c:showLegendKey val="0"/>
              <c:showVal val="1"/>
              <c:showCatName val="0"/>
              <c:showSerName val="0"/>
              <c:showPercent val="0"/>
              <c:showBubbleSize val="0"/>
            </c:dLbl>
            <c:dLbl>
              <c:idx val="3"/>
              <c:layout>
                <c:manualLayout>
                  <c:x val="-4.2728877680525197E-2"/>
                  <c:y val="3.9010541895362828E-2"/>
                </c:manualLayout>
              </c:layout>
              <c:dLblPos val="r"/>
              <c:showLegendKey val="0"/>
              <c:showVal val="1"/>
              <c:showCatName val="0"/>
              <c:showSerName val="0"/>
              <c:showPercent val="0"/>
              <c:showBubbleSize val="0"/>
            </c:dLbl>
            <c:dLbl>
              <c:idx val="4"/>
              <c:layout>
                <c:manualLayout>
                  <c:x val="-3.3349367945775851E-2"/>
                  <c:y val="2.6358474253623403E-2"/>
                </c:manualLayout>
              </c:layout>
              <c:dLblPos val="r"/>
              <c:showLegendKey val="0"/>
              <c:showVal val="1"/>
              <c:showCatName val="0"/>
              <c:showSerName val="0"/>
              <c:showPercent val="0"/>
              <c:showBubbleSize val="0"/>
            </c:dLbl>
            <c:dLbl>
              <c:idx val="6"/>
              <c:layout>
                <c:manualLayout>
                  <c:x val="-3.1257824834626274E-2"/>
                  <c:y val="-3.2686304445412491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Sheet1!$B$1:$J$1</c:f>
              <c:strCache>
                <c:ptCount val="9"/>
                <c:pt idx="0">
                  <c:v>相談しても解決すると思えないから</c:v>
                </c:pt>
                <c:pt idx="1">
                  <c:v>どのような対応をしてもらえるか不安だから</c:v>
                </c:pt>
                <c:pt idx="2">
                  <c:v>相談する必要を感じないから</c:v>
                </c:pt>
                <c:pt idx="3">
                  <c:v>お金がかかるから</c:v>
                </c:pt>
                <c:pt idx="4">
                  <c:v>相談に行く時間がないから</c:v>
                </c:pt>
                <c:pt idx="5">
                  <c:v>アルコール依存症の相談をすることが恥ずかしいから</c:v>
                </c:pt>
                <c:pt idx="6">
                  <c:v>アルコール依存症と認めたくないから</c:v>
                </c:pt>
                <c:pt idx="7">
                  <c:v>その他</c:v>
                </c:pt>
                <c:pt idx="8">
                  <c:v>特になし</c:v>
                </c:pt>
              </c:strCache>
            </c:strRef>
          </c:cat>
          <c:val>
            <c:numRef>
              <c:f>Sheet1!$B$4:$J$4</c:f>
              <c:numCache>
                <c:formatCode>0.0</c:formatCode>
                <c:ptCount val="9"/>
                <c:pt idx="0">
                  <c:v>51.5</c:v>
                </c:pt>
                <c:pt idx="1">
                  <c:v>30.7</c:v>
                </c:pt>
                <c:pt idx="2">
                  <c:v>12.9</c:v>
                </c:pt>
                <c:pt idx="3">
                  <c:v>10.9</c:v>
                </c:pt>
                <c:pt idx="4">
                  <c:v>7.9</c:v>
                </c:pt>
                <c:pt idx="5">
                  <c:v>13.9</c:v>
                </c:pt>
                <c:pt idx="6">
                  <c:v>2</c:v>
                </c:pt>
                <c:pt idx="7">
                  <c:v>7.9</c:v>
                </c:pt>
                <c:pt idx="8">
                  <c:v>8.9</c:v>
                </c:pt>
              </c:numCache>
            </c:numRef>
          </c:val>
          <c:smooth val="0"/>
        </c:ser>
        <c:dLbls>
          <c:showLegendKey val="0"/>
          <c:showVal val="0"/>
          <c:showCatName val="0"/>
          <c:showSerName val="0"/>
          <c:showPercent val="0"/>
          <c:showBubbleSize val="0"/>
        </c:dLbls>
        <c:marker val="1"/>
        <c:smooth val="0"/>
        <c:axId val="156875392"/>
        <c:axId val="157688192"/>
      </c:lineChart>
      <c:catAx>
        <c:axId val="156875392"/>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7688192"/>
        <c:crosses val="autoZero"/>
        <c:auto val="1"/>
        <c:lblAlgn val="ctr"/>
        <c:lblOffset val="100"/>
        <c:noMultiLvlLbl val="0"/>
      </c:catAx>
      <c:valAx>
        <c:axId val="157688192"/>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6875392"/>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30754120195938"/>
          <c:y val="4.5945260968926364E-2"/>
          <c:w val="0.69780431423284361"/>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Sheet1!$B$2:$B$10</c:f>
              <c:numCache>
                <c:formatCode>0.0_);[Red]\(0.0\)</c:formatCode>
                <c:ptCount val="9"/>
                <c:pt idx="0">
                  <c:v>40</c:v>
                </c:pt>
                <c:pt idx="1">
                  <c:v>40</c:v>
                </c:pt>
                <c:pt idx="2">
                  <c:v>20</c:v>
                </c:pt>
                <c:pt idx="3">
                  <c:v>10</c:v>
                </c:pt>
                <c:pt idx="4">
                  <c:v>10</c:v>
                </c:pt>
                <c:pt idx="5">
                  <c:v>10</c:v>
                </c:pt>
                <c:pt idx="6">
                  <c:v>0</c:v>
                </c:pt>
                <c:pt idx="7">
                  <c:v>0</c:v>
                </c:pt>
                <c:pt idx="8">
                  <c:v>20</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Sheet1!$C$2:$C$10</c:f>
              <c:numCache>
                <c:formatCode>0.0_);[Red]\(0.0\)</c:formatCode>
                <c:ptCount val="9"/>
                <c:pt idx="0">
                  <c:v>45.9</c:v>
                </c:pt>
                <c:pt idx="1">
                  <c:v>18.899999999999999</c:v>
                </c:pt>
                <c:pt idx="2">
                  <c:v>10.8</c:v>
                </c:pt>
                <c:pt idx="3">
                  <c:v>13.5</c:v>
                </c:pt>
                <c:pt idx="4">
                  <c:v>18.899999999999999</c:v>
                </c:pt>
                <c:pt idx="5">
                  <c:v>10.8</c:v>
                </c:pt>
                <c:pt idx="6">
                  <c:v>5.4</c:v>
                </c:pt>
                <c:pt idx="7">
                  <c:v>8.1</c:v>
                </c:pt>
                <c:pt idx="8">
                  <c:v>8.1</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Sheet1!$D$2:$D$10</c:f>
              <c:numCache>
                <c:formatCode>0.0_);[Red]\(0.0\)</c:formatCode>
                <c:ptCount val="9"/>
                <c:pt idx="0">
                  <c:v>54.3</c:v>
                </c:pt>
                <c:pt idx="1">
                  <c:v>8.6</c:v>
                </c:pt>
                <c:pt idx="2">
                  <c:v>11.4</c:v>
                </c:pt>
                <c:pt idx="3">
                  <c:v>20</c:v>
                </c:pt>
                <c:pt idx="4">
                  <c:v>17.100000000000001</c:v>
                </c:pt>
                <c:pt idx="5">
                  <c:v>11.4</c:v>
                </c:pt>
                <c:pt idx="6">
                  <c:v>0</c:v>
                </c:pt>
                <c:pt idx="7">
                  <c:v>14.3</c:v>
                </c:pt>
                <c:pt idx="8">
                  <c:v>11.4</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Sheet1!$E$2:$E$10</c:f>
              <c:numCache>
                <c:formatCode>0.0_);[Red]\(0.0\)</c:formatCode>
                <c:ptCount val="9"/>
                <c:pt idx="0">
                  <c:v>46.9</c:v>
                </c:pt>
                <c:pt idx="1">
                  <c:v>24.5</c:v>
                </c:pt>
                <c:pt idx="2">
                  <c:v>26.5</c:v>
                </c:pt>
                <c:pt idx="3">
                  <c:v>10.200000000000001</c:v>
                </c:pt>
                <c:pt idx="4">
                  <c:v>10.200000000000001</c:v>
                </c:pt>
                <c:pt idx="5">
                  <c:v>10.200000000000001</c:v>
                </c:pt>
                <c:pt idx="6">
                  <c:v>2</c:v>
                </c:pt>
                <c:pt idx="7">
                  <c:v>2</c:v>
                </c:pt>
                <c:pt idx="8">
                  <c:v>10.200000000000001</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Sheet1!$F$2:$F$10</c:f>
              <c:numCache>
                <c:formatCode>0.0_);[Red]\(0.0\)</c:formatCode>
                <c:ptCount val="9"/>
                <c:pt idx="0">
                  <c:v>31.9</c:v>
                </c:pt>
                <c:pt idx="1">
                  <c:v>25.5</c:v>
                </c:pt>
                <c:pt idx="2">
                  <c:v>25.5</c:v>
                </c:pt>
                <c:pt idx="3">
                  <c:v>8.5</c:v>
                </c:pt>
                <c:pt idx="4">
                  <c:v>8.5</c:v>
                </c:pt>
                <c:pt idx="5">
                  <c:v>4.3</c:v>
                </c:pt>
                <c:pt idx="6">
                  <c:v>12.8</c:v>
                </c:pt>
                <c:pt idx="7">
                  <c:v>2.1</c:v>
                </c:pt>
                <c:pt idx="8">
                  <c:v>21.3</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737974718956E-7"/>
                  <c:y val="1.5494725272710575E-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Sheet1!$G$2:$G$10</c:f>
              <c:numCache>
                <c:formatCode>0.0_);[Red]\(0.0\)</c:formatCode>
                <c:ptCount val="9"/>
                <c:pt idx="0">
                  <c:v>51.6</c:v>
                </c:pt>
                <c:pt idx="1">
                  <c:v>16.100000000000001</c:v>
                </c:pt>
                <c:pt idx="2">
                  <c:v>19.399999999999999</c:v>
                </c:pt>
                <c:pt idx="3">
                  <c:v>9.7000000000000011</c:v>
                </c:pt>
                <c:pt idx="4">
                  <c:v>0</c:v>
                </c:pt>
                <c:pt idx="5">
                  <c:v>9.7000000000000011</c:v>
                </c:pt>
                <c:pt idx="6">
                  <c:v>3.2</c:v>
                </c:pt>
                <c:pt idx="7">
                  <c:v>9.7000000000000011</c:v>
                </c:pt>
                <c:pt idx="8">
                  <c:v>12.9</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dLbl>
              <c:idx val="8"/>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相談しても解決すると思えな
いから</c:v>
                </c:pt>
                <c:pt idx="1">
                  <c:v>どのような対応をしてもらえ
るか不安だから</c:v>
                </c:pt>
                <c:pt idx="2">
                  <c:v>相談する必要を感じないから</c:v>
                </c:pt>
                <c:pt idx="3">
                  <c:v>お金がかかるから　　　　　</c:v>
                </c:pt>
                <c:pt idx="4">
                  <c:v>相談に行く時間がないから　</c:v>
                </c:pt>
                <c:pt idx="5">
                  <c:v>アルコール依存症の相談をす
ることが恥ずかしいから</c:v>
                </c:pt>
                <c:pt idx="6">
                  <c:v>アルコール依存症と認めたく
ないから</c:v>
                </c:pt>
                <c:pt idx="7">
                  <c:v>その他　　　　　　　　　　</c:v>
                </c:pt>
                <c:pt idx="8">
                  <c:v>特になし　　　　　　　　　</c:v>
                </c:pt>
              </c:strCache>
            </c:strRef>
          </c:cat>
          <c:val>
            <c:numRef>
              <c:f>Sheet1!$H$2:$H$10</c:f>
              <c:numCache>
                <c:formatCode>0.0_);[Red]\(0.0\)</c:formatCode>
                <c:ptCount val="9"/>
                <c:pt idx="0">
                  <c:v>25</c:v>
                </c:pt>
                <c:pt idx="1">
                  <c:v>0</c:v>
                </c:pt>
                <c:pt idx="2">
                  <c:v>25</c:v>
                </c:pt>
                <c:pt idx="3">
                  <c:v>0</c:v>
                </c:pt>
                <c:pt idx="4">
                  <c:v>12.5</c:v>
                </c:pt>
                <c:pt idx="5">
                  <c:v>0</c:v>
                </c:pt>
                <c:pt idx="6">
                  <c:v>12.5</c:v>
                </c:pt>
                <c:pt idx="7">
                  <c:v>0</c:v>
                </c:pt>
                <c:pt idx="8">
                  <c:v>37.5</c:v>
                </c:pt>
              </c:numCache>
            </c:numRef>
          </c:val>
        </c:ser>
        <c:dLbls>
          <c:showLegendKey val="0"/>
          <c:showVal val="1"/>
          <c:showCatName val="0"/>
          <c:showSerName val="0"/>
          <c:showPercent val="0"/>
          <c:showBubbleSize val="0"/>
        </c:dLbls>
        <c:gapWidth val="100"/>
        <c:axId val="157786880"/>
        <c:axId val="157788416"/>
      </c:barChart>
      <c:catAx>
        <c:axId val="157786880"/>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57788416"/>
        <c:crosses val="autoZero"/>
        <c:auto val="1"/>
        <c:lblAlgn val="ctr"/>
        <c:lblOffset val="100"/>
        <c:noMultiLvlLbl val="0"/>
      </c:catAx>
      <c:valAx>
        <c:axId val="157788416"/>
        <c:scaling>
          <c:orientation val="minMax"/>
          <c:max val="6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57786880"/>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4382605353521591"/>
          <c:w val="0.70210394373780149"/>
          <c:h val="0.7369775309878176"/>
        </c:manualLayout>
      </c:layout>
      <c:barChart>
        <c:barDir val="bar"/>
        <c:grouping val="percentStacked"/>
        <c:varyColors val="0"/>
        <c:ser>
          <c:idx val="0"/>
          <c:order val="0"/>
          <c:tx>
            <c:strRef>
              <c:f>Sheet1!$B$1</c:f>
              <c:strCache>
                <c:ptCount val="1"/>
                <c:pt idx="0">
                  <c:v>家族や友達などの周りの人が取り組んでいるのを見て</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14.4</c:v>
                </c:pt>
                <c:pt idx="1">
                  <c:v>18.8</c:v>
                </c:pt>
                <c:pt idx="2">
                  <c:v>11</c:v>
                </c:pt>
                <c:pt idx="3">
                  <c:v>24.1</c:v>
                </c:pt>
                <c:pt idx="4">
                  <c:v>20.8</c:v>
                </c:pt>
                <c:pt idx="5">
                  <c:v>17.399999999999999</c:v>
                </c:pt>
                <c:pt idx="6">
                  <c:v>13.7</c:v>
                </c:pt>
                <c:pt idx="7">
                  <c:v>10.200000000000001</c:v>
                </c:pt>
                <c:pt idx="8">
                  <c:v>12.3</c:v>
                </c:pt>
                <c:pt idx="9">
                  <c:v>9.2000000000000011</c:v>
                </c:pt>
              </c:numCache>
            </c:numRef>
          </c:val>
        </c:ser>
        <c:ser>
          <c:idx val="1"/>
          <c:order val="1"/>
          <c:tx>
            <c:strRef>
              <c:f>Sheet1!$C$1</c:f>
              <c:strCache>
                <c:ptCount val="1"/>
                <c:pt idx="0">
                  <c:v>家族や友達、先生などの周りの人に勧められて</c:v>
                </c:pt>
              </c:strCache>
            </c:strRef>
          </c:tx>
          <c:spPr>
            <a:pattFill prst="pct20">
              <a:fgClr>
                <a:sysClr val="windowText" lastClr="000000"/>
              </a:fgClr>
              <a:bgClr>
                <a:sysClr val="window" lastClr="FFFFFF"/>
              </a:bgClr>
            </a:pattFill>
            <a:ln>
              <a:solidFill>
                <a:sysClr val="windowText" lastClr="000000"/>
              </a:solidFill>
            </a:ln>
          </c:spPr>
          <c:invertIfNegative val="0"/>
          <c:dLbls>
            <c:dLbl>
              <c:idx val="0"/>
              <c:layout>
                <c:manualLayout>
                  <c:x val="0"/>
                  <c:y val="-3.3412415454547484E-2"/>
                </c:manualLayout>
              </c:layout>
              <c:dLblPos val="ctr"/>
              <c:showLegendKey val="0"/>
              <c:showVal val="1"/>
              <c:showCatName val="0"/>
              <c:showSerName val="0"/>
              <c:showPercent val="0"/>
              <c:showBubbleSize val="0"/>
            </c:dLbl>
            <c:dLbl>
              <c:idx val="1"/>
              <c:layout>
                <c:manualLayout>
                  <c:x val="-2.136752136752137E-3"/>
                  <c:y val="-3.3412415454547484E-2"/>
                </c:manualLayout>
              </c:layout>
              <c:dLblPos val="ctr"/>
              <c:showLegendKey val="0"/>
              <c:showVal val="1"/>
              <c:showCatName val="0"/>
              <c:showSerName val="0"/>
              <c:showPercent val="0"/>
              <c:showBubbleSize val="0"/>
            </c:dLbl>
            <c:dLbl>
              <c:idx val="2"/>
              <c:layout>
                <c:manualLayout>
                  <c:x val="-4.2735042735042739E-3"/>
                  <c:y val="-3.3412415454547484E-2"/>
                </c:manualLayout>
              </c:layout>
              <c:dLblPos val="ctr"/>
              <c:showLegendKey val="0"/>
              <c:showVal val="1"/>
              <c:showCatName val="0"/>
              <c:showSerName val="0"/>
              <c:showPercent val="0"/>
              <c:showBubbleSize val="0"/>
            </c:dLbl>
            <c:dLbl>
              <c:idx val="3"/>
              <c:layout>
                <c:manualLayout>
                  <c:x val="0"/>
                  <c:y val="0"/>
                </c:manualLayout>
              </c:layout>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4"/>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6"/>
              <c:layout>
                <c:manualLayout>
                  <c:x val="0"/>
                  <c:y val="-3.4167586555705932E-2"/>
                </c:manualLayout>
              </c:layout>
              <c:dLblPos val="ctr"/>
              <c:showLegendKey val="0"/>
              <c:showVal val="1"/>
              <c:showCatName val="0"/>
              <c:showSerName val="0"/>
              <c:showPercent val="0"/>
              <c:showBubbleSize val="0"/>
            </c:dLbl>
            <c:dLbl>
              <c:idx val="7"/>
              <c:layout>
                <c:manualLayout>
                  <c:x val="-8.5428230868784486E-3"/>
                  <c:y val="-3.3412291075037237E-2"/>
                </c:manualLayout>
              </c:layout>
              <c:dLblPos val="ctr"/>
              <c:showLegendKey val="0"/>
              <c:showVal val="1"/>
              <c:showCatName val="0"/>
              <c:showSerName val="0"/>
              <c:showPercent val="0"/>
              <c:showBubbleSize val="0"/>
            </c:dLbl>
            <c:dLbl>
              <c:idx val="8"/>
              <c:layout>
                <c:manualLayout>
                  <c:x val="-8.5461864030543892E-3"/>
                  <c:y val="-3.3790542775660001E-2"/>
                </c:manualLayout>
              </c:layout>
              <c:dLblPos val="ctr"/>
              <c:showLegendKey val="0"/>
              <c:showVal val="1"/>
              <c:showCatName val="0"/>
              <c:showSerName val="0"/>
              <c:showPercent val="0"/>
              <c:showBubbleSize val="0"/>
            </c:dLbl>
            <c:dLbl>
              <c:idx val="9"/>
              <c:layout>
                <c:manualLayout>
                  <c:x val="3.9173336640064613E-17"/>
                  <c:y val="-3.855278706293939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6.2</c:v>
                </c:pt>
                <c:pt idx="1">
                  <c:v>7.2</c:v>
                </c:pt>
                <c:pt idx="2">
                  <c:v>5.5</c:v>
                </c:pt>
                <c:pt idx="3">
                  <c:v>8</c:v>
                </c:pt>
                <c:pt idx="4">
                  <c:v>11.9</c:v>
                </c:pt>
                <c:pt idx="5">
                  <c:v>7.1</c:v>
                </c:pt>
                <c:pt idx="6">
                  <c:v>5.7</c:v>
                </c:pt>
                <c:pt idx="7">
                  <c:v>5.5</c:v>
                </c:pt>
                <c:pt idx="8">
                  <c:v>3.1</c:v>
                </c:pt>
                <c:pt idx="9">
                  <c:v>4.0999999999999996</c:v>
                </c:pt>
              </c:numCache>
            </c:numRef>
          </c:val>
        </c:ser>
        <c:ser>
          <c:idx val="2"/>
          <c:order val="2"/>
          <c:tx>
            <c:strRef>
              <c:f>Sheet1!$D$1</c:f>
              <c:strCache>
                <c:ptCount val="1"/>
                <c:pt idx="0">
                  <c:v>体育の授業やスポーツイベントなどへの参加を通して</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0"/>
                  <c:y val="-3.3412415454547484E-2"/>
                </c:manualLayout>
              </c:layout>
              <c:dLblPos val="ctr"/>
              <c:showLegendKey val="0"/>
              <c:showVal val="1"/>
              <c:showCatName val="0"/>
              <c:showSerName val="0"/>
              <c:showPercent val="0"/>
              <c:showBubbleSize val="0"/>
            </c:dLbl>
            <c:dLbl>
              <c:idx val="1"/>
              <c:layout>
                <c:manualLayout>
                  <c:x val="-2.136752136752137E-3"/>
                  <c:y val="-3.5982601258743439E-2"/>
                </c:manualLayout>
              </c:layout>
              <c:dLblPos val="ctr"/>
              <c:showLegendKey val="0"/>
              <c:showVal val="1"/>
              <c:showCatName val="0"/>
              <c:showSerName val="0"/>
              <c:showPercent val="0"/>
              <c:showBubbleSize val="0"/>
            </c:dLbl>
            <c:dLbl>
              <c:idx val="2"/>
              <c:layout>
                <c:manualLayout>
                  <c:x val="-2.136752136752137E-3"/>
                  <c:y val="-3.3412415454547484E-2"/>
                </c:manualLayout>
              </c:layout>
              <c:dLblPos val="ctr"/>
              <c:showLegendKey val="0"/>
              <c:showVal val="1"/>
              <c:showCatName val="0"/>
              <c:showSerName val="0"/>
              <c:showPercent val="0"/>
              <c:showBubbleSize val="0"/>
            </c:dLbl>
            <c:dLbl>
              <c:idx val="3"/>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4"/>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5"/>
              <c:layout>
                <c:manualLayout>
                  <c:x val="-4.2735042735042739E-3"/>
                  <c:y val="-3.3412213077712499E-2"/>
                </c:manualLayout>
              </c:layout>
              <c:dLblPos val="ctr"/>
              <c:showLegendKey val="0"/>
              <c:showVal val="1"/>
              <c:showCatName val="0"/>
              <c:showSerName val="0"/>
              <c:showPercent val="0"/>
              <c:showBubbleSize val="0"/>
            </c:dLbl>
            <c:dLbl>
              <c:idx val="6"/>
              <c:layout>
                <c:manualLayout>
                  <c:x val="2.1336877820140698E-3"/>
                  <c:y val="-3.3412118514954958E-2"/>
                </c:manualLayout>
              </c:layout>
              <c:dLblPos val="ctr"/>
              <c:showLegendKey val="0"/>
              <c:showVal val="1"/>
              <c:showCatName val="0"/>
              <c:showSerName val="0"/>
              <c:showPercent val="0"/>
              <c:showBubbleSize val="0"/>
            </c:dLbl>
            <c:dLbl>
              <c:idx val="7"/>
              <c:layout>
                <c:manualLayout>
                  <c:x val="-2.1357057717196252E-3"/>
                  <c:y val="-3.3411945954872492E-2"/>
                </c:manualLayout>
              </c:layout>
              <c:dLblPos val="ctr"/>
              <c:showLegendKey val="0"/>
              <c:showVal val="1"/>
              <c:showCatName val="0"/>
              <c:showSerName val="0"/>
              <c:showPercent val="0"/>
              <c:showBubbleSize val="0"/>
            </c:dLbl>
            <c:dLbl>
              <c:idx val="8"/>
              <c:layout>
                <c:manualLayout>
                  <c:x val="2.0179897055618626E-6"/>
                  <c:y val="-3.3412291075037237E-2"/>
                </c:manualLayout>
              </c:layout>
              <c:dLblPos val="ctr"/>
              <c:showLegendKey val="0"/>
              <c:showVal val="1"/>
              <c:showCatName val="0"/>
              <c:showSerName val="0"/>
              <c:showPercent val="0"/>
              <c:showBubbleSize val="0"/>
            </c:dLbl>
            <c:dLbl>
              <c:idx val="9"/>
              <c:layout>
                <c:manualLayout>
                  <c:x val="-4.2735042735042739E-3"/>
                  <c:y val="-3.855278706293939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4.9000000000000004</c:v>
                </c:pt>
                <c:pt idx="1">
                  <c:v>5.7</c:v>
                </c:pt>
                <c:pt idx="2">
                  <c:v>4.2</c:v>
                </c:pt>
                <c:pt idx="3">
                  <c:v>14.9</c:v>
                </c:pt>
                <c:pt idx="4">
                  <c:v>7.4</c:v>
                </c:pt>
                <c:pt idx="5">
                  <c:v>3.6</c:v>
                </c:pt>
                <c:pt idx="6">
                  <c:v>4</c:v>
                </c:pt>
                <c:pt idx="7">
                  <c:v>3.5</c:v>
                </c:pt>
                <c:pt idx="8">
                  <c:v>3.4</c:v>
                </c:pt>
                <c:pt idx="9">
                  <c:v>6.1</c:v>
                </c:pt>
              </c:numCache>
            </c:numRef>
          </c:val>
        </c:ser>
        <c:ser>
          <c:idx val="3"/>
          <c:order val="3"/>
          <c:tx>
            <c:strRef>
              <c:f>Sheet1!$E$1</c:f>
              <c:strCache>
                <c:ptCount val="1"/>
                <c:pt idx="0">
                  <c:v>プロ野球やＪリーグなどのスポーツ観戦を通して</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4.2735042735042739E-3"/>
                  <c:y val="-3.3412415454547484E-2"/>
                </c:manualLayout>
              </c:layout>
              <c:dLblPos val="ctr"/>
              <c:showLegendKey val="0"/>
              <c:showVal val="1"/>
              <c:showCatName val="0"/>
              <c:showSerName val="0"/>
              <c:showPercent val="0"/>
              <c:showBubbleSize val="0"/>
            </c:dLbl>
            <c:dLbl>
              <c:idx val="1"/>
              <c:layout>
                <c:manualLayout>
                  <c:x val="0"/>
                  <c:y val="-3.5982601258743439E-2"/>
                </c:manualLayout>
              </c:layout>
              <c:dLblPos val="ctr"/>
              <c:showLegendKey val="0"/>
              <c:showVal val="1"/>
              <c:showCatName val="0"/>
              <c:showSerName val="0"/>
              <c:showPercent val="0"/>
              <c:showBubbleSize val="0"/>
            </c:dLbl>
            <c:dLbl>
              <c:idx val="2"/>
              <c:layout>
                <c:manualLayout>
                  <c:x val="1.282051282051282E-2"/>
                  <c:y val="-3.3412415454547484E-2"/>
                </c:manualLayout>
              </c:layout>
              <c:dLblPos val="ctr"/>
              <c:showLegendKey val="0"/>
              <c:showVal val="1"/>
              <c:showCatName val="0"/>
              <c:showSerName val="0"/>
              <c:showPercent val="0"/>
              <c:showBubbleSize val="0"/>
            </c:dLbl>
            <c:dLbl>
              <c:idx val="3"/>
              <c:layout>
                <c:manualLayout>
                  <c:x val="2.1367521367522137E-3"/>
                  <c:y val="-3.3412415454547484E-2"/>
                </c:manualLayout>
              </c:layout>
              <c:dLblPos val="ctr"/>
              <c:showLegendKey val="0"/>
              <c:showVal val="1"/>
              <c:showCatName val="0"/>
              <c:showSerName val="0"/>
              <c:showPercent val="0"/>
              <c:showBubbleSize val="0"/>
            </c:dLbl>
            <c:dLbl>
              <c:idx val="4"/>
              <c:layout>
                <c:manualLayout>
                  <c:x val="0"/>
                  <c:y val="-3.3412415454547484E-2"/>
                </c:manualLayout>
              </c:layout>
              <c:dLblPos val="ctr"/>
              <c:showLegendKey val="0"/>
              <c:showVal val="1"/>
              <c:showCatName val="0"/>
              <c:showSerName val="0"/>
              <c:showPercent val="0"/>
              <c:showBubbleSize val="0"/>
            </c:dLbl>
            <c:dLbl>
              <c:idx val="5"/>
              <c:layout>
                <c:manualLayout>
                  <c:x val="8.5470085470085496E-3"/>
                  <c:y val="-3.3412415454547581E-2"/>
                </c:manualLayout>
              </c:layout>
              <c:dLblPos val="ctr"/>
              <c:showLegendKey val="0"/>
              <c:showVal val="1"/>
              <c:showCatName val="0"/>
              <c:showSerName val="0"/>
              <c:showPercent val="0"/>
              <c:showBubbleSize val="0"/>
            </c:dLbl>
            <c:dLbl>
              <c:idx val="6"/>
              <c:layout>
                <c:manualLayout>
                  <c:x val="8.543832081731274E-3"/>
                  <c:y val="-3.3790715335742384E-2"/>
                </c:manualLayout>
              </c:layout>
              <c:dLblPos val="ctr"/>
              <c:showLegendKey val="0"/>
              <c:showVal val="1"/>
              <c:showCatName val="0"/>
              <c:showSerName val="0"/>
              <c:showPercent val="0"/>
              <c:showBubbleSize val="0"/>
            </c:dLbl>
            <c:dLbl>
              <c:idx val="7"/>
              <c:layout>
                <c:manualLayout>
                  <c:x val="1.4959357687329984E-2"/>
                  <c:y val="-3.1977971670121209E-2"/>
                </c:manualLayout>
              </c:layout>
              <c:dLblPos val="ctr"/>
              <c:showLegendKey val="0"/>
              <c:showVal val="1"/>
              <c:showCatName val="0"/>
              <c:showSerName val="0"/>
              <c:showPercent val="0"/>
              <c:showBubbleSize val="0"/>
            </c:dLbl>
            <c:dLbl>
              <c:idx val="8"/>
              <c:layout>
                <c:manualLayout>
                  <c:x val="1.4959357687329984E-2"/>
                  <c:y val="-3.4169484716612339E-2"/>
                </c:manualLayout>
              </c:layout>
              <c:dLblPos val="ctr"/>
              <c:showLegendKey val="0"/>
              <c:showVal val="1"/>
              <c:showCatName val="0"/>
              <c:showSerName val="0"/>
              <c:showPercent val="0"/>
              <c:showBubbleSize val="0"/>
            </c:dLbl>
            <c:dLbl>
              <c:idx val="9"/>
              <c:layout>
                <c:manualLayout>
                  <c:x val="0"/>
                  <c:y val="-3.855278706293939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Sheet1!$E$2:$E$11</c:f>
              <c:numCache>
                <c:formatCode>0.0</c:formatCode>
                <c:ptCount val="10"/>
                <c:pt idx="0">
                  <c:v>2.1</c:v>
                </c:pt>
                <c:pt idx="1">
                  <c:v>3.7</c:v>
                </c:pt>
                <c:pt idx="2">
                  <c:v>0.60000000000000064</c:v>
                </c:pt>
                <c:pt idx="3">
                  <c:v>2.2999999999999998</c:v>
                </c:pt>
                <c:pt idx="4">
                  <c:v>2</c:v>
                </c:pt>
                <c:pt idx="5">
                  <c:v>1.2</c:v>
                </c:pt>
                <c:pt idx="6">
                  <c:v>3.4</c:v>
                </c:pt>
                <c:pt idx="7">
                  <c:v>1.5</c:v>
                </c:pt>
                <c:pt idx="8">
                  <c:v>1.5</c:v>
                </c:pt>
                <c:pt idx="9">
                  <c:v>2</c:v>
                </c:pt>
              </c:numCache>
            </c:numRef>
          </c:val>
        </c:ser>
        <c:ser>
          <c:idx val="4"/>
          <c:order val="4"/>
          <c:tx>
            <c:strRef>
              <c:f>Sheet1!$F$1</c:f>
              <c:strCache>
                <c:ptCount val="1"/>
                <c:pt idx="0">
                  <c:v>美容や健康増進のため</c:v>
                </c:pt>
              </c:strCache>
            </c:strRef>
          </c:tx>
          <c:spPr>
            <a:pattFill prst="pct10">
              <a:fgClr>
                <a:sysClr val="windowText" lastClr="000000"/>
              </a:fgClr>
              <a:bgClr>
                <a:srgbClr val="FFFF00"/>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Sheet1!$F$2:$F$11</c:f>
              <c:numCache>
                <c:formatCode>0.0</c:formatCode>
                <c:ptCount val="10"/>
                <c:pt idx="0">
                  <c:v>11.4</c:v>
                </c:pt>
                <c:pt idx="1">
                  <c:v>9.3000000000000007</c:v>
                </c:pt>
                <c:pt idx="2">
                  <c:v>13.3</c:v>
                </c:pt>
                <c:pt idx="3">
                  <c:v>6.9</c:v>
                </c:pt>
                <c:pt idx="4">
                  <c:v>7.4</c:v>
                </c:pt>
                <c:pt idx="5">
                  <c:v>10.7</c:v>
                </c:pt>
                <c:pt idx="6">
                  <c:v>11.7</c:v>
                </c:pt>
                <c:pt idx="7">
                  <c:v>12.5</c:v>
                </c:pt>
                <c:pt idx="8">
                  <c:v>14.6</c:v>
                </c:pt>
                <c:pt idx="9">
                  <c:v>13.3</c:v>
                </c:pt>
              </c:numCache>
            </c:numRef>
          </c:val>
        </c:ser>
        <c:ser>
          <c:idx val="5"/>
          <c:order val="5"/>
          <c:tx>
            <c:strRef>
              <c:f>Sheet1!$G$1</c:f>
              <c:strCache>
                <c:ptCount val="1"/>
                <c:pt idx="0">
                  <c:v>その他</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layout>
                <c:manualLayout>
                  <c:x val="0"/>
                  <c:y val="-3.3412415454547484E-2"/>
                </c:manualLayout>
              </c:layout>
              <c:dLblPos val="ctr"/>
              <c:showLegendKey val="0"/>
              <c:showVal val="1"/>
              <c:showCatName val="0"/>
              <c:showSerName val="0"/>
              <c:showPercent val="0"/>
              <c:showBubbleSize val="0"/>
            </c:dLbl>
            <c:dLbl>
              <c:idx val="1"/>
              <c:layout>
                <c:manualLayout>
                  <c:x val="-2.1367521367522137E-3"/>
                  <c:y val="-3.5982601258743439E-2"/>
                </c:manualLayout>
              </c:layout>
              <c:dLblPos val="ctr"/>
              <c:showLegendKey val="0"/>
              <c:showVal val="1"/>
              <c:showCatName val="0"/>
              <c:showSerName val="0"/>
              <c:showPercent val="0"/>
              <c:showBubbleSize val="0"/>
            </c:dLbl>
            <c:dLbl>
              <c:idx val="2"/>
              <c:layout>
                <c:manualLayout>
                  <c:x val="-2.136752136752137E-3"/>
                  <c:y val="-3.5982601258743439E-2"/>
                </c:manualLayout>
              </c:layout>
              <c:dLblPos val="ctr"/>
              <c:showLegendKey val="0"/>
              <c:showVal val="1"/>
              <c:showCatName val="0"/>
              <c:showSerName val="0"/>
              <c:showPercent val="0"/>
              <c:showBubbleSize val="0"/>
            </c:dLbl>
            <c:dLbl>
              <c:idx val="3"/>
              <c:layout>
                <c:manualLayout>
                  <c:x val="4.2735042735041993E-3"/>
                  <c:y val="-3.3412415454547484E-2"/>
                </c:manualLayout>
              </c:layout>
              <c:dLblPos val="ctr"/>
              <c:showLegendKey val="0"/>
              <c:showVal val="1"/>
              <c:showCatName val="0"/>
              <c:showSerName val="0"/>
              <c:showPercent val="0"/>
              <c:showBubbleSize val="0"/>
            </c:dLbl>
            <c:dLbl>
              <c:idx val="4"/>
              <c:layout>
                <c:manualLayout>
                  <c:x val="2.136752136752137E-3"/>
                  <c:y val="-3.0842229650351542E-2"/>
                </c:manualLayout>
              </c:layout>
              <c:dLblPos val="ctr"/>
              <c:showLegendKey val="0"/>
              <c:showVal val="1"/>
              <c:showCatName val="0"/>
              <c:showSerName val="0"/>
              <c:showPercent val="0"/>
              <c:showBubbleSize val="0"/>
            </c:dLbl>
            <c:dLbl>
              <c:idx val="5"/>
              <c:layout>
                <c:manualLayout>
                  <c:x val="0"/>
                  <c:y val="-3.3412415454547581E-2"/>
                </c:manualLayout>
              </c:layout>
              <c:dLblPos val="ctr"/>
              <c:showLegendKey val="0"/>
              <c:showVal val="1"/>
              <c:showCatName val="0"/>
              <c:showSerName val="0"/>
              <c:showPercent val="0"/>
              <c:showBubbleSize val="0"/>
            </c:dLbl>
            <c:dLbl>
              <c:idx val="6"/>
              <c:layout>
                <c:manualLayout>
                  <c:x val="2.1325106213524892E-3"/>
                  <c:y val="-3.3412291075037237E-2"/>
                </c:manualLayout>
              </c:layout>
              <c:dLblPos val="ctr"/>
              <c:showLegendKey val="0"/>
              <c:showVal val="1"/>
              <c:showCatName val="0"/>
              <c:showSerName val="0"/>
              <c:showPercent val="0"/>
              <c:showBubbleSize val="0"/>
            </c:dLbl>
            <c:dLbl>
              <c:idx val="7"/>
              <c:layout>
                <c:manualLayout>
                  <c:x val="2.136752136752137E-3"/>
                  <c:y val="-3.3412415454547484E-2"/>
                </c:manualLayout>
              </c:layout>
              <c:dLblPos val="ctr"/>
              <c:showLegendKey val="0"/>
              <c:showVal val="1"/>
              <c:showCatName val="0"/>
              <c:showSerName val="0"/>
              <c:showPercent val="0"/>
              <c:showBubbleSize val="0"/>
            </c:dLbl>
            <c:dLbl>
              <c:idx val="8"/>
              <c:layout>
                <c:manualLayout>
                  <c:x val="-2.136752136752137E-3"/>
                  <c:y val="-3.3412415454547484E-2"/>
                </c:manualLayout>
              </c:layout>
              <c:dLblPos val="ctr"/>
              <c:showLegendKey val="0"/>
              <c:showVal val="1"/>
              <c:showCatName val="0"/>
              <c:showSerName val="0"/>
              <c:showPercent val="0"/>
              <c:showBubbleSize val="0"/>
            </c:dLbl>
            <c:dLbl>
              <c:idx val="9"/>
              <c:layout>
                <c:manualLayout>
                  <c:x val="0"/>
                  <c:y val="-3.8552787062939395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Sheet1!$G$2:$G$11</c:f>
              <c:numCache>
                <c:formatCode>0.0</c:formatCode>
                <c:ptCount val="10"/>
                <c:pt idx="0">
                  <c:v>2.7</c:v>
                </c:pt>
                <c:pt idx="1">
                  <c:v>2.8</c:v>
                </c:pt>
                <c:pt idx="2">
                  <c:v>2.7</c:v>
                </c:pt>
                <c:pt idx="3">
                  <c:v>4.5999999999999996</c:v>
                </c:pt>
                <c:pt idx="4">
                  <c:v>3</c:v>
                </c:pt>
                <c:pt idx="5">
                  <c:v>2.4</c:v>
                </c:pt>
                <c:pt idx="6">
                  <c:v>2.9</c:v>
                </c:pt>
                <c:pt idx="7">
                  <c:v>1.7</c:v>
                </c:pt>
                <c:pt idx="8">
                  <c:v>3.1</c:v>
                </c:pt>
                <c:pt idx="9">
                  <c:v>4.0999999999999996</c:v>
                </c:pt>
              </c:numCache>
            </c:numRef>
          </c:val>
        </c:ser>
        <c:ser>
          <c:idx val="6"/>
          <c:order val="6"/>
          <c:tx>
            <c:strRef>
              <c:f>Sheet1!$H$1</c:f>
              <c:strCache>
                <c:ptCount val="1"/>
                <c:pt idx="0">
                  <c:v>スポーツはやっていない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Sheet1!$H$2:$H$11</c:f>
              <c:numCache>
                <c:formatCode>0.0</c:formatCode>
                <c:ptCount val="10"/>
                <c:pt idx="0">
                  <c:v>57.1</c:v>
                </c:pt>
                <c:pt idx="1">
                  <c:v>51.4</c:v>
                </c:pt>
                <c:pt idx="2">
                  <c:v>62.1</c:v>
                </c:pt>
                <c:pt idx="3">
                  <c:v>37.9</c:v>
                </c:pt>
                <c:pt idx="4">
                  <c:v>47.5</c:v>
                </c:pt>
                <c:pt idx="5">
                  <c:v>57.3</c:v>
                </c:pt>
                <c:pt idx="6">
                  <c:v>58.3</c:v>
                </c:pt>
                <c:pt idx="7">
                  <c:v>64.099999999999994</c:v>
                </c:pt>
                <c:pt idx="8">
                  <c:v>60.2</c:v>
                </c:pt>
                <c:pt idx="9">
                  <c:v>58.2</c:v>
                </c:pt>
              </c:numCache>
            </c:numRef>
          </c:val>
        </c:ser>
        <c:ser>
          <c:idx val="7"/>
          <c:order val="7"/>
          <c:tx>
            <c:strRef>
              <c:f>Sheet1!$I$1</c:f>
              <c:strCache>
                <c:ptCount val="1"/>
                <c:pt idx="0">
                  <c:v>無回答</c:v>
                </c:pt>
              </c:strCache>
            </c:strRef>
          </c:tx>
          <c:spPr>
            <a:pattFill prst="wdDnDiag">
              <a:fgClr>
                <a:sysClr val="windowText" lastClr="000000"/>
              </a:fgClr>
              <a:bgClr>
                <a:sysClr val="window" lastClr="FFFFFF"/>
              </a:bgClr>
            </a:pattFill>
            <a:ln>
              <a:solidFill>
                <a:sysClr val="windowText" lastClr="000000"/>
              </a:solidFill>
            </a:ln>
          </c:spPr>
          <c:invertIfNegative val="0"/>
          <c:dLbls>
            <c:dLbl>
              <c:idx val="0"/>
              <c:layout>
                <c:manualLayout>
                  <c:x val="-2.136752136752137E-3"/>
                  <c:y val="-3.3412415454547484E-2"/>
                </c:manualLayout>
              </c:layout>
              <c:dLblPos val="ctr"/>
              <c:showLegendKey val="0"/>
              <c:showVal val="1"/>
              <c:showCatName val="0"/>
              <c:showSerName val="0"/>
              <c:showPercent val="0"/>
              <c:showBubbleSize val="0"/>
            </c:dLbl>
            <c:dLbl>
              <c:idx val="1"/>
              <c:layout>
                <c:manualLayout>
                  <c:x val="-4.2735042735042739E-3"/>
                  <c:y val="-3.3412415454547484E-2"/>
                </c:manualLayout>
              </c:layout>
              <c:dLblPos val="ctr"/>
              <c:showLegendKey val="0"/>
              <c:showVal val="1"/>
              <c:showCatName val="0"/>
              <c:showSerName val="0"/>
              <c:showPercent val="0"/>
              <c:showBubbleSize val="0"/>
            </c:dLbl>
            <c:dLbl>
              <c:idx val="2"/>
              <c:layout>
                <c:manualLayout>
                  <c:x val="-4.2735042735042739E-3"/>
                  <c:y val="-3.3412415454547484E-2"/>
                </c:manualLayout>
              </c:layout>
              <c:dLblPos val="ctr"/>
              <c:showLegendKey val="0"/>
              <c:showVal val="1"/>
              <c:showCatName val="0"/>
              <c:showSerName val="0"/>
              <c:showPercent val="0"/>
              <c:showBubbleSize val="0"/>
            </c:dLbl>
            <c:dLbl>
              <c:idx val="3"/>
              <c:layout>
                <c:manualLayout>
                  <c:x val="0"/>
                  <c:y val="-3.3412415454547484E-2"/>
                </c:manualLayout>
              </c:layout>
              <c:dLblPos val="ctr"/>
              <c:showLegendKey val="0"/>
              <c:showVal val="1"/>
              <c:showCatName val="0"/>
              <c:showSerName val="0"/>
              <c:showPercent val="0"/>
              <c:showBubbleSize val="0"/>
            </c:dLbl>
            <c:dLbl>
              <c:idx val="4"/>
              <c:delete val="1"/>
            </c:dLbl>
            <c:dLbl>
              <c:idx val="5"/>
              <c:layout>
                <c:manualLayout>
                  <c:x val="-2.136752136752137E-3"/>
                  <c:y val="-3.5982601258743536E-2"/>
                </c:manualLayout>
              </c:layout>
              <c:dLblPos val="ctr"/>
              <c:showLegendKey val="0"/>
              <c:showVal val="1"/>
              <c:showCatName val="0"/>
              <c:showSerName val="0"/>
              <c:showPercent val="0"/>
              <c:showBubbleSize val="0"/>
            </c:dLbl>
            <c:dLbl>
              <c:idx val="6"/>
              <c:layout>
                <c:manualLayout>
                  <c:x val="0"/>
                  <c:y val="-3.3412213077712499E-2"/>
                </c:manualLayout>
              </c:layout>
              <c:dLblPos val="ctr"/>
              <c:showLegendKey val="0"/>
              <c:showVal val="1"/>
              <c:showCatName val="0"/>
              <c:showSerName val="0"/>
              <c:showPercent val="0"/>
              <c:showBubbleSize val="0"/>
            </c:dLbl>
            <c:dLbl>
              <c:idx val="7"/>
              <c:layout>
                <c:manualLayout>
                  <c:x val="0"/>
                  <c:y val="-3.3412415454547484E-2"/>
                </c:manualLayout>
              </c:layout>
              <c:dLblPos val="ctr"/>
              <c:showLegendKey val="0"/>
              <c:showVal val="1"/>
              <c:showCatName val="0"/>
              <c:showSerName val="0"/>
              <c:showPercent val="0"/>
              <c:showBubbleSize val="0"/>
            </c:dLbl>
            <c:dLbl>
              <c:idx val="8"/>
              <c:layout>
                <c:manualLayout>
                  <c:x val="0"/>
                  <c:y val="-3.3412415454547484E-2"/>
                </c:manualLayout>
              </c:layout>
              <c:dLblPos val="ctr"/>
              <c:showLegendKey val="0"/>
              <c:showVal val="1"/>
              <c:showCatName val="0"/>
              <c:showSerName val="0"/>
              <c:showPercent val="0"/>
              <c:showBubbleSize val="0"/>
            </c:dLbl>
            <c:dLbl>
              <c:idx val="9"/>
              <c:layout>
                <c:manualLayout>
                  <c:x val="0"/>
                  <c:y val="-2.827204384615560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Sheet1!$I$2:$I$11</c:f>
              <c:numCache>
                <c:formatCode>0.0</c:formatCode>
                <c:ptCount val="10"/>
                <c:pt idx="0">
                  <c:v>1.2</c:v>
                </c:pt>
                <c:pt idx="1">
                  <c:v>1.1000000000000001</c:v>
                </c:pt>
                <c:pt idx="2">
                  <c:v>0.70000000000000062</c:v>
                </c:pt>
                <c:pt idx="3">
                  <c:v>1.1000000000000001</c:v>
                </c:pt>
                <c:pt idx="4">
                  <c:v>0</c:v>
                </c:pt>
                <c:pt idx="5">
                  <c:v>0.4</c:v>
                </c:pt>
                <c:pt idx="6">
                  <c:v>0.30000000000000032</c:v>
                </c:pt>
                <c:pt idx="7">
                  <c:v>0.9</c:v>
                </c:pt>
                <c:pt idx="8">
                  <c:v>1.9000000000000001</c:v>
                </c:pt>
                <c:pt idx="9">
                  <c:v>3.1</c:v>
                </c:pt>
              </c:numCache>
            </c:numRef>
          </c:val>
        </c:ser>
        <c:dLbls>
          <c:showLegendKey val="0"/>
          <c:showVal val="0"/>
          <c:showCatName val="0"/>
          <c:showSerName val="0"/>
          <c:showPercent val="0"/>
          <c:showBubbleSize val="0"/>
        </c:dLbls>
        <c:gapWidth val="90"/>
        <c:overlap val="100"/>
        <c:axId val="157465984"/>
        <c:axId val="157488256"/>
      </c:barChart>
      <c:catAx>
        <c:axId val="15746598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57488256"/>
        <c:crosses val="autoZero"/>
        <c:auto val="1"/>
        <c:lblAlgn val="ctr"/>
        <c:lblOffset val="100"/>
        <c:noMultiLvlLbl val="0"/>
      </c:catAx>
      <c:valAx>
        <c:axId val="15748825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57465984"/>
        <c:crosses val="autoZero"/>
        <c:crossBetween val="between"/>
        <c:majorUnit val="0.1"/>
      </c:valAx>
    </c:plotArea>
    <c:legend>
      <c:legendPos val="r"/>
      <c:layout>
        <c:manualLayout>
          <c:xMode val="edge"/>
          <c:yMode val="edge"/>
          <c:x val="7.8642573524463303E-3"/>
          <c:y val="1.8843625254239191E-3"/>
          <c:w val="0.99166666666666659"/>
          <c:h val="0.18196227412468491"/>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7069127875204071"/>
          <c:w val="0.68635495640445165"/>
          <c:h val="0.81839462835416077"/>
        </c:manualLayout>
      </c:layout>
      <c:barChart>
        <c:barDir val="bar"/>
        <c:grouping val="percentStacked"/>
        <c:varyColors val="0"/>
        <c:ser>
          <c:idx val="0"/>
          <c:order val="0"/>
          <c:tx>
            <c:strRef>
              <c:f>Sheet1!$B$1</c:f>
              <c:strCache>
                <c:ptCount val="1"/>
                <c:pt idx="0">
                  <c:v>家族や友達などの周りの人が取り組んでいるのを見て</c:v>
                </c:pt>
              </c:strCache>
            </c:strRef>
          </c:tx>
          <c:spPr>
            <a:pattFill prst="pct80">
              <a:fgClr>
                <a:sysClr val="windowText" lastClr="000000"/>
              </a:fgClr>
              <a:bgClr>
                <a:sysClr val="window" lastClr="FFFFFF"/>
              </a:bgClr>
            </a:pattFill>
            <a:ln>
              <a:solidFill>
                <a:sysClr val="windowText" lastClr="000000"/>
              </a:solidFill>
            </a:ln>
          </c:spPr>
          <c:invertIfNegative val="0"/>
          <c:dLbls>
            <c:dLbl>
              <c:idx val="8"/>
              <c:layout>
                <c:manualLayout>
                  <c:x val="0"/>
                  <c:y val="-1.930606244910048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14.4</c:v>
                </c:pt>
                <c:pt idx="1">
                  <c:v>8.2000000000000011</c:v>
                </c:pt>
                <c:pt idx="2">
                  <c:v>11.1</c:v>
                </c:pt>
                <c:pt idx="3">
                  <c:v>15.9</c:v>
                </c:pt>
                <c:pt idx="4">
                  <c:v>13.3</c:v>
                </c:pt>
                <c:pt idx="5">
                  <c:v>16</c:v>
                </c:pt>
                <c:pt idx="6">
                  <c:v>14.3</c:v>
                </c:pt>
                <c:pt idx="7">
                  <c:v>25</c:v>
                </c:pt>
                <c:pt idx="8">
                  <c:v>4.5</c:v>
                </c:pt>
                <c:pt idx="9">
                  <c:v>12.1</c:v>
                </c:pt>
                <c:pt idx="10">
                  <c:v>28.4</c:v>
                </c:pt>
                <c:pt idx="11">
                  <c:v>10.1</c:v>
                </c:pt>
                <c:pt idx="12">
                  <c:v>11.8</c:v>
                </c:pt>
                <c:pt idx="13">
                  <c:v>16.2</c:v>
                </c:pt>
                <c:pt idx="14">
                  <c:v>10.5</c:v>
                </c:pt>
                <c:pt idx="15">
                  <c:v>17</c:v>
                </c:pt>
                <c:pt idx="16">
                  <c:v>17.600000000000001</c:v>
                </c:pt>
                <c:pt idx="17">
                  <c:v>11.9</c:v>
                </c:pt>
                <c:pt idx="18">
                  <c:v>9.8000000000000007</c:v>
                </c:pt>
                <c:pt idx="19">
                  <c:v>13</c:v>
                </c:pt>
                <c:pt idx="20">
                  <c:v>11.9</c:v>
                </c:pt>
              </c:numCache>
            </c:numRef>
          </c:val>
        </c:ser>
        <c:ser>
          <c:idx val="1"/>
          <c:order val="1"/>
          <c:tx>
            <c:strRef>
              <c:f>Sheet1!$C$1</c:f>
              <c:strCache>
                <c:ptCount val="1"/>
                <c:pt idx="0">
                  <c:v>家族や友達、先生などの周りの人に勧められて</c:v>
                </c:pt>
              </c:strCache>
            </c:strRef>
          </c:tx>
          <c:spPr>
            <a:pattFill prst="pct20">
              <a:fgClr>
                <a:sysClr val="windowText" lastClr="000000"/>
              </a:fgClr>
              <a:bgClr>
                <a:sysClr val="window" lastClr="FFFFFF"/>
              </a:bgClr>
            </a:pattFill>
            <a:ln>
              <a:solidFill>
                <a:sysClr val="windowText" lastClr="000000"/>
              </a:solidFill>
            </a:ln>
          </c:spPr>
          <c:invertIfNegative val="0"/>
          <c:dLbls>
            <c:dLbl>
              <c:idx val="0"/>
              <c:layout>
                <c:manualLayout>
                  <c:x val="0"/>
                  <c:y val="-1.9305362402581457E-2"/>
                </c:manualLayout>
              </c:layout>
              <c:dLblPos val="ctr"/>
              <c:showLegendKey val="0"/>
              <c:showVal val="1"/>
              <c:showCatName val="0"/>
              <c:showSerName val="0"/>
              <c:showPercent val="0"/>
              <c:showBubbleSize val="0"/>
            </c:dLbl>
            <c:dLbl>
              <c:idx val="1"/>
              <c:layout>
                <c:manualLayout>
                  <c:x val="0"/>
                  <c:y val="-1.9305638801550663E-2"/>
                </c:manualLayout>
              </c:layout>
              <c:dLblPos val="ctr"/>
              <c:showLegendKey val="0"/>
              <c:showVal val="1"/>
              <c:showCatName val="0"/>
              <c:showSerName val="0"/>
              <c:showPercent val="0"/>
              <c:showBubbleSize val="0"/>
            </c:dLbl>
            <c:dLbl>
              <c:idx val="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3"/>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4"/>
              <c:layout>
                <c:manualLayout>
                  <c:x val="0"/>
                  <c:y val="-1.9305777001035328E-2"/>
                </c:manualLayout>
              </c:layout>
              <c:dLblPos val="ctr"/>
              <c:showLegendKey val="0"/>
              <c:showVal val="1"/>
              <c:showCatName val="0"/>
              <c:showSerName val="0"/>
              <c:showPercent val="0"/>
              <c:showBubbleSize val="0"/>
            </c:dLbl>
            <c:dLbl>
              <c:idx val="5"/>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6"/>
              <c:layout>
                <c:manualLayout>
                  <c:x val="-4.1259615158190819E-3"/>
                  <c:y val="-1.930567444534061E-2"/>
                </c:manualLayout>
              </c:layout>
              <c:dLblPos val="ctr"/>
              <c:showLegendKey val="0"/>
              <c:showVal val="1"/>
              <c:showCatName val="0"/>
              <c:showSerName val="0"/>
              <c:showPercent val="0"/>
              <c:showBubbleSize val="0"/>
            </c:dLbl>
            <c:dLbl>
              <c:idx val="7"/>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9"/>
              <c:layout>
                <c:manualLayout>
                  <c:x val="-2.0629576410794844E-3"/>
                  <c:y val="-1.9304809604643151E-2"/>
                </c:manualLayout>
              </c:layout>
              <c:dLblPos val="ctr"/>
              <c:showLegendKey val="0"/>
              <c:showVal val="1"/>
              <c:showCatName val="0"/>
              <c:showSerName val="0"/>
              <c:showPercent val="0"/>
              <c:showBubbleSize val="0"/>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layout>
                <c:manualLayout>
                  <c:x val="0"/>
                  <c:y val="-1.7550834071760633E-2"/>
                </c:manualLayout>
              </c:layout>
              <c:dLblPos val="ctr"/>
              <c:showLegendKey val="0"/>
              <c:showVal val="1"/>
              <c:showCatName val="0"/>
              <c:showSerName val="0"/>
              <c:showPercent val="0"/>
              <c:showBubbleSize val="0"/>
            </c:dLbl>
            <c:dLbl>
              <c:idx val="1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3"/>
              <c:layout>
                <c:manualLayout>
                  <c:x val="-4.1269115424262745E-3"/>
                  <c:y val="-1.7550586594749291E-2"/>
                </c:manualLayout>
              </c:layout>
              <c:dLblPos val="ctr"/>
              <c:showLegendKey val="0"/>
              <c:showVal val="1"/>
              <c:showCatName val="0"/>
              <c:showSerName val="0"/>
              <c:showPercent val="0"/>
              <c:showBubbleSize val="0"/>
            </c:dLbl>
            <c:dLbl>
              <c:idx val="14"/>
              <c:layout>
                <c:manualLayout>
                  <c:x val="0"/>
                  <c:y val="-1.7550310244550581E-2"/>
                </c:manualLayout>
              </c:layout>
              <c:dLblPos val="ctr"/>
              <c:showLegendKey val="0"/>
              <c:showVal val="1"/>
              <c:showCatName val="0"/>
              <c:showSerName val="0"/>
              <c:showPercent val="0"/>
              <c:showBubbleSize val="0"/>
            </c:dLbl>
            <c:dLbl>
              <c:idx val="15"/>
              <c:layout>
                <c:manualLayout>
                  <c:x val="0"/>
                  <c:y val="-1.9306062449100481E-2"/>
                </c:manualLayout>
              </c:layout>
              <c:dLblPos val="ctr"/>
              <c:showLegendKey val="0"/>
              <c:showVal val="1"/>
              <c:showCatName val="0"/>
              <c:showSerName val="0"/>
              <c:showPercent val="0"/>
              <c:showBubbleSize val="0"/>
            </c:dLbl>
            <c:dLbl>
              <c:idx val="16"/>
              <c:layout>
                <c:manualLayout>
                  <c:x val="0"/>
                  <c:y val="-1.7550586594749291E-2"/>
                </c:manualLayout>
              </c:layout>
              <c:dLblPos val="ctr"/>
              <c:showLegendKey val="0"/>
              <c:showVal val="1"/>
              <c:showCatName val="0"/>
              <c:showSerName val="0"/>
              <c:showPercent val="0"/>
              <c:showBubbleSize val="0"/>
            </c:dLbl>
            <c:dLbl>
              <c:idx val="17"/>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8"/>
              <c:layout>
                <c:manualLayout>
                  <c:x val="-4.1269843848884095E-3"/>
                  <c:y val="-1.7550965862818613E-2"/>
                </c:manualLayout>
              </c:layout>
              <c:dLblPos val="ctr"/>
              <c:showLegendKey val="0"/>
              <c:showVal val="1"/>
              <c:showCatName val="0"/>
              <c:showSerName val="0"/>
              <c:showPercent val="0"/>
              <c:showBubbleSize val="0"/>
            </c:dLbl>
            <c:dLbl>
              <c:idx val="19"/>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2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6.2</c:v>
                </c:pt>
                <c:pt idx="1">
                  <c:v>5.2</c:v>
                </c:pt>
                <c:pt idx="2">
                  <c:v>11.1</c:v>
                </c:pt>
                <c:pt idx="3">
                  <c:v>8.7000000000000011</c:v>
                </c:pt>
                <c:pt idx="4">
                  <c:v>6.4</c:v>
                </c:pt>
                <c:pt idx="5">
                  <c:v>7.8</c:v>
                </c:pt>
                <c:pt idx="6">
                  <c:v>2.5</c:v>
                </c:pt>
                <c:pt idx="7">
                  <c:v>9.4</c:v>
                </c:pt>
                <c:pt idx="8">
                  <c:v>9.1</c:v>
                </c:pt>
                <c:pt idx="9">
                  <c:v>4</c:v>
                </c:pt>
                <c:pt idx="10">
                  <c:v>11.2</c:v>
                </c:pt>
                <c:pt idx="11">
                  <c:v>3.7</c:v>
                </c:pt>
                <c:pt idx="12">
                  <c:v>7.6</c:v>
                </c:pt>
                <c:pt idx="13">
                  <c:v>5.8</c:v>
                </c:pt>
                <c:pt idx="14">
                  <c:v>4.4000000000000004</c:v>
                </c:pt>
                <c:pt idx="15">
                  <c:v>5.7</c:v>
                </c:pt>
                <c:pt idx="16">
                  <c:v>5.9</c:v>
                </c:pt>
                <c:pt idx="17">
                  <c:v>8.7000000000000011</c:v>
                </c:pt>
                <c:pt idx="18">
                  <c:v>2</c:v>
                </c:pt>
                <c:pt idx="19">
                  <c:v>8.1</c:v>
                </c:pt>
                <c:pt idx="20">
                  <c:v>8</c:v>
                </c:pt>
              </c:numCache>
            </c:numRef>
          </c:val>
        </c:ser>
        <c:ser>
          <c:idx val="2"/>
          <c:order val="2"/>
          <c:tx>
            <c:strRef>
              <c:f>Sheet1!$D$1</c:f>
              <c:strCache>
                <c:ptCount val="1"/>
                <c:pt idx="0">
                  <c:v>体育の授業やスポーツイベントなどへの参加を通して</c:v>
                </c:pt>
              </c:strCache>
            </c:strRef>
          </c:tx>
          <c:spPr>
            <a:pattFill prst="pct50">
              <a:fgClr>
                <a:sysClr val="windowText" lastClr="000000"/>
              </a:fgClr>
              <a:bgClr>
                <a:sysClr val="window" lastClr="FFFFFF"/>
              </a:bgClr>
            </a:pattFill>
            <a:ln>
              <a:solidFill>
                <a:sysClr val="windowText" lastClr="000000"/>
              </a:solidFill>
            </a:ln>
          </c:spPr>
          <c:invertIfNegative val="0"/>
          <c:dLbls>
            <c:dLbl>
              <c:idx val="0"/>
              <c:layout>
                <c:manualLayout>
                  <c:x val="2.0634921924442082E-3"/>
                  <c:y val="-1.9306062449100481E-2"/>
                </c:manualLayout>
              </c:layout>
              <c:dLblPos val="ctr"/>
              <c:showLegendKey val="0"/>
              <c:showVal val="1"/>
              <c:showCatName val="0"/>
              <c:showSerName val="0"/>
              <c:showPercent val="0"/>
              <c:showBubbleSize val="0"/>
            </c:dLbl>
            <c:dLbl>
              <c:idx val="1"/>
              <c:layout>
                <c:manualLayout>
                  <c:x val="0"/>
                  <c:y val="-1.930591520051991E-2"/>
                </c:manualLayout>
              </c:layout>
              <c:dLblPos val="ctr"/>
              <c:showLegendKey val="0"/>
              <c:showVal val="1"/>
              <c:showCatName val="0"/>
              <c:showSerName val="0"/>
              <c:showPercent val="0"/>
              <c:showBubbleSize val="0"/>
            </c:dLbl>
            <c:dLbl>
              <c:idx val="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3"/>
              <c:layout>
                <c:manualLayout>
                  <c:x val="-4.1269843848884095E-3"/>
                  <c:y val="-1.9305924252519251E-2"/>
                </c:manualLayout>
              </c:layout>
              <c:dLblPos val="ctr"/>
              <c:showLegendKey val="0"/>
              <c:showVal val="1"/>
              <c:showCatName val="0"/>
              <c:showSerName val="0"/>
              <c:showPercent val="0"/>
              <c:showBubbleSize val="0"/>
            </c:dLbl>
            <c:dLbl>
              <c:idx val="4"/>
              <c:layout>
                <c:manualLayout>
                  <c:x val="-4.1268896776439756E-3"/>
                  <c:y val="-1.9305500602066154E-2"/>
                </c:manualLayout>
              </c:layout>
              <c:dLblPos val="ctr"/>
              <c:showLegendKey val="0"/>
              <c:showVal val="1"/>
              <c:showCatName val="0"/>
              <c:showSerName val="0"/>
              <c:showPercent val="0"/>
              <c:showBubbleSize val="0"/>
            </c:dLbl>
            <c:dLbl>
              <c:idx val="5"/>
              <c:layout>
                <c:manualLayout>
                  <c:x val="-4.1270520768914767E-3"/>
                  <c:y val="-1.9305777001035328E-2"/>
                </c:manualLayout>
              </c:layout>
              <c:dLblPos val="ctr"/>
              <c:showLegendKey val="0"/>
              <c:showVal val="1"/>
              <c:showCatName val="0"/>
              <c:showSerName val="0"/>
              <c:showPercent val="0"/>
              <c:showBubbleSize val="0"/>
            </c:dLbl>
            <c:dLbl>
              <c:idx val="6"/>
              <c:layout>
                <c:manualLayout>
                  <c:x val="2.0624704433369542E-3"/>
                  <c:y val="-1.9305224203096865E-2"/>
                </c:manualLayout>
              </c:layout>
              <c:dLblPos val="ctr"/>
              <c:showLegendKey val="0"/>
              <c:showVal val="1"/>
              <c:showCatName val="0"/>
              <c:showSerName val="0"/>
              <c:showPercent val="0"/>
              <c:showBubbleSize val="0"/>
            </c:dLbl>
            <c:dLbl>
              <c:idx val="7"/>
              <c:layout>
                <c:manualLayout>
                  <c:x val="0"/>
                  <c:y val="-1.7550965862818683E-2"/>
                </c:manualLayout>
              </c:layout>
              <c:dLblPos val="ctr"/>
              <c:showLegendKey val="0"/>
              <c:showVal val="1"/>
              <c:showCatName val="0"/>
              <c:showSerName val="0"/>
              <c:showPercent val="0"/>
              <c:showBubbleSize val="0"/>
            </c:dLbl>
            <c:dLbl>
              <c:idx val="8"/>
              <c:delete val="1"/>
            </c:dLbl>
            <c:dLbl>
              <c:idx val="9"/>
              <c:layout>
                <c:manualLayout>
                  <c:x val="2.0629576410794844E-3"/>
                  <c:y val="-1.9304533205673925E-2"/>
                </c:manualLayout>
              </c:layout>
              <c:dLblPos val="ctr"/>
              <c:showLegendKey val="0"/>
              <c:showVal val="1"/>
              <c:showCatName val="0"/>
              <c:showSerName val="0"/>
              <c:showPercent val="0"/>
              <c:showBubbleSize val="0"/>
            </c:dLbl>
            <c:dLbl>
              <c:idx val="10"/>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1"/>
              <c:layout>
                <c:manualLayout>
                  <c:x val="4.1259325582211305E-3"/>
                  <c:y val="-1.7550834071760633E-2"/>
                </c:manualLayout>
              </c:layout>
              <c:dLblPos val="ctr"/>
              <c:showLegendKey val="0"/>
              <c:showVal val="1"/>
              <c:showCatName val="0"/>
              <c:showSerName val="0"/>
              <c:showPercent val="0"/>
              <c:showBubbleSize val="0"/>
            </c:dLbl>
            <c:dLbl>
              <c:idx val="12"/>
              <c:layout>
                <c:manualLayout>
                  <c:x val="0"/>
                  <c:y val="-1.930596305695274E-2"/>
                </c:manualLayout>
              </c:layout>
              <c:dLblPos val="ctr"/>
              <c:showLegendKey val="0"/>
              <c:showVal val="1"/>
              <c:showCatName val="0"/>
              <c:showSerName val="0"/>
              <c:showPercent val="0"/>
              <c:showBubbleSize val="0"/>
            </c:dLbl>
            <c:dLbl>
              <c:idx val="13"/>
              <c:layout>
                <c:manualLayout>
                  <c:x val="-4.1269115424262745E-3"/>
                  <c:y val="-1.7550586594749291E-2"/>
                </c:manualLayout>
              </c:layout>
              <c:dLblPos val="ctr"/>
              <c:showLegendKey val="0"/>
              <c:showVal val="1"/>
              <c:showCatName val="0"/>
              <c:showSerName val="0"/>
              <c:showPercent val="0"/>
              <c:showBubbleSize val="0"/>
            </c:dLbl>
            <c:dLbl>
              <c:idx val="14"/>
              <c:layout>
                <c:manualLayout>
                  <c:x val="0"/>
                  <c:y val="-1.7550965862818613E-2"/>
                </c:manualLayout>
              </c:layout>
              <c:dLblPos val="ctr"/>
              <c:showLegendKey val="0"/>
              <c:showVal val="1"/>
              <c:showCatName val="0"/>
              <c:showSerName val="0"/>
              <c:showPercent val="0"/>
              <c:showBubbleSize val="0"/>
            </c:dLbl>
            <c:dLbl>
              <c:idx val="15"/>
              <c:layout>
                <c:manualLayout>
                  <c:x val="0"/>
                  <c:y val="-1.7550965862818613E-2"/>
                </c:manualLayout>
              </c:layout>
              <c:dLblPos val="ctr"/>
              <c:showLegendKey val="0"/>
              <c:showVal val="1"/>
              <c:showCatName val="0"/>
              <c:showSerName val="0"/>
              <c:showPercent val="0"/>
              <c:showBubbleSize val="0"/>
            </c:dLbl>
            <c:dLbl>
              <c:idx val="16"/>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7"/>
              <c:layout>
                <c:manualLayout>
                  <c:x val="-1.0312352216684769E-2"/>
                  <c:y val="-1.7550505347145428E-2"/>
                </c:manualLayout>
              </c:layout>
              <c:dLblPos val="ctr"/>
              <c:showLegendKey val="0"/>
              <c:showVal val="1"/>
              <c:showCatName val="0"/>
              <c:showSerName val="0"/>
              <c:showPercent val="0"/>
              <c:showBubbleSize val="0"/>
            </c:dLbl>
            <c:dLbl>
              <c:idx val="18"/>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9"/>
              <c:layout>
                <c:manualLayout>
                  <c:x val="0"/>
                  <c:y val="-1.9305410356555423E-2"/>
                </c:manualLayout>
              </c:layout>
              <c:dLblPos val="ctr"/>
              <c:showLegendKey val="0"/>
              <c:showVal val="1"/>
              <c:showCatName val="0"/>
              <c:showSerName val="0"/>
              <c:showPercent val="0"/>
              <c:showBubbleSize val="0"/>
            </c:dLbl>
            <c:dLbl>
              <c:idx val="20"/>
              <c:layout>
                <c:manualLayout>
                  <c:x val="0"/>
                  <c:y val="-1.755096586281861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4.9000000000000004</c:v>
                </c:pt>
                <c:pt idx="1">
                  <c:v>6.2</c:v>
                </c:pt>
                <c:pt idx="2">
                  <c:v>11.1</c:v>
                </c:pt>
                <c:pt idx="3">
                  <c:v>1.4</c:v>
                </c:pt>
                <c:pt idx="4">
                  <c:v>5.5</c:v>
                </c:pt>
                <c:pt idx="5">
                  <c:v>3.9</c:v>
                </c:pt>
                <c:pt idx="6">
                  <c:v>4.4000000000000004</c:v>
                </c:pt>
                <c:pt idx="7">
                  <c:v>4.7</c:v>
                </c:pt>
                <c:pt idx="8">
                  <c:v>0</c:v>
                </c:pt>
                <c:pt idx="9">
                  <c:v>4.7</c:v>
                </c:pt>
                <c:pt idx="10">
                  <c:v>12.1</c:v>
                </c:pt>
                <c:pt idx="11">
                  <c:v>4.2</c:v>
                </c:pt>
                <c:pt idx="12">
                  <c:v>3.5</c:v>
                </c:pt>
                <c:pt idx="13">
                  <c:v>4.4000000000000004</c:v>
                </c:pt>
                <c:pt idx="14">
                  <c:v>7.9</c:v>
                </c:pt>
                <c:pt idx="15">
                  <c:v>4.8</c:v>
                </c:pt>
                <c:pt idx="16">
                  <c:v>8.8000000000000007</c:v>
                </c:pt>
                <c:pt idx="17">
                  <c:v>2.4</c:v>
                </c:pt>
                <c:pt idx="18">
                  <c:v>11.8</c:v>
                </c:pt>
                <c:pt idx="19">
                  <c:v>6.5</c:v>
                </c:pt>
                <c:pt idx="20">
                  <c:v>3.5</c:v>
                </c:pt>
              </c:numCache>
            </c:numRef>
          </c:val>
        </c:ser>
        <c:ser>
          <c:idx val="3"/>
          <c:order val="3"/>
          <c:tx>
            <c:strRef>
              <c:f>Sheet1!$E$1</c:f>
              <c:strCache>
                <c:ptCount val="1"/>
                <c:pt idx="0">
                  <c:v>プロ野球やＪリーグなどのスポーツ観戦を通して</c:v>
                </c:pt>
              </c:strCache>
            </c:strRef>
          </c:tx>
          <c:spPr>
            <a:pattFill prst="ltDnDiag">
              <a:fgClr>
                <a:sysClr val="windowText" lastClr="000000"/>
              </a:fgClr>
              <a:bgClr>
                <a:sysClr val="window" lastClr="FFFFFF"/>
              </a:bgClr>
            </a:pattFill>
            <a:ln>
              <a:solidFill>
                <a:sysClr val="windowText" lastClr="000000">
                  <a:shade val="95000"/>
                  <a:satMod val="105000"/>
                </a:sysClr>
              </a:solidFill>
            </a:ln>
          </c:spPr>
          <c:invertIfNegative val="0"/>
          <c:dLbls>
            <c:dLbl>
              <c:idx val="0"/>
              <c:layout>
                <c:manualLayout>
                  <c:x val="1.2376884010804197E-2"/>
                  <c:y val="-1.930560773451306E-2"/>
                </c:manualLayout>
              </c:layout>
              <c:dLblPos val="ctr"/>
              <c:showLegendKey val="0"/>
              <c:showVal val="1"/>
              <c:showCatName val="0"/>
              <c:showSerName val="0"/>
              <c:showPercent val="0"/>
              <c:showBubbleSize val="0"/>
            </c:dLbl>
            <c:dLbl>
              <c:idx val="1"/>
              <c:layout>
                <c:manualLayout>
                  <c:x val="2.0634448388220086E-3"/>
                  <c:y val="-1.930591520051991E-2"/>
                </c:manualLayout>
              </c:layout>
              <c:dLblPos val="ctr"/>
              <c:showLegendKey val="0"/>
              <c:showVal val="1"/>
              <c:showCatName val="0"/>
              <c:showSerName val="0"/>
              <c:showPercent val="0"/>
              <c:showBubbleSize val="0"/>
            </c:dLbl>
            <c:dLbl>
              <c:idx val="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3"/>
              <c:layout>
                <c:manualLayout>
                  <c:x val="1.4444515173147111E-2"/>
                  <c:y val="-1.9305548531654681E-2"/>
                </c:manualLayout>
              </c:layout>
              <c:dLblPos val="ctr"/>
              <c:showLegendKey val="0"/>
              <c:showVal val="1"/>
              <c:showCatName val="0"/>
              <c:showSerName val="0"/>
              <c:showPercent val="0"/>
              <c:showBubbleSize val="0"/>
            </c:dLbl>
            <c:dLbl>
              <c:idx val="4"/>
              <c:layout>
                <c:manualLayout>
                  <c:x val="0"/>
                  <c:y val="-1.9305362402581457E-2"/>
                </c:manualLayout>
              </c:layout>
              <c:dLblPos val="ctr"/>
              <c:showLegendKey val="0"/>
              <c:showVal val="1"/>
              <c:showCatName val="0"/>
              <c:showSerName val="0"/>
              <c:showPercent val="0"/>
              <c:showBubbleSize val="0"/>
            </c:dLbl>
            <c:dLbl>
              <c:idx val="5"/>
              <c:layout>
                <c:manualLayout>
                  <c:x val="4.1268896776439756E-3"/>
                  <c:y val="-1.9305500602066154E-2"/>
                </c:manualLayout>
              </c:layout>
              <c:dLblPos val="ctr"/>
              <c:showLegendKey val="0"/>
              <c:showVal val="1"/>
              <c:showCatName val="0"/>
              <c:showSerName val="0"/>
              <c:showPercent val="0"/>
              <c:showBubbleSize val="0"/>
            </c:dLbl>
            <c:dLbl>
              <c:idx val="6"/>
              <c:layout>
                <c:manualLayout>
                  <c:x val="1.4444445347109461E-2"/>
                  <c:y val="-1.9306062449100481E-2"/>
                </c:manualLayout>
              </c:layout>
              <c:dLblPos val="ctr"/>
              <c:showLegendKey val="0"/>
              <c:showVal val="1"/>
              <c:showCatName val="0"/>
              <c:showSerName val="0"/>
              <c:showPercent val="0"/>
              <c:showBubbleSize val="0"/>
            </c:dLbl>
            <c:dLbl>
              <c:idx val="7"/>
              <c:layout>
                <c:manualLayout>
                  <c:x val="-7.566050635300078E-17"/>
                  <c:y val="-1.7550965862818683E-2"/>
                </c:manualLayout>
              </c:layout>
              <c:dLblPos val="ctr"/>
              <c:showLegendKey val="0"/>
              <c:showVal val="1"/>
              <c:showCatName val="0"/>
              <c:showSerName val="0"/>
              <c:showPercent val="0"/>
              <c:showBubbleSize val="0"/>
            </c:dLbl>
            <c:dLbl>
              <c:idx val="8"/>
              <c:delete val="1"/>
            </c:dLbl>
            <c:dLbl>
              <c:idx val="9"/>
              <c:delete val="1"/>
            </c:dLbl>
            <c:dLbl>
              <c:idx val="10"/>
              <c:layout>
                <c:manualLayout>
                  <c:x val="-1.0312352216684693E-2"/>
                  <c:y val="-1.9305777001035328E-2"/>
                </c:manualLayout>
              </c:layout>
              <c:dLblPos val="ctr"/>
              <c:showLegendKey val="0"/>
              <c:showVal val="1"/>
              <c:showCatName val="0"/>
              <c:showSerName val="0"/>
              <c:showPercent val="0"/>
              <c:showBubbleSize val="0"/>
            </c:dLbl>
            <c:dLbl>
              <c:idx val="11"/>
              <c:delete val="1"/>
            </c:dLbl>
            <c:dLbl>
              <c:idx val="12"/>
              <c:layout>
                <c:manualLayout>
                  <c:x val="1.0316304532100399E-2"/>
                  <c:y val="-1.9305134006356708E-2"/>
                </c:manualLayout>
              </c:layout>
              <c:dLblPos val="ctr"/>
              <c:showLegendKey val="0"/>
              <c:showVal val="1"/>
              <c:showCatName val="0"/>
              <c:showSerName val="0"/>
              <c:showPercent val="0"/>
              <c:showBubbleSize val="0"/>
            </c:dLbl>
            <c:dLbl>
              <c:idx val="13"/>
              <c:layout>
                <c:manualLayout>
                  <c:x val="4.1269843848884095E-3"/>
                  <c:y val="-1.7550965862818613E-2"/>
                </c:manualLayout>
              </c:layout>
              <c:dLblPos val="ctr"/>
              <c:showLegendKey val="0"/>
              <c:showVal val="1"/>
              <c:showCatName val="0"/>
              <c:showSerName val="0"/>
              <c:showPercent val="0"/>
              <c:showBubbleSize val="0"/>
            </c:dLbl>
            <c:dLbl>
              <c:idx val="14"/>
              <c:delete val="1"/>
            </c:dLbl>
            <c:dLbl>
              <c:idx val="15"/>
              <c:layout>
                <c:manualLayout>
                  <c:x val="2.0634921924442082E-3"/>
                  <c:y val="-1.7550965862818613E-2"/>
                </c:manualLayout>
              </c:layout>
              <c:dLblPos val="ctr"/>
              <c:showLegendKey val="0"/>
              <c:showVal val="1"/>
              <c:showCatName val="0"/>
              <c:showSerName val="0"/>
              <c:showPercent val="0"/>
              <c:showBubbleSize val="0"/>
            </c:dLbl>
            <c:dLbl>
              <c:idx val="16"/>
              <c:delete val="1"/>
            </c:dLbl>
            <c:dLbl>
              <c:idx val="17"/>
              <c:layout>
                <c:manualLayout>
                  <c:x val="1.0321608973792659E-2"/>
                  <c:y val="-1.7550781746114581E-2"/>
                </c:manualLayout>
              </c:layout>
              <c:dLblPos val="ctr"/>
              <c:showLegendKey val="0"/>
              <c:showVal val="1"/>
              <c:showCatName val="0"/>
              <c:showSerName val="0"/>
              <c:showPercent val="0"/>
              <c:showBubbleSize val="0"/>
            </c:dLbl>
            <c:dLbl>
              <c:idx val="18"/>
              <c:layout>
                <c:manualLayout>
                  <c:x val="2.0634448388220086E-3"/>
                  <c:y val="-1.9305777001035328E-2"/>
                </c:manualLayout>
              </c:layout>
              <c:dLblPos val="ctr"/>
              <c:showLegendKey val="0"/>
              <c:showVal val="1"/>
              <c:showCatName val="0"/>
              <c:showSerName val="0"/>
              <c:showPercent val="0"/>
              <c:showBubbleSize val="0"/>
            </c:dLbl>
            <c:dLbl>
              <c:idx val="19"/>
              <c:layout>
                <c:manualLayout>
                  <c:x val="4.1270520768914767E-3"/>
                  <c:y val="-1.930591520051991E-2"/>
                </c:manualLayout>
              </c:layout>
              <c:dLblPos val="ctr"/>
              <c:showLegendKey val="0"/>
              <c:showVal val="1"/>
              <c:showCatName val="0"/>
              <c:showSerName val="0"/>
              <c:showPercent val="0"/>
              <c:showBubbleSize val="0"/>
            </c:dLbl>
            <c:dLbl>
              <c:idx val="20"/>
              <c:layout>
                <c:manualLayout>
                  <c:x val="1.2380953154665241E-2"/>
                  <c:y val="-1.755096586281861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2.1</c:v>
                </c:pt>
                <c:pt idx="1">
                  <c:v>2.1</c:v>
                </c:pt>
                <c:pt idx="2">
                  <c:v>11.1</c:v>
                </c:pt>
                <c:pt idx="3">
                  <c:v>1.4</c:v>
                </c:pt>
                <c:pt idx="4">
                  <c:v>4.0999999999999996</c:v>
                </c:pt>
                <c:pt idx="5">
                  <c:v>2.1</c:v>
                </c:pt>
                <c:pt idx="6">
                  <c:v>2</c:v>
                </c:pt>
                <c:pt idx="7">
                  <c:v>6.3</c:v>
                </c:pt>
                <c:pt idx="8">
                  <c:v>0</c:v>
                </c:pt>
                <c:pt idx="9">
                  <c:v>0</c:v>
                </c:pt>
                <c:pt idx="10">
                  <c:v>0.9</c:v>
                </c:pt>
                <c:pt idx="11">
                  <c:v>0</c:v>
                </c:pt>
                <c:pt idx="12">
                  <c:v>2.4</c:v>
                </c:pt>
                <c:pt idx="13">
                  <c:v>2.1</c:v>
                </c:pt>
                <c:pt idx="14">
                  <c:v>0</c:v>
                </c:pt>
                <c:pt idx="15">
                  <c:v>2.6</c:v>
                </c:pt>
                <c:pt idx="16">
                  <c:v>0</c:v>
                </c:pt>
                <c:pt idx="17">
                  <c:v>0.8</c:v>
                </c:pt>
                <c:pt idx="18">
                  <c:v>3.9</c:v>
                </c:pt>
                <c:pt idx="19">
                  <c:v>4.0999999999999996</c:v>
                </c:pt>
                <c:pt idx="20">
                  <c:v>1.5</c:v>
                </c:pt>
              </c:numCache>
            </c:numRef>
          </c:val>
        </c:ser>
        <c:ser>
          <c:idx val="4"/>
          <c:order val="4"/>
          <c:tx>
            <c:strRef>
              <c:f>Sheet1!$F$1</c:f>
              <c:strCache>
                <c:ptCount val="1"/>
                <c:pt idx="0">
                  <c:v>美容や健康増進のため</c:v>
                </c:pt>
              </c:strCache>
            </c:strRef>
          </c:tx>
          <c:spPr>
            <a:pattFill prst="pct10">
              <a:fgClr>
                <a:sysClr val="windowText" lastClr="000000"/>
              </a:fgClr>
              <a:bgClr>
                <a:srgbClr val="FFFF00"/>
              </a:bgClr>
            </a:pattFill>
            <a:ln>
              <a:solidFill>
                <a:sysClr val="windowText" lastClr="000000">
                  <a:shade val="95000"/>
                  <a:satMod val="105000"/>
                </a:sysClr>
              </a:solidFill>
            </a:ln>
          </c:spPr>
          <c:invertIfNegative val="0"/>
          <c:dLbls>
            <c:dLbl>
              <c:idx val="2"/>
              <c:delete val="1"/>
            </c:dLbl>
            <c:dLbl>
              <c:idx val="10"/>
              <c:layout>
                <c:manualLayout>
                  <c:x val="2.0624704433369542E-3"/>
                  <c:y val="-1.9306329798973742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18"/>
              <c:layout>
                <c:manualLayout>
                  <c:x val="0"/>
                  <c:y val="-1.930591520051991E-2"/>
                </c:manualLayout>
              </c:layout>
              <c:spPr>
                <a:no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11.4</c:v>
                </c:pt>
                <c:pt idx="1">
                  <c:v>8.2000000000000011</c:v>
                </c:pt>
                <c:pt idx="2">
                  <c:v>0</c:v>
                </c:pt>
                <c:pt idx="3">
                  <c:v>15.9</c:v>
                </c:pt>
                <c:pt idx="4">
                  <c:v>10.6</c:v>
                </c:pt>
                <c:pt idx="5">
                  <c:v>15.2</c:v>
                </c:pt>
                <c:pt idx="6">
                  <c:v>9.4</c:v>
                </c:pt>
                <c:pt idx="7">
                  <c:v>12.5</c:v>
                </c:pt>
                <c:pt idx="8">
                  <c:v>27.3</c:v>
                </c:pt>
                <c:pt idx="9">
                  <c:v>14.8</c:v>
                </c:pt>
                <c:pt idx="10">
                  <c:v>4.3</c:v>
                </c:pt>
                <c:pt idx="11">
                  <c:v>10.6</c:v>
                </c:pt>
                <c:pt idx="12">
                  <c:v>10.6</c:v>
                </c:pt>
                <c:pt idx="13">
                  <c:v>11.8</c:v>
                </c:pt>
                <c:pt idx="14">
                  <c:v>9.6</c:v>
                </c:pt>
                <c:pt idx="15">
                  <c:v>12.2</c:v>
                </c:pt>
                <c:pt idx="16">
                  <c:v>14.7</c:v>
                </c:pt>
                <c:pt idx="17">
                  <c:v>10.3</c:v>
                </c:pt>
                <c:pt idx="18">
                  <c:v>5.9</c:v>
                </c:pt>
                <c:pt idx="19">
                  <c:v>9.8000000000000007</c:v>
                </c:pt>
                <c:pt idx="20">
                  <c:v>11.9</c:v>
                </c:pt>
              </c:numCache>
            </c:numRef>
          </c:val>
        </c:ser>
        <c:ser>
          <c:idx val="5"/>
          <c:order val="5"/>
          <c:tx>
            <c:strRef>
              <c:f>Sheet1!$G$1</c:f>
              <c:strCache>
                <c:ptCount val="1"/>
                <c:pt idx="0">
                  <c:v>その他</c:v>
                </c:pt>
              </c:strCache>
            </c:strRef>
          </c:tx>
          <c:spPr>
            <a:pattFill prst="ltUpDiag">
              <a:fgClr>
                <a:sysClr val="windowText" lastClr="000000"/>
              </a:fgClr>
              <a:bgClr>
                <a:sysClr val="window" lastClr="FFFFFF"/>
              </a:bgClr>
            </a:pattFill>
            <a:ln>
              <a:solidFill>
                <a:sysClr val="windowText" lastClr="000000">
                  <a:shade val="95000"/>
                  <a:satMod val="105000"/>
                </a:sysClr>
              </a:solidFill>
            </a:ln>
          </c:spPr>
          <c:invertIfNegative val="0"/>
          <c:dLbls>
            <c:dLbl>
              <c:idx val="0"/>
              <c:layout>
                <c:manualLayout>
                  <c:x val="0"/>
                  <c:y val="-1.9304809604643151E-2"/>
                </c:manualLayout>
              </c:layout>
              <c:dLblPos val="ctr"/>
              <c:showLegendKey val="0"/>
              <c:showVal val="1"/>
              <c:showCatName val="0"/>
              <c:showSerName val="0"/>
              <c:showPercent val="0"/>
              <c:showBubbleSize val="0"/>
            </c:dLbl>
            <c:dLbl>
              <c:idx val="1"/>
              <c:layout>
                <c:manualLayout>
                  <c:x val="0"/>
                  <c:y val="-1.9306062449100481E-2"/>
                </c:manualLayout>
              </c:layout>
              <c:dLblPos val="ctr"/>
              <c:showLegendKey val="0"/>
              <c:showVal val="1"/>
              <c:showCatName val="0"/>
              <c:showSerName val="0"/>
              <c:showPercent val="0"/>
              <c:showBubbleSize val="0"/>
            </c:dLbl>
            <c:dLbl>
              <c:idx val="2"/>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dLbl>
            <c:dLbl>
              <c:idx val="3"/>
              <c:delete val="1"/>
            </c:dLbl>
            <c:dLbl>
              <c:idx val="4"/>
              <c:layout>
                <c:manualLayout>
                  <c:x val="2.0634921924442082E-3"/>
                  <c:y val="-1.9306062449100481E-2"/>
                </c:manualLayout>
              </c:layout>
              <c:dLblPos val="ctr"/>
              <c:showLegendKey val="0"/>
              <c:showVal val="1"/>
              <c:showCatName val="0"/>
              <c:showSerName val="0"/>
              <c:showPercent val="0"/>
              <c:showBubbleSize val="0"/>
            </c:dLbl>
            <c:dLbl>
              <c:idx val="5"/>
              <c:layout>
                <c:manualLayout>
                  <c:x val="0"/>
                  <c:y val="-1.7550586594749291E-2"/>
                </c:manualLayout>
              </c:layout>
              <c:dLblPos val="ctr"/>
              <c:showLegendKey val="0"/>
              <c:showVal val="1"/>
              <c:showCatName val="0"/>
              <c:showSerName val="0"/>
              <c:showPercent val="0"/>
              <c:showBubbleSize val="0"/>
            </c:dLbl>
            <c:dLbl>
              <c:idx val="6"/>
              <c:layout>
                <c:manualLayout>
                  <c:x val="4.1269843848884095E-3"/>
                  <c:y val="-1.7550965862818613E-2"/>
                </c:manualLayout>
              </c:layout>
              <c:dLblPos val="ctr"/>
              <c:showLegendKey val="0"/>
              <c:showVal val="1"/>
              <c:showCatName val="0"/>
              <c:showSerName val="0"/>
              <c:showPercent val="0"/>
              <c:showBubbleSize val="0"/>
            </c:dLbl>
            <c:dLbl>
              <c:idx val="7"/>
              <c:layout>
                <c:manualLayout>
                  <c:x val="0"/>
                  <c:y val="-1.9306062449100561E-2"/>
                </c:manualLayout>
              </c:layout>
              <c:dLblPos val="ctr"/>
              <c:showLegendKey val="0"/>
              <c:showVal val="1"/>
              <c:showCatName val="0"/>
              <c:showSerName val="0"/>
              <c:showPercent val="0"/>
              <c:showBubbleSize val="0"/>
            </c:dLbl>
            <c:dLbl>
              <c:idx val="8"/>
              <c:layout>
                <c:manualLayout>
                  <c:x val="0"/>
                  <c:y val="-1.7550965862818613E-2"/>
                </c:manualLayout>
              </c:layout>
              <c:dLblPos val="ctr"/>
              <c:showLegendKey val="0"/>
              <c:showVal val="1"/>
              <c:showCatName val="0"/>
              <c:showSerName val="0"/>
              <c:showPercent val="0"/>
              <c:showBubbleSize val="0"/>
            </c:dLbl>
            <c:dLbl>
              <c:idx val="9"/>
              <c:layout>
                <c:manualLayout>
                  <c:x val="0"/>
                  <c:y val="-1.7550695940388029E-2"/>
                </c:manualLayout>
              </c:layout>
              <c:dLblPos val="ctr"/>
              <c:showLegendKey val="0"/>
              <c:showVal val="1"/>
              <c:showCatName val="0"/>
              <c:showSerName val="0"/>
              <c:showPercent val="0"/>
              <c:showBubbleSize val="0"/>
            </c:dLbl>
            <c:dLbl>
              <c:idx val="10"/>
              <c:layout>
                <c:manualLayout>
                  <c:x val="6.1853001397933639E-3"/>
                  <c:y val="-1.930591520051991E-2"/>
                </c:manualLayout>
              </c:layout>
              <c:dLblPos val="ctr"/>
              <c:showLegendKey val="0"/>
              <c:showVal val="1"/>
              <c:showCatName val="0"/>
              <c:showSerName val="0"/>
              <c:showPercent val="0"/>
              <c:showBubbleSize val="0"/>
            </c:dLbl>
            <c:dLbl>
              <c:idx val="11"/>
              <c:layout>
                <c:manualLayout>
                  <c:x val="2.063453593979647E-3"/>
                  <c:y val="-1.7551662859996254E-2"/>
                </c:manualLayout>
              </c:layout>
              <c:dLblPos val="ctr"/>
              <c:showLegendKey val="0"/>
              <c:showVal val="1"/>
              <c:showCatName val="0"/>
              <c:showSerName val="0"/>
              <c:showPercent val="0"/>
              <c:showBubbleSize val="0"/>
            </c:dLbl>
            <c:dLbl>
              <c:idx val="12"/>
              <c:layout>
                <c:manualLayout>
                  <c:x val="-4.1269115424262745E-3"/>
                  <c:y val="-1.7550586594749291E-2"/>
                </c:manualLayout>
              </c:layout>
              <c:dLblPos val="ctr"/>
              <c:showLegendKey val="0"/>
              <c:showVal val="1"/>
              <c:showCatName val="0"/>
              <c:showSerName val="0"/>
              <c:showPercent val="0"/>
              <c:showBubbleSize val="0"/>
            </c:dLbl>
            <c:dLbl>
              <c:idx val="13"/>
              <c:layout>
                <c:manualLayout>
                  <c:x val="-7.566050635300078E-17"/>
                  <c:y val="-1.7550965862818613E-2"/>
                </c:manualLayout>
              </c:layout>
              <c:dLblPos val="ctr"/>
              <c:showLegendKey val="0"/>
              <c:showVal val="1"/>
              <c:showCatName val="0"/>
              <c:showSerName val="0"/>
              <c:showPercent val="0"/>
              <c:showBubbleSize val="0"/>
            </c:dLbl>
            <c:dLbl>
              <c:idx val="14"/>
              <c:layout>
                <c:manualLayout>
                  <c:x val="4.1269843848884095E-3"/>
                  <c:y val="-1.7550965862818613E-2"/>
                </c:manualLayout>
              </c:layout>
              <c:dLblPos val="ctr"/>
              <c:showLegendKey val="0"/>
              <c:showVal val="1"/>
              <c:showCatName val="0"/>
              <c:showSerName val="0"/>
              <c:showPercent val="0"/>
              <c:showBubbleSize val="0"/>
            </c:dLbl>
            <c:dLbl>
              <c:idx val="15"/>
              <c:layout>
                <c:manualLayout>
                  <c:x val="-2.0634921924442841E-3"/>
                  <c:y val="-1.9306062449100481E-2"/>
                </c:manualLayout>
              </c:layout>
              <c:dLblPos val="ctr"/>
              <c:showLegendKey val="0"/>
              <c:showVal val="1"/>
              <c:showCatName val="0"/>
              <c:showSerName val="0"/>
              <c:showPercent val="0"/>
              <c:showBubbleSize val="0"/>
            </c:dLbl>
            <c:dLbl>
              <c:idx val="16"/>
              <c:delete val="1"/>
            </c:dLbl>
            <c:dLbl>
              <c:idx val="17"/>
              <c:layout>
                <c:manualLayout>
                  <c:x val="2.0634921924442082E-3"/>
                  <c:y val="-1.9306062449100481E-2"/>
                </c:manualLayout>
              </c:layout>
              <c:dLblPos val="ctr"/>
              <c:showLegendKey val="0"/>
              <c:showVal val="1"/>
              <c:showCatName val="0"/>
              <c:showSerName val="0"/>
              <c:showPercent val="0"/>
              <c:showBubbleSize val="0"/>
            </c:dLbl>
            <c:dLbl>
              <c:idx val="18"/>
              <c:layout>
                <c:manualLayout>
                  <c:x val="0"/>
                  <c:y val="-1.9306062449100641E-2"/>
                </c:manualLayout>
              </c:layout>
              <c:dLblPos val="ctr"/>
              <c:showLegendKey val="0"/>
              <c:showVal val="1"/>
              <c:showCatName val="0"/>
              <c:showSerName val="0"/>
              <c:showPercent val="0"/>
              <c:showBubbleSize val="0"/>
            </c:dLbl>
            <c:dLbl>
              <c:idx val="19"/>
              <c:layout>
                <c:manualLayout>
                  <c:x val="0"/>
                  <c:y val="-1.930591520051991E-2"/>
                </c:manualLayout>
              </c:layout>
              <c:dLblPos val="ctr"/>
              <c:showLegendKey val="0"/>
              <c:showVal val="1"/>
              <c:showCatName val="0"/>
              <c:showSerName val="0"/>
              <c:showPercent val="0"/>
              <c:showBubbleSize val="0"/>
            </c:dLbl>
            <c:dLbl>
              <c:idx val="20"/>
              <c:layout>
                <c:manualLayout>
                  <c:x val="0"/>
                  <c:y val="-1.755096586281861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2.7</c:v>
                </c:pt>
                <c:pt idx="1">
                  <c:v>3.1</c:v>
                </c:pt>
                <c:pt idx="2">
                  <c:v>11.1</c:v>
                </c:pt>
                <c:pt idx="3">
                  <c:v>0</c:v>
                </c:pt>
                <c:pt idx="4">
                  <c:v>3.7</c:v>
                </c:pt>
                <c:pt idx="5">
                  <c:v>2.8</c:v>
                </c:pt>
                <c:pt idx="6">
                  <c:v>2</c:v>
                </c:pt>
                <c:pt idx="7">
                  <c:v>1.6</c:v>
                </c:pt>
                <c:pt idx="8">
                  <c:v>4.5</c:v>
                </c:pt>
                <c:pt idx="9">
                  <c:v>2</c:v>
                </c:pt>
                <c:pt idx="10">
                  <c:v>3.4</c:v>
                </c:pt>
                <c:pt idx="11">
                  <c:v>3.7</c:v>
                </c:pt>
                <c:pt idx="12">
                  <c:v>2.4</c:v>
                </c:pt>
                <c:pt idx="13">
                  <c:v>3.1</c:v>
                </c:pt>
                <c:pt idx="14">
                  <c:v>2.6</c:v>
                </c:pt>
                <c:pt idx="15">
                  <c:v>1.3</c:v>
                </c:pt>
                <c:pt idx="16">
                  <c:v>0</c:v>
                </c:pt>
                <c:pt idx="17">
                  <c:v>1.6</c:v>
                </c:pt>
                <c:pt idx="18">
                  <c:v>3.9</c:v>
                </c:pt>
                <c:pt idx="19">
                  <c:v>5.7</c:v>
                </c:pt>
                <c:pt idx="20">
                  <c:v>2.5</c:v>
                </c:pt>
              </c:numCache>
            </c:numRef>
          </c:val>
        </c:ser>
        <c:ser>
          <c:idx val="6"/>
          <c:order val="6"/>
          <c:tx>
            <c:strRef>
              <c:f>Sheet1!$H$1</c:f>
              <c:strCache>
                <c:ptCount val="1"/>
                <c:pt idx="0">
                  <c:v>スポーツはやっていない</c:v>
                </c:pt>
              </c:strCache>
            </c:strRef>
          </c:tx>
          <c:spPr>
            <a:pattFill prst="pct60">
              <a:fgClr>
                <a:sysClr val="windowText" lastClr="000000"/>
              </a:fgClr>
              <a:bgClr>
                <a:sysClr val="window" lastClr="FFFFFF"/>
              </a:bgClr>
            </a:pattFill>
            <a:ln>
              <a:solidFill>
                <a:sysClr val="windowText" lastClr="000000">
                  <a:shade val="95000"/>
                  <a:satMod val="105000"/>
                </a:sysClr>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Sheet1!$H$2:$H$22</c:f>
              <c:numCache>
                <c:formatCode>0.0</c:formatCode>
                <c:ptCount val="21"/>
                <c:pt idx="0">
                  <c:v>57.1</c:v>
                </c:pt>
                <c:pt idx="1">
                  <c:v>63.9</c:v>
                </c:pt>
                <c:pt idx="2">
                  <c:v>44.4</c:v>
                </c:pt>
                <c:pt idx="3">
                  <c:v>53.6</c:v>
                </c:pt>
                <c:pt idx="4">
                  <c:v>56</c:v>
                </c:pt>
                <c:pt idx="5">
                  <c:v>52.1</c:v>
                </c:pt>
                <c:pt idx="6">
                  <c:v>65.5</c:v>
                </c:pt>
                <c:pt idx="7">
                  <c:v>40.6</c:v>
                </c:pt>
                <c:pt idx="8">
                  <c:v>54.5</c:v>
                </c:pt>
                <c:pt idx="9">
                  <c:v>60.4</c:v>
                </c:pt>
                <c:pt idx="10">
                  <c:v>38.800000000000004</c:v>
                </c:pt>
                <c:pt idx="11">
                  <c:v>66.099999999999994</c:v>
                </c:pt>
                <c:pt idx="12">
                  <c:v>61.8</c:v>
                </c:pt>
                <c:pt idx="13">
                  <c:v>55.9</c:v>
                </c:pt>
                <c:pt idx="14">
                  <c:v>63.2</c:v>
                </c:pt>
                <c:pt idx="15">
                  <c:v>54.6</c:v>
                </c:pt>
                <c:pt idx="16">
                  <c:v>52.9</c:v>
                </c:pt>
                <c:pt idx="17">
                  <c:v>63.5</c:v>
                </c:pt>
                <c:pt idx="18">
                  <c:v>60.8</c:v>
                </c:pt>
                <c:pt idx="19">
                  <c:v>52.8</c:v>
                </c:pt>
                <c:pt idx="20">
                  <c:v>60.2</c:v>
                </c:pt>
              </c:numCache>
            </c:numRef>
          </c:val>
        </c:ser>
        <c:ser>
          <c:idx val="7"/>
          <c:order val="7"/>
          <c:tx>
            <c:strRef>
              <c:f>Sheet1!$I$1</c:f>
              <c:strCache>
                <c:ptCount val="1"/>
                <c:pt idx="0">
                  <c:v>無回答</c:v>
                </c:pt>
              </c:strCache>
            </c:strRef>
          </c:tx>
          <c:spPr>
            <a:pattFill prst="wdDnDiag">
              <a:fgClr>
                <a:sysClr val="windowText" lastClr="000000"/>
              </a:fgClr>
              <a:bgClr>
                <a:sysClr val="window" lastClr="FFFFFF"/>
              </a:bgClr>
            </a:pattFill>
            <a:ln>
              <a:solidFill>
                <a:sysClr val="windowText" lastClr="000000">
                  <a:shade val="95000"/>
                  <a:satMod val="105000"/>
                </a:sysClr>
              </a:solidFill>
            </a:ln>
          </c:spPr>
          <c:invertIfNegative val="0"/>
          <c:dLbls>
            <c:dLbl>
              <c:idx val="0"/>
              <c:layout>
                <c:manualLayout>
                  <c:x val="0"/>
                  <c:y val="-1.9306062449100481E-2"/>
                </c:manualLayout>
              </c:layout>
              <c:dLblPos val="ctr"/>
              <c:showLegendKey val="0"/>
              <c:showVal val="1"/>
              <c:showCatName val="0"/>
              <c:showSerName val="0"/>
              <c:showPercent val="0"/>
              <c:showBubbleSize val="0"/>
            </c:dLbl>
            <c:dLbl>
              <c:idx val="1"/>
              <c:layout>
                <c:manualLayout>
                  <c:x val="0"/>
                  <c:y val="-1.9306062449100481E-2"/>
                </c:manualLayout>
              </c:layout>
              <c:dLblPos val="ctr"/>
              <c:showLegendKey val="0"/>
              <c:showVal val="1"/>
              <c:showCatName val="0"/>
              <c:showSerName val="0"/>
              <c:showPercent val="0"/>
              <c:showBubbleSize val="0"/>
            </c:dLbl>
            <c:dLbl>
              <c:idx val="2"/>
              <c:delete val="1"/>
            </c:dLbl>
            <c:dLbl>
              <c:idx val="3"/>
              <c:layout>
                <c:manualLayout>
                  <c:x val="0"/>
                  <c:y val="-1.9305607734512838E-2"/>
                </c:manualLayout>
              </c:layout>
              <c:dLblPos val="ctr"/>
              <c:showLegendKey val="0"/>
              <c:showVal val="1"/>
              <c:showCatName val="0"/>
              <c:showSerName val="0"/>
              <c:showPercent val="0"/>
              <c:showBubbleSize val="0"/>
            </c:dLbl>
            <c:dLbl>
              <c:idx val="4"/>
              <c:layout>
                <c:manualLayout>
                  <c:x val="0"/>
                  <c:y val="-1.9305193219810814E-2"/>
                </c:manualLayout>
              </c:layout>
              <c:dLblPos val="ctr"/>
              <c:showLegendKey val="0"/>
              <c:showVal val="1"/>
              <c:showCatName val="0"/>
              <c:showSerName val="0"/>
              <c:showPercent val="0"/>
              <c:showBubbleSize val="0"/>
            </c:dLbl>
            <c:dLbl>
              <c:idx val="5"/>
              <c:delete val="1"/>
            </c:dLbl>
            <c:dLbl>
              <c:idx val="6"/>
              <c:delete val="1"/>
            </c:dLbl>
            <c:dLbl>
              <c:idx val="7"/>
              <c:delete val="1"/>
            </c:dLbl>
            <c:dLbl>
              <c:idx val="8"/>
              <c:delete val="1"/>
            </c:dLbl>
            <c:dLbl>
              <c:idx val="9"/>
              <c:layout>
                <c:manualLayout>
                  <c:x val="0"/>
                  <c:y val="-1.7550965862818613E-2"/>
                </c:manualLayout>
              </c:layout>
              <c:dLblPos val="ctr"/>
              <c:showLegendKey val="0"/>
              <c:showVal val="1"/>
              <c:showCatName val="0"/>
              <c:showSerName val="0"/>
              <c:showPercent val="0"/>
              <c:showBubbleSize val="0"/>
            </c:dLbl>
            <c:dLbl>
              <c:idx val="10"/>
              <c:layout>
                <c:manualLayout>
                  <c:x val="0"/>
                  <c:y val="-1.7550965862818613E-2"/>
                </c:manualLayout>
              </c:layout>
              <c:dLblPos val="ctr"/>
              <c:showLegendKey val="0"/>
              <c:showVal val="1"/>
              <c:showCatName val="0"/>
              <c:showSerName val="0"/>
              <c:showPercent val="0"/>
              <c:showBubbleSize val="0"/>
            </c:dLbl>
            <c:dLbl>
              <c:idx val="11"/>
              <c:layout>
                <c:manualLayout>
                  <c:x val="0"/>
                  <c:y val="-1.7550965862818613E-2"/>
                </c:manualLayout>
              </c:layout>
              <c:dLblPos val="ctr"/>
              <c:showLegendKey val="0"/>
              <c:showVal val="1"/>
              <c:showCatName val="0"/>
              <c:showSerName val="0"/>
              <c:showPercent val="0"/>
              <c:showBubbleSize val="0"/>
            </c:dLbl>
            <c:dLbl>
              <c:idx val="12"/>
              <c:delete val="1"/>
            </c:dLbl>
            <c:dLbl>
              <c:idx val="13"/>
              <c:layout>
                <c:manualLayout>
                  <c:x val="-4.1269843848884095E-3"/>
                  <c:y val="-1.9306062449100481E-2"/>
                </c:manualLayout>
              </c:layout>
              <c:dLblPos val="ctr"/>
              <c:showLegendKey val="0"/>
              <c:showVal val="1"/>
              <c:showCatName val="0"/>
              <c:showSerName val="0"/>
              <c:showPercent val="0"/>
              <c:showBubbleSize val="0"/>
            </c:dLbl>
            <c:dLbl>
              <c:idx val="14"/>
              <c:layout>
                <c:manualLayout>
                  <c:x val="0"/>
                  <c:y val="-1.7550689469655423E-2"/>
                </c:manualLayout>
              </c:layout>
              <c:dLblPos val="ctr"/>
              <c:showLegendKey val="0"/>
              <c:showVal val="1"/>
              <c:showCatName val="0"/>
              <c:showSerName val="0"/>
              <c:showPercent val="0"/>
              <c:showBubbleSize val="0"/>
            </c:dLbl>
            <c:dLbl>
              <c:idx val="15"/>
              <c:layout>
                <c:manualLayout>
                  <c:x val="0"/>
                  <c:y val="-2.1061159035382328E-2"/>
                </c:manualLayout>
              </c:layout>
              <c:dLblPos val="ctr"/>
              <c:showLegendKey val="0"/>
              <c:showVal val="1"/>
              <c:showCatName val="0"/>
              <c:showSerName val="0"/>
              <c:showPercent val="0"/>
              <c:showBubbleSize val="0"/>
            </c:dLbl>
            <c:dLbl>
              <c:idx val="16"/>
              <c:delete val="1"/>
            </c:dLbl>
            <c:dLbl>
              <c:idx val="17"/>
              <c:layout>
                <c:manualLayout>
                  <c:x val="2.0634921924442082E-3"/>
                  <c:y val="-1.5795869276536763E-2"/>
                </c:manualLayout>
              </c:layout>
              <c:dLblPos val="ctr"/>
              <c:showLegendKey val="0"/>
              <c:showVal val="1"/>
              <c:showCatName val="0"/>
              <c:showSerName val="0"/>
              <c:showPercent val="0"/>
              <c:showBubbleSize val="0"/>
            </c:dLbl>
            <c:dLbl>
              <c:idx val="18"/>
              <c:layout>
                <c:manualLayout>
                  <c:x val="-4.1269843848884095E-3"/>
                  <c:y val="-1.9306062449100641E-2"/>
                </c:manualLayout>
              </c:layout>
              <c:dLblPos val="ctr"/>
              <c:showLegendKey val="0"/>
              <c:showVal val="1"/>
              <c:showCatName val="0"/>
              <c:showSerName val="0"/>
              <c:showPercent val="0"/>
              <c:showBubbleSize val="0"/>
            </c:dLbl>
            <c:dLbl>
              <c:idx val="19"/>
              <c:delete val="1"/>
            </c:dLbl>
            <c:dLbl>
              <c:idx val="20"/>
              <c:layout>
                <c:manualLayout>
                  <c:x val="-6.1904765773326195E-3"/>
                  <c:y val="-1.755096586281861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Sheet1!$I$2:$I$22</c:f>
              <c:numCache>
                <c:formatCode>0.0</c:formatCode>
                <c:ptCount val="21"/>
                <c:pt idx="0">
                  <c:v>1.2</c:v>
                </c:pt>
                <c:pt idx="1">
                  <c:v>3.1</c:v>
                </c:pt>
                <c:pt idx="2">
                  <c:v>0</c:v>
                </c:pt>
                <c:pt idx="3">
                  <c:v>2.9</c:v>
                </c:pt>
                <c:pt idx="4">
                  <c:v>0.5</c:v>
                </c:pt>
                <c:pt idx="5">
                  <c:v>0</c:v>
                </c:pt>
                <c:pt idx="6">
                  <c:v>0</c:v>
                </c:pt>
                <c:pt idx="7">
                  <c:v>0</c:v>
                </c:pt>
                <c:pt idx="8">
                  <c:v>0</c:v>
                </c:pt>
                <c:pt idx="9">
                  <c:v>2</c:v>
                </c:pt>
                <c:pt idx="10">
                  <c:v>0.9</c:v>
                </c:pt>
                <c:pt idx="11">
                  <c:v>1.6</c:v>
                </c:pt>
                <c:pt idx="12">
                  <c:v>0</c:v>
                </c:pt>
                <c:pt idx="13">
                  <c:v>0.70000000000000062</c:v>
                </c:pt>
                <c:pt idx="14">
                  <c:v>1.8</c:v>
                </c:pt>
                <c:pt idx="15">
                  <c:v>1.7</c:v>
                </c:pt>
                <c:pt idx="16">
                  <c:v>0</c:v>
                </c:pt>
                <c:pt idx="17">
                  <c:v>0.8</c:v>
                </c:pt>
                <c:pt idx="18">
                  <c:v>2</c:v>
                </c:pt>
                <c:pt idx="19">
                  <c:v>0</c:v>
                </c:pt>
                <c:pt idx="20">
                  <c:v>0.5</c:v>
                </c:pt>
              </c:numCache>
            </c:numRef>
          </c:val>
        </c:ser>
        <c:dLbls>
          <c:showLegendKey val="0"/>
          <c:showVal val="0"/>
          <c:showCatName val="0"/>
          <c:showSerName val="0"/>
          <c:showPercent val="0"/>
          <c:showBubbleSize val="0"/>
        </c:dLbls>
        <c:gapWidth val="70"/>
        <c:overlap val="100"/>
        <c:axId val="158163712"/>
        <c:axId val="158165248"/>
      </c:barChart>
      <c:catAx>
        <c:axId val="15816371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8165248"/>
        <c:crosses val="autoZero"/>
        <c:auto val="1"/>
        <c:lblAlgn val="ctr"/>
        <c:lblOffset val="100"/>
        <c:noMultiLvlLbl val="0"/>
      </c:catAx>
      <c:valAx>
        <c:axId val="15816524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8163712"/>
        <c:crosses val="autoZero"/>
        <c:crossBetween val="between"/>
      </c:valAx>
    </c:plotArea>
    <c:legend>
      <c:legendPos val="r"/>
      <c:layout>
        <c:manualLayout>
          <c:xMode val="edge"/>
          <c:yMode val="edge"/>
          <c:x val="1.5873454310302414E-2"/>
          <c:y val="1.4755659492010661E-3"/>
          <c:w val="0.98412654568969749"/>
          <c:h val="0.13114081692698065"/>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4639509656668931"/>
          <c:w val="0.70210394373780149"/>
          <c:h val="0.73436279730927867"/>
        </c:manualLayout>
      </c:layout>
      <c:barChart>
        <c:barDir val="bar"/>
        <c:grouping val="percentStacked"/>
        <c:varyColors val="0"/>
        <c:ser>
          <c:idx val="0"/>
          <c:order val="0"/>
          <c:tx>
            <c:strRef>
              <c:f>Sheet1!$B$1</c:f>
              <c:strCache>
                <c:ptCount val="1"/>
                <c:pt idx="0">
                  <c:v>学校の体育施設や運動公園など子どもが自由に利用できる場の提供</c:v>
                </c:pt>
              </c:strCache>
            </c:strRef>
          </c:tx>
          <c:spPr>
            <a:pattFill prst="pct80">
              <a:fgClr>
                <a:sysClr val="windowText" lastClr="000000"/>
              </a:fgClr>
              <a:bgClr>
                <a:sysClr val="window" lastClr="FFFFFF"/>
              </a:bgClr>
            </a:pattFill>
            <a:ln>
              <a:solidFill>
                <a:sysClr val="windowText" lastClr="000000"/>
              </a:solidFill>
            </a:ln>
          </c:spPr>
          <c:invertIfNegative val="0"/>
          <c:dLbls>
            <c:dLbl>
              <c:idx val="4"/>
              <c:layout>
                <c:manualLayout>
                  <c:x val="-4.2735042735042739E-3"/>
                  <c:y val="1.6878919074022897E-7"/>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Sheet1!$B$2:$B$11</c:f>
              <c:numCache>
                <c:formatCode>0.0</c:formatCode>
                <c:ptCount val="10"/>
                <c:pt idx="0">
                  <c:v>30</c:v>
                </c:pt>
                <c:pt idx="1">
                  <c:v>33.700000000000003</c:v>
                </c:pt>
                <c:pt idx="2">
                  <c:v>27</c:v>
                </c:pt>
                <c:pt idx="3">
                  <c:v>31</c:v>
                </c:pt>
                <c:pt idx="4">
                  <c:v>37.1</c:v>
                </c:pt>
                <c:pt idx="5">
                  <c:v>33.200000000000003</c:v>
                </c:pt>
                <c:pt idx="6">
                  <c:v>29.4</c:v>
                </c:pt>
                <c:pt idx="7">
                  <c:v>28</c:v>
                </c:pt>
                <c:pt idx="8">
                  <c:v>26.8</c:v>
                </c:pt>
                <c:pt idx="9">
                  <c:v>23.5</c:v>
                </c:pt>
              </c:numCache>
            </c:numRef>
          </c:val>
        </c:ser>
        <c:ser>
          <c:idx val="1"/>
          <c:order val="1"/>
          <c:tx>
            <c:strRef>
              <c:f>Sheet1!$C$1</c:f>
              <c:strCache>
                <c:ptCount val="1"/>
                <c:pt idx="0">
                  <c:v>スポーツクラブやスポーツイベントなど日常的にスポーツができる機会の充実</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Sheet1!$C$2:$C$11</c:f>
              <c:numCache>
                <c:formatCode>0.0</c:formatCode>
                <c:ptCount val="10"/>
                <c:pt idx="0">
                  <c:v>24.6</c:v>
                </c:pt>
                <c:pt idx="1">
                  <c:v>24</c:v>
                </c:pt>
                <c:pt idx="2">
                  <c:v>25.3</c:v>
                </c:pt>
                <c:pt idx="3">
                  <c:v>27.6</c:v>
                </c:pt>
                <c:pt idx="4">
                  <c:v>29.2</c:v>
                </c:pt>
                <c:pt idx="5">
                  <c:v>23.3</c:v>
                </c:pt>
                <c:pt idx="6">
                  <c:v>27.1</c:v>
                </c:pt>
                <c:pt idx="7">
                  <c:v>23.3</c:v>
                </c:pt>
                <c:pt idx="8">
                  <c:v>24.1</c:v>
                </c:pt>
                <c:pt idx="9">
                  <c:v>14.3</c:v>
                </c:pt>
              </c:numCache>
            </c:numRef>
          </c:val>
        </c:ser>
        <c:ser>
          <c:idx val="2"/>
          <c:order val="2"/>
          <c:tx>
            <c:strRef>
              <c:f>Sheet1!$D$1</c:f>
              <c:strCache>
                <c:ptCount val="1"/>
                <c:pt idx="0">
                  <c:v>スポーツに興味・関心を抱かせる体育の授業や幼児教育の充実</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8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Sheet1!$D$2:$D$11</c:f>
              <c:numCache>
                <c:formatCode>0.0</c:formatCode>
                <c:ptCount val="10"/>
                <c:pt idx="0">
                  <c:v>21.4</c:v>
                </c:pt>
                <c:pt idx="1">
                  <c:v>17</c:v>
                </c:pt>
                <c:pt idx="2">
                  <c:v>25.1</c:v>
                </c:pt>
                <c:pt idx="3">
                  <c:v>24.1</c:v>
                </c:pt>
                <c:pt idx="4">
                  <c:v>18.3</c:v>
                </c:pt>
                <c:pt idx="5">
                  <c:v>24.1</c:v>
                </c:pt>
                <c:pt idx="6">
                  <c:v>22.3</c:v>
                </c:pt>
                <c:pt idx="7">
                  <c:v>20.7</c:v>
                </c:pt>
                <c:pt idx="8">
                  <c:v>20.3</c:v>
                </c:pt>
                <c:pt idx="9">
                  <c:v>22.4</c:v>
                </c:pt>
              </c:numCache>
            </c:numRef>
          </c:val>
        </c:ser>
        <c:ser>
          <c:idx val="3"/>
          <c:order val="3"/>
          <c:tx>
            <c:strRef>
              <c:f>Sheet1!$E$1</c:f>
              <c:strCache>
                <c:ptCount val="1"/>
                <c:pt idx="0">
                  <c:v>スポーツへの興味・関心がわくような指導ができる人材の育成</c:v>
                </c:pt>
              </c:strCache>
            </c:strRef>
          </c:tx>
          <c:spPr>
            <a:pattFill prst="ltDnDiag">
              <a:fgClr>
                <a:sysClr val="windowText" lastClr="000000"/>
              </a:fgClr>
              <a:bgClr>
                <a:sysClr val="window" lastClr="FFFFFF"/>
              </a:bgClr>
            </a:pattFill>
            <a:ln>
              <a:solidFill>
                <a:sysClr val="windowText" lastClr="000000">
                  <a:shade val="95000"/>
                  <a:satMod val="105000"/>
                </a:sysClr>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Sheet1!$E$2:$E$11</c:f>
              <c:numCache>
                <c:formatCode>0.0</c:formatCode>
                <c:ptCount val="10"/>
                <c:pt idx="0">
                  <c:v>20.9</c:v>
                </c:pt>
                <c:pt idx="1">
                  <c:v>21.5</c:v>
                </c:pt>
                <c:pt idx="2">
                  <c:v>20.5</c:v>
                </c:pt>
                <c:pt idx="3">
                  <c:v>16.100000000000001</c:v>
                </c:pt>
                <c:pt idx="4">
                  <c:v>12.4</c:v>
                </c:pt>
                <c:pt idx="5">
                  <c:v>16.600000000000001</c:v>
                </c:pt>
                <c:pt idx="6">
                  <c:v>20</c:v>
                </c:pt>
                <c:pt idx="7">
                  <c:v>24.5</c:v>
                </c:pt>
                <c:pt idx="8">
                  <c:v>26.4</c:v>
                </c:pt>
                <c:pt idx="9">
                  <c:v>30.6</c:v>
                </c:pt>
              </c:numCache>
            </c:numRef>
          </c:val>
        </c:ser>
        <c:ser>
          <c:idx val="4"/>
          <c:order val="4"/>
          <c:tx>
            <c:strRef>
              <c:f>Sheet1!$F$1</c:f>
              <c:strCache>
                <c:ptCount val="1"/>
                <c:pt idx="0">
                  <c:v>その他</c:v>
                </c:pt>
              </c:strCache>
            </c:strRef>
          </c:tx>
          <c:spPr>
            <a:pattFill prst="pct10">
              <a:fgClr>
                <a:sysClr val="windowText" lastClr="000000"/>
              </a:fgClr>
              <a:bgClr>
                <a:srgbClr val="FFFF00"/>
              </a:bgClr>
            </a:pattFill>
            <a:ln>
              <a:solidFill>
                <a:sysClr val="windowText" lastClr="000000">
                  <a:shade val="95000"/>
                  <a:satMod val="105000"/>
                </a:sysClr>
              </a:solidFill>
            </a:ln>
          </c:spPr>
          <c:invertIfNegative val="0"/>
          <c:dLbls>
            <c:dLbl>
              <c:idx val="0"/>
              <c:layout>
                <c:manualLayout>
                  <c:x val="-4.2735042735042739E-3"/>
                  <c:y val="-3.3412415454547484E-2"/>
                </c:manualLayout>
              </c:layout>
              <c:dLblPos val="ctr"/>
              <c:showLegendKey val="0"/>
              <c:showVal val="1"/>
              <c:showCatName val="0"/>
              <c:showSerName val="0"/>
              <c:showPercent val="0"/>
              <c:showBubbleSize val="0"/>
            </c:dLbl>
            <c:dLbl>
              <c:idx val="1"/>
              <c:layout>
                <c:manualLayout>
                  <c:x val="0"/>
                  <c:y val="-3.3412415454547435E-2"/>
                </c:manualLayout>
              </c:layout>
              <c:dLblPos val="ctr"/>
              <c:showLegendKey val="0"/>
              <c:showVal val="1"/>
              <c:showCatName val="0"/>
              <c:showSerName val="0"/>
              <c:showPercent val="0"/>
              <c:showBubbleSize val="0"/>
            </c:dLbl>
            <c:dLbl>
              <c:idx val="2"/>
              <c:layout>
                <c:manualLayout>
                  <c:x val="-4.2735042735042739E-3"/>
                  <c:y val="-3.3412415454547484E-2"/>
                </c:manualLayout>
              </c:layout>
              <c:dLblPos val="ctr"/>
              <c:showLegendKey val="0"/>
              <c:showVal val="1"/>
              <c:showCatName val="0"/>
              <c:showSerName val="0"/>
              <c:showPercent val="0"/>
              <c:showBubbleSize val="0"/>
            </c:dLbl>
            <c:dLbl>
              <c:idx val="3"/>
              <c:delete val="1"/>
            </c:dLbl>
            <c:dLbl>
              <c:idx val="4"/>
              <c:layout>
                <c:manualLayout>
                  <c:x val="-6.4102564102564534E-3"/>
                  <c:y val="-3.3412415454547484E-2"/>
                </c:manualLayout>
              </c:layout>
              <c:dLblPos val="ctr"/>
              <c:showLegendKey val="0"/>
              <c:showVal val="1"/>
              <c:showCatName val="0"/>
              <c:showSerName val="0"/>
              <c:showPercent val="0"/>
              <c:showBubbleSize val="0"/>
            </c:dLbl>
            <c:dLbl>
              <c:idx val="5"/>
              <c:layout>
                <c:manualLayout>
                  <c:x val="0"/>
                  <c:y val="-3.3412415454547394E-2"/>
                </c:manualLayout>
              </c:layout>
              <c:dLblPos val="ctr"/>
              <c:showLegendKey val="0"/>
              <c:showVal val="1"/>
              <c:showCatName val="0"/>
              <c:showSerName val="0"/>
              <c:showPercent val="0"/>
              <c:showBubbleSize val="0"/>
            </c:dLbl>
            <c:dLbl>
              <c:idx val="6"/>
              <c:layout>
                <c:manualLayout>
                  <c:x val="-8.5470085470085496E-3"/>
                  <c:y val="-3.5982601258743342E-2"/>
                </c:manualLayout>
              </c:layout>
              <c:dLblPos val="ctr"/>
              <c:showLegendKey val="0"/>
              <c:showVal val="1"/>
              <c:showCatName val="0"/>
              <c:showSerName val="0"/>
              <c:showPercent val="0"/>
              <c:showBubbleSize val="0"/>
            </c:dLbl>
            <c:dLbl>
              <c:idx val="7"/>
              <c:layout>
                <c:manualLayout>
                  <c:x val="-2.136752136752137E-3"/>
                  <c:y val="-3.5982601258743439E-2"/>
                </c:manualLayout>
              </c:layout>
              <c:dLblPos val="ctr"/>
              <c:showLegendKey val="0"/>
              <c:showVal val="1"/>
              <c:showCatName val="0"/>
              <c:showSerName val="0"/>
              <c:showPercent val="0"/>
              <c:showBubbleSize val="0"/>
            </c:dLbl>
            <c:dLbl>
              <c:idx val="8"/>
              <c:layout>
                <c:manualLayout>
                  <c:x val="-4.2735042735042739E-3"/>
                  <c:y val="-3.3412415454547484E-2"/>
                </c:manualLayout>
              </c:layout>
              <c:dLblPos val="ctr"/>
              <c:showLegendKey val="0"/>
              <c:showVal val="1"/>
              <c:showCatName val="0"/>
              <c:showSerName val="0"/>
              <c:showPercent val="0"/>
              <c:showBubbleSize val="0"/>
            </c:dLbl>
            <c:dLbl>
              <c:idx val="9"/>
              <c:layout>
                <c:manualLayout>
                  <c:x val="-6.4102564102564534E-3"/>
                  <c:y val="-2.8272043846155601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Sheet1!$F$2:$F$11</c:f>
              <c:numCache>
                <c:formatCode>0.0</c:formatCode>
                <c:ptCount val="10"/>
                <c:pt idx="0">
                  <c:v>1.5</c:v>
                </c:pt>
                <c:pt idx="1">
                  <c:v>2.4</c:v>
                </c:pt>
                <c:pt idx="2">
                  <c:v>0.8</c:v>
                </c:pt>
                <c:pt idx="3">
                  <c:v>0</c:v>
                </c:pt>
                <c:pt idx="4">
                  <c:v>3</c:v>
                </c:pt>
                <c:pt idx="5">
                  <c:v>2.4</c:v>
                </c:pt>
                <c:pt idx="6">
                  <c:v>0.60000000000000064</c:v>
                </c:pt>
                <c:pt idx="7">
                  <c:v>1.5</c:v>
                </c:pt>
                <c:pt idx="8">
                  <c:v>0.8</c:v>
                </c:pt>
                <c:pt idx="9">
                  <c:v>2</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hade val="95000"/>
                  <a:satMod val="105000"/>
                </a:sysClr>
              </a:solidFill>
            </a:ln>
          </c:spPr>
          <c:invertIfNegative val="0"/>
          <c:dLbls>
            <c:dLbl>
              <c:idx val="0"/>
              <c:layout>
                <c:manualLayout>
                  <c:x val="3.1698297328218612E-2"/>
                  <c:y val="0"/>
                </c:manualLayout>
              </c:layout>
              <c:dLblPos val="ctr"/>
              <c:showLegendKey val="0"/>
              <c:showVal val="1"/>
              <c:showCatName val="0"/>
              <c:showSerName val="0"/>
              <c:showPercent val="0"/>
              <c:showBubbleSize val="0"/>
            </c:dLbl>
            <c:dLbl>
              <c:idx val="1"/>
              <c:layout>
                <c:manualLayout>
                  <c:x val="3.239972407295242E-2"/>
                  <c:y val="4.7119528748112349E-17"/>
                </c:manualLayout>
              </c:layout>
              <c:dLblPos val="ctr"/>
              <c:showLegendKey val="0"/>
              <c:showVal val="1"/>
              <c:showCatName val="0"/>
              <c:showSerName val="0"/>
              <c:showPercent val="0"/>
              <c:showBubbleSize val="0"/>
            </c:dLbl>
            <c:dLbl>
              <c:idx val="2"/>
              <c:layout>
                <c:manualLayout>
                  <c:x val="3.0613769432667082E-2"/>
                  <c:y val="0"/>
                </c:manualLayout>
              </c:layout>
              <c:dLblPos val="ctr"/>
              <c:showLegendKey val="0"/>
              <c:showVal val="1"/>
              <c:showCatName val="0"/>
              <c:showSerName val="0"/>
              <c:showPercent val="0"/>
              <c:showBubbleSize val="0"/>
            </c:dLbl>
            <c:dLbl>
              <c:idx val="3"/>
              <c:layout>
                <c:manualLayout>
                  <c:x val="2.9521333871727611E-2"/>
                  <c:y val="0"/>
                </c:manualLayout>
              </c:layout>
              <c:dLblPos val="ctr"/>
              <c:showLegendKey val="0"/>
              <c:showVal val="1"/>
              <c:showCatName val="0"/>
              <c:showSerName val="0"/>
              <c:showPercent val="0"/>
              <c:showBubbleSize val="0"/>
            </c:dLbl>
            <c:dLbl>
              <c:idx val="4"/>
              <c:delete val="1"/>
            </c:dLbl>
            <c:dLbl>
              <c:idx val="5"/>
              <c:layout>
                <c:manualLayout>
                  <c:x val="2.7709132512282252E-2"/>
                  <c:y val="0"/>
                </c:manualLayout>
              </c:layout>
              <c:dLblPos val="ctr"/>
              <c:showLegendKey val="0"/>
              <c:showVal val="1"/>
              <c:showCatName val="0"/>
              <c:showSerName val="0"/>
              <c:showPercent val="0"/>
              <c:showBubbleSize val="0"/>
            </c:dLbl>
            <c:dLbl>
              <c:idx val="6"/>
              <c:layout>
                <c:manualLayout>
                  <c:x val="2.9143784911501443E-2"/>
                  <c:y val="9.4239057496224611E-17"/>
                </c:manualLayout>
              </c:layout>
              <c:dLblPos val="ctr"/>
              <c:showLegendKey val="0"/>
              <c:showVal val="1"/>
              <c:showCatName val="0"/>
              <c:showSerName val="0"/>
              <c:showPercent val="0"/>
              <c:showBubbleSize val="0"/>
            </c:dLbl>
            <c:dLbl>
              <c:idx val="7"/>
              <c:layout>
                <c:manualLayout>
                  <c:x val="3.2776095295780336E-2"/>
                  <c:y val="0"/>
                </c:manualLayout>
              </c:layout>
              <c:dLblPos val="ctr"/>
              <c:showLegendKey val="0"/>
              <c:showVal val="1"/>
              <c:showCatName val="0"/>
              <c:showSerName val="0"/>
              <c:showPercent val="0"/>
              <c:showBubbleSize val="0"/>
            </c:dLbl>
            <c:dLbl>
              <c:idx val="8"/>
              <c:layout>
                <c:manualLayout>
                  <c:x val="3.2389292684569047E-2"/>
                  <c:y val="0"/>
                </c:manualLayout>
              </c:layout>
              <c:dLblPos val="ctr"/>
              <c:showLegendKey val="0"/>
              <c:showVal val="1"/>
              <c:showCatName val="0"/>
              <c:showSerName val="0"/>
              <c:showPercent val="0"/>
              <c:showBubbleSize val="0"/>
            </c:dLbl>
            <c:dLbl>
              <c:idx val="9"/>
              <c:layout>
                <c:manualLayout>
                  <c:x val="5.1172185207618293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Sheet1!$A$2:$A$11</c:f>
              <c:strCache>
                <c:ptCount val="10"/>
                <c:pt idx="0">
                  <c:v>総合（n=1,608)</c:v>
                </c:pt>
                <c:pt idx="1">
                  <c:v>男性(n=722)</c:v>
                </c:pt>
                <c:pt idx="2">
                  <c:v>女性(n=875)</c:v>
                </c:pt>
                <c:pt idx="3">
                  <c:v>10歳代(n=87)</c:v>
                </c:pt>
                <c:pt idx="4">
                  <c:v>20歳代(n=202)</c:v>
                </c:pt>
                <c:pt idx="5">
                  <c:v>30歳代(n=253)</c:v>
                </c:pt>
                <c:pt idx="6">
                  <c:v>40歳代(n=350)</c:v>
                </c:pt>
                <c:pt idx="7">
                  <c:v>50歳代(n=343)</c:v>
                </c:pt>
                <c:pt idx="8">
                  <c:v>60歳代(n=261)</c:v>
                </c:pt>
                <c:pt idx="9">
                  <c:v>70歳以上(n=98)</c:v>
                </c:pt>
              </c:strCache>
            </c:strRef>
          </c:cat>
          <c:val>
            <c:numRef>
              <c:f>Sheet1!$G$2:$G$11</c:f>
              <c:numCache>
                <c:formatCode>0.0</c:formatCode>
                <c:ptCount val="10"/>
                <c:pt idx="0">
                  <c:v>1.7</c:v>
                </c:pt>
                <c:pt idx="1">
                  <c:v>1.5</c:v>
                </c:pt>
                <c:pt idx="2">
                  <c:v>1.4</c:v>
                </c:pt>
                <c:pt idx="3">
                  <c:v>1.1000000000000001</c:v>
                </c:pt>
                <c:pt idx="4">
                  <c:v>0</c:v>
                </c:pt>
                <c:pt idx="5">
                  <c:v>0.4</c:v>
                </c:pt>
                <c:pt idx="6">
                  <c:v>0.60000000000000064</c:v>
                </c:pt>
                <c:pt idx="7">
                  <c:v>2</c:v>
                </c:pt>
                <c:pt idx="8">
                  <c:v>1.5</c:v>
                </c:pt>
                <c:pt idx="9">
                  <c:v>7.1</c:v>
                </c:pt>
              </c:numCache>
            </c:numRef>
          </c:val>
        </c:ser>
        <c:dLbls>
          <c:showLegendKey val="0"/>
          <c:showVal val="0"/>
          <c:showCatName val="0"/>
          <c:showSerName val="0"/>
          <c:showPercent val="0"/>
          <c:showBubbleSize val="0"/>
        </c:dLbls>
        <c:gapWidth val="90"/>
        <c:overlap val="100"/>
        <c:axId val="158431488"/>
        <c:axId val="158445568"/>
      </c:barChart>
      <c:catAx>
        <c:axId val="15843148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58445568"/>
        <c:crosses val="autoZero"/>
        <c:auto val="1"/>
        <c:lblAlgn val="ctr"/>
        <c:lblOffset val="100"/>
        <c:noMultiLvlLbl val="0"/>
      </c:catAx>
      <c:valAx>
        <c:axId val="15844556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58431488"/>
        <c:crosses val="autoZero"/>
        <c:crossBetween val="between"/>
        <c:majorUnit val="0.1"/>
      </c:valAx>
    </c:plotArea>
    <c:legend>
      <c:legendPos val="r"/>
      <c:layout>
        <c:manualLayout>
          <c:xMode val="edge"/>
          <c:yMode val="edge"/>
          <c:x val="1.427451376270274E-2"/>
          <c:y val="1.8843625254239191E-3"/>
          <c:w val="0.98525641025641031"/>
          <c:h val="0.1860300485077072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50029556931848"/>
          <c:y val="0.17420097428595313"/>
          <c:w val="0.68635495640445165"/>
          <c:h val="0.81488443518159959"/>
        </c:manualLayout>
      </c:layout>
      <c:barChart>
        <c:barDir val="bar"/>
        <c:grouping val="percentStacked"/>
        <c:varyColors val="0"/>
        <c:ser>
          <c:idx val="0"/>
          <c:order val="0"/>
          <c:tx>
            <c:strRef>
              <c:f>Sheet1!$B$1</c:f>
              <c:strCache>
                <c:ptCount val="1"/>
                <c:pt idx="0">
                  <c:v>学校の体育施設や運動公園など子どもが自由に利用できる場の提供</c:v>
                </c:pt>
              </c:strCache>
            </c:strRef>
          </c:tx>
          <c:spPr>
            <a:pattFill prst="pct8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Sheet1!$B$2:$B$22</c:f>
              <c:numCache>
                <c:formatCode>0.0</c:formatCode>
                <c:ptCount val="21"/>
                <c:pt idx="0">
                  <c:v>30</c:v>
                </c:pt>
                <c:pt idx="1">
                  <c:v>33</c:v>
                </c:pt>
                <c:pt idx="2">
                  <c:v>33.300000000000004</c:v>
                </c:pt>
                <c:pt idx="3">
                  <c:v>26.1</c:v>
                </c:pt>
                <c:pt idx="4">
                  <c:v>22.5</c:v>
                </c:pt>
                <c:pt idx="5">
                  <c:v>29.4</c:v>
                </c:pt>
                <c:pt idx="6">
                  <c:v>32.5</c:v>
                </c:pt>
                <c:pt idx="7">
                  <c:v>31.3</c:v>
                </c:pt>
                <c:pt idx="8">
                  <c:v>31.8</c:v>
                </c:pt>
                <c:pt idx="9">
                  <c:v>29.5</c:v>
                </c:pt>
                <c:pt idx="10">
                  <c:v>32.800000000000004</c:v>
                </c:pt>
                <c:pt idx="11">
                  <c:v>30.2</c:v>
                </c:pt>
                <c:pt idx="12">
                  <c:v>35.300000000000004</c:v>
                </c:pt>
                <c:pt idx="13">
                  <c:v>29.6</c:v>
                </c:pt>
                <c:pt idx="14">
                  <c:v>28.9</c:v>
                </c:pt>
                <c:pt idx="15">
                  <c:v>31</c:v>
                </c:pt>
                <c:pt idx="16">
                  <c:v>32.4</c:v>
                </c:pt>
                <c:pt idx="17">
                  <c:v>27.8</c:v>
                </c:pt>
                <c:pt idx="18">
                  <c:v>29.4</c:v>
                </c:pt>
                <c:pt idx="19">
                  <c:v>25.2</c:v>
                </c:pt>
                <c:pt idx="20">
                  <c:v>35.300000000000004</c:v>
                </c:pt>
              </c:numCache>
            </c:numRef>
          </c:val>
        </c:ser>
        <c:ser>
          <c:idx val="1"/>
          <c:order val="1"/>
          <c:tx>
            <c:strRef>
              <c:f>Sheet1!$C$1</c:f>
              <c:strCache>
                <c:ptCount val="1"/>
                <c:pt idx="0">
                  <c:v>スポーツクラブやスポーツイベントなど日常的にスポーツができる機会の充実</c:v>
                </c:pt>
              </c:strCache>
            </c:strRef>
          </c:tx>
          <c:spPr>
            <a:pattFill prst="pct2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Sheet1!$C$2:$C$22</c:f>
              <c:numCache>
                <c:formatCode>0.0</c:formatCode>
                <c:ptCount val="21"/>
                <c:pt idx="0">
                  <c:v>24.6</c:v>
                </c:pt>
                <c:pt idx="1">
                  <c:v>14.4</c:v>
                </c:pt>
                <c:pt idx="2">
                  <c:v>11.1</c:v>
                </c:pt>
                <c:pt idx="3">
                  <c:v>24.6</c:v>
                </c:pt>
                <c:pt idx="4">
                  <c:v>34.4</c:v>
                </c:pt>
                <c:pt idx="5">
                  <c:v>30.9</c:v>
                </c:pt>
                <c:pt idx="6">
                  <c:v>22.2</c:v>
                </c:pt>
                <c:pt idx="7">
                  <c:v>29.7</c:v>
                </c:pt>
                <c:pt idx="8">
                  <c:v>13.6</c:v>
                </c:pt>
                <c:pt idx="9">
                  <c:v>18.100000000000001</c:v>
                </c:pt>
                <c:pt idx="10">
                  <c:v>27.6</c:v>
                </c:pt>
                <c:pt idx="11">
                  <c:v>16.899999999999999</c:v>
                </c:pt>
                <c:pt idx="12">
                  <c:v>24.7</c:v>
                </c:pt>
                <c:pt idx="13">
                  <c:v>23.5</c:v>
                </c:pt>
                <c:pt idx="14">
                  <c:v>24.6</c:v>
                </c:pt>
                <c:pt idx="15">
                  <c:v>26.6</c:v>
                </c:pt>
                <c:pt idx="16">
                  <c:v>20.6</c:v>
                </c:pt>
                <c:pt idx="17">
                  <c:v>27</c:v>
                </c:pt>
                <c:pt idx="18">
                  <c:v>21.6</c:v>
                </c:pt>
                <c:pt idx="19">
                  <c:v>33.300000000000004</c:v>
                </c:pt>
                <c:pt idx="20">
                  <c:v>21.4</c:v>
                </c:pt>
              </c:numCache>
            </c:numRef>
          </c:val>
        </c:ser>
        <c:ser>
          <c:idx val="2"/>
          <c:order val="2"/>
          <c:tx>
            <c:strRef>
              <c:f>Sheet1!$D$1</c:f>
              <c:strCache>
                <c:ptCount val="1"/>
                <c:pt idx="0">
                  <c:v>スポーツに興味・関心を抱かせる体育の授業や幼児教育の充実</c:v>
                </c:pt>
              </c:strCache>
            </c:strRef>
          </c:tx>
          <c:spPr>
            <a:pattFill prst="pct50">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0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Sheet1!$D$2:$D$22</c:f>
              <c:numCache>
                <c:formatCode>0.0</c:formatCode>
                <c:ptCount val="21"/>
                <c:pt idx="0">
                  <c:v>21.4</c:v>
                </c:pt>
                <c:pt idx="1">
                  <c:v>24.7</c:v>
                </c:pt>
                <c:pt idx="2">
                  <c:v>11.1</c:v>
                </c:pt>
                <c:pt idx="3">
                  <c:v>23.2</c:v>
                </c:pt>
                <c:pt idx="4">
                  <c:v>22</c:v>
                </c:pt>
                <c:pt idx="5">
                  <c:v>19.5</c:v>
                </c:pt>
                <c:pt idx="6">
                  <c:v>21.7</c:v>
                </c:pt>
                <c:pt idx="7">
                  <c:v>17.2</c:v>
                </c:pt>
                <c:pt idx="8">
                  <c:v>22.7</c:v>
                </c:pt>
                <c:pt idx="9">
                  <c:v>24.8</c:v>
                </c:pt>
                <c:pt idx="10">
                  <c:v>22.4</c:v>
                </c:pt>
                <c:pt idx="11">
                  <c:v>21.7</c:v>
                </c:pt>
                <c:pt idx="12">
                  <c:v>20.6</c:v>
                </c:pt>
                <c:pt idx="13">
                  <c:v>22.5</c:v>
                </c:pt>
                <c:pt idx="14">
                  <c:v>20.2</c:v>
                </c:pt>
                <c:pt idx="15">
                  <c:v>17.5</c:v>
                </c:pt>
                <c:pt idx="16">
                  <c:v>20.6</c:v>
                </c:pt>
                <c:pt idx="17">
                  <c:v>20.6</c:v>
                </c:pt>
                <c:pt idx="18">
                  <c:v>27.5</c:v>
                </c:pt>
                <c:pt idx="19">
                  <c:v>17.100000000000001</c:v>
                </c:pt>
                <c:pt idx="20">
                  <c:v>25.4</c:v>
                </c:pt>
              </c:numCache>
            </c:numRef>
          </c:val>
        </c:ser>
        <c:ser>
          <c:idx val="3"/>
          <c:order val="3"/>
          <c:tx>
            <c:strRef>
              <c:f>Sheet1!$E$1</c:f>
              <c:strCache>
                <c:ptCount val="1"/>
                <c:pt idx="0">
                  <c:v>スポーツへの興味・関心がわくような指導ができる人材の育成</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c:spPr>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Sheet1!$E$2:$E$22</c:f>
              <c:numCache>
                <c:formatCode>0.0</c:formatCode>
                <c:ptCount val="21"/>
                <c:pt idx="0">
                  <c:v>20.9</c:v>
                </c:pt>
                <c:pt idx="1">
                  <c:v>22.7</c:v>
                </c:pt>
                <c:pt idx="2">
                  <c:v>44.4</c:v>
                </c:pt>
                <c:pt idx="3">
                  <c:v>26.1</c:v>
                </c:pt>
                <c:pt idx="4">
                  <c:v>20.2</c:v>
                </c:pt>
                <c:pt idx="5">
                  <c:v>18.8</c:v>
                </c:pt>
                <c:pt idx="6">
                  <c:v>20.2</c:v>
                </c:pt>
                <c:pt idx="7">
                  <c:v>18.8</c:v>
                </c:pt>
                <c:pt idx="8">
                  <c:v>27.3</c:v>
                </c:pt>
                <c:pt idx="9">
                  <c:v>26.2</c:v>
                </c:pt>
                <c:pt idx="10">
                  <c:v>16.399999999999999</c:v>
                </c:pt>
                <c:pt idx="11">
                  <c:v>23.8</c:v>
                </c:pt>
                <c:pt idx="12">
                  <c:v>15.3</c:v>
                </c:pt>
                <c:pt idx="13">
                  <c:v>21.8</c:v>
                </c:pt>
                <c:pt idx="14">
                  <c:v>22.8</c:v>
                </c:pt>
                <c:pt idx="15">
                  <c:v>21.8</c:v>
                </c:pt>
                <c:pt idx="16">
                  <c:v>23.5</c:v>
                </c:pt>
                <c:pt idx="17">
                  <c:v>21.4</c:v>
                </c:pt>
                <c:pt idx="18">
                  <c:v>19.600000000000001</c:v>
                </c:pt>
                <c:pt idx="19">
                  <c:v>19.5</c:v>
                </c:pt>
                <c:pt idx="20">
                  <c:v>16.399999999999999</c:v>
                </c:pt>
              </c:numCache>
            </c:numRef>
          </c:val>
        </c:ser>
        <c:ser>
          <c:idx val="4"/>
          <c:order val="4"/>
          <c:tx>
            <c:strRef>
              <c:f>Sheet1!$F$1</c:f>
              <c:strCache>
                <c:ptCount val="1"/>
                <c:pt idx="0">
                  <c:v>その他</c:v>
                </c:pt>
              </c:strCache>
            </c:strRef>
          </c:tx>
          <c:spPr>
            <a:pattFill prst="pct10">
              <a:fgClr>
                <a:sysClr val="windowText" lastClr="000000"/>
              </a:fgClr>
              <a:bgClr>
                <a:srgbClr val="FFFF00"/>
              </a:bgClr>
            </a:pattFill>
            <a:ln>
              <a:solidFill>
                <a:sysClr val="windowText" lastClr="000000"/>
              </a:solidFill>
            </a:ln>
          </c:spPr>
          <c:invertIfNegative val="0"/>
          <c:dLbls>
            <c:dLbl>
              <c:idx val="0"/>
              <c:layout>
                <c:manualLayout>
                  <c:x val="-4.1269843848884095E-3"/>
                  <c:y val="-1.9306062449100481E-2"/>
                </c:manualLayout>
              </c:layout>
              <c:dLblPos val="ctr"/>
              <c:showLegendKey val="0"/>
              <c:showVal val="1"/>
              <c:showCatName val="0"/>
              <c:showSerName val="0"/>
              <c:showPercent val="0"/>
              <c:showBubbleSize val="0"/>
            </c:dLbl>
            <c:dLbl>
              <c:idx val="1"/>
              <c:layout>
                <c:manualLayout>
                  <c:x val="0"/>
                  <c:y val="-1.7550965862818582E-2"/>
                </c:manualLayout>
              </c:layout>
              <c:dLblPos val="ctr"/>
              <c:showLegendKey val="0"/>
              <c:showVal val="1"/>
              <c:showCatName val="0"/>
              <c:showSerName val="0"/>
              <c:showPercent val="0"/>
              <c:showBubbleSize val="0"/>
            </c:dLbl>
            <c:dLbl>
              <c:idx val="2"/>
              <c:delete val="1"/>
            </c:dLbl>
            <c:dLbl>
              <c:idx val="3"/>
              <c:delete val="1"/>
            </c:dLbl>
            <c:dLbl>
              <c:idx val="4"/>
              <c:layout>
                <c:manualLayout>
                  <c:x val="-4.1269843848884095E-3"/>
                  <c:y val="-1.7550965862818613E-2"/>
                </c:manualLayout>
              </c:layout>
              <c:dLblPos val="ctr"/>
              <c:showLegendKey val="0"/>
              <c:showVal val="1"/>
              <c:showCatName val="0"/>
              <c:showSerName val="0"/>
              <c:showPercent val="0"/>
              <c:showBubbleSize val="0"/>
            </c:dLbl>
            <c:dLbl>
              <c:idx val="5"/>
              <c:layout>
                <c:manualLayout>
                  <c:x val="-4.1269843848884095E-3"/>
                  <c:y val="-1.7550965862818613E-2"/>
                </c:manualLayout>
              </c:layout>
              <c:dLblPos val="ctr"/>
              <c:showLegendKey val="0"/>
              <c:showVal val="1"/>
              <c:showCatName val="0"/>
              <c:showSerName val="0"/>
              <c:showPercent val="0"/>
              <c:showBubbleSize val="0"/>
            </c:dLbl>
            <c:dLbl>
              <c:idx val="6"/>
              <c:layout>
                <c:manualLayout>
                  <c:x val="0"/>
                  <c:y val="-1.7550965862818613E-2"/>
                </c:manualLayout>
              </c:layout>
              <c:dLblPos val="ctr"/>
              <c:showLegendKey val="0"/>
              <c:showVal val="1"/>
              <c:showCatName val="0"/>
              <c:showSerName val="0"/>
              <c:showPercent val="0"/>
              <c:showBubbleSize val="0"/>
            </c:dLbl>
            <c:dLbl>
              <c:idx val="7"/>
              <c:layout>
                <c:manualLayout>
                  <c:x val="0"/>
                  <c:y val="-1.7550965862818613E-2"/>
                </c:manualLayout>
              </c:layout>
              <c:dLblPos val="ctr"/>
              <c:showLegendKey val="0"/>
              <c:showVal val="1"/>
              <c:showCatName val="0"/>
              <c:showSerName val="0"/>
              <c:showPercent val="0"/>
              <c:showBubbleSize val="0"/>
            </c:dLbl>
            <c:dLbl>
              <c:idx val="8"/>
              <c:layout>
                <c:manualLayout>
                  <c:x val="0"/>
                  <c:y val="-1.7550965862818547E-2"/>
                </c:manualLayout>
              </c:layout>
              <c:dLblPos val="ctr"/>
              <c:showLegendKey val="0"/>
              <c:showVal val="1"/>
              <c:showCatName val="0"/>
              <c:showSerName val="0"/>
              <c:showPercent val="0"/>
              <c:showBubbleSize val="0"/>
            </c:dLbl>
            <c:dLbl>
              <c:idx val="9"/>
              <c:delete val="1"/>
            </c:dLbl>
            <c:dLbl>
              <c:idx val="10"/>
              <c:delete val="1"/>
            </c:dLbl>
            <c:dLbl>
              <c:idx val="11"/>
              <c:layout>
                <c:manualLayout>
                  <c:x val="0"/>
                  <c:y val="-1.7550965862818613E-2"/>
                </c:manualLayout>
              </c:layout>
              <c:dLblPos val="ctr"/>
              <c:showLegendKey val="0"/>
              <c:showVal val="1"/>
              <c:showCatName val="0"/>
              <c:showSerName val="0"/>
              <c:showPercent val="0"/>
              <c:showBubbleSize val="0"/>
            </c:dLbl>
            <c:dLbl>
              <c:idx val="12"/>
              <c:layout>
                <c:manualLayout>
                  <c:x val="-2.0634921924442082E-3"/>
                  <c:y val="-1.9306062449100481E-2"/>
                </c:manualLayout>
              </c:layout>
              <c:dLblPos val="ctr"/>
              <c:showLegendKey val="0"/>
              <c:showVal val="1"/>
              <c:showCatName val="0"/>
              <c:showSerName val="0"/>
              <c:showPercent val="0"/>
              <c:showBubbleSize val="0"/>
            </c:dLbl>
            <c:dLbl>
              <c:idx val="13"/>
              <c:layout>
                <c:manualLayout>
                  <c:x val="-4.1269843848884095E-3"/>
                  <c:y val="-1.7550965862818613E-2"/>
                </c:manualLayout>
              </c:layout>
              <c:dLblPos val="ctr"/>
              <c:showLegendKey val="0"/>
              <c:showVal val="1"/>
              <c:showCatName val="0"/>
              <c:showSerName val="0"/>
              <c:showPercent val="0"/>
              <c:showBubbleSize val="0"/>
            </c:dLbl>
            <c:dLbl>
              <c:idx val="14"/>
              <c:delete val="1"/>
            </c:dLbl>
            <c:dLbl>
              <c:idx val="15"/>
              <c:layout>
                <c:manualLayout>
                  <c:x val="2.0633929556414638E-3"/>
                  <c:y val="-1.9304787272255149E-2"/>
                </c:manualLayout>
              </c:layout>
              <c:dLblPos val="ctr"/>
              <c:showLegendKey val="0"/>
              <c:showVal val="1"/>
              <c:showCatName val="0"/>
              <c:showSerName val="0"/>
              <c:showPercent val="0"/>
              <c:showBubbleSize val="0"/>
            </c:dLbl>
            <c:dLbl>
              <c:idx val="16"/>
              <c:delete val="1"/>
            </c:dLbl>
            <c:dLbl>
              <c:idx val="17"/>
              <c:layout>
                <c:manualLayout>
                  <c:x val="0"/>
                  <c:y val="-1.9306062449100481E-2"/>
                </c:manualLayout>
              </c:layout>
              <c:dLblPos val="ctr"/>
              <c:showLegendKey val="0"/>
              <c:showVal val="1"/>
              <c:showCatName val="0"/>
              <c:showSerName val="0"/>
              <c:showPercent val="0"/>
              <c:showBubbleSize val="0"/>
            </c:dLbl>
            <c:dLbl>
              <c:idx val="18"/>
              <c:delete val="1"/>
            </c:dLbl>
            <c:dLbl>
              <c:idx val="19"/>
              <c:layout>
                <c:manualLayout>
                  <c:x val="0"/>
                  <c:y val="-1.9306062449100363E-2"/>
                </c:manualLayout>
              </c:layout>
              <c:dLblPos val="ctr"/>
              <c:showLegendKey val="0"/>
              <c:showVal val="1"/>
              <c:showCatName val="0"/>
              <c:showSerName val="0"/>
              <c:showPercent val="0"/>
              <c:showBubbleSize val="0"/>
            </c:dLbl>
            <c:dLbl>
              <c:idx val="20"/>
              <c:layout>
                <c:manualLayout>
                  <c:x val="-8.2539687697768191E-3"/>
                  <c:y val="-1.7550965862818613E-2"/>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Sheet1!$F$2:$F$22</c:f>
              <c:numCache>
                <c:formatCode>0.0</c:formatCode>
                <c:ptCount val="21"/>
                <c:pt idx="0">
                  <c:v>1.5</c:v>
                </c:pt>
                <c:pt idx="1">
                  <c:v>1</c:v>
                </c:pt>
                <c:pt idx="2">
                  <c:v>0</c:v>
                </c:pt>
                <c:pt idx="3">
                  <c:v>0</c:v>
                </c:pt>
                <c:pt idx="4">
                  <c:v>0.9</c:v>
                </c:pt>
                <c:pt idx="5">
                  <c:v>1.4</c:v>
                </c:pt>
                <c:pt idx="6">
                  <c:v>2</c:v>
                </c:pt>
                <c:pt idx="7">
                  <c:v>1.6</c:v>
                </c:pt>
                <c:pt idx="8">
                  <c:v>4.5</c:v>
                </c:pt>
                <c:pt idx="9">
                  <c:v>0</c:v>
                </c:pt>
                <c:pt idx="10">
                  <c:v>0</c:v>
                </c:pt>
                <c:pt idx="11">
                  <c:v>2.6</c:v>
                </c:pt>
                <c:pt idx="12">
                  <c:v>2.9</c:v>
                </c:pt>
                <c:pt idx="13">
                  <c:v>1.5</c:v>
                </c:pt>
                <c:pt idx="14">
                  <c:v>0</c:v>
                </c:pt>
                <c:pt idx="15">
                  <c:v>1.3</c:v>
                </c:pt>
                <c:pt idx="16">
                  <c:v>0</c:v>
                </c:pt>
                <c:pt idx="17">
                  <c:v>1.6</c:v>
                </c:pt>
                <c:pt idx="18">
                  <c:v>0</c:v>
                </c:pt>
                <c:pt idx="19">
                  <c:v>3.3</c:v>
                </c:pt>
                <c:pt idx="20">
                  <c:v>1</c:v>
                </c:pt>
              </c:numCache>
            </c:numRef>
          </c:val>
        </c:ser>
        <c:ser>
          <c:idx val="5"/>
          <c:order val="5"/>
          <c:tx>
            <c:strRef>
              <c:f>Sheet1!$G$1</c:f>
              <c:strCache>
                <c:ptCount val="1"/>
                <c:pt idx="0">
                  <c:v>無回答</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layout>
                <c:manualLayout>
                  <c:x val="2.8475797619169789E-2"/>
                  <c:y val="-1.7545410838919388E-3"/>
                </c:manualLayout>
              </c:layout>
              <c:dLblPos val="ctr"/>
              <c:showLegendKey val="0"/>
              <c:showVal val="1"/>
              <c:showCatName val="0"/>
              <c:showSerName val="0"/>
              <c:showPercent val="0"/>
              <c:showBubbleSize val="0"/>
            </c:dLbl>
            <c:dLbl>
              <c:idx val="1"/>
              <c:layout>
                <c:manualLayout>
                  <c:x val="3.6726769891554885E-2"/>
                  <c:y val="1.3815284125133417E-7"/>
                </c:manualLayout>
              </c:layout>
              <c:dLblPos val="ctr"/>
              <c:showLegendKey val="0"/>
              <c:showVal val="1"/>
              <c:showCatName val="0"/>
              <c:showSerName val="0"/>
              <c:showPercent val="0"/>
              <c:showBubbleSize val="0"/>
            </c:dLbl>
            <c:dLbl>
              <c:idx val="2"/>
              <c:delete val="1"/>
            </c:dLbl>
            <c:dLbl>
              <c:idx val="3"/>
              <c:delete val="1"/>
            </c:dLbl>
            <c:dLbl>
              <c:idx val="4"/>
              <c:delete val="1"/>
            </c:dLbl>
            <c:dLbl>
              <c:idx val="5"/>
              <c:delete val="1"/>
            </c:dLbl>
            <c:dLbl>
              <c:idx val="7"/>
              <c:layout>
                <c:manualLayout>
                  <c:x val="2.8825686090844023E-2"/>
                  <c:y val="0"/>
                </c:manualLayout>
              </c:layout>
              <c:dLblPos val="ctr"/>
              <c:showLegendKey val="0"/>
              <c:showVal val="1"/>
              <c:showCatName val="0"/>
              <c:showSerName val="0"/>
              <c:showPercent val="0"/>
              <c:showBubbleSize val="0"/>
            </c:dLbl>
            <c:dLbl>
              <c:idx val="8"/>
              <c:delete val="1"/>
            </c:dLbl>
            <c:dLbl>
              <c:idx val="9"/>
              <c:layout>
                <c:manualLayout>
                  <c:x val="2.7776392187001803E-2"/>
                  <c:y val="0"/>
                </c:manualLayout>
              </c:layout>
              <c:dLblPos val="ctr"/>
              <c:showLegendKey val="0"/>
              <c:showVal val="1"/>
              <c:showCatName val="0"/>
              <c:showSerName val="0"/>
              <c:showPercent val="0"/>
              <c:showBubbleSize val="0"/>
            </c:dLbl>
            <c:dLbl>
              <c:idx val="10"/>
              <c:layout>
                <c:manualLayout>
                  <c:x val="2.5029672855247646E-2"/>
                  <c:y val="6.4352798087991875E-17"/>
                </c:manualLayout>
              </c:layout>
              <c:dLblPos val="ctr"/>
              <c:showLegendKey val="0"/>
              <c:showVal val="1"/>
              <c:showCatName val="0"/>
              <c:showSerName val="0"/>
              <c:showPercent val="0"/>
              <c:showBubbleSize val="0"/>
            </c:dLbl>
            <c:dLbl>
              <c:idx val="11"/>
              <c:layout>
                <c:manualLayout>
                  <c:x val="3.8468043898765396E-2"/>
                  <c:y val="0"/>
                </c:manualLayout>
              </c:layout>
              <c:dLblPos val="ctr"/>
              <c:showLegendKey val="0"/>
              <c:showVal val="1"/>
              <c:showCatName val="0"/>
              <c:showSerName val="0"/>
              <c:showPercent val="0"/>
              <c:showBubbleSize val="0"/>
            </c:dLbl>
            <c:dLbl>
              <c:idx val="12"/>
              <c:layout>
                <c:manualLayout>
                  <c:x val="2.6060444073268595E-2"/>
                  <c:y val="0"/>
                </c:manualLayout>
              </c:layout>
              <c:dLblPos val="ctr"/>
              <c:showLegendKey val="0"/>
              <c:showVal val="1"/>
              <c:showCatName val="0"/>
              <c:showSerName val="0"/>
              <c:showPercent val="0"/>
              <c:showBubbleSize val="0"/>
            </c:dLbl>
            <c:dLbl>
              <c:idx val="13"/>
              <c:layout>
                <c:manualLayout>
                  <c:x val="2.6743346253177997E-2"/>
                  <c:y val="0"/>
                </c:manualLayout>
              </c:layout>
              <c:dLblPos val="ctr"/>
              <c:showLegendKey val="0"/>
              <c:showVal val="1"/>
              <c:showCatName val="0"/>
              <c:showSerName val="0"/>
              <c:showPercent val="0"/>
              <c:showBubbleSize val="0"/>
            </c:dLbl>
            <c:dLbl>
              <c:idx val="14"/>
              <c:layout>
                <c:manualLayout>
                  <c:x val="3.467528025717289E-2"/>
                  <c:y val="-3.5101931725637649E-3"/>
                </c:manualLayout>
              </c:layout>
              <c:dLblPos val="ctr"/>
              <c:showLegendKey val="0"/>
              <c:showVal val="1"/>
              <c:showCatName val="0"/>
              <c:showSerName val="0"/>
              <c:showPercent val="0"/>
              <c:showBubbleSize val="0"/>
            </c:dLbl>
            <c:dLbl>
              <c:idx val="15"/>
              <c:layout>
                <c:manualLayout>
                  <c:x val="2.846579355491775E-2"/>
                  <c:y val="0"/>
                </c:manualLayout>
              </c:layout>
              <c:dLblPos val="ctr"/>
              <c:showLegendKey val="0"/>
              <c:showVal val="1"/>
              <c:showCatName val="0"/>
              <c:showSerName val="0"/>
              <c:showPercent val="0"/>
              <c:showBubbleSize val="0"/>
            </c:dLbl>
            <c:dLbl>
              <c:idx val="16"/>
              <c:layout>
                <c:manualLayout>
                  <c:x val="3.2607401112824147E-2"/>
                  <c:y val="0"/>
                </c:manualLayout>
              </c:layout>
              <c:dLblPos val="ctr"/>
              <c:showLegendKey val="0"/>
              <c:showVal val="1"/>
              <c:showCatName val="0"/>
              <c:showSerName val="0"/>
              <c:showPercent val="0"/>
              <c:showBubbleSize val="0"/>
            </c:dLbl>
            <c:dLbl>
              <c:idx val="17"/>
              <c:layout>
                <c:manualLayout>
                  <c:x val="2.8814799950931128E-2"/>
                  <c:y val="0"/>
                </c:manualLayout>
              </c:layout>
              <c:dLblPos val="ctr"/>
              <c:showLegendKey val="0"/>
              <c:showVal val="1"/>
              <c:showCatName val="0"/>
              <c:showSerName val="0"/>
              <c:showPercent val="0"/>
              <c:showBubbleSize val="0"/>
            </c:dLbl>
            <c:dLbl>
              <c:idx val="18"/>
              <c:layout>
                <c:manualLayout>
                  <c:x val="2.9512325303857348E-2"/>
                  <c:y val="0"/>
                </c:manualLayout>
              </c:layout>
              <c:dLblPos val="ctr"/>
              <c:showLegendKey val="0"/>
              <c:showVal val="1"/>
              <c:showCatName val="0"/>
              <c:showSerName val="0"/>
              <c:showPercent val="0"/>
              <c:showBubbleSize val="0"/>
            </c:dLbl>
            <c:dLbl>
              <c:idx val="19"/>
              <c:layout>
                <c:manualLayout>
                  <c:x val="2.8814799950931128E-2"/>
                  <c:y val="1.287055961759852E-16"/>
                </c:manualLayout>
              </c:layout>
              <c:dLblPos val="ctr"/>
              <c:showLegendKey val="0"/>
              <c:showVal val="1"/>
              <c:showCatName val="0"/>
              <c:showSerName val="0"/>
              <c:showPercent val="0"/>
              <c:showBubbleSize val="0"/>
            </c:dLbl>
            <c:dLbl>
              <c:idx val="20"/>
              <c:layout>
                <c:manualLayout>
                  <c:x val="2.4335722055725692E-2"/>
                  <c:y val="0"/>
                </c:manualLayout>
              </c:layout>
              <c:dLblPos val="ctr"/>
              <c:showLegendKey val="0"/>
              <c:showVal val="1"/>
              <c:showCatName val="0"/>
              <c:showSerName val="0"/>
              <c:showPercent val="0"/>
              <c:showBubbleSize val="0"/>
            </c:dLbl>
            <c:txPr>
              <a:bodyPr/>
              <a:lstStyle/>
              <a:p>
                <a:pPr>
                  <a:defRPr sz="750">
                    <a:latin typeface="ＭＳ 明朝" panose="02020609040205080304" pitchFamily="17" charset="-128"/>
                    <a:ea typeface="ＭＳ 明朝" panose="02020609040205080304" pitchFamily="17" charset="-128"/>
                  </a:defRPr>
                </a:pPr>
                <a:endParaRPr lang="ja-JP"/>
              </a:p>
            </c:txPr>
            <c:dLblPos val="inBase"/>
            <c:showLegendKey val="0"/>
            <c:showVal val="1"/>
            <c:showCatName val="0"/>
            <c:showSerName val="0"/>
            <c:showPercent val="0"/>
            <c:showBubbleSize val="0"/>
            <c:showLeaderLines val="0"/>
          </c:dLbls>
          <c:cat>
            <c:strRef>
              <c:f>Sheet1!$A$2:$A$22</c:f>
              <c:strCache>
                <c:ptCount val="21"/>
                <c:pt idx="0">
                  <c:v>総合(n=1,608)</c:v>
                </c:pt>
                <c:pt idx="1">
                  <c:v>農林業(n=97)</c:v>
                </c:pt>
                <c:pt idx="2">
                  <c:v>漁業(n=9)</c:v>
                </c:pt>
                <c:pt idx="3">
                  <c:v>商工サービス業自営(n=69)</c:v>
                </c:pt>
                <c:pt idx="4">
                  <c:v>事務職(n=218)</c:v>
                </c:pt>
                <c:pt idx="5">
                  <c:v>技術職(n=282)</c:v>
                </c:pt>
                <c:pt idx="6">
                  <c:v>労務職(n=203)</c:v>
                </c:pt>
                <c:pt idx="7">
                  <c:v>管理職(n=64)</c:v>
                </c:pt>
                <c:pt idx="8">
                  <c:v>自由業(n=22)</c:v>
                </c:pt>
                <c:pt idx="9">
                  <c:v>主婦・主夫(n=149)</c:v>
                </c:pt>
                <c:pt idx="10">
                  <c:v>学生(n=116)</c:v>
                </c:pt>
                <c:pt idx="11">
                  <c:v>無職(n=189)</c:v>
                </c:pt>
                <c:pt idx="12">
                  <c:v>その他(n=170)</c:v>
                </c:pt>
                <c:pt idx="13">
                  <c:v>高知市(n=710)</c:v>
                </c:pt>
                <c:pt idx="14">
                  <c:v>安芸広域圏(n=114)</c:v>
                </c:pt>
                <c:pt idx="15">
                  <c:v>南国・香美広域圏(n=229)</c:v>
                </c:pt>
                <c:pt idx="16">
                  <c:v>嶺北広域圏(n=34)</c:v>
                </c:pt>
                <c:pt idx="17">
                  <c:v>仁淀川広域圏(n=126)</c:v>
                </c:pt>
                <c:pt idx="18">
                  <c:v>高吾北広域圏(n=51)</c:v>
                </c:pt>
                <c:pt idx="19">
                  <c:v>高幡広域圏(n=123)</c:v>
                </c:pt>
                <c:pt idx="20">
                  <c:v>幡多広域圏(n=201)</c:v>
                </c:pt>
              </c:strCache>
            </c:strRef>
          </c:cat>
          <c:val>
            <c:numRef>
              <c:f>Sheet1!$G$2:$G$22</c:f>
              <c:numCache>
                <c:formatCode>0.0</c:formatCode>
                <c:ptCount val="21"/>
                <c:pt idx="0">
                  <c:v>1.7</c:v>
                </c:pt>
                <c:pt idx="1">
                  <c:v>4.0999999999999996</c:v>
                </c:pt>
                <c:pt idx="2">
                  <c:v>0</c:v>
                </c:pt>
                <c:pt idx="3">
                  <c:v>0</c:v>
                </c:pt>
                <c:pt idx="4">
                  <c:v>0</c:v>
                </c:pt>
                <c:pt idx="5">
                  <c:v>0</c:v>
                </c:pt>
                <c:pt idx="6">
                  <c:v>1.5</c:v>
                </c:pt>
                <c:pt idx="7">
                  <c:v>1.6</c:v>
                </c:pt>
                <c:pt idx="8">
                  <c:v>0</c:v>
                </c:pt>
                <c:pt idx="9">
                  <c:v>1.3</c:v>
                </c:pt>
                <c:pt idx="10">
                  <c:v>0.9</c:v>
                </c:pt>
                <c:pt idx="11">
                  <c:v>4.8</c:v>
                </c:pt>
                <c:pt idx="12">
                  <c:v>1.2</c:v>
                </c:pt>
                <c:pt idx="13">
                  <c:v>1</c:v>
                </c:pt>
                <c:pt idx="14">
                  <c:v>3.5</c:v>
                </c:pt>
                <c:pt idx="15">
                  <c:v>1.7</c:v>
                </c:pt>
                <c:pt idx="16">
                  <c:v>2.9</c:v>
                </c:pt>
                <c:pt idx="17">
                  <c:v>1.6</c:v>
                </c:pt>
                <c:pt idx="18">
                  <c:v>2</c:v>
                </c:pt>
                <c:pt idx="19">
                  <c:v>1.6</c:v>
                </c:pt>
                <c:pt idx="20">
                  <c:v>0.5</c:v>
                </c:pt>
              </c:numCache>
            </c:numRef>
          </c:val>
        </c:ser>
        <c:dLbls>
          <c:showLegendKey val="0"/>
          <c:showVal val="0"/>
          <c:showCatName val="0"/>
          <c:showSerName val="0"/>
          <c:showPercent val="0"/>
          <c:showBubbleSize val="0"/>
        </c:dLbls>
        <c:gapWidth val="70"/>
        <c:overlap val="100"/>
        <c:axId val="158610176"/>
        <c:axId val="158611712"/>
      </c:barChart>
      <c:catAx>
        <c:axId val="15861017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8611712"/>
        <c:crosses val="autoZero"/>
        <c:auto val="1"/>
        <c:lblAlgn val="ctr"/>
        <c:lblOffset val="100"/>
        <c:noMultiLvlLbl val="0"/>
      </c:catAx>
      <c:valAx>
        <c:axId val="15861171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crossAx val="158610176"/>
        <c:crosses val="autoZero"/>
        <c:crossBetween val="between"/>
      </c:valAx>
    </c:plotArea>
    <c:legend>
      <c:legendPos val="r"/>
      <c:layout>
        <c:manualLayout>
          <c:xMode val="edge"/>
          <c:yMode val="edge"/>
          <c:x val="1.5873454310302414E-2"/>
          <c:y val="1.4755659492010661E-3"/>
          <c:w val="0.98333023267905462"/>
          <c:h val="0.13521264100715474"/>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6"/>
              <c:layout>
                <c:manualLayout>
                  <c:x val="3.7504237512016064E-2"/>
                  <c:y val="4.4844058430051896E-2"/>
                </c:manualLayout>
              </c:layout>
              <c:dLblPos val="outEnd"/>
              <c:showLegendKey val="0"/>
              <c:showVal val="1"/>
              <c:showCatName val="0"/>
              <c:showSerName val="0"/>
              <c:showPercent val="0"/>
              <c:showBubbleSize val="0"/>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dLbls>
          <c:cat>
            <c:strRef>
              <c:f>Sheet1!$B$1:$H$1</c:f>
              <c:strCache>
                <c:ptCount val="7"/>
                <c:pt idx="0">
                  <c:v>企業に給料、福利厚生等を改善するよう働きかける</c:v>
                </c:pt>
                <c:pt idx="1">
                  <c:v>多種多様な職場を数多くつくる</c:v>
                </c:pt>
                <c:pt idx="2">
                  <c:v>小さい頃から県内企業の職場体験や企業訪問などを通して、仕事への理解を深める取り組みを行う</c:v>
                </c:pt>
                <c:pt idx="3">
                  <c:v>県内で頑張っている企業の情報を全国に発信する</c:v>
                </c:pt>
                <c:pt idx="4">
                  <c:v>県内か県外への進路を決める高校生等に対する、県内企業の紹介を強化する</c:v>
                </c:pt>
                <c:pt idx="5">
                  <c:v>新しい事業を起こしやすい環境を整備する</c:v>
                </c:pt>
                <c:pt idx="6">
                  <c:v>その他</c:v>
                </c:pt>
              </c:strCache>
            </c:strRef>
          </c:cat>
          <c:val>
            <c:numRef>
              <c:f>Sheet1!$B$2:$H$2</c:f>
              <c:numCache>
                <c:formatCode>0.0</c:formatCode>
                <c:ptCount val="7"/>
                <c:pt idx="0">
                  <c:v>51.2</c:v>
                </c:pt>
                <c:pt idx="1">
                  <c:v>37.300000000000004</c:v>
                </c:pt>
                <c:pt idx="2">
                  <c:v>29.9</c:v>
                </c:pt>
                <c:pt idx="3">
                  <c:v>24.3</c:v>
                </c:pt>
                <c:pt idx="4">
                  <c:v>23.3</c:v>
                </c:pt>
                <c:pt idx="5">
                  <c:v>14</c:v>
                </c:pt>
                <c:pt idx="6">
                  <c:v>3.5</c:v>
                </c:pt>
              </c:numCache>
            </c:numRef>
          </c:val>
        </c:ser>
        <c:dLbls>
          <c:showLegendKey val="0"/>
          <c:showVal val="1"/>
          <c:showCatName val="0"/>
          <c:showSerName val="0"/>
          <c:showPercent val="0"/>
          <c:showBubbleSize val="0"/>
        </c:dLbls>
        <c:gapWidth val="100"/>
        <c:axId val="158739456"/>
        <c:axId val="15874944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4"/>
              <c:layout>
                <c:manualLayout>
                  <c:x val="-3.8676957681326209E-2"/>
                  <c:y val="-2.9106081586708247E-2"/>
                </c:manualLayout>
              </c:layout>
              <c:dLblPos val="r"/>
              <c:showLegendKey val="0"/>
              <c:showVal val="1"/>
              <c:showCatName val="0"/>
              <c:showSerName val="0"/>
              <c:showPercent val="0"/>
              <c:showBubbleSize val="0"/>
            </c:dLbl>
            <c:dLbl>
              <c:idx val="5"/>
              <c:layout>
                <c:manualLayout>
                  <c:x val="-3.8676957681326209E-2"/>
                  <c:y val="-3.1215217933571855E-2"/>
                </c:manualLayout>
              </c:layout>
              <c:dLblPos val="r"/>
              <c:showLegendKey val="0"/>
              <c:showVal val="1"/>
              <c:showCatName val="0"/>
              <c:showSerName val="0"/>
              <c:showPercent val="0"/>
              <c:showBubbleSize val="0"/>
            </c:dLbl>
            <c:dLbl>
              <c:idx val="6"/>
              <c:layout>
                <c:manualLayout>
                  <c:x val="-1.135800897154722E-3"/>
                  <c:y val="-4.5979172361611455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pPr>
                <a:endParaRPr lang="ja-JP"/>
              </a:p>
            </c:txPr>
            <c:dLblPos val="b"/>
            <c:showLegendKey val="0"/>
            <c:showVal val="1"/>
            <c:showCatName val="0"/>
            <c:showSerName val="0"/>
            <c:showPercent val="0"/>
            <c:showBubbleSize val="0"/>
            <c:showLeaderLines val="0"/>
          </c:dLbls>
          <c:cat>
            <c:strRef>
              <c:f>Sheet1!$B$1:$H$1</c:f>
              <c:strCache>
                <c:ptCount val="7"/>
                <c:pt idx="0">
                  <c:v>企業に給料、福利厚生等を改善するよう働きかける</c:v>
                </c:pt>
                <c:pt idx="1">
                  <c:v>多種多様な職場を数多くつくる</c:v>
                </c:pt>
                <c:pt idx="2">
                  <c:v>小さい頃から県内企業の職場体験や企業訪問などを通して、仕事への理解を深める取り組みを行う</c:v>
                </c:pt>
                <c:pt idx="3">
                  <c:v>県内で頑張っている企業の情報を全国に発信する</c:v>
                </c:pt>
                <c:pt idx="4">
                  <c:v>県内か県外への進路を決める高校生等に対する、県内企業の紹介を強化する</c:v>
                </c:pt>
                <c:pt idx="5">
                  <c:v>新しい事業を起こしやすい環境を整備する</c:v>
                </c:pt>
                <c:pt idx="6">
                  <c:v>その他</c:v>
                </c:pt>
              </c:strCache>
            </c:strRef>
          </c:cat>
          <c:val>
            <c:numRef>
              <c:f>Sheet1!$B$3:$H$3</c:f>
              <c:numCache>
                <c:formatCode>0.0</c:formatCode>
                <c:ptCount val="7"/>
                <c:pt idx="0">
                  <c:v>49.4</c:v>
                </c:pt>
                <c:pt idx="1">
                  <c:v>36.1</c:v>
                </c:pt>
                <c:pt idx="2">
                  <c:v>28</c:v>
                </c:pt>
                <c:pt idx="3">
                  <c:v>23.1</c:v>
                </c:pt>
                <c:pt idx="4">
                  <c:v>25.6</c:v>
                </c:pt>
                <c:pt idx="5">
                  <c:v>18.7</c:v>
                </c:pt>
                <c:pt idx="6">
                  <c:v>4.2</c:v>
                </c:pt>
              </c:numCache>
            </c:numRef>
          </c:val>
          <c:smooth val="0"/>
        </c:ser>
        <c:ser>
          <c:idx val="1"/>
          <c:order val="2"/>
          <c:tx>
            <c:strRef>
              <c:f>Sheet1!$A$4</c:f>
              <c:strCache>
                <c:ptCount val="1"/>
                <c:pt idx="0">
                  <c:v>女性</c:v>
                </c:pt>
              </c:strCache>
            </c:strRef>
          </c:tx>
          <c:spPr>
            <a:ln>
              <a:prstDash val="sysDash"/>
            </a:ln>
          </c:spPr>
          <c:marker>
            <c:symbol val="square"/>
            <c:size val="7"/>
          </c:marker>
          <c:dLbls>
            <c:dLbl>
              <c:idx val="4"/>
              <c:layout>
                <c:manualLayout>
                  <c:x val="-3.6468036606853091E-2"/>
                  <c:y val="2.9106081586708247E-2"/>
                </c:manualLayout>
              </c:layout>
              <c:dLblPos val="r"/>
              <c:showLegendKey val="0"/>
              <c:showVal val="1"/>
              <c:showCatName val="0"/>
              <c:showSerName val="0"/>
              <c:showPercent val="0"/>
              <c:showBubbleSize val="0"/>
            </c:dLbl>
            <c:dLbl>
              <c:idx val="5"/>
              <c:layout>
                <c:manualLayout>
                  <c:x val="-3.6468036606853091E-2"/>
                  <c:y val="2.4887808892982421E-2"/>
                </c:manualLayout>
              </c:layout>
              <c:dLblPos val="r"/>
              <c:showLegendKey val="0"/>
              <c:showVal val="1"/>
              <c:showCatName val="0"/>
              <c:showSerName val="0"/>
              <c:showPercent val="0"/>
              <c:showBubbleSize val="0"/>
            </c:dLbl>
            <c:dLbl>
              <c:idx val="6"/>
              <c:layout>
                <c:manualLayout>
                  <c:x val="1.041943903052946E-3"/>
                  <c:y val="-2.3622327084865186E-2"/>
                </c:manualLayout>
              </c:layout>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pPr>
                <a:endParaRPr lang="ja-JP"/>
              </a:p>
            </c:txPr>
            <c:dLblPos val="t"/>
            <c:showLegendKey val="0"/>
            <c:showVal val="1"/>
            <c:showCatName val="0"/>
            <c:showSerName val="0"/>
            <c:showPercent val="0"/>
            <c:showBubbleSize val="0"/>
            <c:showLeaderLines val="0"/>
          </c:dLbls>
          <c:cat>
            <c:strRef>
              <c:f>Sheet1!$B$1:$H$1</c:f>
              <c:strCache>
                <c:ptCount val="7"/>
                <c:pt idx="0">
                  <c:v>企業に給料、福利厚生等を改善するよう働きかける</c:v>
                </c:pt>
                <c:pt idx="1">
                  <c:v>多種多様な職場を数多くつくる</c:v>
                </c:pt>
                <c:pt idx="2">
                  <c:v>小さい頃から県内企業の職場体験や企業訪問などを通して、仕事への理解を深める取り組みを行う</c:v>
                </c:pt>
                <c:pt idx="3">
                  <c:v>県内で頑張っている企業の情報を全国に発信する</c:v>
                </c:pt>
                <c:pt idx="4">
                  <c:v>県内か県外への進路を決める高校生等に対する、県内企業の紹介を強化する</c:v>
                </c:pt>
                <c:pt idx="5">
                  <c:v>新しい事業を起こしやすい環境を整備する</c:v>
                </c:pt>
                <c:pt idx="6">
                  <c:v>その他</c:v>
                </c:pt>
              </c:strCache>
            </c:strRef>
          </c:cat>
          <c:val>
            <c:numRef>
              <c:f>Sheet1!$B$4:$H$4</c:f>
              <c:numCache>
                <c:formatCode>0.0</c:formatCode>
                <c:ptCount val="7"/>
                <c:pt idx="0">
                  <c:v>52.9</c:v>
                </c:pt>
                <c:pt idx="1">
                  <c:v>38.4</c:v>
                </c:pt>
                <c:pt idx="2">
                  <c:v>31.4</c:v>
                </c:pt>
                <c:pt idx="3">
                  <c:v>25.3</c:v>
                </c:pt>
                <c:pt idx="4">
                  <c:v>21.5</c:v>
                </c:pt>
                <c:pt idx="5">
                  <c:v>10.200000000000001</c:v>
                </c:pt>
                <c:pt idx="6">
                  <c:v>3</c:v>
                </c:pt>
              </c:numCache>
            </c:numRef>
          </c:val>
          <c:smooth val="0"/>
        </c:ser>
        <c:dLbls>
          <c:showLegendKey val="0"/>
          <c:showVal val="0"/>
          <c:showCatName val="0"/>
          <c:showSerName val="0"/>
          <c:showPercent val="0"/>
          <c:showBubbleSize val="0"/>
        </c:dLbls>
        <c:marker val="1"/>
        <c:smooth val="0"/>
        <c:axId val="158739456"/>
        <c:axId val="158749440"/>
      </c:lineChart>
      <c:catAx>
        <c:axId val="158739456"/>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8749440"/>
        <c:crosses val="autoZero"/>
        <c:auto val="1"/>
        <c:lblAlgn val="ctr"/>
        <c:lblOffset val="100"/>
        <c:noMultiLvlLbl val="0"/>
      </c:catAx>
      <c:valAx>
        <c:axId val="158749440"/>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8739456"/>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39439893242738"/>
          <c:y val="4.5945260968926364E-2"/>
          <c:w val="0.7124665348042114"/>
          <c:h val="0.93826395238965121"/>
        </c:manualLayout>
      </c:layout>
      <c:barChart>
        <c:barDir val="bar"/>
        <c:grouping val="clustered"/>
        <c:varyColors val="0"/>
        <c:ser>
          <c:idx val="3"/>
          <c:order val="0"/>
          <c:tx>
            <c:strRef>
              <c:f>Sheet1!$B$1</c:f>
              <c:strCache>
                <c:ptCount val="1"/>
                <c:pt idx="0">
                  <c:v>10歳代</c:v>
                </c:pt>
              </c:strCache>
            </c:strRef>
          </c:tx>
          <c:spPr>
            <a:pattFill prst="pct75">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
                  <c:y val="3.278699527924649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6394143027506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Sheet1!$B$2:$B$8</c:f>
              <c:numCache>
                <c:formatCode>0.0_);[Red]\(0.0\)</c:formatCode>
                <c:ptCount val="7"/>
                <c:pt idx="0">
                  <c:v>50.6</c:v>
                </c:pt>
                <c:pt idx="1">
                  <c:v>49.4</c:v>
                </c:pt>
                <c:pt idx="2">
                  <c:v>26.4</c:v>
                </c:pt>
                <c:pt idx="3">
                  <c:v>16.100000000000001</c:v>
                </c:pt>
                <c:pt idx="4">
                  <c:v>25.3</c:v>
                </c:pt>
                <c:pt idx="5">
                  <c:v>9.2000000000000011</c:v>
                </c:pt>
                <c:pt idx="6">
                  <c:v>3.4</c:v>
                </c:pt>
              </c:numCache>
            </c:numRef>
          </c:val>
        </c:ser>
        <c:ser>
          <c:idx val="0"/>
          <c:order val="1"/>
          <c:tx>
            <c:strRef>
              <c:f>Sheet1!$C$1</c:f>
              <c:strCache>
                <c:ptCount val="1"/>
                <c:pt idx="0">
                  <c:v>20歳代</c:v>
                </c:pt>
              </c:strCache>
            </c:strRef>
          </c:tx>
          <c:spPr>
            <a:pattFill prst="pct2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Sheet1!$C$2:$C$8</c:f>
              <c:numCache>
                <c:formatCode>0.0_);[Red]\(0.0\)</c:formatCode>
                <c:ptCount val="7"/>
                <c:pt idx="0">
                  <c:v>65.8</c:v>
                </c:pt>
                <c:pt idx="1">
                  <c:v>44.6</c:v>
                </c:pt>
                <c:pt idx="2">
                  <c:v>22.3</c:v>
                </c:pt>
                <c:pt idx="3">
                  <c:v>20.3</c:v>
                </c:pt>
                <c:pt idx="4">
                  <c:v>15.8</c:v>
                </c:pt>
                <c:pt idx="5">
                  <c:v>11.4</c:v>
                </c:pt>
                <c:pt idx="6">
                  <c:v>2.5</c:v>
                </c:pt>
              </c:numCache>
            </c:numRef>
          </c:val>
        </c:ser>
        <c:ser>
          <c:idx val="1"/>
          <c:order val="2"/>
          <c:tx>
            <c:strRef>
              <c:f>Sheet1!$D$1</c:f>
              <c:strCache>
                <c:ptCount val="1"/>
                <c:pt idx="0">
                  <c:v>30歳代</c:v>
                </c:pt>
              </c:strCache>
            </c:strRef>
          </c:tx>
          <c:spPr>
            <a:pattFill prst="pct5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Sheet1!$D$2:$D$8</c:f>
              <c:numCache>
                <c:formatCode>0.0_);[Red]\(0.0\)</c:formatCode>
                <c:ptCount val="7"/>
                <c:pt idx="0">
                  <c:v>61.3</c:v>
                </c:pt>
                <c:pt idx="1">
                  <c:v>38.300000000000004</c:v>
                </c:pt>
                <c:pt idx="2">
                  <c:v>24.9</c:v>
                </c:pt>
                <c:pt idx="3">
                  <c:v>15.8</c:v>
                </c:pt>
                <c:pt idx="4">
                  <c:v>20.2</c:v>
                </c:pt>
                <c:pt idx="5">
                  <c:v>17.399999999999999</c:v>
                </c:pt>
                <c:pt idx="6">
                  <c:v>5.5</c:v>
                </c:pt>
              </c:numCache>
            </c:numRef>
          </c:val>
        </c:ser>
        <c:ser>
          <c:idx val="2"/>
          <c:order val="3"/>
          <c:tx>
            <c:strRef>
              <c:f>Sheet1!$E$1</c:f>
              <c:strCache>
                <c:ptCount val="1"/>
                <c:pt idx="0">
                  <c:v>40歳代</c:v>
                </c:pt>
              </c:strCache>
            </c:strRef>
          </c:tx>
          <c:spPr>
            <a:pattFill prst="ltDnDiag">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1"/>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Sheet1!$E$2:$E$8</c:f>
              <c:numCache>
                <c:formatCode>0.0_);[Red]\(0.0\)</c:formatCode>
                <c:ptCount val="7"/>
                <c:pt idx="0">
                  <c:v>55.1</c:v>
                </c:pt>
                <c:pt idx="1">
                  <c:v>36.6</c:v>
                </c:pt>
                <c:pt idx="2">
                  <c:v>28.9</c:v>
                </c:pt>
                <c:pt idx="3">
                  <c:v>24.9</c:v>
                </c:pt>
                <c:pt idx="4">
                  <c:v>22</c:v>
                </c:pt>
                <c:pt idx="5">
                  <c:v>12.3</c:v>
                </c:pt>
                <c:pt idx="6">
                  <c:v>3.1</c:v>
                </c:pt>
              </c:numCache>
            </c:numRef>
          </c:val>
        </c:ser>
        <c:ser>
          <c:idx val="4"/>
          <c:order val="4"/>
          <c:tx>
            <c:strRef>
              <c:f>Sheet1!$F$1</c:f>
              <c:strCache>
                <c:ptCount val="1"/>
                <c:pt idx="0">
                  <c:v>50歳代</c:v>
                </c:pt>
              </c:strCache>
            </c:strRef>
          </c:tx>
          <c:spPr>
            <a:pattFill prst="pct10">
              <a:fgClr>
                <a:sysClr val="windowText" lastClr="000000"/>
              </a:fgClr>
              <a:bgClr>
                <a:srgbClr val="FFFF00"/>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7.8082653647201866E-17"/>
                  <c:y val="-1.63928522517398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Sheet1!$F$2:$F$8</c:f>
              <c:numCache>
                <c:formatCode>0.0_);[Red]\(0.0\)</c:formatCode>
                <c:ptCount val="7"/>
                <c:pt idx="0">
                  <c:v>48.4</c:v>
                </c:pt>
                <c:pt idx="1">
                  <c:v>35.9</c:v>
                </c:pt>
                <c:pt idx="2">
                  <c:v>33.800000000000004</c:v>
                </c:pt>
                <c:pt idx="3">
                  <c:v>24.8</c:v>
                </c:pt>
                <c:pt idx="4">
                  <c:v>23.3</c:v>
                </c:pt>
                <c:pt idx="5">
                  <c:v>13.7</c:v>
                </c:pt>
                <c:pt idx="6">
                  <c:v>4.0999999999999996</c:v>
                </c:pt>
              </c:numCache>
            </c:numRef>
          </c:val>
        </c:ser>
        <c:ser>
          <c:idx val="5"/>
          <c:order val="5"/>
          <c:tx>
            <c:strRef>
              <c:f>Sheet1!$G$1</c:f>
              <c:strCache>
                <c:ptCount val="1"/>
                <c:pt idx="0">
                  <c:v>60歳代</c:v>
                </c:pt>
              </c:strCache>
            </c:strRef>
          </c:tx>
          <c:spPr>
            <a:pattFill prst="ltUpDiag">
              <a:fgClr>
                <a:sysClr val="windowText" lastClr="000000"/>
              </a:fgClr>
              <a:bgClr>
                <a:sysClr val="window" lastClr="FFFFFF"/>
              </a:bgClr>
            </a:pattFill>
            <a:ln>
              <a:solidFill>
                <a:sysClr val="windowText" lastClr="000000"/>
              </a:solidFill>
            </a:ln>
          </c:spPr>
          <c:invertIfNegative val="0"/>
          <c:dLbls>
            <c:dLbl>
              <c:idx val="0"/>
              <c:spPr>
                <a:noFill/>
                <a:ln>
                  <a:noFill/>
                </a:ln>
                <a:effectLst/>
              </c:spPr>
              <c:txPr>
                <a:bodyPr/>
                <a:lstStyle/>
                <a:p>
                  <a:pPr>
                    <a:defRPr sz="800" b="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1.676812218997871E-7"/>
                  <c:y val="-3.278312295194261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6392852251740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Sheet1!$G$2:$G$8</c:f>
              <c:numCache>
                <c:formatCode>0.0_);[Red]\(0.0\)</c:formatCode>
                <c:ptCount val="7"/>
                <c:pt idx="0">
                  <c:v>37.5</c:v>
                </c:pt>
                <c:pt idx="1">
                  <c:v>33</c:v>
                </c:pt>
                <c:pt idx="2">
                  <c:v>35.200000000000003</c:v>
                </c:pt>
                <c:pt idx="3">
                  <c:v>31.8</c:v>
                </c:pt>
                <c:pt idx="4">
                  <c:v>31</c:v>
                </c:pt>
                <c:pt idx="5">
                  <c:v>16.100000000000001</c:v>
                </c:pt>
                <c:pt idx="6">
                  <c:v>2.7</c:v>
                </c:pt>
              </c:numCache>
            </c:numRef>
          </c:val>
        </c:ser>
        <c:ser>
          <c:idx val="6"/>
          <c:order val="6"/>
          <c:tx>
            <c:strRef>
              <c:f>Sheet1!$H$1</c:f>
              <c:strCache>
                <c:ptCount val="1"/>
                <c:pt idx="0">
                  <c:v>70歳以上</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1.6392852251739612E-3"/>
                </c:manualLayout>
              </c:layout>
              <c:spPr>
                <a:noFill/>
                <a:ln>
                  <a:noFill/>
                </a:ln>
                <a:effectLst/>
              </c:spPr>
              <c:txPr>
                <a:bodyPr/>
                <a:lstStyle/>
                <a:p>
                  <a:pPr>
                    <a:defRPr sz="800" b="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9177265979449113E-3"/>
                </c:manualLayout>
              </c:layout>
              <c:showLegendKey val="0"/>
              <c:showVal val="1"/>
              <c:showCatName val="0"/>
              <c:showSerName val="0"/>
              <c:showPercent val="0"/>
              <c:showBubbleSize val="0"/>
              <c:extLst>
                <c:ext xmlns:c15="http://schemas.microsoft.com/office/drawing/2012/chart" uri="{CE6537A1-D6FC-4f65-9D91-7224C49458BB}"/>
              </c:extLst>
            </c:dLbl>
            <c:dLbl>
              <c:idx val="3"/>
              <c:spPr>
                <a:noFill/>
                <a:ln>
                  <a:noFill/>
                </a:ln>
                <a:effectLst/>
              </c:spPr>
              <c:txPr>
                <a:bodyPr/>
                <a:lstStyle/>
                <a:p>
                  <a:pPr>
                    <a:defRPr sz="800">
                      <a:latin typeface="Arial Black" panose="020B0A04020102020204" pitchFamily="34" charset="0"/>
                      <a:ea typeface="ＭＳ 明朝" panose="02020609040205080304" pitchFamily="17" charset="-128"/>
                    </a:defRPr>
                  </a:pPr>
                  <a:endParaRPr lang="ja-JP"/>
                </a:p>
              </c:txPr>
              <c:showLegendKey val="0"/>
              <c:showVal val="1"/>
              <c:showCatName val="0"/>
              <c:showSerName val="0"/>
              <c:showPercent val="0"/>
              <c:showBubbleSize val="0"/>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企業に給料、福利厚生等を
改善するよう働きかける</c:v>
                </c:pt>
                <c:pt idx="1">
                  <c:v>多種多様な職場を数多くつ
くる</c:v>
                </c:pt>
                <c:pt idx="2">
                  <c:v>小さい頃から県内企業の職
場体験や企業訪問などを通
して、仕事への理解を深め
る取り組みを行う</c:v>
                </c:pt>
                <c:pt idx="3">
                  <c:v>県内で頑張っている企業の
情報を全国に発信する</c:v>
                </c:pt>
                <c:pt idx="4">
                  <c:v>県内か県外への進路を決め
る高校生等に対する、県内
企業の紹介を強化する</c:v>
                </c:pt>
                <c:pt idx="5">
                  <c:v>新しい事業を起こしやすい
環境を整備する</c:v>
                </c:pt>
                <c:pt idx="6">
                  <c:v>その他　　　　　　　　　</c:v>
                </c:pt>
              </c:strCache>
            </c:strRef>
          </c:cat>
          <c:val>
            <c:numRef>
              <c:f>Sheet1!$H$2:$H$8</c:f>
              <c:numCache>
                <c:formatCode>0.0_);[Red]\(0.0\)</c:formatCode>
                <c:ptCount val="7"/>
                <c:pt idx="0">
                  <c:v>31.6</c:v>
                </c:pt>
                <c:pt idx="1">
                  <c:v>29.6</c:v>
                </c:pt>
                <c:pt idx="2">
                  <c:v>35.700000000000003</c:v>
                </c:pt>
                <c:pt idx="3">
                  <c:v>38.800000000000004</c:v>
                </c:pt>
                <c:pt idx="4">
                  <c:v>30.6</c:v>
                </c:pt>
                <c:pt idx="5">
                  <c:v>16.3</c:v>
                </c:pt>
                <c:pt idx="6">
                  <c:v>1</c:v>
                </c:pt>
              </c:numCache>
            </c:numRef>
          </c:val>
        </c:ser>
        <c:dLbls>
          <c:showLegendKey val="0"/>
          <c:showVal val="1"/>
          <c:showCatName val="0"/>
          <c:showSerName val="0"/>
          <c:showPercent val="0"/>
          <c:showBubbleSize val="0"/>
        </c:dLbls>
        <c:gapWidth val="100"/>
        <c:axId val="158941952"/>
        <c:axId val="158943488"/>
      </c:barChart>
      <c:catAx>
        <c:axId val="158941952"/>
        <c:scaling>
          <c:orientation val="maxMin"/>
        </c:scaling>
        <c:delete val="0"/>
        <c:axPos val="l"/>
        <c:majorGridlines>
          <c:spPr>
            <a:ln w="1587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a:defRPr sz="900"/>
            </a:pPr>
            <a:endParaRPr lang="ja-JP"/>
          </a:p>
        </c:txPr>
        <c:crossAx val="158943488"/>
        <c:crosses val="autoZero"/>
        <c:auto val="1"/>
        <c:lblAlgn val="ctr"/>
        <c:lblOffset val="100"/>
        <c:noMultiLvlLbl val="0"/>
      </c:catAx>
      <c:valAx>
        <c:axId val="158943488"/>
        <c:scaling>
          <c:orientation val="minMax"/>
          <c:max val="70"/>
        </c:scaling>
        <c:delete val="0"/>
        <c:axPos val="t"/>
        <c:numFmt formatCode="#&quot;%&quot;;;&quot;0%&quot;;" sourceLinked="0"/>
        <c:majorTickMark val="in"/>
        <c:minorTickMark val="none"/>
        <c:tickLblPos val="nextTo"/>
        <c:spPr>
          <a:ln>
            <a:solidFill>
              <a:schemeClr val="tx1"/>
            </a:solidFill>
          </a:ln>
        </c:spPr>
        <c:txPr>
          <a:bodyPr/>
          <a:lstStyle/>
          <a:p>
            <a:pPr>
              <a:defRPr sz="900"/>
            </a:pPr>
            <a:endParaRPr lang="ja-JP"/>
          </a:p>
        </c:txPr>
        <c:crossAx val="158941952"/>
        <c:crosses val="autoZero"/>
        <c:crossBetween val="between"/>
        <c:majorUnit val="10"/>
      </c:valAx>
      <c:spPr>
        <a:ln>
          <a:solidFill>
            <a:schemeClr val="tx1"/>
          </a:solidFill>
        </a:ln>
      </c:spPr>
    </c:plotArea>
    <c:legend>
      <c:legendPos val="b"/>
      <c:layout>
        <c:manualLayout>
          <c:xMode val="edge"/>
          <c:yMode val="edge"/>
          <c:x val="0.79295699148717524"/>
          <c:y val="0.73386976074485155"/>
          <c:w val="0.16231457489539144"/>
          <c:h val="0.23916961404414613"/>
        </c:manualLayout>
      </c:layout>
      <c:overlay val="0"/>
      <c:spPr>
        <a:solidFill>
          <a:sysClr val="window" lastClr="FFFFFF"/>
        </a:solidFill>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11701662292221E-2"/>
          <c:y val="4.5945260968926364E-2"/>
          <c:w val="0.89462051618549399"/>
          <c:h val="0.64103093126018784"/>
        </c:manualLayout>
      </c:layout>
      <c:barChart>
        <c:barDir val="col"/>
        <c:grouping val="clustered"/>
        <c:varyColors val="0"/>
        <c:ser>
          <c:idx val="3"/>
          <c:order val="0"/>
          <c:tx>
            <c:strRef>
              <c:f>Sheet1!$A$2</c:f>
              <c:strCache>
                <c:ptCount val="1"/>
                <c:pt idx="0">
                  <c:v>全体</c:v>
                </c:pt>
              </c:strCache>
            </c:strRef>
          </c:tx>
          <c:spPr>
            <a:pattFill prst="pct10">
              <a:fgClr>
                <a:sysClr val="windowText" lastClr="000000"/>
              </a:fgClr>
              <a:bgClr>
                <a:sysClr val="window" lastClr="FFFFFF"/>
              </a:bgClr>
            </a:pattFill>
            <a:ln>
              <a:solidFill>
                <a:schemeClr val="tx1"/>
              </a:solidFill>
            </a:ln>
          </c:spPr>
          <c:invertIfNegative val="0"/>
          <c:dLbls>
            <c:dLbl>
              <c:idx val="7"/>
              <c:tx>
                <c:rich>
                  <a:bodyPr/>
                  <a:lstStyle/>
                  <a:p>
                    <a:r>
                      <a:rPr lang="en-US" altLang="en-US" b="1"/>
                      <a:t>15</a:t>
                    </a:r>
                    <a:r>
                      <a:rPr lang="en-US" altLang="ja-JP" b="1"/>
                      <a:t>.0</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834977906242732E-2"/>
                </c:manualLayout>
              </c:layout>
              <c:spPr>
                <a:noFill/>
              </c:spPr>
              <c:txPr>
                <a:bodyPr/>
                <a:lstStyle/>
                <a:p>
                  <a:pPr>
                    <a:defRPr sz="800" b="1"/>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00" b="1"/>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移住者の住宅の確保に向けて、空き家の活用等の取り組みを強化する</c:v>
                </c:pt>
                <c:pt idx="1">
                  <c:v>農業と他の仕事を組み合わせた、いわゆる「半農半Ｘ」といった都会にはない多様な働き方を発信する</c:v>
                </c:pt>
                <c:pt idx="2">
                  <c:v>移住者が地域にスムーズに溶け込めるように、地域で気軽に相談ができる体制を整える（ＮＰＯや地域住民による声掛け等のサポートなど）</c:v>
                </c:pt>
                <c:pt idx="3">
                  <c:v>子育て世代やアウトドア関心層など、より幅広いターゲットへのアプローチを強化する</c:v>
                </c:pt>
                <c:pt idx="4">
                  <c:v>都市部で実施している移住フェア・相談会や、高知県へのお試し移住体験ツアーなどの回数を増やす</c:v>
                </c:pt>
                <c:pt idx="5">
                  <c:v>移住希望者の様々なニーズに対応できるように、相談対応を行うスタッフのスキルアップなどにより提案力を高める</c:v>
                </c:pt>
                <c:pt idx="6">
                  <c:v>その他</c:v>
                </c:pt>
              </c:strCache>
            </c:strRef>
          </c:cat>
          <c:val>
            <c:numRef>
              <c:f>Sheet1!$B$2:$H$2</c:f>
              <c:numCache>
                <c:formatCode>0.0_);[Red]\(0.0\)</c:formatCode>
                <c:ptCount val="7"/>
                <c:pt idx="0">
                  <c:v>52.3</c:v>
                </c:pt>
                <c:pt idx="1">
                  <c:v>43.6</c:v>
                </c:pt>
                <c:pt idx="2">
                  <c:v>38.700000000000003</c:v>
                </c:pt>
                <c:pt idx="3">
                  <c:v>38.1</c:v>
                </c:pt>
                <c:pt idx="4">
                  <c:v>32.800000000000004</c:v>
                </c:pt>
                <c:pt idx="5">
                  <c:v>31.9</c:v>
                </c:pt>
                <c:pt idx="6">
                  <c:v>5.2</c:v>
                </c:pt>
              </c:numCache>
            </c:numRef>
          </c:val>
        </c:ser>
        <c:dLbls>
          <c:showLegendKey val="0"/>
          <c:showVal val="1"/>
          <c:showCatName val="0"/>
          <c:showSerName val="0"/>
          <c:showPercent val="0"/>
          <c:showBubbleSize val="0"/>
        </c:dLbls>
        <c:gapWidth val="100"/>
        <c:axId val="159048064"/>
        <c:axId val="159049600"/>
      </c:barChart>
      <c:lineChart>
        <c:grouping val="standard"/>
        <c:varyColors val="0"/>
        <c:ser>
          <c:idx val="0"/>
          <c:order val="1"/>
          <c:tx>
            <c:strRef>
              <c:f>Sheet1!$A$3</c:f>
              <c:strCache>
                <c:ptCount val="1"/>
                <c:pt idx="0">
                  <c:v>男性</c:v>
                </c:pt>
              </c:strCache>
            </c:strRef>
          </c:tx>
          <c:spPr>
            <a:ln>
              <a:solidFill>
                <a:sysClr val="window" lastClr="FFFFFF">
                  <a:lumMod val="50000"/>
                </a:sysClr>
              </a:solidFill>
            </a:ln>
          </c:spPr>
          <c:marker>
            <c:symbol val="triangle"/>
            <c:size val="9"/>
            <c:spPr>
              <a:solidFill>
                <a:sysClr val="window" lastClr="FFFFFF">
                  <a:lumMod val="65000"/>
                </a:sysClr>
              </a:solidFill>
            </c:spPr>
          </c:marker>
          <c:dLbls>
            <c:dLbl>
              <c:idx val="2"/>
              <c:layout>
                <c:manualLayout>
                  <c:x val="-4.2853937810323602E-2"/>
                  <c:y val="3.1208433516290202E-2"/>
                </c:manualLayout>
              </c:layout>
              <c:dLblPos val="r"/>
              <c:showLegendKey val="0"/>
              <c:showVal val="1"/>
              <c:showCatName val="0"/>
              <c:showSerName val="0"/>
              <c:showPercent val="0"/>
              <c:showBubbleSize val="0"/>
            </c:dLbl>
            <c:dLbl>
              <c:idx val="3"/>
              <c:layout>
                <c:manualLayout>
                  <c:x val="-3.8685266817100016E-2"/>
                  <c:y val="3.5425789396869981E-2"/>
                </c:manualLayout>
              </c:layout>
              <c:dLblPos val="r"/>
              <c:showLegendKey val="0"/>
              <c:showVal val="1"/>
              <c:showCatName val="0"/>
              <c:showSerName val="0"/>
              <c:showPercent val="0"/>
              <c:showBubbleSize val="0"/>
            </c:dLbl>
            <c:dLbl>
              <c:idx val="4"/>
              <c:layout>
                <c:manualLayout>
                  <c:x val="-4.2853937810323602E-2"/>
                  <c:y val="3.1208433516290202E-2"/>
                </c:manualLayout>
              </c:layout>
              <c:dLblPos val="r"/>
              <c:showLegendKey val="0"/>
              <c:showVal val="1"/>
              <c:showCatName val="0"/>
              <c:showSerName val="0"/>
              <c:showPercent val="0"/>
              <c:showBubbleSize val="0"/>
            </c:dLbl>
            <c:dLbl>
              <c:idx val="5"/>
              <c:layout>
                <c:manualLayout>
                  <c:x val="-4.2853937810323602E-2"/>
                  <c:y val="3.1208433516290202E-2"/>
                </c:manualLayout>
              </c:layout>
              <c:tx>
                <c:rich>
                  <a:bodyPr/>
                  <a:lstStyle/>
                  <a:p>
                    <a:r>
                      <a:rPr lang="en-US" altLang="en-US"/>
                      <a:t>32</a:t>
                    </a:r>
                    <a:r>
                      <a:rPr lang="en-US" altLang="ja-JP"/>
                      <a:t>.0</a:t>
                    </a:r>
                    <a:endParaRPr lang="en-US" altLang="en-US"/>
                  </a:p>
                </c:rich>
              </c:tx>
              <c:dLblPos val="r"/>
              <c:showLegendKey val="0"/>
              <c:showVal val="1"/>
              <c:showCatName val="0"/>
              <c:showSerName val="0"/>
              <c:showPercent val="0"/>
              <c:showBubbleSize val="0"/>
            </c:dLbl>
            <c:dLbl>
              <c:idx val="6"/>
              <c:layout>
                <c:manualLayout>
                  <c:x val="9.2856325769497174E-3"/>
                  <c:y val="-4.8921494252358422E-2"/>
                </c:manualLayout>
              </c:layout>
              <c:dLblPos val="r"/>
              <c:showLegendKey val="0"/>
              <c:showVal val="1"/>
              <c:showCatName val="0"/>
              <c:showSerName val="0"/>
              <c:showPercent val="0"/>
              <c:showBubbleSize val="0"/>
            </c:dLbl>
            <c:spPr>
              <a:solidFill>
                <a:sysClr val="window" lastClr="FFFFFF">
                  <a:lumMod val="85000"/>
                </a:sysClr>
              </a:solidFill>
              <a:ln>
                <a:solidFill>
                  <a:sysClr val="windowText" lastClr="000000"/>
                </a:solidFill>
              </a:ln>
            </c:spPr>
            <c:txPr>
              <a:bodyPr/>
              <a:lstStyle/>
              <a:p>
                <a:pPr>
                  <a:defRPr sz="800" b="1">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dLbls>
          <c:cat>
            <c:strRef>
              <c:f>Sheet1!$B$1:$H$1</c:f>
              <c:strCache>
                <c:ptCount val="7"/>
                <c:pt idx="0">
                  <c:v>移住者の住宅の確保に向けて、空き家の活用等の取り組みを強化する</c:v>
                </c:pt>
                <c:pt idx="1">
                  <c:v>農業と他の仕事を組み合わせた、いわゆる「半農半Ｘ」といった都会にはない多様な働き方を発信する</c:v>
                </c:pt>
                <c:pt idx="2">
                  <c:v>移住者が地域にスムーズに溶け込めるように、地域で気軽に相談ができる体制を整える（ＮＰＯや地域住民による声掛け等のサポートなど）</c:v>
                </c:pt>
                <c:pt idx="3">
                  <c:v>子育て世代やアウトドア関心層など、より幅広いターゲットへのアプローチを強化する</c:v>
                </c:pt>
                <c:pt idx="4">
                  <c:v>都市部で実施している移住フェア・相談会や、高知県へのお試し移住体験ツアーなどの回数を増やす</c:v>
                </c:pt>
                <c:pt idx="5">
                  <c:v>移住希望者の様々なニーズに対応できるように、相談対応を行うスタッフのスキルアップなどにより提案力を高める</c:v>
                </c:pt>
                <c:pt idx="6">
                  <c:v>その他</c:v>
                </c:pt>
              </c:strCache>
            </c:strRef>
          </c:cat>
          <c:val>
            <c:numRef>
              <c:f>Sheet1!$B$3:$H$3</c:f>
              <c:numCache>
                <c:formatCode>0.0_);[Red]\(0.0\)</c:formatCode>
                <c:ptCount val="7"/>
                <c:pt idx="0">
                  <c:v>53.9</c:v>
                </c:pt>
                <c:pt idx="1">
                  <c:v>45.7</c:v>
                </c:pt>
                <c:pt idx="2">
                  <c:v>37.1</c:v>
                </c:pt>
                <c:pt idx="3">
                  <c:v>37.800000000000004</c:v>
                </c:pt>
                <c:pt idx="4">
                  <c:v>30.5</c:v>
                </c:pt>
                <c:pt idx="5">
                  <c:v>32</c:v>
                </c:pt>
                <c:pt idx="6">
                  <c:v>5.4</c:v>
                </c:pt>
              </c:numCache>
            </c:numRef>
          </c:val>
          <c:smooth val="0"/>
        </c:ser>
        <c:ser>
          <c:idx val="1"/>
          <c:order val="2"/>
          <c:tx>
            <c:strRef>
              <c:f>Sheet1!$A$4</c:f>
              <c:strCache>
                <c:ptCount val="1"/>
                <c:pt idx="0">
                  <c:v>女性</c:v>
                </c:pt>
              </c:strCache>
            </c:strRef>
          </c:tx>
          <c:spPr>
            <a:ln>
              <a:prstDash val="sysDash"/>
            </a:ln>
          </c:spPr>
          <c:marker>
            <c:symbol val="square"/>
            <c:size val="7"/>
          </c:marker>
          <c:dLbls>
            <c:dLbl>
              <c:idx val="2"/>
              <c:layout>
                <c:manualLayout>
                  <c:x val="-3.6475871190692254E-2"/>
                  <c:y val="-2.6991077635711014E-2"/>
                </c:manualLayout>
              </c:layout>
              <c:tx>
                <c:rich>
                  <a:bodyPr/>
                  <a:lstStyle/>
                  <a:p>
                    <a:r>
                      <a:rPr lang="en-US" altLang="en-US"/>
                      <a:t>40</a:t>
                    </a:r>
                    <a:r>
                      <a:rPr lang="en-US" altLang="ja-JP"/>
                      <a:t>.0</a:t>
                    </a:r>
                    <a:endParaRPr lang="en-US" altLang="en-US"/>
                  </a:p>
                </c:rich>
              </c:tx>
              <c:dLblPos val="r"/>
              <c:showLegendKey val="0"/>
              <c:showVal val="1"/>
              <c:showCatName val="0"/>
              <c:showSerName val="0"/>
              <c:showPercent val="0"/>
              <c:showBubbleSize val="0"/>
            </c:dLbl>
            <c:dLbl>
              <c:idx val="3"/>
              <c:layout>
                <c:manualLayout>
                  <c:x val="-3.2307200197470416E-2"/>
                  <c:y val="-2.9099755576000412E-2"/>
                </c:manualLayout>
              </c:layout>
              <c:dLblPos val="r"/>
              <c:showLegendKey val="0"/>
              <c:showVal val="1"/>
              <c:showCatName val="0"/>
              <c:showSerName val="0"/>
              <c:showPercent val="0"/>
              <c:showBubbleSize val="0"/>
            </c:dLbl>
            <c:dLbl>
              <c:idx val="4"/>
              <c:layout>
                <c:manualLayout>
                  <c:x val="-3.6475871190692254E-2"/>
                  <c:y val="-2.9099755576000412E-2"/>
                </c:manualLayout>
              </c:layout>
              <c:dLblPos val="r"/>
              <c:showLegendKey val="0"/>
              <c:showVal val="1"/>
              <c:showCatName val="0"/>
              <c:showSerName val="0"/>
              <c:showPercent val="0"/>
              <c:showBubbleSize val="0"/>
            </c:dLbl>
            <c:dLbl>
              <c:idx val="5"/>
              <c:layout>
                <c:manualLayout>
                  <c:x val="-3.6475871190692254E-2"/>
                  <c:y val="-3.1208599553923796E-2"/>
                </c:manualLayout>
              </c:layout>
              <c:dLblPos val="r"/>
              <c:showLegendKey val="0"/>
              <c:showVal val="1"/>
              <c:showCatName val="0"/>
              <c:showSerName val="0"/>
              <c:showPercent val="0"/>
              <c:showBubbleSize val="0"/>
            </c:dLbl>
            <c:dLbl>
              <c:idx val="6"/>
              <c:layout>
                <c:manualLayout>
                  <c:x val="9.3795097347498073E-3"/>
                  <c:y val="-2.2773721755130691E-2"/>
                </c:manualLayout>
              </c:layout>
              <c:tx>
                <c:rich>
                  <a:bodyPr/>
                  <a:lstStyle/>
                  <a:p>
                    <a:r>
                      <a:rPr lang="en-US" altLang="en-US"/>
                      <a:t>5</a:t>
                    </a:r>
                    <a:r>
                      <a:rPr lang="en-US" altLang="ja-JP"/>
                      <a:t>.0</a:t>
                    </a:r>
                    <a:endParaRPr lang="en-US" altLang="en-US"/>
                  </a:p>
                </c:rich>
              </c:tx>
              <c:dLblPos val="r"/>
              <c:showLegendKey val="0"/>
              <c:showVal val="1"/>
              <c:showCatName val="0"/>
              <c:showSerName val="0"/>
              <c:showPercent val="0"/>
              <c:showBubbleSize val="0"/>
            </c:dLbl>
            <c:spPr>
              <a:solidFill>
                <a:sysClr val="window" lastClr="FFFFFF"/>
              </a:solidFill>
              <a:ln>
                <a:solidFill>
                  <a:sysClr val="windowText" lastClr="000000"/>
                </a:solidFill>
              </a:ln>
            </c:spPr>
            <c:txPr>
              <a:bodyPr/>
              <a:lstStyle/>
              <a:p>
                <a:pPr>
                  <a:defRPr sz="8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Sheet1!$B$1:$H$1</c:f>
              <c:strCache>
                <c:ptCount val="7"/>
                <c:pt idx="0">
                  <c:v>移住者の住宅の確保に向けて、空き家の活用等の取り組みを強化する</c:v>
                </c:pt>
                <c:pt idx="1">
                  <c:v>農業と他の仕事を組み合わせた、いわゆる「半農半Ｘ」といった都会にはない多様な働き方を発信する</c:v>
                </c:pt>
                <c:pt idx="2">
                  <c:v>移住者が地域にスムーズに溶け込めるように、地域で気軽に相談ができる体制を整える（ＮＰＯや地域住民による声掛け等のサポートなど）</c:v>
                </c:pt>
                <c:pt idx="3">
                  <c:v>子育て世代やアウトドア関心層など、より幅広いターゲットへのアプローチを強化する</c:v>
                </c:pt>
                <c:pt idx="4">
                  <c:v>都市部で実施している移住フェア・相談会や、高知県へのお試し移住体験ツアーなどの回数を増やす</c:v>
                </c:pt>
                <c:pt idx="5">
                  <c:v>移住希望者の様々なニーズに対応できるように、相談対応を行うスタッフのスキルアップなどにより提案力を高める</c:v>
                </c:pt>
                <c:pt idx="6">
                  <c:v>その他</c:v>
                </c:pt>
              </c:strCache>
            </c:strRef>
          </c:cat>
          <c:val>
            <c:numRef>
              <c:f>Sheet1!$B$4:$H$4</c:f>
              <c:numCache>
                <c:formatCode>0.0_);[Red]\(0.0\)</c:formatCode>
                <c:ptCount val="7"/>
                <c:pt idx="0">
                  <c:v>51.5</c:v>
                </c:pt>
                <c:pt idx="1">
                  <c:v>42.2</c:v>
                </c:pt>
                <c:pt idx="2">
                  <c:v>40</c:v>
                </c:pt>
                <c:pt idx="3">
                  <c:v>38.300000000000004</c:v>
                </c:pt>
                <c:pt idx="4">
                  <c:v>34.700000000000003</c:v>
                </c:pt>
                <c:pt idx="5">
                  <c:v>32.1</c:v>
                </c:pt>
                <c:pt idx="6">
                  <c:v>5</c:v>
                </c:pt>
              </c:numCache>
            </c:numRef>
          </c:val>
          <c:smooth val="0"/>
        </c:ser>
        <c:dLbls>
          <c:showLegendKey val="0"/>
          <c:showVal val="0"/>
          <c:showCatName val="0"/>
          <c:showSerName val="0"/>
          <c:showPercent val="0"/>
          <c:showBubbleSize val="0"/>
        </c:dLbls>
        <c:marker val="1"/>
        <c:smooth val="0"/>
        <c:axId val="159048064"/>
        <c:axId val="159049600"/>
      </c:lineChart>
      <c:catAx>
        <c:axId val="159048064"/>
        <c:scaling>
          <c:orientation val="minMax"/>
        </c:scaling>
        <c:delete val="0"/>
        <c:axPos val="b"/>
        <c:numFmt formatCode="General" sourceLinked="0"/>
        <c:majorTickMark val="in"/>
        <c:minorTickMark val="none"/>
        <c:tickLblPos val="nextTo"/>
        <c:spPr>
          <a:ln>
            <a:solidFill>
              <a:schemeClr val="tx1"/>
            </a:solidFill>
          </a:ln>
        </c:spPr>
        <c:txPr>
          <a:bodyPr rot="0" vert="eaVert"/>
          <a:lstStyle/>
          <a:p>
            <a:pPr algn="just">
              <a:defRPr sz="800"/>
            </a:pPr>
            <a:endParaRPr lang="ja-JP"/>
          </a:p>
        </c:txPr>
        <c:crossAx val="159049600"/>
        <c:crosses val="autoZero"/>
        <c:auto val="1"/>
        <c:lblAlgn val="ctr"/>
        <c:lblOffset val="100"/>
        <c:noMultiLvlLbl val="0"/>
      </c:catAx>
      <c:valAx>
        <c:axId val="159049600"/>
        <c:scaling>
          <c:orientation val="minMax"/>
          <c:max val="60"/>
        </c:scaling>
        <c:delete val="0"/>
        <c:axPos val="l"/>
        <c:numFmt formatCode="#&quot;%&quot;;;&quot;0%&quot;;" sourceLinked="0"/>
        <c:majorTickMark val="in"/>
        <c:minorTickMark val="none"/>
        <c:tickLblPos val="nextTo"/>
        <c:spPr>
          <a:ln>
            <a:solidFill>
              <a:schemeClr val="tx1"/>
            </a:solidFill>
          </a:ln>
        </c:spPr>
        <c:txPr>
          <a:bodyPr/>
          <a:lstStyle/>
          <a:p>
            <a:pPr>
              <a:defRPr sz="900"/>
            </a:pPr>
            <a:endParaRPr lang="ja-JP"/>
          </a:p>
        </c:txPr>
        <c:crossAx val="159048064"/>
        <c:crosses val="autoZero"/>
        <c:crossBetween val="between"/>
        <c:majorUnit val="10"/>
      </c:valAx>
      <c:spPr>
        <a:ln>
          <a:noFill/>
        </a:ln>
      </c:spPr>
    </c:plotArea>
    <c:legend>
      <c:legendPos val="b"/>
      <c:layout>
        <c:manualLayout>
          <c:xMode val="edge"/>
          <c:yMode val="edge"/>
          <c:x val="0.81007928696413933"/>
          <c:y val="7.9436945381827384E-2"/>
          <c:w val="0.13158743438320294"/>
          <c:h val="0.17278481012658231"/>
        </c:manualLayout>
      </c:layout>
      <c:overlay val="0"/>
      <c:spPr>
        <a:ln>
          <a:solidFill>
            <a:sysClr val="windowText" lastClr="000000"/>
          </a:solidFill>
        </a:ln>
      </c:spPr>
    </c:legend>
    <c:plotVisOnly val="1"/>
    <c:dispBlanksAs val="gap"/>
    <c:showDLblsOverMax val="0"/>
  </c:chart>
  <c:spPr>
    <a:ln>
      <a:noFill/>
    </a:ln>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0.69125</cdr:x>
      <cdr:y>0.807</cdr:y>
    </cdr:from>
    <cdr:to>
      <cdr:x>0.734</cdr:x>
      <cdr:y>0.827</cdr:y>
    </cdr:to>
    <cdr:sp macro="" textlink="">
      <cdr:nvSpPr>
        <cdr:cNvPr id="2" name="正方形/長方形 1"/>
        <cdr:cNvSpPr/>
      </cdr:nvSpPr>
      <cdr:spPr>
        <a:xfrm xmlns:a="http://schemas.openxmlformats.org/drawingml/2006/main">
          <a:off x="2183745" y="5450365"/>
          <a:ext cx="135052" cy="135077"/>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0.69125</cdr:x>
      <cdr:y>0.84125</cdr:y>
    </cdr:from>
    <cdr:to>
      <cdr:x>0.734</cdr:x>
      <cdr:y>0.86125</cdr:y>
    </cdr:to>
    <cdr:sp macro="" textlink="">
      <cdr:nvSpPr>
        <cdr:cNvPr id="3" name="正方形/長方形 2"/>
        <cdr:cNvSpPr/>
      </cdr:nvSpPr>
      <cdr:spPr>
        <a:xfrm xmlns:a="http://schemas.openxmlformats.org/drawingml/2006/main">
          <a:off x="2183745" y="5681684"/>
          <a:ext cx="135052" cy="13507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0.6925</cdr:x>
      <cdr:y>0.87575</cdr:y>
    </cdr:from>
    <cdr:to>
      <cdr:x>0.7355</cdr:x>
      <cdr:y>0.89575</cdr:y>
    </cdr:to>
    <cdr:sp macro="" textlink="">
      <cdr:nvSpPr>
        <cdr:cNvPr id="4" name="正方形/長方形 3"/>
        <cdr:cNvSpPr/>
      </cdr:nvSpPr>
      <cdr:spPr>
        <a:xfrm xmlns:a="http://schemas.openxmlformats.org/drawingml/2006/main">
          <a:off x="2187694" y="5914692"/>
          <a:ext cx="135842" cy="13507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cdr:x>
      <cdr:y>0.91</cdr:y>
    </cdr:from>
    <cdr:to>
      <cdr:x>0.73475</cdr:x>
      <cdr:y>0.93</cdr:y>
    </cdr:to>
    <cdr:sp macro="" textlink="">
      <cdr:nvSpPr>
        <cdr:cNvPr id="5" name="正方形/長方形 4"/>
        <cdr:cNvSpPr/>
      </cdr:nvSpPr>
      <cdr:spPr>
        <a:xfrm xmlns:a="http://schemas.openxmlformats.org/drawingml/2006/main">
          <a:off x="2186114" y="6146012"/>
          <a:ext cx="135052" cy="135077"/>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xml><?xml version="1.0" encoding="utf-8"?>
<c:userShapes xmlns:c="http://schemas.openxmlformats.org/drawingml/2006/chart">
  <cdr:relSizeAnchor xmlns:cdr="http://schemas.openxmlformats.org/drawingml/2006/chartDrawing">
    <cdr:from>
      <cdr:x>0.69134</cdr:x>
      <cdr:y>0.80711</cdr:y>
    </cdr:from>
    <cdr:to>
      <cdr:x>0.73424</cdr:x>
      <cdr:y>0.82714</cdr:y>
    </cdr:to>
    <cdr:sp macro="" textlink="">
      <cdr:nvSpPr>
        <cdr:cNvPr id="2" name="正方形/長方形 1"/>
        <cdr:cNvSpPr/>
      </cdr:nvSpPr>
      <cdr:spPr>
        <a:xfrm xmlns:a="http://schemas.openxmlformats.org/drawingml/2006/main">
          <a:off x="1988661" y="5196899"/>
          <a:ext cx="123404" cy="128971"/>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0.69126</cdr:x>
      <cdr:y>0.84136</cdr:y>
    </cdr:from>
    <cdr:to>
      <cdr:x>0.73416</cdr:x>
      <cdr:y>0.86139</cdr:y>
    </cdr:to>
    <cdr:sp macro="" textlink="">
      <cdr:nvSpPr>
        <cdr:cNvPr id="3" name="正方形/長方形 2"/>
        <cdr:cNvSpPr/>
      </cdr:nvSpPr>
      <cdr:spPr>
        <a:xfrm xmlns:a="http://schemas.openxmlformats.org/drawingml/2006/main">
          <a:off x="1988447" y="5417465"/>
          <a:ext cx="123404" cy="128971"/>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0.69266</cdr:x>
      <cdr:y>0.8759</cdr:y>
    </cdr:from>
    <cdr:to>
      <cdr:x>0.73556</cdr:x>
      <cdr:y>0.89594</cdr:y>
    </cdr:to>
    <cdr:sp macro="" textlink="">
      <cdr:nvSpPr>
        <cdr:cNvPr id="4" name="正方形/長方形 3"/>
        <cdr:cNvSpPr/>
      </cdr:nvSpPr>
      <cdr:spPr>
        <a:xfrm xmlns:a="http://schemas.openxmlformats.org/drawingml/2006/main">
          <a:off x="1992460" y="5639836"/>
          <a:ext cx="123404" cy="12903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0.69206</cdr:x>
      <cdr:y>0.91</cdr:y>
    </cdr:from>
    <cdr:to>
      <cdr:x>0.73496</cdr:x>
      <cdr:y>0.93003</cdr:y>
    </cdr:to>
    <cdr:sp macro="" textlink="">
      <cdr:nvSpPr>
        <cdr:cNvPr id="5" name="正方形/長方形 4"/>
        <cdr:cNvSpPr/>
      </cdr:nvSpPr>
      <cdr:spPr>
        <a:xfrm xmlns:a="http://schemas.openxmlformats.org/drawingml/2006/main">
          <a:off x="1990734" y="5859385"/>
          <a:ext cx="123404" cy="128971"/>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0.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101.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2.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103.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4.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105.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6.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7.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108.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9.xml><?xml version="1.0" encoding="utf-8"?>
<c:userShapes xmlns:c="http://schemas.openxmlformats.org/drawingml/2006/chart">
  <cdr:relSizeAnchor xmlns:cdr="http://schemas.openxmlformats.org/drawingml/2006/chartDrawing">
    <cdr:from>
      <cdr:x>0.05301</cdr:x>
      <cdr:y>0.16733</cdr:y>
    </cdr:from>
    <cdr:to>
      <cdr:x>0.21166</cdr:x>
      <cdr:y>0.20341</cdr:y>
    </cdr:to>
    <cdr:sp macro="" textlink="">
      <cdr:nvSpPr>
        <cdr:cNvPr id="5" name="正方形/長方形 4"/>
        <cdr:cNvSpPr/>
      </cdr:nvSpPr>
      <cdr:spPr>
        <a:xfrm xmlns:a="http://schemas.openxmlformats.org/drawingml/2006/main">
          <a:off x="315070" y="991354"/>
          <a:ext cx="942952" cy="21375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0.25006</cdr:y>
    </cdr:from>
    <cdr:to>
      <cdr:x>0.07039</cdr:x>
      <cdr:y>0.37064</cdr:y>
    </cdr:to>
    <cdr:sp macro="" textlink="">
      <cdr:nvSpPr>
        <cdr:cNvPr id="6" name="左大かっこ 5"/>
        <cdr:cNvSpPr/>
      </cdr:nvSpPr>
      <cdr:spPr>
        <a:xfrm xmlns:a="http://schemas.openxmlformats.org/drawingml/2006/main">
          <a:off x="372660" y="148148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0.41405</cdr:y>
    </cdr:from>
    <cdr:to>
      <cdr:x>0.06953</cdr:x>
      <cdr:y>0.95338</cdr:y>
    </cdr:to>
    <cdr:sp macro="" textlink="">
      <cdr:nvSpPr>
        <cdr:cNvPr id="7" name="左大かっこ 6"/>
        <cdr:cNvSpPr/>
      </cdr:nvSpPr>
      <cdr:spPr>
        <a:xfrm xmlns:a="http://schemas.openxmlformats.org/drawingml/2006/main">
          <a:off x="352395" y="2453054"/>
          <a:ext cx="60843" cy="31952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0.04346</cdr:x>
      <cdr:y>0.03944</cdr:y>
    </cdr:from>
    <cdr:to>
      <cdr:x>0.0675</cdr:x>
      <cdr:y>0.06194</cdr:y>
    </cdr:to>
    <cdr:sp macro="" textlink="">
      <cdr:nvSpPr>
        <cdr:cNvPr id="10" name="正方形/長方形 9"/>
        <cdr:cNvSpPr/>
      </cdr:nvSpPr>
      <cdr:spPr>
        <a:xfrm xmlns:a="http://schemas.openxmlformats.org/drawingml/2006/main">
          <a:off x="258296" y="233639"/>
          <a:ext cx="142885" cy="133302"/>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0.22093</cdr:x>
      <cdr:y>0.03858</cdr:y>
    </cdr:from>
    <cdr:to>
      <cdr:x>0.24496</cdr:x>
      <cdr:y>0.06109</cdr:y>
    </cdr:to>
    <cdr:sp macro="" textlink="">
      <cdr:nvSpPr>
        <cdr:cNvPr id="11" name="正方形/長方形 10"/>
        <cdr:cNvSpPr/>
      </cdr:nvSpPr>
      <cdr:spPr>
        <a:xfrm xmlns:a="http://schemas.openxmlformats.org/drawingml/2006/main">
          <a:off x="1313106" y="228558"/>
          <a:ext cx="142825" cy="133362"/>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0.39671</cdr:x>
      <cdr:y>0.03732</cdr:y>
    </cdr:from>
    <cdr:to>
      <cdr:x>0.42075</cdr:x>
      <cdr:y>0.05983</cdr:y>
    </cdr:to>
    <cdr:sp macro="" textlink="">
      <cdr:nvSpPr>
        <cdr:cNvPr id="12" name="正方形/長方形 11"/>
        <cdr:cNvSpPr/>
      </cdr:nvSpPr>
      <cdr:spPr>
        <a:xfrm xmlns:a="http://schemas.openxmlformats.org/drawingml/2006/main">
          <a:off x="2357894" y="221108"/>
          <a:ext cx="142884" cy="133361"/>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0.55195</cdr:x>
      <cdr:y>0.03945</cdr:y>
    </cdr:from>
    <cdr:to>
      <cdr:x>0.57599</cdr:x>
      <cdr:y>0.06196</cdr:y>
    </cdr:to>
    <cdr:sp macro="" textlink="">
      <cdr:nvSpPr>
        <cdr:cNvPr id="13" name="正方形/長方形 12"/>
        <cdr:cNvSpPr/>
      </cdr:nvSpPr>
      <cdr:spPr>
        <a:xfrm xmlns:a="http://schemas.openxmlformats.org/drawingml/2006/main">
          <a:off x="3280591" y="233741"/>
          <a:ext cx="142884" cy="13336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0.74301</cdr:x>
      <cdr:y>0.0389</cdr:y>
    </cdr:from>
    <cdr:to>
      <cdr:x>0.76705</cdr:x>
      <cdr:y>0.06141</cdr:y>
    </cdr:to>
    <cdr:sp macro="" textlink="">
      <cdr:nvSpPr>
        <cdr:cNvPr id="14" name="正方形/長方形 13"/>
        <cdr:cNvSpPr/>
      </cdr:nvSpPr>
      <cdr:spPr>
        <a:xfrm xmlns:a="http://schemas.openxmlformats.org/drawingml/2006/main">
          <a:off x="4416146" y="230477"/>
          <a:ext cx="142884" cy="133362"/>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0.88574</cdr:x>
      <cdr:y>0.03846</cdr:y>
    </cdr:from>
    <cdr:to>
      <cdr:x>0.90978</cdr:x>
      <cdr:y>0.06097</cdr:y>
    </cdr:to>
    <cdr:sp macro="" textlink="">
      <cdr:nvSpPr>
        <cdr:cNvPr id="15" name="正方形/長方形 14"/>
        <cdr:cNvSpPr/>
      </cdr:nvSpPr>
      <cdr:spPr>
        <a:xfrm xmlns:a="http://schemas.openxmlformats.org/drawingml/2006/main">
          <a:off x="5264472" y="227883"/>
          <a:ext cx="142884" cy="13336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xml><?xml version="1.0" encoding="utf-8"?>
<c:userShapes xmlns:c="http://schemas.openxmlformats.org/drawingml/2006/chart">
  <cdr:relSizeAnchor xmlns:cdr="http://schemas.openxmlformats.org/drawingml/2006/chartDrawing">
    <cdr:from>
      <cdr:x>0.86332</cdr:x>
      <cdr:y>0.86618</cdr:y>
    </cdr:from>
    <cdr:to>
      <cdr:x>0.88396</cdr:x>
      <cdr:y>0.88268</cdr:y>
    </cdr:to>
    <cdr:sp macro="" textlink="">
      <cdr:nvSpPr>
        <cdr:cNvPr id="2" name="正方形/長方形 1"/>
        <cdr:cNvSpPr/>
      </cdr:nvSpPr>
      <cdr:spPr>
        <a:xfrm xmlns:a="http://schemas.openxmlformats.org/drawingml/2006/main">
          <a:off x="5161361" y="6771386"/>
          <a:ext cx="123396"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0.86243</cdr:x>
      <cdr:y>0.9265</cdr:y>
    </cdr:from>
    <cdr:to>
      <cdr:x>0.88307</cdr:x>
      <cdr:y>0.943</cdr:y>
    </cdr:to>
    <cdr:sp macro="" textlink="">
      <cdr:nvSpPr>
        <cdr:cNvPr id="3" name="正方形/長方形 2"/>
        <cdr:cNvSpPr/>
      </cdr:nvSpPr>
      <cdr:spPr>
        <a:xfrm xmlns:a="http://schemas.openxmlformats.org/drawingml/2006/main">
          <a:off x="5156043" y="7242896"/>
          <a:ext cx="123416" cy="129026"/>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0.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0.06708</cdr:x>
      <cdr:y>0.98213</cdr:y>
    </cdr:to>
    <cdr:sp macro="" textlink="">
      <cdr:nvSpPr>
        <cdr:cNvPr id="7" name="左大かっこ 6"/>
        <cdr:cNvSpPr/>
      </cdr:nvSpPr>
      <cdr:spPr>
        <a:xfrm xmlns:a="http://schemas.openxmlformats.org/drawingml/2006/main">
          <a:off x="352396" y="4875354"/>
          <a:ext cx="46300" cy="22305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0.05128</cdr:x>
      <cdr:y>0.02627</cdr:y>
    </cdr:from>
    <cdr:to>
      <cdr:x>0.07533</cdr:x>
      <cdr:y>0.04877</cdr:y>
    </cdr:to>
    <cdr:sp macro="" textlink="">
      <cdr:nvSpPr>
        <cdr:cNvPr id="10" name="正方形/長方形 9"/>
        <cdr:cNvSpPr/>
      </cdr:nvSpPr>
      <cdr:spPr>
        <a:xfrm xmlns:a="http://schemas.openxmlformats.org/drawingml/2006/main">
          <a:off x="315792" y="190113"/>
          <a:ext cx="148029" cy="162834"/>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0.22387</cdr:x>
      <cdr:y>0.02624</cdr:y>
    </cdr:from>
    <cdr:to>
      <cdr:x>0.2479</cdr:x>
      <cdr:y>0.04875</cdr:y>
    </cdr:to>
    <cdr:sp macro="" textlink="">
      <cdr:nvSpPr>
        <cdr:cNvPr id="11" name="正方形/長方形 10"/>
        <cdr:cNvSpPr/>
      </cdr:nvSpPr>
      <cdr:spPr>
        <a:xfrm xmlns:a="http://schemas.openxmlformats.org/drawingml/2006/main">
          <a:off x="1378471" y="189904"/>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0.39647</cdr:x>
      <cdr:y>0.02442</cdr:y>
    </cdr:from>
    <cdr:to>
      <cdr:x>0.42051</cdr:x>
      <cdr:y>0.04693</cdr:y>
    </cdr:to>
    <cdr:sp macro="" textlink="">
      <cdr:nvSpPr>
        <cdr:cNvPr id="12" name="正方形/長方形 11"/>
        <cdr:cNvSpPr/>
      </cdr:nvSpPr>
      <cdr:spPr>
        <a:xfrm xmlns:a="http://schemas.openxmlformats.org/drawingml/2006/main">
          <a:off x="2441292" y="176756"/>
          <a:ext cx="148028"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0.55389</cdr:x>
      <cdr:y>0.02468</cdr:y>
    </cdr:from>
    <cdr:to>
      <cdr:x>0.57793</cdr:x>
      <cdr:y>0.04719</cdr:y>
    </cdr:to>
    <cdr:sp macro="" textlink="">
      <cdr:nvSpPr>
        <cdr:cNvPr id="13" name="正方形/長方形 12"/>
        <cdr:cNvSpPr/>
      </cdr:nvSpPr>
      <cdr:spPr>
        <a:xfrm xmlns:a="http://schemas.openxmlformats.org/drawingml/2006/main">
          <a:off x="3410653" y="178609"/>
          <a:ext cx="148028"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0.74259</cdr:x>
      <cdr:y>0.02503</cdr:y>
    </cdr:from>
    <cdr:to>
      <cdr:x>0.76663</cdr:x>
      <cdr:y>0.04754</cdr:y>
    </cdr:to>
    <cdr:sp macro="" textlink="">
      <cdr:nvSpPr>
        <cdr:cNvPr id="14" name="正方形/長方形 13"/>
        <cdr:cNvSpPr/>
      </cdr:nvSpPr>
      <cdr:spPr>
        <a:xfrm xmlns:a="http://schemas.openxmlformats.org/drawingml/2006/main">
          <a:off x="4572573" y="181169"/>
          <a:ext cx="148028" cy="16290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0.88285</cdr:x>
      <cdr:y>0.02521</cdr:y>
    </cdr:from>
    <cdr:to>
      <cdr:x>0.90689</cdr:x>
      <cdr:y>0.04772</cdr:y>
    </cdr:to>
    <cdr:sp macro="" textlink="">
      <cdr:nvSpPr>
        <cdr:cNvPr id="15" name="正方形/長方形 14"/>
        <cdr:cNvSpPr/>
      </cdr:nvSpPr>
      <cdr:spPr>
        <a:xfrm xmlns:a="http://schemas.openxmlformats.org/drawingml/2006/main">
          <a:off x="5436203" y="182442"/>
          <a:ext cx="148029" cy="16290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1.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112.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2.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xml><?xml version="1.0" encoding="utf-8"?>
<c:userShapes xmlns:c="http://schemas.openxmlformats.org/drawingml/2006/chart">
  <cdr:relSizeAnchor xmlns:cdr="http://schemas.openxmlformats.org/drawingml/2006/chartDrawing">
    <cdr:from>
      <cdr:x>0.69134</cdr:x>
      <cdr:y>0.80711</cdr:y>
    </cdr:from>
    <cdr:to>
      <cdr:x>0.73424</cdr:x>
      <cdr:y>0.82714</cdr:y>
    </cdr:to>
    <cdr:sp macro="" textlink="">
      <cdr:nvSpPr>
        <cdr:cNvPr id="2" name="正方形/長方形 1"/>
        <cdr:cNvSpPr/>
      </cdr:nvSpPr>
      <cdr:spPr>
        <a:xfrm xmlns:a="http://schemas.openxmlformats.org/drawingml/2006/main">
          <a:off x="1988661" y="5196899"/>
          <a:ext cx="123404" cy="128971"/>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0.69126</cdr:x>
      <cdr:y>0.84136</cdr:y>
    </cdr:from>
    <cdr:to>
      <cdr:x>0.73416</cdr:x>
      <cdr:y>0.86139</cdr:y>
    </cdr:to>
    <cdr:sp macro="" textlink="">
      <cdr:nvSpPr>
        <cdr:cNvPr id="3" name="正方形/長方形 2"/>
        <cdr:cNvSpPr/>
      </cdr:nvSpPr>
      <cdr:spPr>
        <a:xfrm xmlns:a="http://schemas.openxmlformats.org/drawingml/2006/main">
          <a:off x="1988447" y="5417465"/>
          <a:ext cx="123404" cy="128971"/>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0.69266</cdr:x>
      <cdr:y>0.8759</cdr:y>
    </cdr:from>
    <cdr:to>
      <cdr:x>0.73556</cdr:x>
      <cdr:y>0.89594</cdr:y>
    </cdr:to>
    <cdr:sp macro="" textlink="">
      <cdr:nvSpPr>
        <cdr:cNvPr id="4" name="正方形/長方形 3"/>
        <cdr:cNvSpPr/>
      </cdr:nvSpPr>
      <cdr:spPr>
        <a:xfrm xmlns:a="http://schemas.openxmlformats.org/drawingml/2006/main">
          <a:off x="1992460" y="5639836"/>
          <a:ext cx="123404" cy="12903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0.69206</cdr:x>
      <cdr:y>0.91</cdr:y>
    </cdr:from>
    <cdr:to>
      <cdr:x>0.73496</cdr:x>
      <cdr:y>0.93003</cdr:y>
    </cdr:to>
    <cdr:sp macro="" textlink="">
      <cdr:nvSpPr>
        <cdr:cNvPr id="5" name="正方形/長方形 4"/>
        <cdr:cNvSpPr/>
      </cdr:nvSpPr>
      <cdr:spPr>
        <a:xfrm xmlns:a="http://schemas.openxmlformats.org/drawingml/2006/main">
          <a:off x="1990734" y="5859385"/>
          <a:ext cx="123404" cy="128971"/>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xml><?xml version="1.0" encoding="utf-8"?>
<c:userShapes xmlns:c="http://schemas.openxmlformats.org/drawingml/2006/chart">
  <cdr:relSizeAnchor xmlns:cdr="http://schemas.openxmlformats.org/drawingml/2006/chartDrawing">
    <cdr:from>
      <cdr:x>0.86332</cdr:x>
      <cdr:y>0.86618</cdr:y>
    </cdr:from>
    <cdr:to>
      <cdr:x>0.88396</cdr:x>
      <cdr:y>0.88268</cdr:y>
    </cdr:to>
    <cdr:sp macro="" textlink="">
      <cdr:nvSpPr>
        <cdr:cNvPr id="2" name="正方形/長方形 1"/>
        <cdr:cNvSpPr/>
      </cdr:nvSpPr>
      <cdr:spPr>
        <a:xfrm xmlns:a="http://schemas.openxmlformats.org/drawingml/2006/main">
          <a:off x="5161361" y="6771386"/>
          <a:ext cx="123396"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0.86243</cdr:x>
      <cdr:y>0.9265</cdr:y>
    </cdr:from>
    <cdr:to>
      <cdr:x>0.88307</cdr:x>
      <cdr:y>0.943</cdr:y>
    </cdr:to>
    <cdr:sp macro="" textlink="">
      <cdr:nvSpPr>
        <cdr:cNvPr id="3" name="正方形/長方形 2"/>
        <cdr:cNvSpPr/>
      </cdr:nvSpPr>
      <cdr:spPr>
        <a:xfrm xmlns:a="http://schemas.openxmlformats.org/drawingml/2006/main">
          <a:off x="5156043" y="7242896"/>
          <a:ext cx="123416" cy="129026"/>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5.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6.xml><?xml version="1.0" encoding="utf-8"?>
<c:userShapes xmlns:c="http://schemas.openxmlformats.org/drawingml/2006/chart">
  <cdr:relSizeAnchor xmlns:cdr="http://schemas.openxmlformats.org/drawingml/2006/chartDrawing">
    <cdr:from>
      <cdr:x>0.69134</cdr:x>
      <cdr:y>0.80711</cdr:y>
    </cdr:from>
    <cdr:to>
      <cdr:x>0.73424</cdr:x>
      <cdr:y>0.82714</cdr:y>
    </cdr:to>
    <cdr:sp macro="" textlink="">
      <cdr:nvSpPr>
        <cdr:cNvPr id="2" name="正方形/長方形 1"/>
        <cdr:cNvSpPr/>
      </cdr:nvSpPr>
      <cdr:spPr>
        <a:xfrm xmlns:a="http://schemas.openxmlformats.org/drawingml/2006/main">
          <a:off x="1988661" y="5196899"/>
          <a:ext cx="123404" cy="128971"/>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0.69126</cdr:x>
      <cdr:y>0.84136</cdr:y>
    </cdr:from>
    <cdr:to>
      <cdr:x>0.73416</cdr:x>
      <cdr:y>0.86139</cdr:y>
    </cdr:to>
    <cdr:sp macro="" textlink="">
      <cdr:nvSpPr>
        <cdr:cNvPr id="3" name="正方形/長方形 2"/>
        <cdr:cNvSpPr/>
      </cdr:nvSpPr>
      <cdr:spPr>
        <a:xfrm xmlns:a="http://schemas.openxmlformats.org/drawingml/2006/main">
          <a:off x="1988447" y="5417465"/>
          <a:ext cx="123404" cy="128971"/>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0.69266</cdr:x>
      <cdr:y>0.8759</cdr:y>
    </cdr:from>
    <cdr:to>
      <cdr:x>0.73556</cdr:x>
      <cdr:y>0.89594</cdr:y>
    </cdr:to>
    <cdr:sp macro="" textlink="">
      <cdr:nvSpPr>
        <cdr:cNvPr id="4" name="正方形/長方形 3"/>
        <cdr:cNvSpPr/>
      </cdr:nvSpPr>
      <cdr:spPr>
        <a:xfrm xmlns:a="http://schemas.openxmlformats.org/drawingml/2006/main">
          <a:off x="1992460" y="5639836"/>
          <a:ext cx="123404" cy="12903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0.69206</cdr:x>
      <cdr:y>0.91</cdr:y>
    </cdr:from>
    <cdr:to>
      <cdr:x>0.73496</cdr:x>
      <cdr:y>0.93003</cdr:y>
    </cdr:to>
    <cdr:sp macro="" textlink="">
      <cdr:nvSpPr>
        <cdr:cNvPr id="5" name="正方形/長方形 4"/>
        <cdr:cNvSpPr/>
      </cdr:nvSpPr>
      <cdr:spPr>
        <a:xfrm xmlns:a="http://schemas.openxmlformats.org/drawingml/2006/main">
          <a:off x="1990734" y="5859385"/>
          <a:ext cx="123404" cy="128971"/>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7.xml><?xml version="1.0" encoding="utf-8"?>
<c:userShapes xmlns:c="http://schemas.openxmlformats.org/drawingml/2006/chart">
  <cdr:relSizeAnchor xmlns:cdr="http://schemas.openxmlformats.org/drawingml/2006/chartDrawing">
    <cdr:from>
      <cdr:x>0.86332</cdr:x>
      <cdr:y>0.86618</cdr:y>
    </cdr:from>
    <cdr:to>
      <cdr:x>0.88396</cdr:x>
      <cdr:y>0.88268</cdr:y>
    </cdr:to>
    <cdr:sp macro="" textlink="">
      <cdr:nvSpPr>
        <cdr:cNvPr id="2" name="正方形/長方形 1"/>
        <cdr:cNvSpPr/>
      </cdr:nvSpPr>
      <cdr:spPr>
        <a:xfrm xmlns:a="http://schemas.openxmlformats.org/drawingml/2006/main">
          <a:off x="5161361" y="6771386"/>
          <a:ext cx="123396"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0.86243</cdr:x>
      <cdr:y>0.9265</cdr:y>
    </cdr:from>
    <cdr:to>
      <cdr:x>0.88307</cdr:x>
      <cdr:y>0.943</cdr:y>
    </cdr:to>
    <cdr:sp macro="" textlink="">
      <cdr:nvSpPr>
        <cdr:cNvPr id="3" name="正方形/長方形 2"/>
        <cdr:cNvSpPr/>
      </cdr:nvSpPr>
      <cdr:spPr>
        <a:xfrm xmlns:a="http://schemas.openxmlformats.org/drawingml/2006/main">
          <a:off x="5156043" y="7242896"/>
          <a:ext cx="123416" cy="129026"/>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8.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9.xml><?xml version="1.0" encoding="utf-8"?>
<c:userShapes xmlns:c="http://schemas.openxmlformats.org/drawingml/2006/chart">
  <cdr:relSizeAnchor xmlns:cdr="http://schemas.openxmlformats.org/drawingml/2006/chartDrawing">
    <cdr:from>
      <cdr:x>0.6912</cdr:x>
      <cdr:y>0.88989</cdr:y>
    </cdr:from>
    <cdr:to>
      <cdr:x>0.7341</cdr:x>
      <cdr:y>0.90992</cdr:y>
    </cdr:to>
    <cdr:sp macro="" textlink="">
      <cdr:nvSpPr>
        <cdr:cNvPr id="2" name="正方形/長方形 1"/>
        <cdr:cNvSpPr/>
      </cdr:nvSpPr>
      <cdr:spPr>
        <a:xfrm xmlns:a="http://schemas.openxmlformats.org/drawingml/2006/main">
          <a:off x="2192353" y="5907891"/>
          <a:ext cx="136071" cy="132978"/>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0.68802</cdr:x>
      <cdr:y>0.93731</cdr:y>
    </cdr:from>
    <cdr:to>
      <cdr:x>0.73092</cdr:x>
      <cdr:y>0.95734</cdr:y>
    </cdr:to>
    <cdr:sp macro="" textlink="">
      <cdr:nvSpPr>
        <cdr:cNvPr id="3" name="正方形/長方形 2"/>
        <cdr:cNvSpPr/>
      </cdr:nvSpPr>
      <cdr:spPr>
        <a:xfrm xmlns:a="http://schemas.openxmlformats.org/drawingml/2006/main">
          <a:off x="2182282" y="6222723"/>
          <a:ext cx="136071" cy="132978"/>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0.86325</cdr:x>
      <cdr:y>0.866</cdr:y>
    </cdr:from>
    <cdr:to>
      <cdr:x>0.88375</cdr:x>
      <cdr:y>0.8825</cdr:y>
    </cdr:to>
    <cdr:sp macro="" textlink="">
      <cdr:nvSpPr>
        <cdr:cNvPr id="2" name="正方形/長方形 1"/>
        <cdr:cNvSpPr/>
      </cdr:nvSpPr>
      <cdr:spPr>
        <a:xfrm xmlns:a="http://schemas.openxmlformats.org/drawingml/2006/main">
          <a:off x="5133005" y="6881573"/>
          <a:ext cx="121895" cy="131115"/>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0.86225</cdr:x>
      <cdr:y>0.92325</cdr:y>
    </cdr:from>
    <cdr:to>
      <cdr:x>0.883</cdr:x>
      <cdr:y>0.93975</cdr:y>
    </cdr:to>
    <cdr:sp macro="" textlink="">
      <cdr:nvSpPr>
        <cdr:cNvPr id="3" name="正方形/長方形 2"/>
        <cdr:cNvSpPr/>
      </cdr:nvSpPr>
      <cdr:spPr>
        <a:xfrm xmlns:a="http://schemas.openxmlformats.org/drawingml/2006/main">
          <a:off x="5127059" y="7336504"/>
          <a:ext cx="123382" cy="131115"/>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0.xml><?xml version="1.0" encoding="utf-8"?>
<c:userShapes xmlns:c="http://schemas.openxmlformats.org/drawingml/2006/chart">
  <cdr:relSizeAnchor xmlns:cdr="http://schemas.openxmlformats.org/drawingml/2006/chartDrawing">
    <cdr:from>
      <cdr:x>0.86332</cdr:x>
      <cdr:y>0.86618</cdr:y>
    </cdr:from>
    <cdr:to>
      <cdr:x>0.88396</cdr:x>
      <cdr:y>0.88268</cdr:y>
    </cdr:to>
    <cdr:sp macro="" textlink="">
      <cdr:nvSpPr>
        <cdr:cNvPr id="2" name="正方形/長方形 1"/>
        <cdr:cNvSpPr/>
      </cdr:nvSpPr>
      <cdr:spPr>
        <a:xfrm xmlns:a="http://schemas.openxmlformats.org/drawingml/2006/main">
          <a:off x="5161361" y="6771386"/>
          <a:ext cx="123396"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0.86243</cdr:x>
      <cdr:y>0.9265</cdr:y>
    </cdr:from>
    <cdr:to>
      <cdr:x>0.88307</cdr:x>
      <cdr:y>0.943</cdr:y>
    </cdr:to>
    <cdr:sp macro="" textlink="">
      <cdr:nvSpPr>
        <cdr:cNvPr id="3" name="正方形/長方形 2"/>
        <cdr:cNvSpPr/>
      </cdr:nvSpPr>
      <cdr:spPr>
        <a:xfrm xmlns:a="http://schemas.openxmlformats.org/drawingml/2006/main">
          <a:off x="5156043" y="7242896"/>
          <a:ext cx="123416" cy="129026"/>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1.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2.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23.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4.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25.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6.xml><?xml version="1.0" encoding="utf-8"?>
<c:userShapes xmlns:c="http://schemas.openxmlformats.org/drawingml/2006/chart">
  <cdr:relSizeAnchor xmlns:cdr="http://schemas.openxmlformats.org/drawingml/2006/chartDrawing">
    <cdr:from>
      <cdr:x>0.62003</cdr:x>
      <cdr:y>0.90066</cdr:y>
    </cdr:from>
    <cdr:to>
      <cdr:x>0.63593</cdr:x>
      <cdr:y>0.91579</cdr:y>
    </cdr:to>
    <cdr:sp macro="" textlink="">
      <cdr:nvSpPr>
        <cdr:cNvPr id="3" name="円/楕円 2"/>
        <cdr:cNvSpPr/>
      </cdr:nvSpPr>
      <cdr:spPr>
        <a:xfrm xmlns:a="http://schemas.openxmlformats.org/drawingml/2006/main">
          <a:off x="3708809" y="5661971"/>
          <a:ext cx="95109" cy="95115"/>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0.60169</cdr:x>
      <cdr:y>0.91345</cdr:y>
    </cdr:from>
    <cdr:to>
      <cdr:x>0.68729</cdr:x>
      <cdr:y>0.94022</cdr:y>
    </cdr:to>
    <cdr:sp macro="" textlink="">
      <cdr:nvSpPr>
        <cdr:cNvPr id="4" name="テキスト ボックス 3"/>
        <cdr:cNvSpPr txBox="1"/>
      </cdr:nvSpPr>
      <cdr:spPr>
        <a:xfrm xmlns:a="http://schemas.openxmlformats.org/drawingml/2006/main">
          <a:off x="3599108" y="5742421"/>
          <a:ext cx="512034" cy="1682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2.9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0.73736</cdr:x>
      <cdr:y>0.67252</cdr:y>
    </cdr:from>
    <cdr:to>
      <cdr:x>0.75326</cdr:x>
      <cdr:y>0.68764</cdr:y>
    </cdr:to>
    <cdr:sp macro="" textlink="">
      <cdr:nvSpPr>
        <cdr:cNvPr id="5" name="円/楕円 4"/>
        <cdr:cNvSpPr/>
      </cdr:nvSpPr>
      <cdr:spPr>
        <a:xfrm xmlns:a="http://schemas.openxmlformats.org/drawingml/2006/main">
          <a:off x="4410659" y="4227779"/>
          <a:ext cx="95097" cy="95097"/>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userShapes>
</file>

<file path=word/drawings/drawing27.xml><?xml version="1.0" encoding="utf-8"?>
<c:userShapes xmlns:c="http://schemas.openxmlformats.org/drawingml/2006/chart">
  <cdr:relSizeAnchor xmlns:cdr="http://schemas.openxmlformats.org/drawingml/2006/chartDrawing">
    <cdr:from>
      <cdr:x>0.86332</cdr:x>
      <cdr:y>0.86618</cdr:y>
    </cdr:from>
    <cdr:to>
      <cdr:x>0.88396</cdr:x>
      <cdr:y>0.88268</cdr:y>
    </cdr:to>
    <cdr:sp macro="" textlink="">
      <cdr:nvSpPr>
        <cdr:cNvPr id="2" name="正方形/長方形 1"/>
        <cdr:cNvSpPr/>
      </cdr:nvSpPr>
      <cdr:spPr>
        <a:xfrm xmlns:a="http://schemas.openxmlformats.org/drawingml/2006/main">
          <a:off x="5161361" y="6771386"/>
          <a:ext cx="123396"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0.86243</cdr:x>
      <cdr:y>0.9265</cdr:y>
    </cdr:from>
    <cdr:to>
      <cdr:x>0.88307</cdr:x>
      <cdr:y>0.943</cdr:y>
    </cdr:to>
    <cdr:sp macro="" textlink="">
      <cdr:nvSpPr>
        <cdr:cNvPr id="3" name="正方形/長方形 2"/>
        <cdr:cNvSpPr/>
      </cdr:nvSpPr>
      <cdr:spPr>
        <a:xfrm xmlns:a="http://schemas.openxmlformats.org/drawingml/2006/main">
          <a:off x="5156043" y="7242896"/>
          <a:ext cx="123416" cy="129026"/>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8.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9.xml><?xml version="1.0" encoding="utf-8"?>
<c:userShapes xmlns:c="http://schemas.openxmlformats.org/drawingml/2006/chart">
  <cdr:relSizeAnchor xmlns:cdr="http://schemas.openxmlformats.org/drawingml/2006/chartDrawing">
    <cdr:from>
      <cdr:x>0.08506</cdr:x>
      <cdr:y>0.1609</cdr:y>
    </cdr:from>
    <cdr:to>
      <cdr:x>0.24371</cdr:x>
      <cdr:y>0.19673</cdr:y>
    </cdr:to>
    <cdr:sp macro="" textlink="">
      <cdr:nvSpPr>
        <cdr:cNvPr id="5" name="正方形/長方形 4"/>
        <cdr:cNvSpPr/>
      </cdr:nvSpPr>
      <cdr:spPr>
        <a:xfrm xmlns:a="http://schemas.openxmlformats.org/drawingml/2006/main">
          <a:off x="505563" y="795405"/>
          <a:ext cx="942952" cy="177136"/>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0.22273</cdr:y>
    </cdr:from>
    <cdr:to>
      <cdr:x>0.07039</cdr:x>
      <cdr:y>0.34331</cdr:y>
    </cdr:to>
    <cdr:sp macro="" textlink="">
      <cdr:nvSpPr>
        <cdr:cNvPr id="6" name="左大かっこ 5"/>
        <cdr:cNvSpPr/>
      </cdr:nvSpPr>
      <cdr:spPr>
        <a:xfrm xmlns:a="http://schemas.openxmlformats.org/drawingml/2006/main">
          <a:off x="372664" y="131956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0.36903</cdr:y>
    </cdr:from>
    <cdr:to>
      <cdr:x>0.07038</cdr:x>
      <cdr:y>0.82797</cdr:y>
    </cdr:to>
    <cdr:sp macro="" textlink="">
      <cdr:nvSpPr>
        <cdr:cNvPr id="7" name="左大かっこ 6"/>
        <cdr:cNvSpPr/>
      </cdr:nvSpPr>
      <cdr:spPr>
        <a:xfrm xmlns:a="http://schemas.openxmlformats.org/drawingml/2006/main">
          <a:off x="371476" y="2059562"/>
          <a:ext cx="46814" cy="256135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0.25241</cdr:y>
    </cdr:from>
    <cdr:to>
      <cdr:x>0.0625</cdr:x>
      <cdr:y>0.35691</cdr:y>
    </cdr:to>
    <cdr:sp macro="" textlink="">
      <cdr:nvSpPr>
        <cdr:cNvPr id="8" name="テキスト ボックス 7"/>
        <cdr:cNvSpPr txBox="1"/>
      </cdr:nvSpPr>
      <cdr:spPr>
        <a:xfrm xmlns:a="http://schemas.openxmlformats.org/drawingml/2006/main">
          <a:off x="0" y="1408715"/>
          <a:ext cx="371475" cy="583216"/>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0.03216</cdr:x>
      <cdr:y>0.02931</cdr:y>
    </cdr:from>
    <cdr:to>
      <cdr:x>0.0562</cdr:x>
      <cdr:y>0.05181</cdr:y>
    </cdr:to>
    <cdr:sp macro="" textlink="">
      <cdr:nvSpPr>
        <cdr:cNvPr id="10" name="正方形/長方形 9"/>
        <cdr:cNvSpPr/>
      </cdr:nvSpPr>
      <cdr:spPr>
        <a:xfrm xmlns:a="http://schemas.openxmlformats.org/drawingml/2006/main">
          <a:off x="191171" y="144907"/>
          <a:ext cx="142884" cy="11122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0.38545</cdr:x>
      <cdr:y>0.0285</cdr:y>
    </cdr:from>
    <cdr:to>
      <cdr:x>0.40948</cdr:x>
      <cdr:y>0.05101</cdr:y>
    </cdr:to>
    <cdr:sp macro="" textlink="">
      <cdr:nvSpPr>
        <cdr:cNvPr id="11" name="正方形/長方形 10"/>
        <cdr:cNvSpPr/>
      </cdr:nvSpPr>
      <cdr:spPr>
        <a:xfrm xmlns:a="http://schemas.openxmlformats.org/drawingml/2006/main">
          <a:off x="2290957" y="140905"/>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0.75259</cdr:x>
      <cdr:y>0.03115</cdr:y>
    </cdr:from>
    <cdr:to>
      <cdr:x>0.77663</cdr:x>
      <cdr:y>0.05366</cdr:y>
    </cdr:to>
    <cdr:sp macro="" textlink="">
      <cdr:nvSpPr>
        <cdr:cNvPr id="12" name="正方形/長方形 11"/>
        <cdr:cNvSpPr/>
      </cdr:nvSpPr>
      <cdr:spPr>
        <a:xfrm xmlns:a="http://schemas.openxmlformats.org/drawingml/2006/main">
          <a:off x="4473078" y="153978"/>
          <a:ext cx="142884" cy="11127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0.85027</cdr:y>
    </cdr:from>
    <cdr:to>
      <cdr:x>0.06755</cdr:x>
      <cdr:y>0.97085</cdr:y>
    </cdr:to>
    <cdr:sp macro="" textlink="">
      <cdr:nvSpPr>
        <cdr:cNvPr id="19" name="左大かっこ 18"/>
        <cdr:cNvSpPr/>
      </cdr:nvSpPr>
      <cdr:spPr>
        <a:xfrm xmlns:a="http://schemas.openxmlformats.org/drawingml/2006/main">
          <a:off x="355765" y="4745370"/>
          <a:ext cx="45706" cy="6729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0.89005</cdr:x>
      <cdr:y>0.02986</cdr:y>
    </cdr:from>
    <cdr:to>
      <cdr:x>0.91409</cdr:x>
      <cdr:y>0.05237</cdr:y>
    </cdr:to>
    <cdr:sp macro="" textlink="">
      <cdr:nvSpPr>
        <cdr:cNvPr id="13" name="正方形/長方形 12"/>
        <cdr:cNvSpPr/>
      </cdr:nvSpPr>
      <cdr:spPr>
        <a:xfrm xmlns:a="http://schemas.openxmlformats.org/drawingml/2006/main">
          <a:off x="5290088" y="147601"/>
          <a:ext cx="142884"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0.81975</cdr:x>
      <cdr:y>0.744</cdr:y>
    </cdr:from>
    <cdr:to>
      <cdr:x>0.84025</cdr:x>
      <cdr:y>0.7605</cdr:y>
    </cdr:to>
    <cdr:sp macro="" textlink="">
      <cdr:nvSpPr>
        <cdr:cNvPr id="2" name="正方形/長方形 1"/>
        <cdr:cNvSpPr/>
      </cdr:nvSpPr>
      <cdr:spPr>
        <a:xfrm xmlns:a="http://schemas.openxmlformats.org/drawingml/2006/main">
          <a:off x="4868622" y="5862035"/>
          <a:ext cx="121752" cy="130004"/>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0.7765</cdr:y>
    </cdr:from>
    <cdr:to>
      <cdr:x>0.8395</cdr:x>
      <cdr:y>0.79325</cdr:y>
    </cdr:to>
    <cdr:sp macro="" textlink="">
      <cdr:nvSpPr>
        <cdr:cNvPr id="3"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0.8105</cdr:y>
    </cdr:from>
    <cdr:to>
      <cdr:x>0.83975</cdr:x>
      <cdr:y>0.827</cdr:y>
    </cdr:to>
    <cdr:sp macro="" textlink="">
      <cdr:nvSpPr>
        <cdr:cNvPr id="4" name="正方形/長方形 3"/>
        <cdr:cNvSpPr/>
      </cdr:nvSpPr>
      <cdr:spPr>
        <a:xfrm xmlns:a="http://schemas.openxmlformats.org/drawingml/2006/main">
          <a:off x="4864167" y="6385994"/>
          <a:ext cx="123237" cy="130004"/>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cdr:x>
      <cdr:y>0.84525</cdr:y>
    </cdr:from>
    <cdr:to>
      <cdr:x>0.84075</cdr:x>
      <cdr:y>0.862</cdr:y>
    </cdr:to>
    <cdr:sp macro="" textlink="">
      <cdr:nvSpPr>
        <cdr:cNvPr id="5" name="正方形/長方形 4"/>
        <cdr:cNvSpPr/>
      </cdr:nvSpPr>
      <cdr:spPr>
        <a:xfrm xmlns:a="http://schemas.openxmlformats.org/drawingml/2006/main">
          <a:off x="4870107" y="6659792"/>
          <a:ext cx="123237" cy="131974"/>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cdr:x>
      <cdr:y>0.878</cdr:y>
    </cdr:from>
    <cdr:to>
      <cdr:x>0.84075</cdr:x>
      <cdr:y>0.89475</cdr:y>
    </cdr:to>
    <cdr:sp macro="" textlink="">
      <cdr:nvSpPr>
        <cdr:cNvPr id="6" name="正方形/長方形 5"/>
        <cdr:cNvSpPr/>
      </cdr:nvSpPr>
      <cdr:spPr>
        <a:xfrm xmlns:a="http://schemas.openxmlformats.org/drawingml/2006/main">
          <a:off x="4870107" y="6917832"/>
          <a:ext cx="123237" cy="131974"/>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0.81875</cdr:x>
      <cdr:y>0.91275</cdr:y>
    </cdr:from>
    <cdr:to>
      <cdr:x>0.8395</cdr:x>
      <cdr:y>0.92925</cdr:y>
    </cdr:to>
    <cdr:sp macro="" textlink="">
      <cdr:nvSpPr>
        <cdr:cNvPr id="7" name="正方形/長方形 6"/>
        <cdr:cNvSpPr/>
      </cdr:nvSpPr>
      <cdr:spPr>
        <a:xfrm xmlns:a="http://schemas.openxmlformats.org/drawingml/2006/main">
          <a:off x="4862683" y="7191630"/>
          <a:ext cx="123237" cy="130004"/>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8"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0.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0.0695</cdr:x>
      <cdr:y>0.98213</cdr:y>
    </cdr:to>
    <cdr:sp macro="" textlink="">
      <cdr:nvSpPr>
        <cdr:cNvPr id="7" name="左大かっこ 6"/>
        <cdr:cNvSpPr/>
      </cdr:nvSpPr>
      <cdr:spPr>
        <a:xfrm xmlns:a="http://schemas.openxmlformats.org/drawingml/2006/main">
          <a:off x="365158" y="4981477"/>
          <a:ext cx="62859" cy="227908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0.0558</cdr:x>
      <cdr:y>0.02311</cdr:y>
    </cdr:from>
    <cdr:to>
      <cdr:x>0.07984</cdr:x>
      <cdr:y>0.04561</cdr:y>
    </cdr:to>
    <cdr:sp macro="" textlink="">
      <cdr:nvSpPr>
        <cdr:cNvPr id="10" name="正方形/長方形 9"/>
        <cdr:cNvSpPr/>
      </cdr:nvSpPr>
      <cdr:spPr>
        <a:xfrm xmlns:a="http://schemas.openxmlformats.org/drawingml/2006/main">
          <a:off x="343590" y="167285"/>
          <a:ext cx="148028"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0.38427</cdr:x>
      <cdr:y>0.02572</cdr:y>
    </cdr:from>
    <cdr:to>
      <cdr:x>0.4083</cdr:x>
      <cdr:y>0.04823</cdr:y>
    </cdr:to>
    <cdr:sp macro="" textlink="">
      <cdr:nvSpPr>
        <cdr:cNvPr id="11" name="正方形/長方形 10"/>
        <cdr:cNvSpPr/>
      </cdr:nvSpPr>
      <cdr:spPr>
        <a:xfrm xmlns:a="http://schemas.openxmlformats.org/drawingml/2006/main">
          <a:off x="2366149" y="186139"/>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0.73011</cdr:x>
      <cdr:y>0.02311</cdr:y>
    </cdr:from>
    <cdr:to>
      <cdr:x>0.75415</cdr:x>
      <cdr:y>0.04562</cdr:y>
    </cdr:to>
    <cdr:sp macro="" textlink="">
      <cdr:nvSpPr>
        <cdr:cNvPr id="12" name="正方形/長方形 11"/>
        <cdr:cNvSpPr/>
      </cdr:nvSpPr>
      <cdr:spPr>
        <a:xfrm xmlns:a="http://schemas.openxmlformats.org/drawingml/2006/main">
          <a:off x="4495735" y="167249"/>
          <a:ext cx="148028"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0.87603</cdr:x>
      <cdr:y>0.02486</cdr:y>
    </cdr:from>
    <cdr:to>
      <cdr:x>0.90007</cdr:x>
      <cdr:y>0.04737</cdr:y>
    </cdr:to>
    <cdr:sp macro="" textlink="">
      <cdr:nvSpPr>
        <cdr:cNvPr id="13" name="正方形/長方形 12"/>
        <cdr:cNvSpPr/>
      </cdr:nvSpPr>
      <cdr:spPr>
        <a:xfrm xmlns:a="http://schemas.openxmlformats.org/drawingml/2006/main">
          <a:off x="5394260" y="179949"/>
          <a:ext cx="148028"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1.xml><?xml version="1.0" encoding="utf-8"?>
<c:userShapes xmlns:c="http://schemas.openxmlformats.org/drawingml/2006/chart">
  <cdr:relSizeAnchor xmlns:cdr="http://schemas.openxmlformats.org/drawingml/2006/chartDrawing">
    <cdr:from>
      <cdr:x>0.08506</cdr:x>
      <cdr:y>0.19887</cdr:y>
    </cdr:from>
    <cdr:to>
      <cdr:x>0.24371</cdr:x>
      <cdr:y>0.24366</cdr:y>
    </cdr:to>
    <cdr:sp macro="" textlink="">
      <cdr:nvSpPr>
        <cdr:cNvPr id="5" name="正方形/長方形 4"/>
        <cdr:cNvSpPr/>
      </cdr:nvSpPr>
      <cdr:spPr>
        <a:xfrm xmlns:a="http://schemas.openxmlformats.org/drawingml/2006/main">
          <a:off x="505563" y="983112"/>
          <a:ext cx="942952" cy="221415"/>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0.25119</cdr:y>
    </cdr:from>
    <cdr:to>
      <cdr:x>0.07039</cdr:x>
      <cdr:y>0.37177</cdr:y>
    </cdr:to>
    <cdr:sp macro="" textlink="">
      <cdr:nvSpPr>
        <cdr:cNvPr id="6" name="左大かっこ 5"/>
        <cdr:cNvSpPr/>
      </cdr:nvSpPr>
      <cdr:spPr>
        <a:xfrm xmlns:a="http://schemas.openxmlformats.org/drawingml/2006/main">
          <a:off x="372664" y="1241737"/>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0.39484</cdr:y>
    </cdr:from>
    <cdr:to>
      <cdr:x>0.07101</cdr:x>
      <cdr:y>0.83686</cdr:y>
    </cdr:to>
    <cdr:sp macro="" textlink="">
      <cdr:nvSpPr>
        <cdr:cNvPr id="7" name="左大かっこ 6"/>
        <cdr:cNvSpPr/>
      </cdr:nvSpPr>
      <cdr:spPr>
        <a:xfrm xmlns:a="http://schemas.openxmlformats.org/drawingml/2006/main">
          <a:off x="371476" y="1951891"/>
          <a:ext cx="50556" cy="218511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0.0765</cdr:x>
      <cdr:y>0.01432</cdr:y>
    </cdr:from>
    <cdr:to>
      <cdr:x>0.10054</cdr:x>
      <cdr:y>0.03683</cdr:y>
    </cdr:to>
    <cdr:sp macro="" textlink="">
      <cdr:nvSpPr>
        <cdr:cNvPr id="10" name="正方形/長方形 9"/>
        <cdr:cNvSpPr/>
      </cdr:nvSpPr>
      <cdr:spPr>
        <a:xfrm xmlns:a="http://schemas.openxmlformats.org/drawingml/2006/main">
          <a:off x="454672" y="70775"/>
          <a:ext cx="142884" cy="11127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0.56885</cdr:x>
      <cdr:y>0.01158</cdr:y>
    </cdr:from>
    <cdr:to>
      <cdr:x>0.59288</cdr:x>
      <cdr:y>0.03409</cdr:y>
    </cdr:to>
    <cdr:sp macro="" textlink="">
      <cdr:nvSpPr>
        <cdr:cNvPr id="11" name="正方形/長方形 10"/>
        <cdr:cNvSpPr/>
      </cdr:nvSpPr>
      <cdr:spPr>
        <a:xfrm xmlns:a="http://schemas.openxmlformats.org/drawingml/2006/main">
          <a:off x="3381020" y="57254"/>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0.07773</cdr:x>
      <cdr:y>0.05812</cdr:y>
    </cdr:from>
    <cdr:to>
      <cdr:x>0.10177</cdr:x>
      <cdr:y>0.08063</cdr:y>
    </cdr:to>
    <cdr:sp macro="" textlink="">
      <cdr:nvSpPr>
        <cdr:cNvPr id="12" name="正方形/長方形 11"/>
        <cdr:cNvSpPr/>
      </cdr:nvSpPr>
      <cdr:spPr>
        <a:xfrm xmlns:a="http://schemas.openxmlformats.org/drawingml/2006/main">
          <a:off x="461987" y="287303"/>
          <a:ext cx="142885"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0.06212</cdr:x>
      <cdr:y>0.85027</cdr:y>
    </cdr:from>
    <cdr:to>
      <cdr:x>0.06981</cdr:x>
      <cdr:y>0.97085</cdr:y>
    </cdr:to>
    <cdr:sp macro="" textlink="">
      <cdr:nvSpPr>
        <cdr:cNvPr id="19" name="左大かっこ 18"/>
        <cdr:cNvSpPr/>
      </cdr:nvSpPr>
      <cdr:spPr>
        <a:xfrm xmlns:a="http://schemas.openxmlformats.org/drawingml/2006/main">
          <a:off x="369234" y="4203288"/>
          <a:ext cx="45706"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0.57043</cdr:x>
      <cdr:y>0.05791</cdr:y>
    </cdr:from>
    <cdr:to>
      <cdr:x>0.59447</cdr:x>
      <cdr:y>0.08042</cdr:y>
    </cdr:to>
    <cdr:sp macro="" textlink="">
      <cdr:nvSpPr>
        <cdr:cNvPr id="13" name="正方形/長方形 12"/>
        <cdr:cNvSpPr/>
      </cdr:nvSpPr>
      <cdr:spPr>
        <a:xfrm xmlns:a="http://schemas.openxmlformats.org/drawingml/2006/main">
          <a:off x="3390391" y="286262"/>
          <a:ext cx="142884"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0.07809</cdr:x>
      <cdr:y>0.10436</cdr:y>
    </cdr:from>
    <cdr:to>
      <cdr:x>0.10213</cdr:x>
      <cdr:y>0.12687</cdr:y>
    </cdr:to>
    <cdr:sp macro="" textlink="">
      <cdr:nvSpPr>
        <cdr:cNvPr id="14" name="正方形/長方形 13"/>
        <cdr:cNvSpPr/>
      </cdr:nvSpPr>
      <cdr:spPr>
        <a:xfrm xmlns:a="http://schemas.openxmlformats.org/drawingml/2006/main">
          <a:off x="464136" y="515878"/>
          <a:ext cx="142884" cy="11127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0.57221</cdr:x>
      <cdr:y>0.10244</cdr:y>
    </cdr:from>
    <cdr:to>
      <cdr:x>0.59625</cdr:x>
      <cdr:y>0.12495</cdr:y>
    </cdr:to>
    <cdr:sp macro="" textlink="">
      <cdr:nvSpPr>
        <cdr:cNvPr id="15" name="正方形/長方形 14"/>
        <cdr:cNvSpPr/>
      </cdr:nvSpPr>
      <cdr:spPr>
        <a:xfrm xmlns:a="http://schemas.openxmlformats.org/drawingml/2006/main">
          <a:off x="3400999" y="506419"/>
          <a:ext cx="142884" cy="11127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2.xml><?xml version="1.0" encoding="utf-8"?>
<c:userShapes xmlns:c="http://schemas.openxmlformats.org/drawingml/2006/chart">
  <cdr:relSizeAnchor xmlns:cdr="http://schemas.openxmlformats.org/drawingml/2006/chartDrawing">
    <cdr:from>
      <cdr:x>0.10483</cdr:x>
      <cdr:y>0.11393</cdr:y>
    </cdr:from>
    <cdr:to>
      <cdr:x>0.26348</cdr:x>
      <cdr:y>0.14303</cdr:y>
    </cdr:to>
    <cdr:sp macro="" textlink="">
      <cdr:nvSpPr>
        <cdr:cNvPr id="5" name="正方形/長方形 4"/>
        <cdr:cNvSpPr/>
      </cdr:nvSpPr>
      <cdr:spPr>
        <a:xfrm xmlns:a="http://schemas.openxmlformats.org/drawingml/2006/main">
          <a:off x="645501" y="824546"/>
          <a:ext cx="976902" cy="210576"/>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0.07108</cdr:x>
      <cdr:y>0.98213</cdr:y>
    </cdr:to>
    <cdr:sp macro="" textlink="">
      <cdr:nvSpPr>
        <cdr:cNvPr id="7" name="左大かっこ 6"/>
        <cdr:cNvSpPr/>
      </cdr:nvSpPr>
      <cdr:spPr>
        <a:xfrm xmlns:a="http://schemas.openxmlformats.org/drawingml/2006/main">
          <a:off x="365158" y="5144074"/>
          <a:ext cx="72585" cy="235347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0.02013</cdr:x>
      <cdr:y>0.01137</cdr:y>
    </cdr:from>
    <cdr:to>
      <cdr:x>0.04417</cdr:x>
      <cdr:y>0.03387</cdr:y>
    </cdr:to>
    <cdr:sp macro="" textlink="">
      <cdr:nvSpPr>
        <cdr:cNvPr id="10" name="正方形/長方形 9"/>
        <cdr:cNvSpPr/>
      </cdr:nvSpPr>
      <cdr:spPr>
        <a:xfrm xmlns:a="http://schemas.openxmlformats.org/drawingml/2006/main">
          <a:off x="123943" y="82286"/>
          <a:ext cx="148028" cy="162834"/>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0.34698</cdr:x>
      <cdr:y>0.01007</cdr:y>
    </cdr:from>
    <cdr:to>
      <cdr:x>0.37101</cdr:x>
      <cdr:y>0.03258</cdr:y>
    </cdr:to>
    <cdr:sp macro="" textlink="">
      <cdr:nvSpPr>
        <cdr:cNvPr id="11" name="正方形/長方形 10"/>
        <cdr:cNvSpPr/>
      </cdr:nvSpPr>
      <cdr:spPr>
        <a:xfrm xmlns:a="http://schemas.openxmlformats.org/drawingml/2006/main">
          <a:off x="2136552" y="72882"/>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0.67442</cdr:x>
      <cdr:y>0.00994</cdr:y>
    </cdr:from>
    <cdr:to>
      <cdr:x>0.69846</cdr:x>
      <cdr:y>0.03245</cdr:y>
    </cdr:to>
    <cdr:sp macro="" textlink="">
      <cdr:nvSpPr>
        <cdr:cNvPr id="12" name="正方形/長方形 11"/>
        <cdr:cNvSpPr/>
      </cdr:nvSpPr>
      <cdr:spPr>
        <a:xfrm xmlns:a="http://schemas.openxmlformats.org/drawingml/2006/main">
          <a:off x="4152804" y="71965"/>
          <a:ext cx="148029"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0.0202</cdr:x>
      <cdr:y>0.05001</cdr:y>
    </cdr:from>
    <cdr:to>
      <cdr:x>0.04486</cdr:x>
      <cdr:y>0.0735</cdr:y>
    </cdr:to>
    <cdr:sp macro="" textlink="">
      <cdr:nvSpPr>
        <cdr:cNvPr id="13" name="正方形/長方形 12"/>
        <cdr:cNvSpPr/>
      </cdr:nvSpPr>
      <cdr:spPr>
        <a:xfrm xmlns:a="http://schemas.openxmlformats.org/drawingml/2006/main">
          <a:off x="124414" y="361932"/>
          <a:ext cx="151785" cy="16999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0.35071</cdr:x>
      <cdr:y>0.04738</cdr:y>
    </cdr:from>
    <cdr:to>
      <cdr:x>0.37228</cdr:x>
      <cdr:y>0.06693</cdr:y>
    </cdr:to>
    <cdr:sp macro="" textlink="">
      <cdr:nvSpPr>
        <cdr:cNvPr id="14" name="正方形/長方形 13"/>
        <cdr:cNvSpPr/>
      </cdr:nvSpPr>
      <cdr:spPr>
        <a:xfrm xmlns:a="http://schemas.openxmlformats.org/drawingml/2006/main">
          <a:off x="2159500" y="342894"/>
          <a:ext cx="132819" cy="141485"/>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0.67494</cdr:x>
      <cdr:y>0.04592</cdr:y>
    </cdr:from>
    <cdr:to>
      <cdr:x>0.69898</cdr:x>
      <cdr:y>0.06843</cdr:y>
    </cdr:to>
    <cdr:sp macro="" textlink="">
      <cdr:nvSpPr>
        <cdr:cNvPr id="15" name="正方形/長方形 14"/>
        <cdr:cNvSpPr/>
      </cdr:nvSpPr>
      <cdr:spPr>
        <a:xfrm xmlns:a="http://schemas.openxmlformats.org/drawingml/2006/main">
          <a:off x="4155979" y="332315"/>
          <a:ext cx="148029" cy="16290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3.xml><?xml version="1.0" encoding="utf-8"?>
<c:userShapes xmlns:c="http://schemas.openxmlformats.org/drawingml/2006/chart">
  <cdr:relSizeAnchor xmlns:cdr="http://schemas.openxmlformats.org/drawingml/2006/chartDrawing">
    <cdr:from>
      <cdr:x>0.08654</cdr:x>
      <cdr:y>0.17675</cdr:y>
    </cdr:from>
    <cdr:to>
      <cdr:x>0.24519</cdr:x>
      <cdr:y>0.2241</cdr:y>
    </cdr:to>
    <cdr:sp macro="" textlink="">
      <cdr:nvSpPr>
        <cdr:cNvPr id="5" name="正方形/長方形 4"/>
        <cdr:cNvSpPr/>
      </cdr:nvSpPr>
      <cdr:spPr>
        <a:xfrm xmlns:a="http://schemas.openxmlformats.org/drawingml/2006/main">
          <a:off x="514356" y="873780"/>
          <a:ext cx="942952" cy="23405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0.2447</cdr:y>
    </cdr:from>
    <cdr:to>
      <cdr:x>0.07039</cdr:x>
      <cdr:y>0.34331</cdr:y>
    </cdr:to>
    <cdr:sp macro="" textlink="">
      <cdr:nvSpPr>
        <cdr:cNvPr id="6" name="左大かっこ 5"/>
        <cdr:cNvSpPr/>
      </cdr:nvSpPr>
      <cdr:spPr>
        <a:xfrm xmlns:a="http://schemas.openxmlformats.org/drawingml/2006/main">
          <a:off x="372663" y="1209674"/>
          <a:ext cx="45719" cy="48746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0.36903</cdr:y>
    </cdr:from>
    <cdr:to>
      <cdr:x>0.07038</cdr:x>
      <cdr:y>0.82797</cdr:y>
    </cdr:to>
    <cdr:sp macro="" textlink="">
      <cdr:nvSpPr>
        <cdr:cNvPr id="7" name="左大かっこ 6"/>
        <cdr:cNvSpPr/>
      </cdr:nvSpPr>
      <cdr:spPr>
        <a:xfrm xmlns:a="http://schemas.openxmlformats.org/drawingml/2006/main">
          <a:off x="371476" y="1824291"/>
          <a:ext cx="46814" cy="22687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0.57189</cdr:y>
    </cdr:from>
    <cdr:to>
      <cdr:x>0.0609</cdr:x>
      <cdr:y>0.67318</cdr:y>
    </cdr:to>
    <cdr:sp macro="" textlink="">
      <cdr:nvSpPr>
        <cdr:cNvPr id="9" name="テキスト ボックス 8"/>
        <cdr:cNvSpPr txBox="1"/>
      </cdr:nvSpPr>
      <cdr:spPr>
        <a:xfrm xmlns:a="http://schemas.openxmlformats.org/drawingml/2006/main">
          <a:off x="0" y="2827135"/>
          <a:ext cx="361965" cy="5007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0.00973</cdr:x>
      <cdr:y>0.0139</cdr:y>
    </cdr:from>
    <cdr:to>
      <cdr:x>0.03377</cdr:x>
      <cdr:y>0.0364</cdr:y>
    </cdr:to>
    <cdr:sp macro="" textlink="">
      <cdr:nvSpPr>
        <cdr:cNvPr id="10" name="正方形/長方形 9"/>
        <cdr:cNvSpPr/>
      </cdr:nvSpPr>
      <cdr:spPr>
        <a:xfrm xmlns:a="http://schemas.openxmlformats.org/drawingml/2006/main">
          <a:off x="57821" y="68707"/>
          <a:ext cx="142884" cy="11122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0.5035</cdr:x>
      <cdr:y>0.01158</cdr:y>
    </cdr:from>
    <cdr:to>
      <cdr:x>0.52753</cdr:x>
      <cdr:y>0.03409</cdr:y>
    </cdr:to>
    <cdr:sp macro="" textlink="">
      <cdr:nvSpPr>
        <cdr:cNvPr id="11" name="正方形/長方形 10"/>
        <cdr:cNvSpPr/>
      </cdr:nvSpPr>
      <cdr:spPr>
        <a:xfrm xmlns:a="http://schemas.openxmlformats.org/drawingml/2006/main">
          <a:off x="2992585" y="57245"/>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0.01096</cdr:x>
      <cdr:y>0.05427</cdr:y>
    </cdr:from>
    <cdr:to>
      <cdr:x>0.035</cdr:x>
      <cdr:y>0.07678</cdr:y>
    </cdr:to>
    <cdr:sp macro="" textlink="">
      <cdr:nvSpPr>
        <cdr:cNvPr id="12" name="正方形/長方形 11"/>
        <cdr:cNvSpPr/>
      </cdr:nvSpPr>
      <cdr:spPr>
        <a:xfrm xmlns:a="http://schemas.openxmlformats.org/drawingml/2006/main">
          <a:off x="65147" y="268305"/>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0.06149</cdr:x>
      <cdr:y>0.85027</cdr:y>
    </cdr:from>
    <cdr:to>
      <cdr:x>0.07038</cdr:x>
      <cdr:y>0.97085</cdr:y>
    </cdr:to>
    <cdr:sp macro="" textlink="">
      <cdr:nvSpPr>
        <cdr:cNvPr id="19" name="左大かっこ 18"/>
        <cdr:cNvSpPr/>
      </cdr:nvSpPr>
      <cdr:spPr>
        <a:xfrm xmlns:a="http://schemas.openxmlformats.org/drawingml/2006/main">
          <a:off x="365492" y="4203288"/>
          <a:ext cx="52797"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0.50347</cdr:x>
      <cdr:y>0.05641</cdr:y>
    </cdr:from>
    <cdr:to>
      <cdr:x>0.52751</cdr:x>
      <cdr:y>0.07892</cdr:y>
    </cdr:to>
    <cdr:sp macro="" textlink="">
      <cdr:nvSpPr>
        <cdr:cNvPr id="13" name="正方形/長方形 12"/>
        <cdr:cNvSpPr/>
      </cdr:nvSpPr>
      <cdr:spPr>
        <a:xfrm xmlns:a="http://schemas.openxmlformats.org/drawingml/2006/main">
          <a:off x="2992450" y="278865"/>
          <a:ext cx="142884" cy="1112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0.00971</cdr:x>
      <cdr:y>0.09473</cdr:y>
    </cdr:from>
    <cdr:to>
      <cdr:x>0.03375</cdr:x>
      <cdr:y>0.11724</cdr:y>
    </cdr:to>
    <cdr:sp macro="" textlink="">
      <cdr:nvSpPr>
        <cdr:cNvPr id="14" name="正方形/長方形 13"/>
        <cdr:cNvSpPr/>
      </cdr:nvSpPr>
      <cdr:spPr>
        <a:xfrm xmlns:a="http://schemas.openxmlformats.org/drawingml/2006/main">
          <a:off x="57740" y="468301"/>
          <a:ext cx="142884" cy="11127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4.xml><?xml version="1.0" encoding="utf-8"?>
<c:userShapes xmlns:c="http://schemas.openxmlformats.org/drawingml/2006/chart">
  <cdr:relSizeAnchor xmlns:cdr="http://schemas.openxmlformats.org/drawingml/2006/chartDrawing">
    <cdr:from>
      <cdr:x>0.10483</cdr:x>
      <cdr:y>0.1132</cdr:y>
    </cdr:from>
    <cdr:to>
      <cdr:x>0.26348</cdr:x>
      <cdr:y>0.14303</cdr:y>
    </cdr:to>
    <cdr:sp macro="" textlink="">
      <cdr:nvSpPr>
        <cdr:cNvPr id="5" name="正方形/長方形 4"/>
        <cdr:cNvSpPr/>
      </cdr:nvSpPr>
      <cdr:spPr>
        <a:xfrm xmlns:a="http://schemas.openxmlformats.org/drawingml/2006/main">
          <a:off x="645501" y="819260"/>
          <a:ext cx="976902" cy="215862"/>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0.05455</cdr:x>
      <cdr:y>0.67384</cdr:y>
    </cdr:from>
    <cdr:to>
      <cdr:x>0.06951</cdr:x>
      <cdr:y>0.98213</cdr:y>
    </cdr:to>
    <cdr:sp macro="" textlink="">
      <cdr:nvSpPr>
        <cdr:cNvPr id="7" name="左大かっこ 6"/>
        <cdr:cNvSpPr/>
      </cdr:nvSpPr>
      <cdr:spPr>
        <a:xfrm xmlns:a="http://schemas.openxmlformats.org/drawingml/2006/main">
          <a:off x="335902" y="4876644"/>
          <a:ext cx="92116" cy="223112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0.04323</cdr:x>
      <cdr:y>0.00459</cdr:y>
    </cdr:from>
    <cdr:to>
      <cdr:x>0.06727</cdr:x>
      <cdr:y>0.02709</cdr:y>
    </cdr:to>
    <cdr:sp macro="" textlink="">
      <cdr:nvSpPr>
        <cdr:cNvPr id="10" name="正方形/長方形 9"/>
        <cdr:cNvSpPr/>
      </cdr:nvSpPr>
      <cdr:spPr>
        <a:xfrm xmlns:a="http://schemas.openxmlformats.org/drawingml/2006/main">
          <a:off x="266212" y="33251"/>
          <a:ext cx="148029"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0.53278</cdr:x>
      <cdr:y>0.00459</cdr:y>
    </cdr:from>
    <cdr:to>
      <cdr:x>0.558</cdr:x>
      <cdr:y>0.0271</cdr:y>
    </cdr:to>
    <cdr:sp macro="" textlink="">
      <cdr:nvSpPr>
        <cdr:cNvPr id="11" name="正方形/長方形 10"/>
        <cdr:cNvSpPr/>
      </cdr:nvSpPr>
      <cdr:spPr>
        <a:xfrm xmlns:a="http://schemas.openxmlformats.org/drawingml/2006/main">
          <a:off x="3280613" y="33251"/>
          <a:ext cx="155314"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0.04276</cdr:x>
      <cdr:y>0.03089</cdr:y>
    </cdr:from>
    <cdr:to>
      <cdr:x>0.0668</cdr:x>
      <cdr:y>0.0534</cdr:y>
    </cdr:to>
    <cdr:sp macro="" textlink="">
      <cdr:nvSpPr>
        <cdr:cNvPr id="12" name="正方形/長方形 11"/>
        <cdr:cNvSpPr/>
      </cdr:nvSpPr>
      <cdr:spPr>
        <a:xfrm xmlns:a="http://schemas.openxmlformats.org/drawingml/2006/main">
          <a:off x="263317" y="223519"/>
          <a:ext cx="148029"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0.53468</cdr:x>
      <cdr:y>0.03362</cdr:y>
    </cdr:from>
    <cdr:to>
      <cdr:x>0.55872</cdr:x>
      <cdr:y>0.05613</cdr:y>
    </cdr:to>
    <cdr:sp macro="" textlink="">
      <cdr:nvSpPr>
        <cdr:cNvPr id="13" name="正方形/長方形 12"/>
        <cdr:cNvSpPr/>
      </cdr:nvSpPr>
      <cdr:spPr>
        <a:xfrm xmlns:a="http://schemas.openxmlformats.org/drawingml/2006/main">
          <a:off x="3292328" y="243311"/>
          <a:ext cx="148029"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0.04367</cdr:x>
      <cdr:y>0.05908</cdr:y>
    </cdr:from>
    <cdr:to>
      <cdr:x>0.06771</cdr:x>
      <cdr:y>0.08159</cdr:y>
    </cdr:to>
    <cdr:sp macro="" textlink="">
      <cdr:nvSpPr>
        <cdr:cNvPr id="14" name="正方形/長方形 13"/>
        <cdr:cNvSpPr/>
      </cdr:nvSpPr>
      <cdr:spPr>
        <a:xfrm xmlns:a="http://schemas.openxmlformats.org/drawingml/2006/main">
          <a:off x="268917" y="427585"/>
          <a:ext cx="148029" cy="16290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5.xml><?xml version="1.0" encoding="utf-8"?>
<c:userShapes xmlns:c="http://schemas.openxmlformats.org/drawingml/2006/chart">
  <cdr:relSizeAnchor xmlns:cdr="http://schemas.openxmlformats.org/drawingml/2006/chartDrawing">
    <cdr:from>
      <cdr:x>0.08506</cdr:x>
      <cdr:y>0.1609</cdr:y>
    </cdr:from>
    <cdr:to>
      <cdr:x>0.24371</cdr:x>
      <cdr:y>0.1978</cdr:y>
    </cdr:to>
    <cdr:sp macro="" textlink="">
      <cdr:nvSpPr>
        <cdr:cNvPr id="5" name="正方形/長方形 4"/>
        <cdr:cNvSpPr/>
      </cdr:nvSpPr>
      <cdr:spPr>
        <a:xfrm xmlns:a="http://schemas.openxmlformats.org/drawingml/2006/main">
          <a:off x="505563" y="795405"/>
          <a:ext cx="942952" cy="18242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0.22273</cdr:y>
    </cdr:from>
    <cdr:to>
      <cdr:x>0.07039</cdr:x>
      <cdr:y>0.34331</cdr:y>
    </cdr:to>
    <cdr:sp macro="" textlink="">
      <cdr:nvSpPr>
        <cdr:cNvPr id="6" name="左大かっこ 5"/>
        <cdr:cNvSpPr/>
      </cdr:nvSpPr>
      <cdr:spPr>
        <a:xfrm xmlns:a="http://schemas.openxmlformats.org/drawingml/2006/main">
          <a:off x="372664" y="131956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0.36903</cdr:y>
    </cdr:from>
    <cdr:to>
      <cdr:x>0.07201</cdr:x>
      <cdr:y>0.82797</cdr:y>
    </cdr:to>
    <cdr:sp macro="" textlink="">
      <cdr:nvSpPr>
        <cdr:cNvPr id="7" name="左大かっこ 6"/>
        <cdr:cNvSpPr/>
      </cdr:nvSpPr>
      <cdr:spPr>
        <a:xfrm xmlns:a="http://schemas.openxmlformats.org/drawingml/2006/main">
          <a:off x="371476" y="1824291"/>
          <a:ext cx="56542" cy="22687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0.24284</cdr:y>
    </cdr:from>
    <cdr:to>
      <cdr:x>0.0625</cdr:x>
      <cdr:y>0.34734</cdr:y>
    </cdr:to>
    <cdr:sp macro="" textlink="">
      <cdr:nvSpPr>
        <cdr:cNvPr id="8" name="テキスト ボックス 7"/>
        <cdr:cNvSpPr txBox="1"/>
      </cdr:nvSpPr>
      <cdr:spPr>
        <a:xfrm xmlns:a="http://schemas.openxmlformats.org/drawingml/2006/main">
          <a:off x="0" y="1200495"/>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0.54526</cdr:y>
    </cdr:from>
    <cdr:to>
      <cdr:x>0.0609</cdr:x>
      <cdr:y>0.64655</cdr:y>
    </cdr:to>
    <cdr:sp macro="" textlink="">
      <cdr:nvSpPr>
        <cdr:cNvPr id="9" name="テキスト ボックス 8"/>
        <cdr:cNvSpPr txBox="1"/>
      </cdr:nvSpPr>
      <cdr:spPr>
        <a:xfrm xmlns:a="http://schemas.openxmlformats.org/drawingml/2006/main">
          <a:off x="0" y="2695460"/>
          <a:ext cx="361965" cy="5007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0.13419</cdr:x>
      <cdr:y>0.00579</cdr:y>
    </cdr:from>
    <cdr:to>
      <cdr:x>0.15651</cdr:x>
      <cdr:y>0.02951</cdr:y>
    </cdr:to>
    <cdr:sp macro="" textlink="">
      <cdr:nvSpPr>
        <cdr:cNvPr id="10" name="正方形/長方形 9"/>
        <cdr:cNvSpPr/>
      </cdr:nvSpPr>
      <cdr:spPr>
        <a:xfrm xmlns:a="http://schemas.openxmlformats.org/drawingml/2006/main">
          <a:off x="797553" y="28623"/>
          <a:ext cx="132661" cy="11725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0.06313</cdr:x>
      <cdr:y>0.85027</cdr:y>
    </cdr:from>
    <cdr:to>
      <cdr:x>0.07365</cdr:x>
      <cdr:y>0.97085</cdr:y>
    </cdr:to>
    <cdr:sp macro="" textlink="">
      <cdr:nvSpPr>
        <cdr:cNvPr id="19" name="左大かっこ 18"/>
        <cdr:cNvSpPr/>
      </cdr:nvSpPr>
      <cdr:spPr>
        <a:xfrm xmlns:a="http://schemas.openxmlformats.org/drawingml/2006/main">
          <a:off x="375220" y="4203288"/>
          <a:ext cx="62524"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0.59452</cdr:x>
      <cdr:y>0.00599</cdr:y>
    </cdr:from>
    <cdr:to>
      <cdr:x>0.61684</cdr:x>
      <cdr:y>0.02971</cdr:y>
    </cdr:to>
    <cdr:sp macro="" textlink="">
      <cdr:nvSpPr>
        <cdr:cNvPr id="14" name="正方形/長方形 13"/>
        <cdr:cNvSpPr/>
      </cdr:nvSpPr>
      <cdr:spPr>
        <a:xfrm xmlns:a="http://schemas.openxmlformats.org/drawingml/2006/main">
          <a:off x="3533588" y="29611"/>
          <a:ext cx="132661" cy="117260"/>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0.13629</cdr:x>
      <cdr:y>0.03734</cdr:y>
    </cdr:from>
    <cdr:to>
      <cdr:x>0.15861</cdr:x>
      <cdr:y>0.06106</cdr:y>
    </cdr:to>
    <cdr:sp macro="" textlink="">
      <cdr:nvSpPr>
        <cdr:cNvPr id="15" name="正方形/長方形 14"/>
        <cdr:cNvSpPr/>
      </cdr:nvSpPr>
      <cdr:spPr>
        <a:xfrm xmlns:a="http://schemas.openxmlformats.org/drawingml/2006/main">
          <a:off x="810032" y="184595"/>
          <a:ext cx="132661" cy="117259"/>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0.59545</cdr:x>
      <cdr:y>0.03801</cdr:y>
    </cdr:from>
    <cdr:to>
      <cdr:x>0.61777</cdr:x>
      <cdr:y>0.06173</cdr:y>
    </cdr:to>
    <cdr:sp macro="" textlink="">
      <cdr:nvSpPr>
        <cdr:cNvPr id="16" name="正方形/長方形 15"/>
        <cdr:cNvSpPr/>
      </cdr:nvSpPr>
      <cdr:spPr>
        <a:xfrm xmlns:a="http://schemas.openxmlformats.org/drawingml/2006/main">
          <a:off x="3539117" y="187898"/>
          <a:ext cx="132661" cy="11725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0.13569</cdr:x>
      <cdr:y>0.06869</cdr:y>
    </cdr:from>
    <cdr:to>
      <cdr:x>0.15801</cdr:x>
      <cdr:y>0.09241</cdr:y>
    </cdr:to>
    <cdr:sp macro="" textlink="">
      <cdr:nvSpPr>
        <cdr:cNvPr id="17" name="正方形/長方形 16"/>
        <cdr:cNvSpPr/>
      </cdr:nvSpPr>
      <cdr:spPr>
        <a:xfrm xmlns:a="http://schemas.openxmlformats.org/drawingml/2006/main">
          <a:off x="806466" y="339577"/>
          <a:ext cx="132661" cy="117259"/>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0.59552</cdr:x>
      <cdr:y>0.07066</cdr:y>
    </cdr:from>
    <cdr:to>
      <cdr:x>0.61784</cdr:x>
      <cdr:y>0.09438</cdr:y>
    </cdr:to>
    <cdr:sp macro="" textlink="">
      <cdr:nvSpPr>
        <cdr:cNvPr id="18" name="正方形/長方形 17"/>
        <cdr:cNvSpPr/>
      </cdr:nvSpPr>
      <cdr:spPr>
        <a:xfrm xmlns:a="http://schemas.openxmlformats.org/drawingml/2006/main">
          <a:off x="3539524" y="349299"/>
          <a:ext cx="132661" cy="117259"/>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6.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0.07109</cdr:x>
      <cdr:y>0.98213</cdr:y>
    </cdr:to>
    <cdr:sp macro="" textlink="">
      <cdr:nvSpPr>
        <cdr:cNvPr id="7" name="左大かっこ 6"/>
        <cdr:cNvSpPr/>
      </cdr:nvSpPr>
      <cdr:spPr>
        <a:xfrm xmlns:a="http://schemas.openxmlformats.org/drawingml/2006/main">
          <a:off x="365085" y="4876644"/>
          <a:ext cx="72660" cy="223112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0.02402</cdr:x>
      <cdr:y>0.0127</cdr:y>
    </cdr:from>
    <cdr:to>
      <cdr:x>0.04557</cdr:x>
      <cdr:y>0.0289</cdr:y>
    </cdr:to>
    <cdr:sp macro="" textlink="">
      <cdr:nvSpPr>
        <cdr:cNvPr id="13" name="正方形/長方形 12"/>
        <cdr:cNvSpPr/>
      </cdr:nvSpPr>
      <cdr:spPr>
        <a:xfrm xmlns:a="http://schemas.openxmlformats.org/drawingml/2006/main">
          <a:off x="147901" y="91911"/>
          <a:ext cx="132696" cy="117241"/>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0.34853</cdr:x>
      <cdr:y>0.01389</cdr:y>
    </cdr:from>
    <cdr:to>
      <cdr:x>0.37008</cdr:x>
      <cdr:y>0.03009</cdr:y>
    </cdr:to>
    <cdr:sp macro="" textlink="">
      <cdr:nvSpPr>
        <cdr:cNvPr id="14" name="正方形/長方形 13"/>
        <cdr:cNvSpPr/>
      </cdr:nvSpPr>
      <cdr:spPr>
        <a:xfrm xmlns:a="http://schemas.openxmlformats.org/drawingml/2006/main">
          <a:off x="2146102" y="100510"/>
          <a:ext cx="132696" cy="117241"/>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0.67396</cdr:x>
      <cdr:y>0.01403</cdr:y>
    </cdr:from>
    <cdr:to>
      <cdr:x>0.69551</cdr:x>
      <cdr:y>0.03022</cdr:y>
    </cdr:to>
    <cdr:sp macro="" textlink="">
      <cdr:nvSpPr>
        <cdr:cNvPr id="15" name="正方形/長方形 14"/>
        <cdr:cNvSpPr/>
      </cdr:nvSpPr>
      <cdr:spPr>
        <a:xfrm xmlns:a="http://schemas.openxmlformats.org/drawingml/2006/main">
          <a:off x="4149968" y="101521"/>
          <a:ext cx="132696" cy="117169"/>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0.02519</cdr:x>
      <cdr:y>0.05214</cdr:y>
    </cdr:from>
    <cdr:to>
      <cdr:x>0.04674</cdr:x>
      <cdr:y>0.06834</cdr:y>
    </cdr:to>
    <cdr:sp macro="" textlink="">
      <cdr:nvSpPr>
        <cdr:cNvPr id="16" name="正方形/長方形 15"/>
        <cdr:cNvSpPr/>
      </cdr:nvSpPr>
      <cdr:spPr>
        <a:xfrm xmlns:a="http://schemas.openxmlformats.org/drawingml/2006/main">
          <a:off x="155112" y="377327"/>
          <a:ext cx="132696" cy="11724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0.34938</cdr:x>
      <cdr:y>0.05211</cdr:y>
    </cdr:from>
    <cdr:to>
      <cdr:x>0.37093</cdr:x>
      <cdr:y>0.06831</cdr:y>
    </cdr:to>
    <cdr:sp macro="" textlink="">
      <cdr:nvSpPr>
        <cdr:cNvPr id="17" name="正方形/長方形 16"/>
        <cdr:cNvSpPr/>
      </cdr:nvSpPr>
      <cdr:spPr>
        <a:xfrm xmlns:a="http://schemas.openxmlformats.org/drawingml/2006/main">
          <a:off x="2151336" y="377125"/>
          <a:ext cx="132696" cy="117241"/>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0.67243</cdr:x>
      <cdr:y>0.05561</cdr:y>
    </cdr:from>
    <cdr:to>
      <cdr:x>0.69398</cdr:x>
      <cdr:y>0.07181</cdr:y>
    </cdr:to>
    <cdr:sp macro="" textlink="">
      <cdr:nvSpPr>
        <cdr:cNvPr id="12" name="正方形/長方形 11"/>
        <cdr:cNvSpPr/>
      </cdr:nvSpPr>
      <cdr:spPr>
        <a:xfrm xmlns:a="http://schemas.openxmlformats.org/drawingml/2006/main">
          <a:off x="4140522" y="402461"/>
          <a:ext cx="132696" cy="117241"/>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7.xml><?xml version="1.0" encoding="utf-8"?>
<c:userShapes xmlns:c="http://schemas.openxmlformats.org/drawingml/2006/chart">
  <cdr:relSizeAnchor xmlns:cdr="http://schemas.openxmlformats.org/drawingml/2006/chartDrawing">
    <cdr:from>
      <cdr:x>0.08506</cdr:x>
      <cdr:y>0.15503</cdr:y>
    </cdr:from>
    <cdr:to>
      <cdr:x>0.24371</cdr:x>
      <cdr:y>0.19887</cdr:y>
    </cdr:to>
    <cdr:sp macro="" textlink="">
      <cdr:nvSpPr>
        <cdr:cNvPr id="5" name="正方形/長方形 4"/>
        <cdr:cNvSpPr/>
      </cdr:nvSpPr>
      <cdr:spPr>
        <a:xfrm xmlns:a="http://schemas.openxmlformats.org/drawingml/2006/main">
          <a:off x="505563" y="766405"/>
          <a:ext cx="942952" cy="21670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0.22273</cdr:y>
    </cdr:from>
    <cdr:to>
      <cdr:x>0.07039</cdr:x>
      <cdr:y>0.34331</cdr:y>
    </cdr:to>
    <cdr:sp macro="" textlink="">
      <cdr:nvSpPr>
        <cdr:cNvPr id="6" name="左大かっこ 5"/>
        <cdr:cNvSpPr/>
      </cdr:nvSpPr>
      <cdr:spPr>
        <a:xfrm xmlns:a="http://schemas.openxmlformats.org/drawingml/2006/main">
          <a:off x="372664" y="131956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0.36903</cdr:y>
    </cdr:from>
    <cdr:to>
      <cdr:x>0.07365</cdr:x>
      <cdr:y>0.82797</cdr:y>
    </cdr:to>
    <cdr:sp macro="" textlink="">
      <cdr:nvSpPr>
        <cdr:cNvPr id="7" name="左大かっこ 6"/>
        <cdr:cNvSpPr/>
      </cdr:nvSpPr>
      <cdr:spPr>
        <a:xfrm xmlns:a="http://schemas.openxmlformats.org/drawingml/2006/main">
          <a:off x="371475" y="1973561"/>
          <a:ext cx="66269" cy="245439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0.24771</cdr:y>
    </cdr:from>
    <cdr:to>
      <cdr:x>0.0625</cdr:x>
      <cdr:y>0.35221</cdr:y>
    </cdr:to>
    <cdr:sp macro="" textlink="">
      <cdr:nvSpPr>
        <cdr:cNvPr id="8" name="テキスト ボックス 7"/>
        <cdr:cNvSpPr txBox="1"/>
      </cdr:nvSpPr>
      <cdr:spPr>
        <a:xfrm xmlns:a="http://schemas.openxmlformats.org/drawingml/2006/main">
          <a:off x="0" y="1324728"/>
          <a:ext cx="371475" cy="55886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0.55793</cdr:y>
    </cdr:from>
    <cdr:to>
      <cdr:x>0.0609</cdr:x>
      <cdr:y>0.65922</cdr:y>
    </cdr:to>
    <cdr:sp macro="" textlink="">
      <cdr:nvSpPr>
        <cdr:cNvPr id="9" name="テキスト ボックス 8"/>
        <cdr:cNvSpPr txBox="1"/>
      </cdr:nvSpPr>
      <cdr:spPr>
        <a:xfrm xmlns:a="http://schemas.openxmlformats.org/drawingml/2006/main">
          <a:off x="0" y="2983793"/>
          <a:ext cx="361965" cy="5416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0.03404</cdr:x>
      <cdr:y>0.01375</cdr:y>
    </cdr:from>
    <cdr:to>
      <cdr:x>0.05808</cdr:x>
      <cdr:y>0.03625</cdr:y>
    </cdr:to>
    <cdr:sp macro="" textlink="">
      <cdr:nvSpPr>
        <cdr:cNvPr id="10" name="正方形/長方形 9"/>
        <cdr:cNvSpPr/>
      </cdr:nvSpPr>
      <cdr:spPr>
        <a:xfrm xmlns:a="http://schemas.openxmlformats.org/drawingml/2006/main">
          <a:off x="202320" y="67980"/>
          <a:ext cx="142885"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0.36126</cdr:x>
      <cdr:y>0.01256</cdr:y>
    </cdr:from>
    <cdr:to>
      <cdr:x>0.38529</cdr:x>
      <cdr:y>0.03507</cdr:y>
    </cdr:to>
    <cdr:sp macro="" textlink="">
      <cdr:nvSpPr>
        <cdr:cNvPr id="11" name="正方形/長方形 10"/>
        <cdr:cNvSpPr/>
      </cdr:nvSpPr>
      <cdr:spPr>
        <a:xfrm xmlns:a="http://schemas.openxmlformats.org/drawingml/2006/main">
          <a:off x="2147166" y="62109"/>
          <a:ext cx="142824"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0.68809</cdr:x>
      <cdr:y>0.01659</cdr:y>
    </cdr:from>
    <cdr:to>
      <cdr:x>0.71213</cdr:x>
      <cdr:y>0.0391</cdr:y>
    </cdr:to>
    <cdr:sp macro="" textlink="">
      <cdr:nvSpPr>
        <cdr:cNvPr id="12" name="正方形/長方形 11"/>
        <cdr:cNvSpPr/>
      </cdr:nvSpPr>
      <cdr:spPr>
        <a:xfrm xmlns:a="http://schemas.openxmlformats.org/drawingml/2006/main">
          <a:off x="4089748" y="82013"/>
          <a:ext cx="142884" cy="11127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0.85209</cdr:y>
    </cdr:from>
    <cdr:to>
      <cdr:x>0.07038</cdr:x>
      <cdr:y>0.97267</cdr:y>
    </cdr:to>
    <cdr:sp macro="" textlink="">
      <cdr:nvSpPr>
        <cdr:cNvPr id="19" name="左大かっこ 18"/>
        <cdr:cNvSpPr/>
      </cdr:nvSpPr>
      <cdr:spPr>
        <a:xfrm xmlns:a="http://schemas.openxmlformats.org/drawingml/2006/main">
          <a:off x="355764" y="4556946"/>
          <a:ext cx="62525" cy="64485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0.03488</cdr:x>
      <cdr:y>0.06462</cdr:y>
    </cdr:from>
    <cdr:to>
      <cdr:x>0.05892</cdr:x>
      <cdr:y>0.08713</cdr:y>
    </cdr:to>
    <cdr:sp macro="" textlink="">
      <cdr:nvSpPr>
        <cdr:cNvPr id="13" name="正方形/長方形 12"/>
        <cdr:cNvSpPr/>
      </cdr:nvSpPr>
      <cdr:spPr>
        <a:xfrm xmlns:a="http://schemas.openxmlformats.org/drawingml/2006/main">
          <a:off x="207323" y="319440"/>
          <a:ext cx="142885"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0.36223</cdr:x>
      <cdr:y>0.05955</cdr:y>
    </cdr:from>
    <cdr:to>
      <cdr:x>0.38456</cdr:x>
      <cdr:y>0.08327</cdr:y>
    </cdr:to>
    <cdr:sp macro="" textlink="">
      <cdr:nvSpPr>
        <cdr:cNvPr id="14" name="正方形/長方形 13"/>
        <cdr:cNvSpPr/>
      </cdr:nvSpPr>
      <cdr:spPr>
        <a:xfrm xmlns:a="http://schemas.openxmlformats.org/drawingml/2006/main">
          <a:off x="2152974" y="294379"/>
          <a:ext cx="132696" cy="117241"/>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8.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0.06951</cdr:x>
      <cdr:y>0.64922</cdr:y>
    </cdr:to>
    <cdr:sp macro="" textlink="">
      <cdr:nvSpPr>
        <cdr:cNvPr id="6" name="左大かっこ 5"/>
        <cdr:cNvSpPr/>
      </cdr:nvSpPr>
      <cdr:spPr>
        <a:xfrm xmlns:a="http://schemas.openxmlformats.org/drawingml/2006/main">
          <a:off x="363483" y="1169371"/>
          <a:ext cx="64534" cy="352909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0.66333</cdr:y>
    </cdr:from>
    <cdr:to>
      <cdr:x>0.07267</cdr:x>
      <cdr:y>0.98213</cdr:y>
    </cdr:to>
    <cdr:sp macro="" textlink="">
      <cdr:nvSpPr>
        <cdr:cNvPr id="7" name="左大かっこ 6"/>
        <cdr:cNvSpPr/>
      </cdr:nvSpPr>
      <cdr:spPr>
        <a:xfrm xmlns:a="http://schemas.openxmlformats.org/drawingml/2006/main">
          <a:off x="365084" y="4800600"/>
          <a:ext cx="82388" cy="230716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0.08059</cdr:x>
      <cdr:y>0.01139</cdr:y>
    </cdr:from>
    <cdr:to>
      <cdr:x>0.10463</cdr:x>
      <cdr:y>0.03389</cdr:y>
    </cdr:to>
    <cdr:sp macro="" textlink="">
      <cdr:nvSpPr>
        <cdr:cNvPr id="10" name="正方形/長方形 9"/>
        <cdr:cNvSpPr/>
      </cdr:nvSpPr>
      <cdr:spPr>
        <a:xfrm xmlns:a="http://schemas.openxmlformats.org/drawingml/2006/main">
          <a:off x="496237" y="82461"/>
          <a:ext cx="148029" cy="162834"/>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0.36868</cdr:x>
      <cdr:y>0.00861</cdr:y>
    </cdr:from>
    <cdr:to>
      <cdr:x>0.39271</cdr:x>
      <cdr:y>0.03112</cdr:y>
    </cdr:to>
    <cdr:sp macro="" textlink="">
      <cdr:nvSpPr>
        <cdr:cNvPr id="11" name="正方形/長方形 10"/>
        <cdr:cNvSpPr/>
      </cdr:nvSpPr>
      <cdr:spPr>
        <a:xfrm xmlns:a="http://schemas.openxmlformats.org/drawingml/2006/main">
          <a:off x="2270164" y="62311"/>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0.65633</cdr:x>
      <cdr:y>0.01252</cdr:y>
    </cdr:from>
    <cdr:to>
      <cdr:x>0.68037</cdr:x>
      <cdr:y>0.03503</cdr:y>
    </cdr:to>
    <cdr:sp macro="" textlink="">
      <cdr:nvSpPr>
        <cdr:cNvPr id="12" name="正方形/長方形 11"/>
        <cdr:cNvSpPr/>
      </cdr:nvSpPr>
      <cdr:spPr>
        <a:xfrm xmlns:a="http://schemas.openxmlformats.org/drawingml/2006/main">
          <a:off x="4041395" y="90602"/>
          <a:ext cx="148029"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0.08087</cdr:x>
      <cdr:y>0.05486</cdr:y>
    </cdr:from>
    <cdr:to>
      <cdr:x>0.10491</cdr:x>
      <cdr:y>0.07737</cdr:y>
    </cdr:to>
    <cdr:sp macro="" textlink="">
      <cdr:nvSpPr>
        <cdr:cNvPr id="13" name="正方形/長方形 12"/>
        <cdr:cNvSpPr/>
      </cdr:nvSpPr>
      <cdr:spPr>
        <a:xfrm xmlns:a="http://schemas.openxmlformats.org/drawingml/2006/main">
          <a:off x="497945" y="397034"/>
          <a:ext cx="148028"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0.36614</cdr:x>
      <cdr:y>0.05132</cdr:y>
    </cdr:from>
    <cdr:to>
      <cdr:x>0.39018</cdr:x>
      <cdr:y>0.07383</cdr:y>
    </cdr:to>
    <cdr:sp macro="" textlink="">
      <cdr:nvSpPr>
        <cdr:cNvPr id="15" name="正方形/長方形 14"/>
        <cdr:cNvSpPr/>
      </cdr:nvSpPr>
      <cdr:spPr>
        <a:xfrm xmlns:a="http://schemas.openxmlformats.org/drawingml/2006/main">
          <a:off x="2254524" y="371410"/>
          <a:ext cx="148028" cy="16290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9.xml><?xml version="1.0" encoding="utf-8"?>
<c:userShapes xmlns:c="http://schemas.openxmlformats.org/drawingml/2006/chart">
  <cdr:relSizeAnchor xmlns:cdr="http://schemas.openxmlformats.org/drawingml/2006/chartDrawing">
    <cdr:from>
      <cdr:x>0.08506</cdr:x>
      <cdr:y>0.15717</cdr:y>
    </cdr:from>
    <cdr:to>
      <cdr:x>0.24371</cdr:x>
      <cdr:y>0.19994</cdr:y>
    </cdr:to>
    <cdr:sp macro="" textlink="">
      <cdr:nvSpPr>
        <cdr:cNvPr id="5" name="正方形/長方形 4"/>
        <cdr:cNvSpPr/>
      </cdr:nvSpPr>
      <cdr:spPr>
        <a:xfrm xmlns:a="http://schemas.openxmlformats.org/drawingml/2006/main">
          <a:off x="505563" y="776975"/>
          <a:ext cx="942952" cy="211422"/>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0.22273</cdr:y>
    </cdr:from>
    <cdr:to>
      <cdr:x>0.07039</cdr:x>
      <cdr:y>0.34331</cdr:y>
    </cdr:to>
    <cdr:sp macro="" textlink="">
      <cdr:nvSpPr>
        <cdr:cNvPr id="6" name="左大かっこ 5"/>
        <cdr:cNvSpPr/>
      </cdr:nvSpPr>
      <cdr:spPr>
        <a:xfrm xmlns:a="http://schemas.openxmlformats.org/drawingml/2006/main">
          <a:off x="372664" y="131956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0.36903</cdr:y>
    </cdr:from>
    <cdr:to>
      <cdr:x>0.07201</cdr:x>
      <cdr:y>0.82942</cdr:y>
    </cdr:to>
    <cdr:sp macro="" textlink="">
      <cdr:nvSpPr>
        <cdr:cNvPr id="7" name="左大かっこ 6"/>
        <cdr:cNvSpPr/>
      </cdr:nvSpPr>
      <cdr:spPr>
        <a:xfrm xmlns:a="http://schemas.openxmlformats.org/drawingml/2006/main">
          <a:off x="371476" y="1824290"/>
          <a:ext cx="56542" cy="227591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0.24141</cdr:y>
    </cdr:from>
    <cdr:to>
      <cdr:x>0.0625</cdr:x>
      <cdr:y>0.34591</cdr:y>
    </cdr:to>
    <cdr:sp macro="" textlink="">
      <cdr:nvSpPr>
        <cdr:cNvPr id="8" name="テキスト ボックス 7"/>
        <cdr:cNvSpPr txBox="1"/>
      </cdr:nvSpPr>
      <cdr:spPr>
        <a:xfrm xmlns:a="http://schemas.openxmlformats.org/drawingml/2006/main">
          <a:off x="0" y="1193414"/>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0.146</cdr:x>
      <cdr:y>0.00911</cdr:y>
    </cdr:from>
    <cdr:to>
      <cdr:x>0.17004</cdr:x>
      <cdr:y>0.03161</cdr:y>
    </cdr:to>
    <cdr:sp macro="" textlink="">
      <cdr:nvSpPr>
        <cdr:cNvPr id="10" name="正方形/長方形 9"/>
        <cdr:cNvSpPr/>
      </cdr:nvSpPr>
      <cdr:spPr>
        <a:xfrm xmlns:a="http://schemas.openxmlformats.org/drawingml/2006/main">
          <a:off x="867762" y="45024"/>
          <a:ext cx="142884"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0.54873</cdr:x>
      <cdr:y>0.00492</cdr:y>
    </cdr:from>
    <cdr:to>
      <cdr:x>0.57276</cdr:x>
      <cdr:y>0.02743</cdr:y>
    </cdr:to>
    <cdr:sp macro="" textlink="">
      <cdr:nvSpPr>
        <cdr:cNvPr id="11" name="正方形/長方形 10"/>
        <cdr:cNvSpPr/>
      </cdr:nvSpPr>
      <cdr:spPr>
        <a:xfrm xmlns:a="http://schemas.openxmlformats.org/drawingml/2006/main">
          <a:off x="3261451" y="24319"/>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0.14696</cdr:x>
      <cdr:y>0.03997</cdr:y>
    </cdr:from>
    <cdr:to>
      <cdr:x>0.171</cdr:x>
      <cdr:y>0.06248</cdr:y>
    </cdr:to>
    <cdr:sp macro="" textlink="">
      <cdr:nvSpPr>
        <cdr:cNvPr id="12" name="正方形/長方形 11"/>
        <cdr:cNvSpPr/>
      </cdr:nvSpPr>
      <cdr:spPr>
        <a:xfrm xmlns:a="http://schemas.openxmlformats.org/drawingml/2006/main">
          <a:off x="873464" y="197583"/>
          <a:ext cx="142884" cy="11127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0.06313</cdr:x>
      <cdr:y>0.85027</cdr:y>
    </cdr:from>
    <cdr:to>
      <cdr:x>0.07082</cdr:x>
      <cdr:y>0.97085</cdr:y>
    </cdr:to>
    <cdr:sp macro="" textlink="">
      <cdr:nvSpPr>
        <cdr:cNvPr id="19" name="左大かっこ 18"/>
        <cdr:cNvSpPr/>
      </cdr:nvSpPr>
      <cdr:spPr>
        <a:xfrm xmlns:a="http://schemas.openxmlformats.org/drawingml/2006/main">
          <a:off x="375220" y="4203288"/>
          <a:ext cx="45706"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0.54827</cdr:x>
      <cdr:y>0.03863</cdr:y>
    </cdr:from>
    <cdr:to>
      <cdr:x>0.57231</cdr:x>
      <cdr:y>0.06114</cdr:y>
    </cdr:to>
    <cdr:sp macro="" textlink="">
      <cdr:nvSpPr>
        <cdr:cNvPr id="13" name="正方形/長方形 12"/>
        <cdr:cNvSpPr/>
      </cdr:nvSpPr>
      <cdr:spPr>
        <a:xfrm xmlns:a="http://schemas.openxmlformats.org/drawingml/2006/main">
          <a:off x="3258716" y="190950"/>
          <a:ext cx="142884"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0.14541</cdr:x>
      <cdr:y>0.07176</cdr:y>
    </cdr:from>
    <cdr:to>
      <cdr:x>0.16945</cdr:x>
      <cdr:y>0.09427</cdr:y>
    </cdr:to>
    <cdr:sp macro="" textlink="">
      <cdr:nvSpPr>
        <cdr:cNvPr id="14" name="正方形/長方形 13"/>
        <cdr:cNvSpPr/>
      </cdr:nvSpPr>
      <cdr:spPr>
        <a:xfrm xmlns:a="http://schemas.openxmlformats.org/drawingml/2006/main">
          <a:off x="864267" y="354766"/>
          <a:ext cx="142884" cy="11127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xml><?xml version="1.0" encoding="utf-8"?>
<c:userShapes xmlns:c="http://schemas.openxmlformats.org/drawingml/2006/chart">
  <cdr:relSizeAnchor xmlns:cdr="http://schemas.openxmlformats.org/drawingml/2006/chartDrawing">
    <cdr:from>
      <cdr:x>0.69125</cdr:x>
      <cdr:y>0.807</cdr:y>
    </cdr:from>
    <cdr:to>
      <cdr:x>0.734</cdr:x>
      <cdr:y>0.827</cdr:y>
    </cdr:to>
    <cdr:sp macro="" textlink="">
      <cdr:nvSpPr>
        <cdr:cNvPr id="2" name="正方形/長方形 1"/>
        <cdr:cNvSpPr/>
      </cdr:nvSpPr>
      <cdr:spPr>
        <a:xfrm xmlns:a="http://schemas.openxmlformats.org/drawingml/2006/main">
          <a:off x="2118342" y="5444215"/>
          <a:ext cx="131007" cy="134924"/>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0.69125</cdr:x>
      <cdr:y>0.84125</cdr:y>
    </cdr:from>
    <cdr:to>
      <cdr:x>0.734</cdr:x>
      <cdr:y>0.86125</cdr:y>
    </cdr:to>
    <cdr:sp macro="" textlink="">
      <cdr:nvSpPr>
        <cdr:cNvPr id="3" name="正方形/長方形 2"/>
        <cdr:cNvSpPr/>
      </cdr:nvSpPr>
      <cdr:spPr>
        <a:xfrm xmlns:a="http://schemas.openxmlformats.org/drawingml/2006/main">
          <a:off x="2118342" y="5675274"/>
          <a:ext cx="131007" cy="134924"/>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0.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0.06714</cdr:x>
      <cdr:y>0.64519</cdr:y>
    </cdr:to>
    <cdr:sp macro="" textlink="">
      <cdr:nvSpPr>
        <cdr:cNvPr id="6" name="左大かっこ 5"/>
        <cdr:cNvSpPr/>
      </cdr:nvSpPr>
      <cdr:spPr>
        <a:xfrm xmlns:a="http://schemas.openxmlformats.org/drawingml/2006/main">
          <a:off x="363483" y="1169370"/>
          <a:ext cx="49942" cy="349990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0.65997</cdr:y>
    </cdr:from>
    <cdr:to>
      <cdr:x>0.06951</cdr:x>
      <cdr:y>0.98213</cdr:y>
    </cdr:to>
    <cdr:sp macro="" textlink="">
      <cdr:nvSpPr>
        <cdr:cNvPr id="7" name="左大かっこ 6"/>
        <cdr:cNvSpPr/>
      </cdr:nvSpPr>
      <cdr:spPr>
        <a:xfrm xmlns:a="http://schemas.openxmlformats.org/drawingml/2006/main">
          <a:off x="365084" y="4776281"/>
          <a:ext cx="62933" cy="233148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0.56681</cdr:x>
      <cdr:y>0.03043</cdr:y>
    </cdr:from>
    <cdr:to>
      <cdr:x>0.59242</cdr:x>
      <cdr:y>0.05064</cdr:y>
    </cdr:to>
    <cdr:sp macro="" textlink="">
      <cdr:nvSpPr>
        <cdr:cNvPr id="13" name="正方形/長方形 12"/>
        <cdr:cNvSpPr/>
      </cdr:nvSpPr>
      <cdr:spPr>
        <a:xfrm xmlns:a="http://schemas.openxmlformats.org/drawingml/2006/main">
          <a:off x="3490187" y="220208"/>
          <a:ext cx="157685" cy="146264"/>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0.17222</cdr:x>
      <cdr:y>0.00519</cdr:y>
    </cdr:from>
    <cdr:to>
      <cdr:x>0.19782</cdr:x>
      <cdr:y>0.0254</cdr:y>
    </cdr:to>
    <cdr:sp macro="" textlink="">
      <cdr:nvSpPr>
        <cdr:cNvPr id="15" name="正方形/長方形 14"/>
        <cdr:cNvSpPr/>
      </cdr:nvSpPr>
      <cdr:spPr>
        <a:xfrm xmlns:a="http://schemas.openxmlformats.org/drawingml/2006/main">
          <a:off x="1060433" y="37544"/>
          <a:ext cx="157685" cy="146264"/>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0.56716</cdr:x>
      <cdr:y>0.00586</cdr:y>
    </cdr:from>
    <cdr:to>
      <cdr:x>0.59277</cdr:x>
      <cdr:y>0.02607</cdr:y>
    </cdr:to>
    <cdr:sp macro="" textlink="">
      <cdr:nvSpPr>
        <cdr:cNvPr id="16" name="正方形/長方形 15"/>
        <cdr:cNvSpPr/>
      </cdr:nvSpPr>
      <cdr:spPr>
        <a:xfrm xmlns:a="http://schemas.openxmlformats.org/drawingml/2006/main">
          <a:off x="3492348" y="42408"/>
          <a:ext cx="157685" cy="146264"/>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0.17301</cdr:x>
      <cdr:y>0.03005</cdr:y>
    </cdr:from>
    <cdr:to>
      <cdr:x>0.19861</cdr:x>
      <cdr:y>0.05026</cdr:y>
    </cdr:to>
    <cdr:sp macro="" textlink="">
      <cdr:nvSpPr>
        <cdr:cNvPr id="17" name="正方形/長方形 16"/>
        <cdr:cNvSpPr/>
      </cdr:nvSpPr>
      <cdr:spPr>
        <a:xfrm xmlns:a="http://schemas.openxmlformats.org/drawingml/2006/main">
          <a:off x="1065298" y="217506"/>
          <a:ext cx="157685" cy="146264"/>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0.17301</cdr:x>
      <cdr:y>0.05694</cdr:y>
    </cdr:from>
    <cdr:to>
      <cdr:x>0.19861</cdr:x>
      <cdr:y>0.07715</cdr:y>
    </cdr:to>
    <cdr:sp macro="" textlink="">
      <cdr:nvSpPr>
        <cdr:cNvPr id="18" name="正方形/長方形 17"/>
        <cdr:cNvSpPr/>
      </cdr:nvSpPr>
      <cdr:spPr>
        <a:xfrm xmlns:a="http://schemas.openxmlformats.org/drawingml/2006/main">
          <a:off x="1065298" y="412059"/>
          <a:ext cx="157685" cy="146264"/>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1.xml><?xml version="1.0" encoding="utf-8"?>
<c:userShapes xmlns:c="http://schemas.openxmlformats.org/drawingml/2006/chart">
  <cdr:relSizeAnchor xmlns:cdr="http://schemas.openxmlformats.org/drawingml/2006/chartDrawing">
    <cdr:from>
      <cdr:x>0.0867</cdr:x>
      <cdr:y>0.15644</cdr:y>
    </cdr:from>
    <cdr:to>
      <cdr:x>0.24535</cdr:x>
      <cdr:y>0.19678</cdr:y>
    </cdr:to>
    <cdr:sp macro="" textlink="">
      <cdr:nvSpPr>
        <cdr:cNvPr id="5" name="正方形/長方形 4"/>
        <cdr:cNvSpPr/>
      </cdr:nvSpPr>
      <cdr:spPr>
        <a:xfrm xmlns:a="http://schemas.openxmlformats.org/drawingml/2006/main">
          <a:off x="515291" y="773348"/>
          <a:ext cx="942952" cy="19941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0.22273</cdr:y>
    </cdr:from>
    <cdr:to>
      <cdr:x>0.07039</cdr:x>
      <cdr:y>0.34331</cdr:y>
    </cdr:to>
    <cdr:sp macro="" textlink="">
      <cdr:nvSpPr>
        <cdr:cNvPr id="6" name="左大かっこ 5"/>
        <cdr:cNvSpPr/>
      </cdr:nvSpPr>
      <cdr:spPr>
        <a:xfrm xmlns:a="http://schemas.openxmlformats.org/drawingml/2006/main">
          <a:off x="372664" y="131956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0.36903</cdr:y>
    </cdr:from>
    <cdr:to>
      <cdr:x>0.07038</cdr:x>
      <cdr:y>0.82797</cdr:y>
    </cdr:to>
    <cdr:sp macro="" textlink="">
      <cdr:nvSpPr>
        <cdr:cNvPr id="7" name="左大かっこ 6"/>
        <cdr:cNvSpPr/>
      </cdr:nvSpPr>
      <cdr:spPr>
        <a:xfrm xmlns:a="http://schemas.openxmlformats.org/drawingml/2006/main">
          <a:off x="371476" y="1973561"/>
          <a:ext cx="46814" cy="245439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0.24102</cdr:y>
    </cdr:from>
    <cdr:to>
      <cdr:x>0.0625</cdr:x>
      <cdr:y>0.34552</cdr:y>
    </cdr:to>
    <cdr:sp macro="" textlink="">
      <cdr:nvSpPr>
        <cdr:cNvPr id="8" name="テキスト ボックス 7"/>
        <cdr:cNvSpPr txBox="1"/>
      </cdr:nvSpPr>
      <cdr:spPr>
        <a:xfrm xmlns:a="http://schemas.openxmlformats.org/drawingml/2006/main">
          <a:off x="0" y="1191488"/>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0.55101</cdr:y>
    </cdr:from>
    <cdr:to>
      <cdr:x>0.0609</cdr:x>
      <cdr:y>0.6523</cdr:y>
    </cdr:to>
    <cdr:sp macro="" textlink="">
      <cdr:nvSpPr>
        <cdr:cNvPr id="9" name="テキスト ボックス 8"/>
        <cdr:cNvSpPr txBox="1"/>
      </cdr:nvSpPr>
      <cdr:spPr>
        <a:xfrm xmlns:a="http://schemas.openxmlformats.org/drawingml/2006/main">
          <a:off x="0" y="2946806"/>
          <a:ext cx="361965" cy="54169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0.04979</cdr:x>
      <cdr:y>0.00963</cdr:y>
    </cdr:from>
    <cdr:to>
      <cdr:x>0.07383</cdr:x>
      <cdr:y>0.03213</cdr:y>
    </cdr:to>
    <cdr:sp macro="" textlink="">
      <cdr:nvSpPr>
        <cdr:cNvPr id="10" name="正方形/長方形 9"/>
        <cdr:cNvSpPr/>
      </cdr:nvSpPr>
      <cdr:spPr>
        <a:xfrm xmlns:a="http://schemas.openxmlformats.org/drawingml/2006/main">
          <a:off x="295946" y="47625"/>
          <a:ext cx="142884" cy="11122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0.54065</cdr:x>
      <cdr:y>0.0079</cdr:y>
    </cdr:from>
    <cdr:to>
      <cdr:x>0.56468</cdr:x>
      <cdr:y>0.03041</cdr:y>
    </cdr:to>
    <cdr:sp macro="" textlink="">
      <cdr:nvSpPr>
        <cdr:cNvPr id="11" name="正方形/長方形 10"/>
        <cdr:cNvSpPr/>
      </cdr:nvSpPr>
      <cdr:spPr>
        <a:xfrm xmlns:a="http://schemas.openxmlformats.org/drawingml/2006/main">
          <a:off x="3213386" y="39077"/>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0.04896</cdr:x>
      <cdr:y>0.04115</cdr:y>
    </cdr:from>
    <cdr:to>
      <cdr:x>0.073</cdr:x>
      <cdr:y>0.06366</cdr:y>
    </cdr:to>
    <cdr:sp macro="" textlink="">
      <cdr:nvSpPr>
        <cdr:cNvPr id="12" name="正方形/長方形 11"/>
        <cdr:cNvSpPr/>
      </cdr:nvSpPr>
      <cdr:spPr>
        <a:xfrm xmlns:a="http://schemas.openxmlformats.org/drawingml/2006/main">
          <a:off x="291028" y="203402"/>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0.05822</cdr:x>
      <cdr:y>0.84663</cdr:y>
    </cdr:from>
    <cdr:to>
      <cdr:x>0.06874</cdr:x>
      <cdr:y>0.96721</cdr:y>
    </cdr:to>
    <cdr:sp macro="" textlink="">
      <cdr:nvSpPr>
        <cdr:cNvPr id="19" name="左大かっこ 18"/>
        <cdr:cNvSpPr/>
      </cdr:nvSpPr>
      <cdr:spPr>
        <a:xfrm xmlns:a="http://schemas.openxmlformats.org/drawingml/2006/main">
          <a:off x="346022" y="4527763"/>
          <a:ext cx="62539" cy="64485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0.54109</cdr:x>
      <cdr:y>0.04373</cdr:y>
    </cdr:from>
    <cdr:to>
      <cdr:x>0.56513</cdr:x>
      <cdr:y>0.06623</cdr:y>
    </cdr:to>
    <cdr:sp macro="" textlink="">
      <cdr:nvSpPr>
        <cdr:cNvPr id="13" name="正方形/長方形 12"/>
        <cdr:cNvSpPr/>
      </cdr:nvSpPr>
      <cdr:spPr>
        <a:xfrm xmlns:a="http://schemas.openxmlformats.org/drawingml/2006/main">
          <a:off x="3216032" y="216175"/>
          <a:ext cx="142884" cy="11122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0.04801</cdr:x>
      <cdr:y>0.07418</cdr:y>
    </cdr:from>
    <cdr:to>
      <cdr:x>0.07205</cdr:x>
      <cdr:y>0.09668</cdr:y>
    </cdr:to>
    <cdr:sp macro="" textlink="">
      <cdr:nvSpPr>
        <cdr:cNvPr id="14" name="正方形/長方形 13"/>
        <cdr:cNvSpPr/>
      </cdr:nvSpPr>
      <cdr:spPr>
        <a:xfrm xmlns:a="http://schemas.openxmlformats.org/drawingml/2006/main">
          <a:off x="285334" y="366728"/>
          <a:ext cx="142884" cy="11122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2.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0.06872</cdr:x>
      <cdr:y>0.64586</cdr:y>
    </cdr:to>
    <cdr:sp macro="" textlink="">
      <cdr:nvSpPr>
        <cdr:cNvPr id="6" name="左大かっこ 5"/>
        <cdr:cNvSpPr/>
      </cdr:nvSpPr>
      <cdr:spPr>
        <a:xfrm xmlns:a="http://schemas.openxmlformats.org/drawingml/2006/main">
          <a:off x="363483" y="1169371"/>
          <a:ext cx="59670" cy="350477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0.66064</cdr:y>
    </cdr:from>
    <cdr:to>
      <cdr:x>0.06714</cdr:x>
      <cdr:y>0.98213</cdr:y>
    </cdr:to>
    <cdr:sp macro="" textlink="">
      <cdr:nvSpPr>
        <cdr:cNvPr id="7" name="左大かっこ 6"/>
        <cdr:cNvSpPr/>
      </cdr:nvSpPr>
      <cdr:spPr>
        <a:xfrm xmlns:a="http://schemas.openxmlformats.org/drawingml/2006/main">
          <a:off x="365084" y="4781145"/>
          <a:ext cx="48341" cy="232662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0.07348</cdr:x>
      <cdr:y>0.00519</cdr:y>
    </cdr:from>
    <cdr:to>
      <cdr:x>0.09909</cdr:x>
      <cdr:y>0.0254</cdr:y>
    </cdr:to>
    <cdr:sp macro="" textlink="">
      <cdr:nvSpPr>
        <cdr:cNvPr id="15" name="正方形/長方形 14"/>
        <cdr:cNvSpPr/>
      </cdr:nvSpPr>
      <cdr:spPr>
        <a:xfrm xmlns:a="http://schemas.openxmlformats.org/drawingml/2006/main">
          <a:off x="452455" y="37544"/>
          <a:ext cx="157685" cy="146264"/>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0.53715</cdr:x>
      <cdr:y>0.00586</cdr:y>
    </cdr:from>
    <cdr:to>
      <cdr:x>0.56275</cdr:x>
      <cdr:y>0.02607</cdr:y>
    </cdr:to>
    <cdr:sp macro="" textlink="">
      <cdr:nvSpPr>
        <cdr:cNvPr id="16" name="正方形/長方形 15"/>
        <cdr:cNvSpPr/>
      </cdr:nvSpPr>
      <cdr:spPr>
        <a:xfrm xmlns:a="http://schemas.openxmlformats.org/drawingml/2006/main">
          <a:off x="3307523" y="42408"/>
          <a:ext cx="157685" cy="146264"/>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0.07269</cdr:x>
      <cdr:y>0.0314</cdr:y>
    </cdr:from>
    <cdr:to>
      <cdr:x>0.0983</cdr:x>
      <cdr:y>0.05161</cdr:y>
    </cdr:to>
    <cdr:sp macro="" textlink="">
      <cdr:nvSpPr>
        <cdr:cNvPr id="17" name="正方形/長方形 16"/>
        <cdr:cNvSpPr/>
      </cdr:nvSpPr>
      <cdr:spPr>
        <a:xfrm xmlns:a="http://schemas.openxmlformats.org/drawingml/2006/main">
          <a:off x="447591" y="227234"/>
          <a:ext cx="157685" cy="146264"/>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0.53715</cdr:x>
      <cdr:y>0.03341</cdr:y>
    </cdr:from>
    <cdr:to>
      <cdr:x>0.56275</cdr:x>
      <cdr:y>0.05362</cdr:y>
    </cdr:to>
    <cdr:sp macro="" textlink="">
      <cdr:nvSpPr>
        <cdr:cNvPr id="18" name="正方形/長方形 17"/>
        <cdr:cNvSpPr/>
      </cdr:nvSpPr>
      <cdr:spPr>
        <a:xfrm xmlns:a="http://schemas.openxmlformats.org/drawingml/2006/main">
          <a:off x="3307523" y="241825"/>
          <a:ext cx="157685" cy="146264"/>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0.07269</cdr:x>
      <cdr:y>0.05761</cdr:y>
    </cdr:from>
    <cdr:to>
      <cdr:x>0.0983</cdr:x>
      <cdr:y>0.07782</cdr:y>
    </cdr:to>
    <cdr:sp macro="" textlink="">
      <cdr:nvSpPr>
        <cdr:cNvPr id="19" name="正方形/長方形 18"/>
        <cdr:cNvSpPr/>
      </cdr:nvSpPr>
      <cdr:spPr>
        <a:xfrm xmlns:a="http://schemas.openxmlformats.org/drawingml/2006/main">
          <a:off x="447591" y="416923"/>
          <a:ext cx="157685" cy="146264"/>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3.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44.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5.xml><?xml version="1.0" encoding="utf-8"?>
<c:userShapes xmlns:c="http://schemas.openxmlformats.org/drawingml/2006/chart">
  <cdr:relSizeAnchor xmlns:cdr="http://schemas.openxmlformats.org/drawingml/2006/chartDrawing">
    <cdr:from>
      <cdr:x>0.08346</cdr:x>
      <cdr:y>0.1898</cdr:y>
    </cdr:from>
    <cdr:to>
      <cdr:x>0.24211</cdr:x>
      <cdr:y>0.23023</cdr:y>
    </cdr:to>
    <cdr:sp macro="" textlink="">
      <cdr:nvSpPr>
        <cdr:cNvPr id="5" name="正方形/長方形 4"/>
        <cdr:cNvSpPr/>
      </cdr:nvSpPr>
      <cdr:spPr>
        <a:xfrm xmlns:a="http://schemas.openxmlformats.org/drawingml/2006/main">
          <a:off x="496053" y="938272"/>
          <a:ext cx="942952" cy="19986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0.06823</cdr:x>
      <cdr:y>0.25343</cdr:y>
    </cdr:from>
    <cdr:to>
      <cdr:x>0.07592</cdr:x>
      <cdr:y>0.37482</cdr:y>
    </cdr:to>
    <cdr:sp macro="" textlink="">
      <cdr:nvSpPr>
        <cdr:cNvPr id="6" name="左大かっこ 5"/>
        <cdr:cNvSpPr/>
      </cdr:nvSpPr>
      <cdr:spPr>
        <a:xfrm xmlns:a="http://schemas.openxmlformats.org/drawingml/2006/main">
          <a:off x="405522" y="1252833"/>
          <a:ext cx="45719" cy="60008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0.06741</cdr:x>
      <cdr:y>0.39114</cdr:y>
    </cdr:from>
    <cdr:to>
      <cdr:x>0.07692</cdr:x>
      <cdr:y>0.82942</cdr:y>
    </cdr:to>
    <cdr:sp macro="" textlink="">
      <cdr:nvSpPr>
        <cdr:cNvPr id="7" name="左大かっこ 6"/>
        <cdr:cNvSpPr/>
      </cdr:nvSpPr>
      <cdr:spPr>
        <a:xfrm xmlns:a="http://schemas.openxmlformats.org/drawingml/2006/main">
          <a:off x="400659" y="1933591"/>
          <a:ext cx="56542" cy="216661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0.01841</cdr:x>
      <cdr:y>0.00749</cdr:y>
    </cdr:from>
    <cdr:to>
      <cdr:x>0.04245</cdr:x>
      <cdr:y>0.02999</cdr:y>
    </cdr:to>
    <cdr:sp macro="" textlink="">
      <cdr:nvSpPr>
        <cdr:cNvPr id="10" name="正方形/長方形 9"/>
        <cdr:cNvSpPr/>
      </cdr:nvSpPr>
      <cdr:spPr>
        <a:xfrm xmlns:a="http://schemas.openxmlformats.org/drawingml/2006/main">
          <a:off x="109429" y="37015"/>
          <a:ext cx="142884" cy="11122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0.51929</cdr:x>
      <cdr:y>0.00822</cdr:y>
    </cdr:from>
    <cdr:to>
      <cdr:x>0.54332</cdr:x>
      <cdr:y>0.03073</cdr:y>
    </cdr:to>
    <cdr:sp macro="" textlink="">
      <cdr:nvSpPr>
        <cdr:cNvPr id="11" name="正方形/長方形 10"/>
        <cdr:cNvSpPr/>
      </cdr:nvSpPr>
      <cdr:spPr>
        <a:xfrm xmlns:a="http://schemas.openxmlformats.org/drawingml/2006/main">
          <a:off x="3086438" y="40629"/>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0.01893</cdr:x>
      <cdr:y>0.0381</cdr:y>
    </cdr:from>
    <cdr:to>
      <cdr:x>0.04297</cdr:x>
      <cdr:y>0.06061</cdr:y>
    </cdr:to>
    <cdr:sp macro="" textlink="">
      <cdr:nvSpPr>
        <cdr:cNvPr id="12" name="正方形/長方形 11"/>
        <cdr:cNvSpPr/>
      </cdr:nvSpPr>
      <cdr:spPr>
        <a:xfrm xmlns:a="http://schemas.openxmlformats.org/drawingml/2006/main">
          <a:off x="112499" y="188324"/>
          <a:ext cx="142885"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0.06804</cdr:x>
      <cdr:y>0.85027</cdr:y>
    </cdr:from>
    <cdr:to>
      <cdr:x>0.07573</cdr:x>
      <cdr:y>0.97085</cdr:y>
    </cdr:to>
    <cdr:sp macro="" textlink="">
      <cdr:nvSpPr>
        <cdr:cNvPr id="19" name="左大かっこ 18"/>
        <cdr:cNvSpPr/>
      </cdr:nvSpPr>
      <cdr:spPr>
        <a:xfrm xmlns:a="http://schemas.openxmlformats.org/drawingml/2006/main">
          <a:off x="404414" y="5037493"/>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0.84747</cdr:y>
    </cdr:from>
    <cdr:to>
      <cdr:x>0.08333</cdr:x>
      <cdr:y>0.96339</cdr:y>
    </cdr:to>
    <cdr:sp macro="" textlink="">
      <cdr:nvSpPr>
        <cdr:cNvPr id="2" name="テキスト ボックス 1"/>
        <cdr:cNvSpPr txBox="1"/>
      </cdr:nvSpPr>
      <cdr:spPr>
        <a:xfrm xmlns:a="http://schemas.openxmlformats.org/drawingml/2006/main">
          <a:off x="-781050" y="4189464"/>
          <a:ext cx="495301" cy="5730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0.51917</cdr:x>
      <cdr:y>0.04049</cdr:y>
    </cdr:from>
    <cdr:to>
      <cdr:x>0.54321</cdr:x>
      <cdr:y>0.063</cdr:y>
    </cdr:to>
    <cdr:sp macro="" textlink="">
      <cdr:nvSpPr>
        <cdr:cNvPr id="13" name="正方形/長方形 12"/>
        <cdr:cNvSpPr/>
      </cdr:nvSpPr>
      <cdr:spPr>
        <a:xfrm xmlns:a="http://schemas.openxmlformats.org/drawingml/2006/main">
          <a:off x="3085743" y="200158"/>
          <a:ext cx="142885" cy="1112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0.01827</cdr:x>
      <cdr:y>0.07041</cdr:y>
    </cdr:from>
    <cdr:to>
      <cdr:x>0.04231</cdr:x>
      <cdr:y>0.09292</cdr:y>
    </cdr:to>
    <cdr:sp macro="" textlink="">
      <cdr:nvSpPr>
        <cdr:cNvPr id="14" name="正方形/長方形 13"/>
        <cdr:cNvSpPr/>
      </cdr:nvSpPr>
      <cdr:spPr>
        <a:xfrm xmlns:a="http://schemas.openxmlformats.org/drawingml/2006/main">
          <a:off x="108574" y="348055"/>
          <a:ext cx="142885" cy="11127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0.51943</cdr:x>
      <cdr:y>0.07135</cdr:y>
    </cdr:from>
    <cdr:to>
      <cdr:x>0.54347</cdr:x>
      <cdr:y>0.09386</cdr:y>
    </cdr:to>
    <cdr:sp macro="" textlink="">
      <cdr:nvSpPr>
        <cdr:cNvPr id="15" name="正方形/長方形 14"/>
        <cdr:cNvSpPr/>
      </cdr:nvSpPr>
      <cdr:spPr>
        <a:xfrm xmlns:a="http://schemas.openxmlformats.org/drawingml/2006/main">
          <a:off x="3087301" y="352731"/>
          <a:ext cx="142885" cy="111278"/>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0.01796</cdr:x>
      <cdr:y>0.10181</cdr:y>
    </cdr:from>
    <cdr:to>
      <cdr:x>0.042</cdr:x>
      <cdr:y>0.12432</cdr:y>
    </cdr:to>
    <cdr:sp macro="" textlink="">
      <cdr:nvSpPr>
        <cdr:cNvPr id="16" name="正方形/長方形 15"/>
        <cdr:cNvSpPr/>
      </cdr:nvSpPr>
      <cdr:spPr>
        <a:xfrm xmlns:a="http://schemas.openxmlformats.org/drawingml/2006/main">
          <a:off x="106727" y="503283"/>
          <a:ext cx="142885" cy="1112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6.xml><?xml version="1.0" encoding="utf-8"?>
<c:userShapes xmlns:c="http://schemas.openxmlformats.org/drawingml/2006/chart">
  <cdr:relSizeAnchor xmlns:cdr="http://schemas.openxmlformats.org/drawingml/2006/chartDrawing">
    <cdr:from>
      <cdr:x>0.10483</cdr:x>
      <cdr:y>0.1132</cdr:y>
    </cdr:from>
    <cdr:to>
      <cdr:x>0.26348</cdr:x>
      <cdr:y>0.14303</cdr:y>
    </cdr:to>
    <cdr:sp macro="" textlink="">
      <cdr:nvSpPr>
        <cdr:cNvPr id="5" name="正方形/長方形 4"/>
        <cdr:cNvSpPr/>
      </cdr:nvSpPr>
      <cdr:spPr>
        <a:xfrm xmlns:a="http://schemas.openxmlformats.org/drawingml/2006/main">
          <a:off x="645501" y="819260"/>
          <a:ext cx="976902" cy="215862"/>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0.06951</cdr:x>
      <cdr:y>0.64451</cdr:y>
    </cdr:to>
    <cdr:sp macro="" textlink="">
      <cdr:nvSpPr>
        <cdr:cNvPr id="6" name="左大かっこ 5"/>
        <cdr:cNvSpPr/>
      </cdr:nvSpPr>
      <cdr:spPr>
        <a:xfrm xmlns:a="http://schemas.openxmlformats.org/drawingml/2006/main">
          <a:off x="363483" y="1169370"/>
          <a:ext cx="64534" cy="349504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0.6593</cdr:y>
    </cdr:from>
    <cdr:to>
      <cdr:x>0.07109</cdr:x>
      <cdr:y>0.98213</cdr:y>
    </cdr:to>
    <cdr:sp macro="" textlink="">
      <cdr:nvSpPr>
        <cdr:cNvPr id="7" name="左大かっこ 6"/>
        <cdr:cNvSpPr/>
      </cdr:nvSpPr>
      <cdr:spPr>
        <a:xfrm xmlns:a="http://schemas.openxmlformats.org/drawingml/2006/main">
          <a:off x="365084" y="4771417"/>
          <a:ext cx="72660" cy="233635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0.05167</cdr:x>
      <cdr:y>0.00402</cdr:y>
    </cdr:from>
    <cdr:to>
      <cdr:x>0.07488</cdr:x>
      <cdr:y>0.01939</cdr:y>
    </cdr:to>
    <cdr:sp macro="" textlink="">
      <cdr:nvSpPr>
        <cdr:cNvPr id="13" name="正方形/長方形 12"/>
        <cdr:cNvSpPr/>
      </cdr:nvSpPr>
      <cdr:spPr>
        <a:xfrm xmlns:a="http://schemas.openxmlformats.org/drawingml/2006/main">
          <a:off x="318171" y="29106"/>
          <a:ext cx="142884" cy="11122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0.52566</cdr:x>
      <cdr:y>0.00555</cdr:y>
    </cdr:from>
    <cdr:to>
      <cdr:x>0.54886</cdr:x>
      <cdr:y>0.02092</cdr:y>
    </cdr:to>
    <cdr:sp macro="" textlink="">
      <cdr:nvSpPr>
        <cdr:cNvPr id="14" name="正方形/長方形 13"/>
        <cdr:cNvSpPr/>
      </cdr:nvSpPr>
      <cdr:spPr>
        <a:xfrm xmlns:a="http://schemas.openxmlformats.org/drawingml/2006/main">
          <a:off x="3236804" y="40190"/>
          <a:ext cx="142884" cy="111229"/>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0.05167</cdr:x>
      <cdr:y>0.0229</cdr:y>
    </cdr:from>
    <cdr:to>
      <cdr:x>0.07488</cdr:x>
      <cdr:y>0.03827</cdr:y>
    </cdr:to>
    <cdr:sp macro="" textlink="">
      <cdr:nvSpPr>
        <cdr:cNvPr id="15" name="正方形/長方形 14"/>
        <cdr:cNvSpPr/>
      </cdr:nvSpPr>
      <cdr:spPr>
        <a:xfrm xmlns:a="http://schemas.openxmlformats.org/drawingml/2006/main">
          <a:off x="318171" y="165746"/>
          <a:ext cx="142884" cy="111229"/>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0.52501</cdr:x>
      <cdr:y>0.0252</cdr:y>
    </cdr:from>
    <cdr:to>
      <cdr:x>0.54822</cdr:x>
      <cdr:y>0.04057</cdr:y>
    </cdr:to>
    <cdr:sp macro="" textlink="">
      <cdr:nvSpPr>
        <cdr:cNvPr id="16" name="正方形/長方形 15"/>
        <cdr:cNvSpPr/>
      </cdr:nvSpPr>
      <cdr:spPr>
        <a:xfrm xmlns:a="http://schemas.openxmlformats.org/drawingml/2006/main">
          <a:off x="3232821" y="182372"/>
          <a:ext cx="142884" cy="11122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0.05116</cdr:x>
      <cdr:y>0.04353</cdr:y>
    </cdr:from>
    <cdr:to>
      <cdr:x>0.07437</cdr:x>
      <cdr:y>0.0589</cdr:y>
    </cdr:to>
    <cdr:sp macro="" textlink="">
      <cdr:nvSpPr>
        <cdr:cNvPr id="17" name="正方形/長方形 16"/>
        <cdr:cNvSpPr/>
      </cdr:nvSpPr>
      <cdr:spPr>
        <a:xfrm xmlns:a="http://schemas.openxmlformats.org/drawingml/2006/main">
          <a:off x="315053" y="315029"/>
          <a:ext cx="142884" cy="111229"/>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0.52681</cdr:x>
      <cdr:y>0.04485</cdr:y>
    </cdr:from>
    <cdr:to>
      <cdr:x>0.55002</cdr:x>
      <cdr:y>0.06022</cdr:y>
    </cdr:to>
    <cdr:sp macro="" textlink="">
      <cdr:nvSpPr>
        <cdr:cNvPr id="18" name="正方形/長方形 17"/>
        <cdr:cNvSpPr/>
      </cdr:nvSpPr>
      <cdr:spPr>
        <a:xfrm xmlns:a="http://schemas.openxmlformats.org/drawingml/2006/main">
          <a:off x="3243905" y="324554"/>
          <a:ext cx="142884" cy="111229"/>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0.05267</cdr:x>
      <cdr:y>0.06537</cdr:y>
    </cdr:from>
    <cdr:to>
      <cdr:x>0.07587</cdr:x>
      <cdr:y>0.08074</cdr:y>
    </cdr:to>
    <cdr:sp macro="" textlink="">
      <cdr:nvSpPr>
        <cdr:cNvPr id="19" name="正方形/長方形 18"/>
        <cdr:cNvSpPr/>
      </cdr:nvSpPr>
      <cdr:spPr>
        <a:xfrm xmlns:a="http://schemas.openxmlformats.org/drawingml/2006/main">
          <a:off x="324321" y="473062"/>
          <a:ext cx="142856" cy="11123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7.xml><?xml version="1.0" encoding="utf-8"?>
<c:userShapes xmlns:c="http://schemas.openxmlformats.org/drawingml/2006/chart">
  <cdr:relSizeAnchor xmlns:cdr="http://schemas.openxmlformats.org/drawingml/2006/chartDrawing">
    <cdr:from>
      <cdr:x>0.08506</cdr:x>
      <cdr:y>0.18176</cdr:y>
    </cdr:from>
    <cdr:to>
      <cdr:x>0.24371</cdr:x>
      <cdr:y>0.22239</cdr:y>
    </cdr:to>
    <cdr:sp macro="" textlink="">
      <cdr:nvSpPr>
        <cdr:cNvPr id="5" name="正方形/長方形 4"/>
        <cdr:cNvSpPr/>
      </cdr:nvSpPr>
      <cdr:spPr>
        <a:xfrm xmlns:a="http://schemas.openxmlformats.org/drawingml/2006/main">
          <a:off x="505563" y="898544"/>
          <a:ext cx="942952" cy="200850"/>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0.071</cdr:x>
      <cdr:y>0.25701</cdr:y>
    </cdr:from>
    <cdr:to>
      <cdr:x>0.07869</cdr:x>
      <cdr:y>0.35818</cdr:y>
    </cdr:to>
    <cdr:sp macro="" textlink="">
      <cdr:nvSpPr>
        <cdr:cNvPr id="6" name="左大かっこ 5"/>
        <cdr:cNvSpPr/>
      </cdr:nvSpPr>
      <cdr:spPr>
        <a:xfrm xmlns:a="http://schemas.openxmlformats.org/drawingml/2006/main">
          <a:off x="421966" y="1270539"/>
          <a:ext cx="45707" cy="50013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0.07232</cdr:x>
      <cdr:y>0.38115</cdr:y>
    </cdr:from>
    <cdr:to>
      <cdr:x>0.08001</cdr:x>
      <cdr:y>0.82797</cdr:y>
    </cdr:to>
    <cdr:sp macro="" textlink="">
      <cdr:nvSpPr>
        <cdr:cNvPr id="7" name="左大かっこ 6"/>
        <cdr:cNvSpPr/>
      </cdr:nvSpPr>
      <cdr:spPr>
        <a:xfrm xmlns:a="http://schemas.openxmlformats.org/drawingml/2006/main">
          <a:off x="429841" y="1884205"/>
          <a:ext cx="45719" cy="220884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0.19805</cdr:x>
      <cdr:y>0.0061</cdr:y>
    </cdr:from>
    <cdr:to>
      <cdr:x>0.22209</cdr:x>
      <cdr:y>0.02861</cdr:y>
    </cdr:to>
    <cdr:sp macro="" textlink="">
      <cdr:nvSpPr>
        <cdr:cNvPr id="10" name="正方形/長方形 9"/>
        <cdr:cNvSpPr/>
      </cdr:nvSpPr>
      <cdr:spPr>
        <a:xfrm xmlns:a="http://schemas.openxmlformats.org/drawingml/2006/main">
          <a:off x="1177120" y="30176"/>
          <a:ext cx="142884" cy="11127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0.19825</cdr:x>
      <cdr:y>0.03775</cdr:y>
    </cdr:from>
    <cdr:to>
      <cdr:x>0.22228</cdr:x>
      <cdr:y>0.06026</cdr:y>
    </cdr:to>
    <cdr:sp macro="" textlink="">
      <cdr:nvSpPr>
        <cdr:cNvPr id="11" name="正方形/長方形 10"/>
        <cdr:cNvSpPr/>
      </cdr:nvSpPr>
      <cdr:spPr>
        <a:xfrm xmlns:a="http://schemas.openxmlformats.org/drawingml/2006/main">
          <a:off x="1178320" y="186621"/>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0.19801</cdr:x>
      <cdr:y>0.06952</cdr:y>
    </cdr:from>
    <cdr:to>
      <cdr:x>0.22205</cdr:x>
      <cdr:y>0.09203</cdr:y>
    </cdr:to>
    <cdr:sp macro="" textlink="">
      <cdr:nvSpPr>
        <cdr:cNvPr id="12" name="正方形/長方形 11"/>
        <cdr:cNvSpPr/>
      </cdr:nvSpPr>
      <cdr:spPr>
        <a:xfrm xmlns:a="http://schemas.openxmlformats.org/drawingml/2006/main">
          <a:off x="1176875" y="343668"/>
          <a:ext cx="142885"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0.07377</cdr:x>
      <cdr:y>0.85027</cdr:y>
    </cdr:from>
    <cdr:to>
      <cdr:x>0.08146</cdr:x>
      <cdr:y>0.97085</cdr:y>
    </cdr:to>
    <cdr:sp macro="" textlink="">
      <cdr:nvSpPr>
        <cdr:cNvPr id="19" name="左大かっこ 18"/>
        <cdr:cNvSpPr/>
      </cdr:nvSpPr>
      <cdr:spPr>
        <a:xfrm xmlns:a="http://schemas.openxmlformats.org/drawingml/2006/main">
          <a:off x="438450" y="4203288"/>
          <a:ext cx="45706"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0.84778</cdr:y>
    </cdr:from>
    <cdr:to>
      <cdr:x>0.08511</cdr:x>
      <cdr:y>0.97881</cdr:y>
    </cdr:to>
    <cdr:sp macro="" textlink="">
      <cdr:nvSpPr>
        <cdr:cNvPr id="2" name="テキスト ボックス 1"/>
        <cdr:cNvSpPr txBox="1"/>
      </cdr:nvSpPr>
      <cdr:spPr>
        <a:xfrm xmlns:a="http://schemas.openxmlformats.org/drawingml/2006/main">
          <a:off x="0" y="4190979"/>
          <a:ext cx="505838" cy="64774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p>
      </cdr:txBody>
    </cdr:sp>
  </cdr:relSizeAnchor>
  <cdr:relSizeAnchor xmlns:cdr="http://schemas.openxmlformats.org/drawingml/2006/chartDrawing">
    <cdr:from>
      <cdr:x>0.19827</cdr:x>
      <cdr:y>0.0997</cdr:y>
    </cdr:from>
    <cdr:to>
      <cdr:x>0.22232</cdr:x>
      <cdr:y>0.12221</cdr:y>
    </cdr:to>
    <cdr:sp macro="" textlink="">
      <cdr:nvSpPr>
        <cdr:cNvPr id="13" name="正方形/長方形 12"/>
        <cdr:cNvSpPr/>
      </cdr:nvSpPr>
      <cdr:spPr>
        <a:xfrm xmlns:a="http://schemas.openxmlformats.org/drawingml/2006/main">
          <a:off x="1178448" y="492854"/>
          <a:ext cx="142944"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8.xml><?xml version="1.0" encoding="utf-8"?>
<c:userShapes xmlns:c="http://schemas.openxmlformats.org/drawingml/2006/chart">
  <cdr:relSizeAnchor xmlns:cdr="http://schemas.openxmlformats.org/drawingml/2006/chartDrawing">
    <cdr:from>
      <cdr:x>0.10573</cdr:x>
      <cdr:y>0.13156</cdr:y>
    </cdr:from>
    <cdr:to>
      <cdr:x>0.26438</cdr:x>
      <cdr:y>0.16371</cdr:y>
    </cdr:to>
    <cdr:sp macro="" textlink="">
      <cdr:nvSpPr>
        <cdr:cNvPr id="5" name="正方形/長方形 4"/>
        <cdr:cNvSpPr/>
      </cdr:nvSpPr>
      <cdr:spPr>
        <a:xfrm xmlns:a="http://schemas.openxmlformats.org/drawingml/2006/main">
          <a:off x="651042" y="952078"/>
          <a:ext cx="976902"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0.17996</cdr:y>
    </cdr:from>
    <cdr:to>
      <cdr:x>0.0684</cdr:x>
      <cdr:y>0.66008</cdr:y>
    </cdr:to>
    <cdr:sp macro="" textlink="">
      <cdr:nvSpPr>
        <cdr:cNvPr id="6" name="左大かっこ 5"/>
        <cdr:cNvSpPr/>
      </cdr:nvSpPr>
      <cdr:spPr>
        <a:xfrm xmlns:a="http://schemas.openxmlformats.org/drawingml/2006/main">
          <a:off x="363483" y="1302374"/>
          <a:ext cx="57695" cy="347467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0.06708</cdr:x>
      <cdr:y>0.98213</cdr:y>
    </cdr:to>
    <cdr:sp macro="" textlink="">
      <cdr:nvSpPr>
        <cdr:cNvPr id="7" name="左大かっこ 6"/>
        <cdr:cNvSpPr/>
      </cdr:nvSpPr>
      <cdr:spPr>
        <a:xfrm xmlns:a="http://schemas.openxmlformats.org/drawingml/2006/main">
          <a:off x="352396" y="4875354"/>
          <a:ext cx="46300" cy="22305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0.23893</cdr:x>
      <cdr:y>0.00336</cdr:y>
    </cdr:from>
    <cdr:to>
      <cdr:x>0.26297</cdr:x>
      <cdr:y>0.02285</cdr:y>
    </cdr:to>
    <cdr:sp macro="" textlink="">
      <cdr:nvSpPr>
        <cdr:cNvPr id="10" name="正方形/長方形 9"/>
        <cdr:cNvSpPr/>
      </cdr:nvSpPr>
      <cdr:spPr>
        <a:xfrm xmlns:a="http://schemas.openxmlformats.org/drawingml/2006/main">
          <a:off x="1471234" y="24319"/>
          <a:ext cx="148029" cy="141051"/>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0.23849</cdr:x>
      <cdr:y>0.02987</cdr:y>
    </cdr:from>
    <cdr:to>
      <cdr:x>0.26253</cdr:x>
      <cdr:y>0.04936</cdr:y>
    </cdr:to>
    <cdr:sp macro="" textlink="">
      <cdr:nvSpPr>
        <cdr:cNvPr id="14" name="正方形/長方形 13"/>
        <cdr:cNvSpPr/>
      </cdr:nvSpPr>
      <cdr:spPr>
        <a:xfrm xmlns:a="http://schemas.openxmlformats.org/drawingml/2006/main">
          <a:off x="1468532" y="216170"/>
          <a:ext cx="148029" cy="141051"/>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0.23849</cdr:x>
      <cdr:y>0.05608</cdr:y>
    </cdr:from>
    <cdr:to>
      <cdr:x>0.26253</cdr:x>
      <cdr:y>0.07557</cdr:y>
    </cdr:to>
    <cdr:sp macro="" textlink="">
      <cdr:nvSpPr>
        <cdr:cNvPr id="15" name="正方形/長方形 14"/>
        <cdr:cNvSpPr/>
      </cdr:nvSpPr>
      <cdr:spPr>
        <a:xfrm xmlns:a="http://schemas.openxmlformats.org/drawingml/2006/main">
          <a:off x="1468532" y="405860"/>
          <a:ext cx="148029" cy="141051"/>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0.23849</cdr:x>
      <cdr:y>0.08162</cdr:y>
    </cdr:from>
    <cdr:to>
      <cdr:x>0.26253</cdr:x>
      <cdr:y>0.10111</cdr:y>
    </cdr:to>
    <cdr:sp macro="" textlink="">
      <cdr:nvSpPr>
        <cdr:cNvPr id="16" name="正方形/長方形 15"/>
        <cdr:cNvSpPr/>
      </cdr:nvSpPr>
      <cdr:spPr>
        <a:xfrm xmlns:a="http://schemas.openxmlformats.org/drawingml/2006/main">
          <a:off x="1468532" y="590685"/>
          <a:ext cx="148029" cy="14105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9.xml><?xml version="1.0" encoding="utf-8"?>
<c:userShapes xmlns:c="http://schemas.openxmlformats.org/drawingml/2006/chart">
  <cdr:relSizeAnchor xmlns:cdr="http://schemas.openxmlformats.org/drawingml/2006/chartDrawing">
    <cdr:from>
      <cdr:x>0.08679</cdr:x>
      <cdr:y>0.18792</cdr:y>
    </cdr:from>
    <cdr:to>
      <cdr:x>0.24544</cdr:x>
      <cdr:y>0.22774</cdr:y>
    </cdr:to>
    <cdr:sp macro="" textlink="">
      <cdr:nvSpPr>
        <cdr:cNvPr id="5" name="正方形/長方形 4"/>
        <cdr:cNvSpPr/>
      </cdr:nvSpPr>
      <cdr:spPr>
        <a:xfrm xmlns:a="http://schemas.openxmlformats.org/drawingml/2006/main">
          <a:off x="515845" y="928978"/>
          <a:ext cx="942952" cy="19684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0.07279</cdr:x>
      <cdr:y>0.2576</cdr:y>
    </cdr:from>
    <cdr:to>
      <cdr:x>0.08049</cdr:x>
      <cdr:y>0.36191</cdr:y>
    </cdr:to>
    <cdr:sp macro="" textlink="">
      <cdr:nvSpPr>
        <cdr:cNvPr id="6" name="左大かっこ 5"/>
        <cdr:cNvSpPr/>
      </cdr:nvSpPr>
      <cdr:spPr>
        <a:xfrm xmlns:a="http://schemas.openxmlformats.org/drawingml/2006/main">
          <a:off x="432635" y="1273428"/>
          <a:ext cx="45765" cy="51565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0.07178</cdr:x>
      <cdr:y>0.37826</cdr:y>
    </cdr:from>
    <cdr:to>
      <cdr:x>0.08188</cdr:x>
      <cdr:y>0.82589</cdr:y>
    </cdr:to>
    <cdr:sp macro="" textlink="">
      <cdr:nvSpPr>
        <cdr:cNvPr id="7" name="左大かっこ 6"/>
        <cdr:cNvSpPr/>
      </cdr:nvSpPr>
      <cdr:spPr>
        <a:xfrm xmlns:a="http://schemas.openxmlformats.org/drawingml/2006/main">
          <a:off x="426641" y="1869919"/>
          <a:ext cx="60031" cy="221284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0.01064</cdr:x>
      <cdr:y>0.26899</cdr:y>
    </cdr:from>
    <cdr:to>
      <cdr:x>0.07314</cdr:x>
      <cdr:y>0.37349</cdr:y>
    </cdr:to>
    <cdr:sp macro="" textlink="">
      <cdr:nvSpPr>
        <cdr:cNvPr id="8" name="テキスト ボックス 7"/>
        <cdr:cNvSpPr txBox="1"/>
      </cdr:nvSpPr>
      <cdr:spPr>
        <a:xfrm xmlns:a="http://schemas.openxmlformats.org/drawingml/2006/main">
          <a:off x="63230" y="1329757"/>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0.01011</cdr:x>
      <cdr:y>0.53915</cdr:y>
    </cdr:from>
    <cdr:to>
      <cdr:x>0.07101</cdr:x>
      <cdr:y>0.64044</cdr:y>
    </cdr:to>
    <cdr:sp macro="" textlink="">
      <cdr:nvSpPr>
        <cdr:cNvPr id="9" name="テキスト ボックス 8"/>
        <cdr:cNvSpPr txBox="1"/>
      </cdr:nvSpPr>
      <cdr:spPr>
        <a:xfrm xmlns:a="http://schemas.openxmlformats.org/drawingml/2006/main">
          <a:off x="60073" y="2665251"/>
          <a:ext cx="361965" cy="50072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0.00982</cdr:x>
      <cdr:y>0.01181</cdr:y>
    </cdr:from>
    <cdr:to>
      <cdr:x>0.03386</cdr:x>
      <cdr:y>0.03431</cdr:y>
    </cdr:to>
    <cdr:sp macro="" textlink="">
      <cdr:nvSpPr>
        <cdr:cNvPr id="10" name="正方形/長方形 9"/>
        <cdr:cNvSpPr/>
      </cdr:nvSpPr>
      <cdr:spPr>
        <a:xfrm xmlns:a="http://schemas.openxmlformats.org/drawingml/2006/main">
          <a:off x="58366" y="58366"/>
          <a:ext cx="142884"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0.5024</cdr:x>
      <cdr:y>0.00954</cdr:y>
    </cdr:from>
    <cdr:to>
      <cdr:x>0.52643</cdr:x>
      <cdr:y>0.03205</cdr:y>
    </cdr:to>
    <cdr:sp macro="" textlink="">
      <cdr:nvSpPr>
        <cdr:cNvPr id="11" name="正方形/長方形 10"/>
        <cdr:cNvSpPr/>
      </cdr:nvSpPr>
      <cdr:spPr>
        <a:xfrm xmlns:a="http://schemas.openxmlformats.org/drawingml/2006/main">
          <a:off x="2986035" y="47144"/>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0.01064</cdr:x>
      <cdr:y>0.05313</cdr:y>
    </cdr:from>
    <cdr:to>
      <cdr:x>0.03468</cdr:x>
      <cdr:y>0.07564</cdr:y>
    </cdr:to>
    <cdr:sp macro="" textlink="">
      <cdr:nvSpPr>
        <cdr:cNvPr id="12" name="正方形/長方形 11"/>
        <cdr:cNvSpPr/>
      </cdr:nvSpPr>
      <cdr:spPr>
        <a:xfrm xmlns:a="http://schemas.openxmlformats.org/drawingml/2006/main">
          <a:off x="63230" y="262638"/>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0.07295</cdr:x>
      <cdr:y>0.85027</cdr:y>
    </cdr:from>
    <cdr:to>
      <cdr:x>0.08064</cdr:x>
      <cdr:y>0.97085</cdr:y>
    </cdr:to>
    <cdr:sp macro="" textlink="">
      <cdr:nvSpPr>
        <cdr:cNvPr id="19" name="左大かっこ 18"/>
        <cdr:cNvSpPr/>
      </cdr:nvSpPr>
      <cdr:spPr>
        <a:xfrm xmlns:a="http://schemas.openxmlformats.org/drawingml/2006/main">
          <a:off x="433586" y="4203288"/>
          <a:ext cx="45706"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0.08654</cdr:x>
      <cdr:y>0.98875</cdr:y>
    </cdr:to>
    <cdr:sp macro="" textlink="">
      <cdr:nvSpPr>
        <cdr:cNvPr id="2" name="テキスト ボックス 1"/>
        <cdr:cNvSpPr txBox="1"/>
      </cdr:nvSpPr>
      <cdr:spPr>
        <a:xfrm xmlns:a="http://schemas.openxmlformats.org/drawingml/2006/main">
          <a:off x="0" y="4252031"/>
          <a:ext cx="514350" cy="63583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0.50186</cdr:x>
      <cdr:y>0.05393</cdr:y>
    </cdr:from>
    <cdr:to>
      <cdr:x>0.5259</cdr:x>
      <cdr:y>0.07644</cdr:y>
    </cdr:to>
    <cdr:sp macro="" textlink="">
      <cdr:nvSpPr>
        <cdr:cNvPr id="13" name="正方形/長方形 12"/>
        <cdr:cNvSpPr/>
      </cdr:nvSpPr>
      <cdr:spPr>
        <a:xfrm xmlns:a="http://schemas.openxmlformats.org/drawingml/2006/main">
          <a:off x="2982884" y="266594"/>
          <a:ext cx="142884"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0.00867</cdr:x>
      <cdr:y>0.09625</cdr:y>
    </cdr:from>
    <cdr:to>
      <cdr:x>0.03271</cdr:x>
      <cdr:y>0.11876</cdr:y>
    </cdr:to>
    <cdr:sp macro="" textlink="">
      <cdr:nvSpPr>
        <cdr:cNvPr id="14" name="正方形/長方形 13"/>
        <cdr:cNvSpPr/>
      </cdr:nvSpPr>
      <cdr:spPr>
        <a:xfrm xmlns:a="http://schemas.openxmlformats.org/drawingml/2006/main">
          <a:off x="51517" y="475807"/>
          <a:ext cx="142884" cy="11127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xml><?xml version="1.0" encoding="utf-8"?>
<c:userShapes xmlns:c="http://schemas.openxmlformats.org/drawingml/2006/chart">
  <cdr:relSizeAnchor xmlns:cdr="http://schemas.openxmlformats.org/drawingml/2006/chartDrawing">
    <cdr:from>
      <cdr:x>0.86332</cdr:x>
      <cdr:y>0.87144</cdr:y>
    </cdr:from>
    <cdr:to>
      <cdr:x>0.88396</cdr:x>
      <cdr:y>0.88794</cdr:y>
    </cdr:to>
    <cdr:sp macro="" textlink="">
      <cdr:nvSpPr>
        <cdr:cNvPr id="2" name="正方形/長方形 1"/>
        <cdr:cNvSpPr/>
      </cdr:nvSpPr>
      <cdr:spPr>
        <a:xfrm xmlns:a="http://schemas.openxmlformats.org/drawingml/2006/main">
          <a:off x="5161380" y="6812446"/>
          <a:ext cx="123397"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0.86415</cdr:x>
      <cdr:y>0.9173</cdr:y>
    </cdr:from>
    <cdr:to>
      <cdr:x>0.88479</cdr:x>
      <cdr:y>0.9338</cdr:y>
    </cdr:to>
    <cdr:sp macro="" textlink="">
      <cdr:nvSpPr>
        <cdr:cNvPr id="3" name="正方形/長方形 2"/>
        <cdr:cNvSpPr/>
      </cdr:nvSpPr>
      <cdr:spPr>
        <a:xfrm xmlns:a="http://schemas.openxmlformats.org/drawingml/2006/main">
          <a:off x="5166333" y="7170981"/>
          <a:ext cx="123397" cy="128988"/>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0.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0.06714</cdr:x>
      <cdr:y>0.64451</cdr:y>
    </cdr:to>
    <cdr:sp macro="" textlink="">
      <cdr:nvSpPr>
        <cdr:cNvPr id="6" name="左大かっこ 5"/>
        <cdr:cNvSpPr/>
      </cdr:nvSpPr>
      <cdr:spPr>
        <a:xfrm xmlns:a="http://schemas.openxmlformats.org/drawingml/2006/main">
          <a:off x="363483" y="1169370"/>
          <a:ext cx="49942" cy="349504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0.6593</cdr:y>
    </cdr:from>
    <cdr:to>
      <cdr:x>0.06793</cdr:x>
      <cdr:y>0.98213</cdr:y>
    </cdr:to>
    <cdr:sp macro="" textlink="">
      <cdr:nvSpPr>
        <cdr:cNvPr id="7" name="左大かっこ 6"/>
        <cdr:cNvSpPr/>
      </cdr:nvSpPr>
      <cdr:spPr>
        <a:xfrm xmlns:a="http://schemas.openxmlformats.org/drawingml/2006/main">
          <a:off x="365084" y="4771417"/>
          <a:ext cx="53205" cy="233635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0.04272</cdr:x>
      <cdr:y>0.00538</cdr:y>
    </cdr:from>
    <cdr:to>
      <cdr:x>0.06676</cdr:x>
      <cdr:y>0.02487</cdr:y>
    </cdr:to>
    <cdr:sp macro="" textlink="">
      <cdr:nvSpPr>
        <cdr:cNvPr id="10" name="正方形/長方形 9"/>
        <cdr:cNvSpPr/>
      </cdr:nvSpPr>
      <cdr:spPr>
        <a:xfrm xmlns:a="http://schemas.openxmlformats.org/drawingml/2006/main">
          <a:off x="263052" y="38910"/>
          <a:ext cx="148029" cy="141051"/>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0.53438</cdr:x>
      <cdr:y>0.00568</cdr:y>
    </cdr:from>
    <cdr:to>
      <cdr:x>0.55842</cdr:x>
      <cdr:y>0.02517</cdr:y>
    </cdr:to>
    <cdr:sp macro="" textlink="">
      <cdr:nvSpPr>
        <cdr:cNvPr id="15" name="正方形/長方形 14"/>
        <cdr:cNvSpPr/>
      </cdr:nvSpPr>
      <cdr:spPr>
        <a:xfrm xmlns:a="http://schemas.openxmlformats.org/drawingml/2006/main">
          <a:off x="3290516" y="41071"/>
          <a:ext cx="148029" cy="141051"/>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0.04307</cdr:x>
      <cdr:y>0.0339</cdr:y>
    </cdr:from>
    <cdr:to>
      <cdr:x>0.06711</cdr:x>
      <cdr:y>0.05339</cdr:y>
    </cdr:to>
    <cdr:sp macro="" textlink="">
      <cdr:nvSpPr>
        <cdr:cNvPr id="16" name="正方形/長方形 15"/>
        <cdr:cNvSpPr/>
      </cdr:nvSpPr>
      <cdr:spPr>
        <a:xfrm xmlns:a="http://schemas.openxmlformats.org/drawingml/2006/main">
          <a:off x="265214" y="245353"/>
          <a:ext cx="148029" cy="141051"/>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0.53438</cdr:x>
      <cdr:y>0.03323</cdr:y>
    </cdr:from>
    <cdr:to>
      <cdr:x>0.55842</cdr:x>
      <cdr:y>0.05272</cdr:y>
    </cdr:to>
    <cdr:sp macro="" textlink="">
      <cdr:nvSpPr>
        <cdr:cNvPr id="17" name="正方形/長方形 16"/>
        <cdr:cNvSpPr/>
      </cdr:nvSpPr>
      <cdr:spPr>
        <a:xfrm xmlns:a="http://schemas.openxmlformats.org/drawingml/2006/main">
          <a:off x="3290515" y="240488"/>
          <a:ext cx="148029" cy="14105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0.04228</cdr:x>
      <cdr:y>0.06146</cdr:y>
    </cdr:from>
    <cdr:to>
      <cdr:x>0.06632</cdr:x>
      <cdr:y>0.08095</cdr:y>
    </cdr:to>
    <cdr:sp macro="" textlink="">
      <cdr:nvSpPr>
        <cdr:cNvPr id="18" name="正方形/長方形 17"/>
        <cdr:cNvSpPr/>
      </cdr:nvSpPr>
      <cdr:spPr>
        <a:xfrm xmlns:a="http://schemas.openxmlformats.org/drawingml/2006/main">
          <a:off x="260350" y="444769"/>
          <a:ext cx="148029" cy="141051"/>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1.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52.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3.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54.xml><?xml version="1.0" encoding="utf-8"?>
<c:userShapes xmlns:c="http://schemas.openxmlformats.org/drawingml/2006/chart">
  <cdr:relSizeAnchor xmlns:cdr="http://schemas.openxmlformats.org/drawingml/2006/chartDrawing">
    <cdr:from>
      <cdr:x>0.78941</cdr:x>
      <cdr:y>0.76985</cdr:y>
    </cdr:from>
    <cdr:to>
      <cdr:x>0.81011</cdr:x>
      <cdr:y>0.7865</cdr:y>
    </cdr:to>
    <cdr:sp macro="" textlink="">
      <cdr:nvSpPr>
        <cdr:cNvPr id="2" name="正方形/長方形 1"/>
        <cdr:cNvSpPr/>
      </cdr:nvSpPr>
      <cdr:spPr>
        <a:xfrm xmlns:a="http://schemas.openxmlformats.org/drawingml/2006/main">
          <a:off x="4707488" y="5964025"/>
          <a:ext cx="123440" cy="128988"/>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0.78709</cdr:x>
      <cdr:y>0.80253</cdr:y>
    </cdr:from>
    <cdr:to>
      <cdr:x>0.80779</cdr:x>
      <cdr:y>0.81919</cdr:y>
    </cdr:to>
    <cdr:sp macro="" textlink="">
      <cdr:nvSpPr>
        <cdr:cNvPr id="3" name="正方形/長方形 2"/>
        <cdr:cNvSpPr/>
      </cdr:nvSpPr>
      <cdr:spPr>
        <a:xfrm xmlns:a="http://schemas.openxmlformats.org/drawingml/2006/main">
          <a:off x="4693669" y="6217197"/>
          <a:ext cx="123440" cy="129065"/>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0.7888</cdr:x>
      <cdr:y>0.83206</cdr:y>
    </cdr:from>
    <cdr:to>
      <cdr:x>0.8095</cdr:x>
      <cdr:y>0.84871</cdr:y>
    </cdr:to>
    <cdr:sp macro="" textlink="">
      <cdr:nvSpPr>
        <cdr:cNvPr id="4" name="正方形/長方形 3"/>
        <cdr:cNvSpPr/>
      </cdr:nvSpPr>
      <cdr:spPr>
        <a:xfrm xmlns:a="http://schemas.openxmlformats.org/drawingml/2006/main">
          <a:off x="4703862" y="6445952"/>
          <a:ext cx="123440" cy="12898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0.78822</cdr:x>
      <cdr:y>0.86134</cdr:y>
    </cdr:from>
    <cdr:to>
      <cdr:x>0.80892</cdr:x>
      <cdr:y>0.87799</cdr:y>
    </cdr:to>
    <cdr:sp macro="" textlink="">
      <cdr:nvSpPr>
        <cdr:cNvPr id="5" name="正方形/長方形 4"/>
        <cdr:cNvSpPr/>
      </cdr:nvSpPr>
      <cdr:spPr>
        <a:xfrm xmlns:a="http://schemas.openxmlformats.org/drawingml/2006/main">
          <a:off x="4700407" y="6672829"/>
          <a:ext cx="123440" cy="12898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0.78816</cdr:x>
      <cdr:y>0.89298</cdr:y>
    </cdr:from>
    <cdr:to>
      <cdr:x>0.80886</cdr:x>
      <cdr:y>0.90964</cdr:y>
    </cdr:to>
    <cdr:sp macro="" textlink="">
      <cdr:nvSpPr>
        <cdr:cNvPr id="6" name="正方形/長方形 5"/>
        <cdr:cNvSpPr/>
      </cdr:nvSpPr>
      <cdr:spPr>
        <a:xfrm xmlns:a="http://schemas.openxmlformats.org/drawingml/2006/main">
          <a:off x="4700008" y="6917916"/>
          <a:ext cx="123440" cy="129065"/>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0.78861</cdr:x>
      <cdr:y>0.92384</cdr:y>
    </cdr:from>
    <cdr:to>
      <cdr:x>0.80931</cdr:x>
      <cdr:y>0.94049</cdr:y>
    </cdr:to>
    <cdr:sp macro="" textlink="">
      <cdr:nvSpPr>
        <cdr:cNvPr id="7" name="正方形/長方形 6"/>
        <cdr:cNvSpPr/>
      </cdr:nvSpPr>
      <cdr:spPr>
        <a:xfrm xmlns:a="http://schemas.openxmlformats.org/drawingml/2006/main">
          <a:off x="4702717" y="7156954"/>
          <a:ext cx="123440" cy="128988"/>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0.78841</cdr:x>
      <cdr:y>0.95604</cdr:y>
    </cdr:from>
    <cdr:to>
      <cdr:x>0.8091</cdr:x>
      <cdr:y>0.97269</cdr:y>
    </cdr:to>
    <cdr:sp macro="" textlink="">
      <cdr:nvSpPr>
        <cdr:cNvPr id="8" name="正方形/長方形 7"/>
        <cdr:cNvSpPr/>
      </cdr:nvSpPr>
      <cdr:spPr>
        <a:xfrm xmlns:a="http://schemas.openxmlformats.org/drawingml/2006/main">
          <a:off x="4701495" y="7406409"/>
          <a:ext cx="123381" cy="128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5.xml><?xml version="1.0" encoding="utf-8"?>
<c:userShapes xmlns:c="http://schemas.openxmlformats.org/drawingml/2006/chart">
  <cdr:relSizeAnchor xmlns:cdr="http://schemas.openxmlformats.org/drawingml/2006/chartDrawing">
    <cdr:from>
      <cdr:x>0.08588</cdr:x>
      <cdr:y>0.15696</cdr:y>
    </cdr:from>
    <cdr:to>
      <cdr:x>0.24453</cdr:x>
      <cdr:y>0.19887</cdr:y>
    </cdr:to>
    <cdr:sp macro="" textlink="">
      <cdr:nvSpPr>
        <cdr:cNvPr id="5" name="正方形/長方形 4"/>
        <cdr:cNvSpPr/>
      </cdr:nvSpPr>
      <cdr:spPr>
        <a:xfrm xmlns:a="http://schemas.openxmlformats.org/drawingml/2006/main">
          <a:off x="510436" y="775928"/>
          <a:ext cx="942953" cy="20718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0.06679</cdr:x>
      <cdr:y>0.22273</cdr:y>
    </cdr:from>
    <cdr:to>
      <cdr:x>0.07448</cdr:x>
      <cdr:y>0.34331</cdr:y>
    </cdr:to>
    <cdr:sp macro="" textlink="">
      <cdr:nvSpPr>
        <cdr:cNvPr id="6" name="左大かっこ 5"/>
        <cdr:cNvSpPr/>
      </cdr:nvSpPr>
      <cdr:spPr>
        <a:xfrm xmlns:a="http://schemas.openxmlformats.org/drawingml/2006/main">
          <a:off x="396983" y="1101060"/>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0.06823</cdr:x>
      <cdr:y>0.37001</cdr:y>
    </cdr:from>
    <cdr:to>
      <cdr:x>0.07692</cdr:x>
      <cdr:y>0.82895</cdr:y>
    </cdr:to>
    <cdr:sp macro="" textlink="">
      <cdr:nvSpPr>
        <cdr:cNvPr id="7" name="左大かっこ 6"/>
        <cdr:cNvSpPr/>
      </cdr:nvSpPr>
      <cdr:spPr>
        <a:xfrm xmlns:a="http://schemas.openxmlformats.org/drawingml/2006/main">
          <a:off x="405522" y="1829155"/>
          <a:ext cx="51678" cy="22687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0.23948</cdr:y>
    </cdr:from>
    <cdr:to>
      <cdr:x>0.0625</cdr:x>
      <cdr:y>0.34398</cdr:y>
    </cdr:to>
    <cdr:sp macro="" textlink="">
      <cdr:nvSpPr>
        <cdr:cNvPr id="8" name="テキスト ボックス 7"/>
        <cdr:cNvSpPr txBox="1"/>
      </cdr:nvSpPr>
      <cdr:spPr>
        <a:xfrm xmlns:a="http://schemas.openxmlformats.org/drawingml/2006/main">
          <a:off x="0" y="1183841"/>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0.08696</cdr:x>
      <cdr:y>0.03733</cdr:y>
    </cdr:from>
    <cdr:to>
      <cdr:x>0.111</cdr:x>
      <cdr:y>0.05983</cdr:y>
    </cdr:to>
    <cdr:sp macro="" textlink="">
      <cdr:nvSpPr>
        <cdr:cNvPr id="10" name="正方形/長方形 9"/>
        <cdr:cNvSpPr/>
      </cdr:nvSpPr>
      <cdr:spPr>
        <a:xfrm xmlns:a="http://schemas.openxmlformats.org/drawingml/2006/main">
          <a:off x="516867" y="184524"/>
          <a:ext cx="142884"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0.28389</cdr:x>
      <cdr:y>0.04014</cdr:y>
    </cdr:from>
    <cdr:to>
      <cdr:x>0.30792</cdr:x>
      <cdr:y>0.06265</cdr:y>
    </cdr:to>
    <cdr:sp macro="" textlink="">
      <cdr:nvSpPr>
        <cdr:cNvPr id="11" name="正方形/長方形 10"/>
        <cdr:cNvSpPr/>
      </cdr:nvSpPr>
      <cdr:spPr>
        <a:xfrm xmlns:a="http://schemas.openxmlformats.org/drawingml/2006/main">
          <a:off x="1687349" y="198450"/>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0.45803</cdr:x>
      <cdr:y>0.0401</cdr:y>
    </cdr:from>
    <cdr:to>
      <cdr:x>0.48207</cdr:x>
      <cdr:y>0.06261</cdr:y>
    </cdr:to>
    <cdr:sp macro="" textlink="">
      <cdr:nvSpPr>
        <cdr:cNvPr id="12" name="正方形/長方形 11"/>
        <cdr:cNvSpPr/>
      </cdr:nvSpPr>
      <cdr:spPr>
        <a:xfrm xmlns:a="http://schemas.openxmlformats.org/drawingml/2006/main">
          <a:off x="2722340" y="198249"/>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0.07049</cdr:x>
      <cdr:y>0.84929</cdr:y>
    </cdr:from>
    <cdr:to>
      <cdr:x>0.07818</cdr:x>
      <cdr:y>0.96987</cdr:y>
    </cdr:to>
    <cdr:sp macro="" textlink="">
      <cdr:nvSpPr>
        <cdr:cNvPr id="19" name="左大かっこ 18"/>
        <cdr:cNvSpPr/>
      </cdr:nvSpPr>
      <cdr:spPr>
        <a:xfrm xmlns:a="http://schemas.openxmlformats.org/drawingml/2006/main">
          <a:off x="418994" y="4198425"/>
          <a:ext cx="45706"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0.87138</cdr:y>
    </cdr:from>
    <cdr:to>
      <cdr:x>0.08494</cdr:x>
      <cdr:y>1</cdr:y>
    </cdr:to>
    <cdr:sp macro="" textlink="">
      <cdr:nvSpPr>
        <cdr:cNvPr id="2" name="テキスト ボックス 1"/>
        <cdr:cNvSpPr txBox="1"/>
      </cdr:nvSpPr>
      <cdr:spPr>
        <a:xfrm xmlns:a="http://schemas.openxmlformats.org/drawingml/2006/main">
          <a:off x="0" y="4307645"/>
          <a:ext cx="504827" cy="63583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0.82758</cdr:x>
      <cdr:y>0.03791</cdr:y>
    </cdr:from>
    <cdr:to>
      <cdr:x>0.85162</cdr:x>
      <cdr:y>0.06042</cdr:y>
    </cdr:to>
    <cdr:sp macro="" textlink="">
      <cdr:nvSpPr>
        <cdr:cNvPr id="13" name="正方形/長方形 12"/>
        <cdr:cNvSpPr/>
      </cdr:nvSpPr>
      <cdr:spPr>
        <a:xfrm xmlns:a="http://schemas.openxmlformats.org/drawingml/2006/main">
          <a:off x="4918804" y="187407"/>
          <a:ext cx="142885" cy="1112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6.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0.06708</cdr:x>
      <cdr:y>0.98213</cdr:y>
    </cdr:to>
    <cdr:sp macro="" textlink="">
      <cdr:nvSpPr>
        <cdr:cNvPr id="7" name="左大かっこ 6"/>
        <cdr:cNvSpPr/>
      </cdr:nvSpPr>
      <cdr:spPr>
        <a:xfrm xmlns:a="http://schemas.openxmlformats.org/drawingml/2006/main">
          <a:off x="352396" y="4875354"/>
          <a:ext cx="46300" cy="22305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0.10473</cdr:x>
      <cdr:y>0.02923</cdr:y>
    </cdr:from>
    <cdr:to>
      <cdr:x>0.12877</cdr:x>
      <cdr:y>0.05173</cdr:y>
    </cdr:to>
    <cdr:sp macro="" textlink="">
      <cdr:nvSpPr>
        <cdr:cNvPr id="10" name="正方形/長方形 9"/>
        <cdr:cNvSpPr/>
      </cdr:nvSpPr>
      <cdr:spPr>
        <a:xfrm xmlns:a="http://schemas.openxmlformats.org/drawingml/2006/main">
          <a:off x="644886" y="211573"/>
          <a:ext cx="148029"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0.30061</cdr:x>
      <cdr:y>0.02643</cdr:y>
    </cdr:from>
    <cdr:to>
      <cdr:x>0.32464</cdr:x>
      <cdr:y>0.04894</cdr:y>
    </cdr:to>
    <cdr:sp macro="" textlink="">
      <cdr:nvSpPr>
        <cdr:cNvPr id="11" name="正方形/長方形 10"/>
        <cdr:cNvSpPr/>
      </cdr:nvSpPr>
      <cdr:spPr>
        <a:xfrm xmlns:a="http://schemas.openxmlformats.org/drawingml/2006/main">
          <a:off x="1851025" y="191274"/>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0.48029</cdr:x>
      <cdr:y>0.0261</cdr:y>
    </cdr:from>
    <cdr:to>
      <cdr:x>0.50433</cdr:x>
      <cdr:y>0.04861</cdr:y>
    </cdr:to>
    <cdr:sp macro="" textlink="">
      <cdr:nvSpPr>
        <cdr:cNvPr id="12" name="正方形/長方形 11"/>
        <cdr:cNvSpPr/>
      </cdr:nvSpPr>
      <cdr:spPr>
        <a:xfrm xmlns:a="http://schemas.openxmlformats.org/drawingml/2006/main">
          <a:off x="2957428" y="188901"/>
          <a:ext cx="148028"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0.82568</cdr:x>
      <cdr:y>0.02512</cdr:y>
    </cdr:from>
    <cdr:to>
      <cdr:x>0.84972</cdr:x>
      <cdr:y>0.04763</cdr:y>
    </cdr:to>
    <cdr:sp macro="" textlink="">
      <cdr:nvSpPr>
        <cdr:cNvPr id="13" name="正方形/長方形 12"/>
        <cdr:cNvSpPr/>
      </cdr:nvSpPr>
      <cdr:spPr>
        <a:xfrm xmlns:a="http://schemas.openxmlformats.org/drawingml/2006/main">
          <a:off x="5084201" y="181811"/>
          <a:ext cx="148028"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7.xml><?xml version="1.0" encoding="utf-8"?>
<c:userShapes xmlns:c="http://schemas.openxmlformats.org/drawingml/2006/chart">
  <cdr:relSizeAnchor xmlns:cdr="http://schemas.openxmlformats.org/drawingml/2006/chartDrawing">
    <cdr:from>
      <cdr:x>0.08506</cdr:x>
      <cdr:y>0.15742</cdr:y>
    </cdr:from>
    <cdr:to>
      <cdr:x>0.24371</cdr:x>
      <cdr:y>0.19776</cdr:y>
    </cdr:to>
    <cdr:sp macro="" textlink="">
      <cdr:nvSpPr>
        <cdr:cNvPr id="5" name="正方形/長方形 4"/>
        <cdr:cNvSpPr/>
      </cdr:nvSpPr>
      <cdr:spPr>
        <a:xfrm xmlns:a="http://schemas.openxmlformats.org/drawingml/2006/main">
          <a:off x="505563" y="778213"/>
          <a:ext cx="942952" cy="19941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0.06925</cdr:x>
      <cdr:y>0.22667</cdr:y>
    </cdr:from>
    <cdr:to>
      <cdr:x>0.07694</cdr:x>
      <cdr:y>0.34725</cdr:y>
    </cdr:to>
    <cdr:sp macro="" textlink="">
      <cdr:nvSpPr>
        <cdr:cNvPr id="6" name="左大かっこ 5"/>
        <cdr:cNvSpPr/>
      </cdr:nvSpPr>
      <cdr:spPr>
        <a:xfrm xmlns:a="http://schemas.openxmlformats.org/drawingml/2006/main">
          <a:off x="411574" y="1120515"/>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0.07068</cdr:x>
      <cdr:y>0.37001</cdr:y>
    </cdr:from>
    <cdr:to>
      <cdr:x>0.07838</cdr:x>
      <cdr:y>0.82745</cdr:y>
    </cdr:to>
    <cdr:sp macro="" textlink="">
      <cdr:nvSpPr>
        <cdr:cNvPr id="7" name="左大かっこ 6"/>
        <cdr:cNvSpPr/>
      </cdr:nvSpPr>
      <cdr:spPr>
        <a:xfrm xmlns:a="http://schemas.openxmlformats.org/drawingml/2006/main">
          <a:off x="420113" y="1829155"/>
          <a:ext cx="45719" cy="226132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0.00655</cdr:x>
      <cdr:y>0.24931</cdr:y>
    </cdr:from>
    <cdr:to>
      <cdr:x>0.06905</cdr:x>
      <cdr:y>0.35381</cdr:y>
    </cdr:to>
    <cdr:sp macro="" textlink="">
      <cdr:nvSpPr>
        <cdr:cNvPr id="8" name="テキスト ボックス 7"/>
        <cdr:cNvSpPr txBox="1"/>
      </cdr:nvSpPr>
      <cdr:spPr>
        <a:xfrm xmlns:a="http://schemas.openxmlformats.org/drawingml/2006/main">
          <a:off x="38911" y="1232480"/>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0.00573</cdr:x>
      <cdr:y>0.58423</cdr:y>
    </cdr:from>
    <cdr:to>
      <cdr:x>0.06663</cdr:x>
      <cdr:y>0.68552</cdr:y>
    </cdr:to>
    <cdr:sp macro="" textlink="">
      <cdr:nvSpPr>
        <cdr:cNvPr id="9" name="テキスト ボックス 8"/>
        <cdr:cNvSpPr txBox="1"/>
      </cdr:nvSpPr>
      <cdr:spPr>
        <a:xfrm xmlns:a="http://schemas.openxmlformats.org/drawingml/2006/main">
          <a:off x="34047" y="2888107"/>
          <a:ext cx="361965" cy="5007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0.05713</cdr:x>
      <cdr:y>0.01472</cdr:y>
    </cdr:from>
    <cdr:to>
      <cdr:x>0.08117</cdr:x>
      <cdr:y>0.03722</cdr:y>
    </cdr:to>
    <cdr:sp macro="" textlink="">
      <cdr:nvSpPr>
        <cdr:cNvPr id="10" name="正方形/長方形 9"/>
        <cdr:cNvSpPr/>
      </cdr:nvSpPr>
      <cdr:spPr>
        <a:xfrm xmlns:a="http://schemas.openxmlformats.org/drawingml/2006/main">
          <a:off x="339577" y="72776"/>
          <a:ext cx="142885"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0.29393</cdr:x>
      <cdr:y>0.0168</cdr:y>
    </cdr:from>
    <cdr:to>
      <cdr:x>0.31796</cdr:x>
      <cdr:y>0.03931</cdr:y>
    </cdr:to>
    <cdr:sp macro="" textlink="">
      <cdr:nvSpPr>
        <cdr:cNvPr id="11" name="正方形/長方形 10"/>
        <cdr:cNvSpPr/>
      </cdr:nvSpPr>
      <cdr:spPr>
        <a:xfrm xmlns:a="http://schemas.openxmlformats.org/drawingml/2006/main">
          <a:off x="1746993" y="83032"/>
          <a:ext cx="142824"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0.53186</cdr:x>
      <cdr:y>0.01566</cdr:y>
    </cdr:from>
    <cdr:to>
      <cdr:x>0.5559</cdr:x>
      <cdr:y>0.03817</cdr:y>
    </cdr:to>
    <cdr:sp macro="" textlink="">
      <cdr:nvSpPr>
        <cdr:cNvPr id="12" name="正方形/長方形 11"/>
        <cdr:cNvSpPr/>
      </cdr:nvSpPr>
      <cdr:spPr>
        <a:xfrm xmlns:a="http://schemas.openxmlformats.org/drawingml/2006/main">
          <a:off x="3161192" y="77395"/>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0.07131</cdr:x>
      <cdr:y>0.84929</cdr:y>
    </cdr:from>
    <cdr:to>
      <cdr:x>0.079</cdr:x>
      <cdr:y>0.96987</cdr:y>
    </cdr:to>
    <cdr:sp macro="" textlink="">
      <cdr:nvSpPr>
        <cdr:cNvPr id="19" name="左大かっこ 18"/>
        <cdr:cNvSpPr/>
      </cdr:nvSpPr>
      <cdr:spPr>
        <a:xfrm xmlns:a="http://schemas.openxmlformats.org/drawingml/2006/main">
          <a:off x="423858" y="4198425"/>
          <a:ext cx="45706" cy="5960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0.08494</cdr:x>
      <cdr:y>0.98875</cdr:y>
    </cdr:to>
    <cdr:sp macro="" textlink="">
      <cdr:nvSpPr>
        <cdr:cNvPr id="2" name="テキスト ボックス 1"/>
        <cdr:cNvSpPr txBox="1"/>
      </cdr:nvSpPr>
      <cdr:spPr>
        <a:xfrm xmlns:a="http://schemas.openxmlformats.org/drawingml/2006/main">
          <a:off x="0" y="4252031"/>
          <a:ext cx="504824" cy="63583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住まいの状況別</a:t>
          </a:r>
        </a:p>
      </cdr:txBody>
    </cdr:sp>
  </cdr:relSizeAnchor>
  <cdr:relSizeAnchor xmlns:cdr="http://schemas.openxmlformats.org/drawingml/2006/chartDrawing">
    <cdr:from>
      <cdr:x>0.76903</cdr:x>
      <cdr:y>0.01981</cdr:y>
    </cdr:from>
    <cdr:to>
      <cdr:x>0.79307</cdr:x>
      <cdr:y>0.04232</cdr:y>
    </cdr:to>
    <cdr:sp macro="" textlink="">
      <cdr:nvSpPr>
        <cdr:cNvPr id="13" name="正方形/長方形 12"/>
        <cdr:cNvSpPr/>
      </cdr:nvSpPr>
      <cdr:spPr>
        <a:xfrm xmlns:a="http://schemas.openxmlformats.org/drawingml/2006/main">
          <a:off x="4570786" y="97938"/>
          <a:ext cx="142885"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0.05712</cdr:x>
      <cdr:y>0.06554</cdr:y>
    </cdr:from>
    <cdr:to>
      <cdr:x>0.08116</cdr:x>
      <cdr:y>0.08804</cdr:y>
    </cdr:to>
    <cdr:sp macro="" textlink="">
      <cdr:nvSpPr>
        <cdr:cNvPr id="14" name="正方形/長方形 13"/>
        <cdr:cNvSpPr/>
      </cdr:nvSpPr>
      <cdr:spPr>
        <a:xfrm xmlns:a="http://schemas.openxmlformats.org/drawingml/2006/main">
          <a:off x="339516" y="323971"/>
          <a:ext cx="142884" cy="11127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0.29537</cdr:x>
      <cdr:y>0.06633</cdr:y>
    </cdr:from>
    <cdr:to>
      <cdr:x>0.31941</cdr:x>
      <cdr:y>0.08884</cdr:y>
    </cdr:to>
    <cdr:sp macro="" textlink="">
      <cdr:nvSpPr>
        <cdr:cNvPr id="15" name="正方形/長方形 14"/>
        <cdr:cNvSpPr/>
      </cdr:nvSpPr>
      <cdr:spPr>
        <a:xfrm xmlns:a="http://schemas.openxmlformats.org/drawingml/2006/main">
          <a:off x="1755571" y="327881"/>
          <a:ext cx="142884" cy="111278"/>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0.53152</cdr:x>
      <cdr:y>0.06534</cdr:y>
    </cdr:from>
    <cdr:to>
      <cdr:x>0.55556</cdr:x>
      <cdr:y>0.08785</cdr:y>
    </cdr:to>
    <cdr:sp macro="" textlink="">
      <cdr:nvSpPr>
        <cdr:cNvPr id="16" name="正方形/長方形 15"/>
        <cdr:cNvSpPr/>
      </cdr:nvSpPr>
      <cdr:spPr>
        <a:xfrm xmlns:a="http://schemas.openxmlformats.org/drawingml/2006/main">
          <a:off x="3159122" y="323017"/>
          <a:ext cx="142884" cy="1112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0.77067</cdr:x>
      <cdr:y>0.06716</cdr:y>
    </cdr:from>
    <cdr:to>
      <cdr:x>0.79471</cdr:x>
      <cdr:y>0.08967</cdr:y>
    </cdr:to>
    <cdr:sp macro="" textlink="">
      <cdr:nvSpPr>
        <cdr:cNvPr id="17" name="正方形/長方形 16"/>
        <cdr:cNvSpPr/>
      </cdr:nvSpPr>
      <cdr:spPr>
        <a:xfrm xmlns:a="http://schemas.openxmlformats.org/drawingml/2006/main">
          <a:off x="4580554" y="332021"/>
          <a:ext cx="142884" cy="111278"/>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8.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0.06714</cdr:x>
      <cdr:y>0.64922</cdr:y>
    </cdr:to>
    <cdr:sp macro="" textlink="">
      <cdr:nvSpPr>
        <cdr:cNvPr id="6" name="左大かっこ 5"/>
        <cdr:cNvSpPr/>
      </cdr:nvSpPr>
      <cdr:spPr>
        <a:xfrm xmlns:a="http://schemas.openxmlformats.org/drawingml/2006/main">
          <a:off x="363483" y="1169371"/>
          <a:ext cx="49942" cy="352909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0.66266</cdr:y>
    </cdr:from>
    <cdr:to>
      <cdr:x>0.06872</cdr:x>
      <cdr:y>0.98213</cdr:y>
    </cdr:to>
    <cdr:sp macro="" textlink="">
      <cdr:nvSpPr>
        <cdr:cNvPr id="7" name="左大かっこ 6"/>
        <cdr:cNvSpPr/>
      </cdr:nvSpPr>
      <cdr:spPr>
        <a:xfrm xmlns:a="http://schemas.openxmlformats.org/drawingml/2006/main">
          <a:off x="365084" y="4795736"/>
          <a:ext cx="58069" cy="231203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0.10946</cdr:x>
      <cdr:y>0.01214</cdr:y>
    </cdr:from>
    <cdr:to>
      <cdr:x>0.1335</cdr:x>
      <cdr:y>0.03464</cdr:y>
    </cdr:to>
    <cdr:sp macro="" textlink="">
      <cdr:nvSpPr>
        <cdr:cNvPr id="10" name="正方形/長方形 9"/>
        <cdr:cNvSpPr/>
      </cdr:nvSpPr>
      <cdr:spPr>
        <a:xfrm xmlns:a="http://schemas.openxmlformats.org/drawingml/2006/main">
          <a:off x="674014" y="87831"/>
          <a:ext cx="148028"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0.31731</cdr:x>
      <cdr:y>0.0108</cdr:y>
    </cdr:from>
    <cdr:to>
      <cdr:x>0.34134</cdr:x>
      <cdr:y>0.03331</cdr:y>
    </cdr:to>
    <cdr:sp macro="" textlink="">
      <cdr:nvSpPr>
        <cdr:cNvPr id="11" name="正方形/長方形 10"/>
        <cdr:cNvSpPr/>
      </cdr:nvSpPr>
      <cdr:spPr>
        <a:xfrm xmlns:a="http://schemas.openxmlformats.org/drawingml/2006/main">
          <a:off x="1953862" y="78134"/>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0.5217</cdr:x>
      <cdr:y>0.01242</cdr:y>
    </cdr:from>
    <cdr:to>
      <cdr:x>0.54574</cdr:x>
      <cdr:y>0.03493</cdr:y>
    </cdr:to>
    <cdr:sp macro="" textlink="">
      <cdr:nvSpPr>
        <cdr:cNvPr id="12" name="正方形/長方形 11"/>
        <cdr:cNvSpPr/>
      </cdr:nvSpPr>
      <cdr:spPr>
        <a:xfrm xmlns:a="http://schemas.openxmlformats.org/drawingml/2006/main">
          <a:off x="3212415" y="89901"/>
          <a:ext cx="148029"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0.72794</cdr:x>
      <cdr:y>0.00924</cdr:y>
    </cdr:from>
    <cdr:to>
      <cdr:x>0.75198</cdr:x>
      <cdr:y>0.03175</cdr:y>
    </cdr:to>
    <cdr:sp macro="" textlink="">
      <cdr:nvSpPr>
        <cdr:cNvPr id="13" name="正方形/長方形 12"/>
        <cdr:cNvSpPr/>
      </cdr:nvSpPr>
      <cdr:spPr>
        <a:xfrm xmlns:a="http://schemas.openxmlformats.org/drawingml/2006/main">
          <a:off x="4482333" y="66898"/>
          <a:ext cx="148029"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0.10906</cdr:x>
      <cdr:y>0.05163</cdr:y>
    </cdr:from>
    <cdr:to>
      <cdr:x>0.1331</cdr:x>
      <cdr:y>0.07414</cdr:y>
    </cdr:to>
    <cdr:sp macro="" textlink="">
      <cdr:nvSpPr>
        <cdr:cNvPr id="14" name="正方形/長方形 13"/>
        <cdr:cNvSpPr/>
      </cdr:nvSpPr>
      <cdr:spPr>
        <a:xfrm xmlns:a="http://schemas.openxmlformats.org/drawingml/2006/main">
          <a:off x="671543" y="373681"/>
          <a:ext cx="148029" cy="16290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0.31749</cdr:x>
      <cdr:y>0.05165</cdr:y>
    </cdr:from>
    <cdr:to>
      <cdr:x>0.34153</cdr:x>
      <cdr:y>0.07416</cdr:y>
    </cdr:to>
    <cdr:sp macro="" textlink="">
      <cdr:nvSpPr>
        <cdr:cNvPr id="15" name="正方形/長方形 14"/>
        <cdr:cNvSpPr/>
      </cdr:nvSpPr>
      <cdr:spPr>
        <a:xfrm xmlns:a="http://schemas.openxmlformats.org/drawingml/2006/main">
          <a:off x="1954973" y="373826"/>
          <a:ext cx="148028" cy="16290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0.52107</cdr:x>
      <cdr:y>0.05106</cdr:y>
    </cdr:from>
    <cdr:to>
      <cdr:x>0.54511</cdr:x>
      <cdr:y>0.07357</cdr:y>
    </cdr:to>
    <cdr:sp macro="" textlink="">
      <cdr:nvSpPr>
        <cdr:cNvPr id="16" name="正方形/長方形 15"/>
        <cdr:cNvSpPr/>
      </cdr:nvSpPr>
      <cdr:spPr>
        <a:xfrm xmlns:a="http://schemas.openxmlformats.org/drawingml/2006/main">
          <a:off x="3208541" y="369511"/>
          <a:ext cx="148029" cy="16290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0.72761</cdr:x>
      <cdr:y>0.05307</cdr:y>
    </cdr:from>
    <cdr:to>
      <cdr:x>0.75165</cdr:x>
      <cdr:y>0.07558</cdr:y>
    </cdr:to>
    <cdr:sp macro="" textlink="">
      <cdr:nvSpPr>
        <cdr:cNvPr id="17" name="正方形/長方形 16"/>
        <cdr:cNvSpPr/>
      </cdr:nvSpPr>
      <cdr:spPr>
        <a:xfrm xmlns:a="http://schemas.openxmlformats.org/drawingml/2006/main">
          <a:off x="4480326" y="384074"/>
          <a:ext cx="148028" cy="162907"/>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9.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6.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0.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1.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2.xml><?xml version="1.0" encoding="utf-8"?>
<c:userShapes xmlns:c="http://schemas.openxmlformats.org/drawingml/2006/chart">
  <cdr:relSizeAnchor xmlns:cdr="http://schemas.openxmlformats.org/drawingml/2006/chartDrawing">
    <cdr:from>
      <cdr:x>0.08506</cdr:x>
      <cdr:y>0.1609</cdr:y>
    </cdr:from>
    <cdr:to>
      <cdr:x>0.24371</cdr:x>
      <cdr:y>0.20809</cdr:y>
    </cdr:to>
    <cdr:sp macro="" textlink="">
      <cdr:nvSpPr>
        <cdr:cNvPr id="5" name="正方形/長方形 4"/>
        <cdr:cNvSpPr/>
      </cdr:nvSpPr>
      <cdr:spPr>
        <a:xfrm xmlns:a="http://schemas.openxmlformats.org/drawingml/2006/main">
          <a:off x="505563" y="795405"/>
          <a:ext cx="942952" cy="233295"/>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0.0643</cdr:x>
      <cdr:y>0.25163</cdr:y>
    </cdr:from>
    <cdr:to>
      <cdr:x>0.07199</cdr:x>
      <cdr:y>0.37221</cdr:y>
    </cdr:to>
    <cdr:sp macro="" textlink="">
      <cdr:nvSpPr>
        <cdr:cNvPr id="6" name="左大かっこ 5"/>
        <cdr:cNvSpPr/>
      </cdr:nvSpPr>
      <cdr:spPr>
        <a:xfrm xmlns:a="http://schemas.openxmlformats.org/drawingml/2006/main">
          <a:off x="382189" y="1243935"/>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0.41233</cdr:y>
    </cdr:from>
    <cdr:to>
      <cdr:x>0.07692</cdr:x>
      <cdr:y>0.95321</cdr:y>
    </cdr:to>
    <cdr:sp macro="" textlink="">
      <cdr:nvSpPr>
        <cdr:cNvPr id="7" name="左大かっこ 6"/>
        <cdr:cNvSpPr/>
      </cdr:nvSpPr>
      <cdr:spPr>
        <a:xfrm xmlns:a="http://schemas.openxmlformats.org/drawingml/2006/main">
          <a:off x="371475" y="2038350"/>
          <a:ext cx="85725" cy="267382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0.20102</cdr:x>
      <cdr:y>0.04832</cdr:y>
    </cdr:from>
    <cdr:to>
      <cdr:x>0.22506</cdr:x>
      <cdr:y>0.07082</cdr:y>
    </cdr:to>
    <cdr:sp macro="" textlink="">
      <cdr:nvSpPr>
        <cdr:cNvPr id="10" name="正方形/長方形 9"/>
        <cdr:cNvSpPr/>
      </cdr:nvSpPr>
      <cdr:spPr>
        <a:xfrm xmlns:a="http://schemas.openxmlformats.org/drawingml/2006/main">
          <a:off x="1194753" y="238867"/>
          <a:ext cx="142884"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0.45227</cdr:x>
      <cdr:y>0.04739</cdr:y>
    </cdr:from>
    <cdr:to>
      <cdr:x>0.4763</cdr:x>
      <cdr:y>0.0699</cdr:y>
    </cdr:to>
    <cdr:sp macro="" textlink="">
      <cdr:nvSpPr>
        <cdr:cNvPr id="11" name="正方形/長方形 10"/>
        <cdr:cNvSpPr/>
      </cdr:nvSpPr>
      <cdr:spPr>
        <a:xfrm xmlns:a="http://schemas.openxmlformats.org/drawingml/2006/main">
          <a:off x="2688128" y="296770"/>
          <a:ext cx="142825" cy="140966"/>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0.72114</cdr:x>
      <cdr:y>0.04498</cdr:y>
    </cdr:from>
    <cdr:to>
      <cdr:x>0.74517</cdr:x>
      <cdr:y>0.06749</cdr:y>
    </cdr:to>
    <cdr:sp macro="" textlink="">
      <cdr:nvSpPr>
        <cdr:cNvPr id="12" name="正方形/長方形 11"/>
        <cdr:cNvSpPr/>
      </cdr:nvSpPr>
      <cdr:spPr>
        <a:xfrm xmlns:a="http://schemas.openxmlformats.org/drawingml/2006/main">
          <a:off x="4286178" y="222339"/>
          <a:ext cx="142825" cy="11127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3.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0.06793</cdr:x>
      <cdr:y>0.64586</cdr:y>
    </cdr:to>
    <cdr:sp macro="" textlink="">
      <cdr:nvSpPr>
        <cdr:cNvPr id="6" name="左大かっこ 5"/>
        <cdr:cNvSpPr/>
      </cdr:nvSpPr>
      <cdr:spPr>
        <a:xfrm xmlns:a="http://schemas.openxmlformats.org/drawingml/2006/main">
          <a:off x="363483" y="1169371"/>
          <a:ext cx="54806" cy="350477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0.65594</cdr:y>
    </cdr:from>
    <cdr:to>
      <cdr:x>0.06872</cdr:x>
      <cdr:y>0.98213</cdr:y>
    </cdr:to>
    <cdr:sp macro="" textlink="">
      <cdr:nvSpPr>
        <cdr:cNvPr id="7" name="左大かっこ 6"/>
        <cdr:cNvSpPr/>
      </cdr:nvSpPr>
      <cdr:spPr>
        <a:xfrm xmlns:a="http://schemas.openxmlformats.org/drawingml/2006/main">
          <a:off x="365084" y="4747098"/>
          <a:ext cx="58069" cy="236067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0.19858</cdr:x>
      <cdr:y>0.02468</cdr:y>
    </cdr:from>
    <cdr:to>
      <cdr:x>0.22262</cdr:x>
      <cdr:y>0.04718</cdr:y>
    </cdr:to>
    <cdr:sp macro="" textlink="">
      <cdr:nvSpPr>
        <cdr:cNvPr id="10" name="正方形/長方形 9"/>
        <cdr:cNvSpPr/>
      </cdr:nvSpPr>
      <cdr:spPr>
        <a:xfrm xmlns:a="http://schemas.openxmlformats.org/drawingml/2006/main">
          <a:off x="1222776" y="178624"/>
          <a:ext cx="148028"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0.42533</cdr:x>
      <cdr:y>0.02572</cdr:y>
    </cdr:from>
    <cdr:to>
      <cdr:x>0.44936</cdr:x>
      <cdr:y>0.04823</cdr:y>
    </cdr:to>
    <cdr:sp macro="" textlink="">
      <cdr:nvSpPr>
        <cdr:cNvPr id="11" name="正方形/長方形 10"/>
        <cdr:cNvSpPr/>
      </cdr:nvSpPr>
      <cdr:spPr>
        <a:xfrm xmlns:a="http://schemas.openxmlformats.org/drawingml/2006/main">
          <a:off x="2619039" y="186138"/>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0.66809</cdr:x>
      <cdr:y>0.02453</cdr:y>
    </cdr:from>
    <cdr:to>
      <cdr:x>0.69213</cdr:x>
      <cdr:y>0.04704</cdr:y>
    </cdr:to>
    <cdr:sp macro="" textlink="">
      <cdr:nvSpPr>
        <cdr:cNvPr id="12" name="正方形/長方形 11"/>
        <cdr:cNvSpPr/>
      </cdr:nvSpPr>
      <cdr:spPr>
        <a:xfrm xmlns:a="http://schemas.openxmlformats.org/drawingml/2006/main">
          <a:off x="4113824" y="177526"/>
          <a:ext cx="148028"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4.xml><?xml version="1.0" encoding="utf-8"?>
<c:userShapes xmlns:c="http://schemas.openxmlformats.org/drawingml/2006/chart">
  <cdr:relSizeAnchor xmlns:cdr="http://schemas.openxmlformats.org/drawingml/2006/chartDrawing">
    <cdr:from>
      <cdr:x>0.08333</cdr:x>
      <cdr:y>0.25235</cdr:y>
    </cdr:from>
    <cdr:to>
      <cdr:x>0.24198</cdr:x>
      <cdr:y>0.28926</cdr:y>
    </cdr:to>
    <cdr:sp macro="" textlink="">
      <cdr:nvSpPr>
        <cdr:cNvPr id="5" name="正方形/長方形 4"/>
        <cdr:cNvSpPr/>
      </cdr:nvSpPr>
      <cdr:spPr>
        <a:xfrm xmlns:a="http://schemas.openxmlformats.org/drawingml/2006/main">
          <a:off x="495280" y="1247486"/>
          <a:ext cx="942952" cy="182480"/>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0.31625</cdr:y>
    </cdr:from>
    <cdr:to>
      <cdr:x>0.07039</cdr:x>
      <cdr:y>0.43683</cdr:y>
    </cdr:to>
    <cdr:sp macro="" textlink="">
      <cdr:nvSpPr>
        <cdr:cNvPr id="6" name="左大かっこ 5"/>
        <cdr:cNvSpPr/>
      </cdr:nvSpPr>
      <cdr:spPr>
        <a:xfrm xmlns:a="http://schemas.openxmlformats.org/drawingml/2006/main">
          <a:off x="372664" y="1563397"/>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0.06077</cdr:x>
      <cdr:y>0.46538</cdr:y>
    </cdr:from>
    <cdr:to>
      <cdr:x>0.06874</cdr:x>
      <cdr:y>0.95683</cdr:y>
    </cdr:to>
    <cdr:sp macro="" textlink="">
      <cdr:nvSpPr>
        <cdr:cNvPr id="7" name="左大かっこ 6"/>
        <cdr:cNvSpPr/>
      </cdr:nvSpPr>
      <cdr:spPr>
        <a:xfrm xmlns:a="http://schemas.openxmlformats.org/drawingml/2006/main">
          <a:off x="361193" y="2300591"/>
          <a:ext cx="47368" cy="242947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0.34613</cdr:y>
    </cdr:from>
    <cdr:to>
      <cdr:x>0.0625</cdr:x>
      <cdr:y>0.45063</cdr:y>
    </cdr:to>
    <cdr:sp macro="" textlink="">
      <cdr:nvSpPr>
        <cdr:cNvPr id="8" name="テキスト ボックス 7"/>
        <cdr:cNvSpPr txBox="1"/>
      </cdr:nvSpPr>
      <cdr:spPr>
        <a:xfrm xmlns:a="http://schemas.openxmlformats.org/drawingml/2006/main">
          <a:off x="0" y="2039233"/>
          <a:ext cx="371475" cy="61566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0.61998</cdr:y>
    </cdr:from>
    <cdr:to>
      <cdr:x>0.0609</cdr:x>
      <cdr:y>0.72127</cdr:y>
    </cdr:to>
    <cdr:sp macro="" textlink="">
      <cdr:nvSpPr>
        <cdr:cNvPr id="9" name="テキスト ボックス 8"/>
        <cdr:cNvSpPr txBox="1"/>
      </cdr:nvSpPr>
      <cdr:spPr>
        <a:xfrm xmlns:a="http://schemas.openxmlformats.org/drawingml/2006/main">
          <a:off x="0" y="3652607"/>
          <a:ext cx="361965" cy="59675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0.17196</cdr:x>
      <cdr:y>0</cdr:y>
    </cdr:from>
    <cdr:to>
      <cdr:x>0.196</cdr:x>
      <cdr:y>0.0225</cdr:y>
    </cdr:to>
    <cdr:sp macro="" textlink="">
      <cdr:nvSpPr>
        <cdr:cNvPr id="10" name="正方形/長方形 9"/>
        <cdr:cNvSpPr/>
      </cdr:nvSpPr>
      <cdr:spPr>
        <a:xfrm xmlns:a="http://schemas.openxmlformats.org/drawingml/2006/main">
          <a:off x="1022081" y="0"/>
          <a:ext cx="142884"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0.17064</cdr:x>
      <cdr:y>0.02744</cdr:y>
    </cdr:from>
    <cdr:to>
      <cdr:x>0.19467</cdr:x>
      <cdr:y>0.04995</cdr:y>
    </cdr:to>
    <cdr:sp macro="" textlink="">
      <cdr:nvSpPr>
        <cdr:cNvPr id="11" name="正方形/長方形 10"/>
        <cdr:cNvSpPr/>
      </cdr:nvSpPr>
      <cdr:spPr>
        <a:xfrm xmlns:a="http://schemas.openxmlformats.org/drawingml/2006/main">
          <a:off x="1014226" y="135641"/>
          <a:ext cx="142824"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0.17069</cdr:x>
      <cdr:y>0.05511</cdr:y>
    </cdr:from>
    <cdr:to>
      <cdr:x>0.19473</cdr:x>
      <cdr:y>0.07762</cdr:y>
    </cdr:to>
    <cdr:sp macro="" textlink="">
      <cdr:nvSpPr>
        <cdr:cNvPr id="12" name="正方形/長方形 11"/>
        <cdr:cNvSpPr/>
      </cdr:nvSpPr>
      <cdr:spPr>
        <a:xfrm xmlns:a="http://schemas.openxmlformats.org/drawingml/2006/main">
          <a:off x="1014508" y="272443"/>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0.17059</cdr:x>
      <cdr:y>0.08428</cdr:y>
    </cdr:from>
    <cdr:to>
      <cdr:x>0.19463</cdr:x>
      <cdr:y>0.10679</cdr:y>
    </cdr:to>
    <cdr:sp macro="" textlink="">
      <cdr:nvSpPr>
        <cdr:cNvPr id="13" name="正方形/長方形 12"/>
        <cdr:cNvSpPr/>
      </cdr:nvSpPr>
      <cdr:spPr>
        <a:xfrm xmlns:a="http://schemas.openxmlformats.org/drawingml/2006/main">
          <a:off x="1013914" y="416636"/>
          <a:ext cx="142884" cy="1112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0.17059</cdr:x>
      <cdr:y>0.11033</cdr:y>
    </cdr:from>
    <cdr:to>
      <cdr:x>0.19463</cdr:x>
      <cdr:y>0.13284</cdr:y>
    </cdr:to>
    <cdr:sp macro="" textlink="">
      <cdr:nvSpPr>
        <cdr:cNvPr id="14" name="正方形/長方形 13"/>
        <cdr:cNvSpPr/>
      </cdr:nvSpPr>
      <cdr:spPr>
        <a:xfrm xmlns:a="http://schemas.openxmlformats.org/drawingml/2006/main">
          <a:off x="1013914" y="545418"/>
          <a:ext cx="142884" cy="11127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0.17158</cdr:x>
      <cdr:y>0.1385</cdr:y>
    </cdr:from>
    <cdr:to>
      <cdr:x>0.19562</cdr:x>
      <cdr:y>0.16101</cdr:y>
    </cdr:to>
    <cdr:sp macro="" textlink="">
      <cdr:nvSpPr>
        <cdr:cNvPr id="15" name="正方形/長方形 14"/>
        <cdr:cNvSpPr/>
      </cdr:nvSpPr>
      <cdr:spPr>
        <a:xfrm xmlns:a="http://schemas.openxmlformats.org/drawingml/2006/main">
          <a:off x="1019794" y="684667"/>
          <a:ext cx="142884" cy="11127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0.17078</cdr:x>
      <cdr:y>0.16642</cdr:y>
    </cdr:from>
    <cdr:to>
      <cdr:x>0.19482</cdr:x>
      <cdr:y>0.18893</cdr:y>
    </cdr:to>
    <cdr:sp macro="" textlink="">
      <cdr:nvSpPr>
        <cdr:cNvPr id="16" name="正方形/長方形 15"/>
        <cdr:cNvSpPr/>
      </cdr:nvSpPr>
      <cdr:spPr>
        <a:xfrm xmlns:a="http://schemas.openxmlformats.org/drawingml/2006/main">
          <a:off x="1015044" y="822693"/>
          <a:ext cx="142884" cy="1112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5.xml><?xml version="1.0" encoding="utf-8"?>
<c:userShapes xmlns:c="http://schemas.openxmlformats.org/drawingml/2006/chart">
  <cdr:relSizeAnchor xmlns:cdr="http://schemas.openxmlformats.org/drawingml/2006/chartDrawing">
    <cdr:from>
      <cdr:x>0.106</cdr:x>
      <cdr:y>0.1656</cdr:y>
    </cdr:from>
    <cdr:to>
      <cdr:x>0.26465</cdr:x>
      <cdr:y>0.19775</cdr:y>
    </cdr:to>
    <cdr:sp macro="" textlink="">
      <cdr:nvSpPr>
        <cdr:cNvPr id="5" name="正方形/長方形 4"/>
        <cdr:cNvSpPr/>
      </cdr:nvSpPr>
      <cdr:spPr>
        <a:xfrm xmlns:a="http://schemas.openxmlformats.org/drawingml/2006/main">
          <a:off x="652701" y="1198449"/>
          <a:ext cx="976902"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0.2118</cdr:y>
    </cdr:from>
    <cdr:to>
      <cdr:x>0.06781</cdr:x>
      <cdr:y>0.65887</cdr:y>
    </cdr:to>
    <cdr:sp macro="" textlink="">
      <cdr:nvSpPr>
        <cdr:cNvPr id="6" name="左大かっこ 5"/>
        <cdr:cNvSpPr/>
      </cdr:nvSpPr>
      <cdr:spPr>
        <a:xfrm xmlns:a="http://schemas.openxmlformats.org/drawingml/2006/main">
          <a:off x="363483" y="1532809"/>
          <a:ext cx="54075" cy="323549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0.06708</cdr:x>
      <cdr:y>0.98213</cdr:y>
    </cdr:to>
    <cdr:sp macro="" textlink="">
      <cdr:nvSpPr>
        <cdr:cNvPr id="7" name="左大かっこ 6"/>
        <cdr:cNvSpPr/>
      </cdr:nvSpPr>
      <cdr:spPr>
        <a:xfrm xmlns:a="http://schemas.openxmlformats.org/drawingml/2006/main">
          <a:off x="352396" y="4875354"/>
          <a:ext cx="46300" cy="22305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0.22842</cdr:x>
      <cdr:y>0.00549</cdr:y>
    </cdr:from>
    <cdr:to>
      <cdr:x>0.24727</cdr:x>
      <cdr:y>0.01893</cdr:y>
    </cdr:to>
    <cdr:sp macro="" textlink="">
      <cdr:nvSpPr>
        <cdr:cNvPr id="10" name="正方形/長方形 9"/>
        <cdr:cNvSpPr/>
      </cdr:nvSpPr>
      <cdr:spPr>
        <a:xfrm xmlns:a="http://schemas.openxmlformats.org/drawingml/2006/main">
          <a:off x="1406498" y="39736"/>
          <a:ext cx="116070" cy="97267"/>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0.22784</cdr:x>
      <cdr:y>0.02382</cdr:y>
    </cdr:from>
    <cdr:to>
      <cdr:x>0.24669</cdr:x>
      <cdr:y>0.03726</cdr:y>
    </cdr:to>
    <cdr:sp macro="" textlink="">
      <cdr:nvSpPr>
        <cdr:cNvPr id="14" name="正方形/長方形 13"/>
        <cdr:cNvSpPr/>
      </cdr:nvSpPr>
      <cdr:spPr>
        <a:xfrm xmlns:a="http://schemas.openxmlformats.org/drawingml/2006/main">
          <a:off x="1402946" y="172396"/>
          <a:ext cx="116078" cy="97276"/>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0.22963</cdr:x>
      <cdr:y>0.04208</cdr:y>
    </cdr:from>
    <cdr:to>
      <cdr:x>0.24848</cdr:x>
      <cdr:y>0.05552</cdr:y>
    </cdr:to>
    <cdr:sp macro="" textlink="">
      <cdr:nvSpPr>
        <cdr:cNvPr id="15" name="正方形/長方形 14"/>
        <cdr:cNvSpPr/>
      </cdr:nvSpPr>
      <cdr:spPr>
        <a:xfrm xmlns:a="http://schemas.openxmlformats.org/drawingml/2006/main">
          <a:off x="1413939" y="304542"/>
          <a:ext cx="116071" cy="97266"/>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0.22877</cdr:x>
      <cdr:y>0.06084</cdr:y>
    </cdr:from>
    <cdr:to>
      <cdr:x>0.24762</cdr:x>
      <cdr:y>0.07428</cdr:y>
    </cdr:to>
    <cdr:sp macro="" textlink="">
      <cdr:nvSpPr>
        <cdr:cNvPr id="16" name="正方形/長方形 15"/>
        <cdr:cNvSpPr/>
      </cdr:nvSpPr>
      <cdr:spPr>
        <a:xfrm xmlns:a="http://schemas.openxmlformats.org/drawingml/2006/main">
          <a:off x="1408653" y="440308"/>
          <a:ext cx="116071" cy="9726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0.22784</cdr:x>
      <cdr:y>0.07893</cdr:y>
    </cdr:from>
    <cdr:to>
      <cdr:x>0.24669</cdr:x>
      <cdr:y>0.09237</cdr:y>
    </cdr:to>
    <cdr:sp macro="" textlink="">
      <cdr:nvSpPr>
        <cdr:cNvPr id="17" name="正方形/長方形 16"/>
        <cdr:cNvSpPr/>
      </cdr:nvSpPr>
      <cdr:spPr>
        <a:xfrm xmlns:a="http://schemas.openxmlformats.org/drawingml/2006/main">
          <a:off x="1402946" y="571231"/>
          <a:ext cx="116078" cy="97276"/>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0.22784</cdr:x>
      <cdr:y>0.09775</cdr:y>
    </cdr:from>
    <cdr:to>
      <cdr:x>0.24669</cdr:x>
      <cdr:y>0.11119</cdr:y>
    </cdr:to>
    <cdr:sp macro="" textlink="">
      <cdr:nvSpPr>
        <cdr:cNvPr id="18" name="正方形/長方形 17"/>
        <cdr:cNvSpPr/>
      </cdr:nvSpPr>
      <cdr:spPr>
        <a:xfrm xmlns:a="http://schemas.openxmlformats.org/drawingml/2006/main">
          <a:off x="1402946" y="707418"/>
          <a:ext cx="116078" cy="97276"/>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0.22784</cdr:x>
      <cdr:y>0.11791</cdr:y>
    </cdr:from>
    <cdr:to>
      <cdr:x>0.24669</cdr:x>
      <cdr:y>0.13135</cdr:y>
    </cdr:to>
    <cdr:sp macro="" textlink="">
      <cdr:nvSpPr>
        <cdr:cNvPr id="19" name="正方形/長方形 18"/>
        <cdr:cNvSpPr/>
      </cdr:nvSpPr>
      <cdr:spPr>
        <a:xfrm xmlns:a="http://schemas.openxmlformats.org/drawingml/2006/main">
          <a:off x="1402946" y="853333"/>
          <a:ext cx="116078" cy="9727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6.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67.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8.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69.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0.69134</cdr:x>
      <cdr:y>0.80711</cdr:y>
    </cdr:from>
    <cdr:to>
      <cdr:x>0.73424</cdr:x>
      <cdr:y>0.82714</cdr:y>
    </cdr:to>
    <cdr:sp macro="" textlink="">
      <cdr:nvSpPr>
        <cdr:cNvPr id="2" name="正方形/長方形 1"/>
        <cdr:cNvSpPr/>
      </cdr:nvSpPr>
      <cdr:spPr>
        <a:xfrm xmlns:a="http://schemas.openxmlformats.org/drawingml/2006/main">
          <a:off x="1988661" y="5196899"/>
          <a:ext cx="123404" cy="128971"/>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0.69126</cdr:x>
      <cdr:y>0.84136</cdr:y>
    </cdr:from>
    <cdr:to>
      <cdr:x>0.73416</cdr:x>
      <cdr:y>0.86139</cdr:y>
    </cdr:to>
    <cdr:sp macro="" textlink="">
      <cdr:nvSpPr>
        <cdr:cNvPr id="3" name="正方形/長方形 2"/>
        <cdr:cNvSpPr/>
      </cdr:nvSpPr>
      <cdr:spPr>
        <a:xfrm xmlns:a="http://schemas.openxmlformats.org/drawingml/2006/main">
          <a:off x="1988447" y="5417465"/>
          <a:ext cx="123404" cy="128971"/>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0.xml><?xml version="1.0" encoding="utf-8"?>
<c:userShapes xmlns:c="http://schemas.openxmlformats.org/drawingml/2006/chart">
  <cdr:relSizeAnchor xmlns:cdr="http://schemas.openxmlformats.org/drawingml/2006/chartDrawing">
    <cdr:from>
      <cdr:x>0.05301</cdr:x>
      <cdr:y>0.16733</cdr:y>
    </cdr:from>
    <cdr:to>
      <cdr:x>0.21166</cdr:x>
      <cdr:y>0.19948</cdr:y>
    </cdr:to>
    <cdr:sp macro="" textlink="">
      <cdr:nvSpPr>
        <cdr:cNvPr id="5" name="正方形/長方形 4"/>
        <cdr:cNvSpPr/>
      </cdr:nvSpPr>
      <cdr:spPr>
        <a:xfrm xmlns:a="http://schemas.openxmlformats.org/drawingml/2006/main">
          <a:off x="315066" y="991342"/>
          <a:ext cx="942952" cy="19047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0.25006</cdr:y>
    </cdr:from>
    <cdr:to>
      <cdr:x>0.07039</cdr:x>
      <cdr:y>0.37064</cdr:y>
    </cdr:to>
    <cdr:sp macro="" textlink="">
      <cdr:nvSpPr>
        <cdr:cNvPr id="6" name="左大かっこ 5"/>
        <cdr:cNvSpPr/>
      </cdr:nvSpPr>
      <cdr:spPr>
        <a:xfrm xmlns:a="http://schemas.openxmlformats.org/drawingml/2006/main">
          <a:off x="372660" y="148148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0.41405</cdr:y>
    </cdr:from>
    <cdr:to>
      <cdr:x>0.06953</cdr:x>
      <cdr:y>0.95338</cdr:y>
    </cdr:to>
    <cdr:sp macro="" textlink="">
      <cdr:nvSpPr>
        <cdr:cNvPr id="7" name="左大かっこ 6"/>
        <cdr:cNvSpPr/>
      </cdr:nvSpPr>
      <cdr:spPr>
        <a:xfrm xmlns:a="http://schemas.openxmlformats.org/drawingml/2006/main">
          <a:off x="352395" y="2453054"/>
          <a:ext cx="60843" cy="31952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0.01577</cdr:x>
      <cdr:y>0.01554</cdr:y>
    </cdr:from>
    <cdr:to>
      <cdr:x>0.03587</cdr:x>
      <cdr:y>0.03595</cdr:y>
    </cdr:to>
    <cdr:sp macro="" textlink="">
      <cdr:nvSpPr>
        <cdr:cNvPr id="10" name="正方形/長方形 9"/>
        <cdr:cNvSpPr/>
      </cdr:nvSpPr>
      <cdr:spPr>
        <a:xfrm xmlns:a="http://schemas.openxmlformats.org/drawingml/2006/main">
          <a:off x="95250" y="96047"/>
          <a:ext cx="121382" cy="126203"/>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0.21136</cdr:x>
      <cdr:y>0.0145</cdr:y>
    </cdr:from>
    <cdr:to>
      <cdr:x>0.23287</cdr:x>
      <cdr:y>0.03595</cdr:y>
    </cdr:to>
    <cdr:sp macro="" textlink="">
      <cdr:nvSpPr>
        <cdr:cNvPr id="11" name="正方形/長方形 10"/>
        <cdr:cNvSpPr/>
      </cdr:nvSpPr>
      <cdr:spPr>
        <a:xfrm xmlns:a="http://schemas.openxmlformats.org/drawingml/2006/main">
          <a:off x="1276350" y="89608"/>
          <a:ext cx="129935" cy="132642"/>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0.40694</cdr:x>
      <cdr:y>0.01588</cdr:y>
    </cdr:from>
    <cdr:to>
      <cdr:x>0.42908</cdr:x>
      <cdr:y>0.03493</cdr:y>
    </cdr:to>
    <cdr:sp macro="" textlink="">
      <cdr:nvSpPr>
        <cdr:cNvPr id="12" name="正方形/長方形 11"/>
        <cdr:cNvSpPr/>
      </cdr:nvSpPr>
      <cdr:spPr>
        <a:xfrm xmlns:a="http://schemas.openxmlformats.org/drawingml/2006/main">
          <a:off x="2457450" y="98166"/>
          <a:ext cx="133718" cy="117734"/>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0.60252</cdr:x>
      <cdr:y>0.01602</cdr:y>
    </cdr:from>
    <cdr:to>
      <cdr:x>0.62446</cdr:x>
      <cdr:y>0.03595</cdr:y>
    </cdr:to>
    <cdr:sp macro="" textlink="">
      <cdr:nvSpPr>
        <cdr:cNvPr id="13" name="正方形/長方形 12"/>
        <cdr:cNvSpPr/>
      </cdr:nvSpPr>
      <cdr:spPr>
        <a:xfrm xmlns:a="http://schemas.openxmlformats.org/drawingml/2006/main">
          <a:off x="3638549" y="99031"/>
          <a:ext cx="132489" cy="12321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0.80126</cdr:x>
      <cdr:y>0.01678</cdr:y>
    </cdr:from>
    <cdr:to>
      <cdr:x>0.82019</cdr:x>
      <cdr:y>0.03698</cdr:y>
    </cdr:to>
    <cdr:sp macro="" textlink="">
      <cdr:nvSpPr>
        <cdr:cNvPr id="14" name="正方形/長方形 13"/>
        <cdr:cNvSpPr/>
      </cdr:nvSpPr>
      <cdr:spPr>
        <a:xfrm xmlns:a="http://schemas.openxmlformats.org/drawingml/2006/main">
          <a:off x="4838700" y="103712"/>
          <a:ext cx="114300" cy="12488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0.01504</cdr:x>
      <cdr:y>0.06896</cdr:y>
    </cdr:from>
    <cdr:to>
      <cdr:x>0.03675</cdr:x>
      <cdr:y>0.08913</cdr:y>
    </cdr:to>
    <cdr:sp macro="" textlink="">
      <cdr:nvSpPr>
        <cdr:cNvPr id="15" name="正方形/長方形 14"/>
        <cdr:cNvSpPr/>
      </cdr:nvSpPr>
      <cdr:spPr>
        <a:xfrm xmlns:a="http://schemas.openxmlformats.org/drawingml/2006/main">
          <a:off x="90840" y="426272"/>
          <a:ext cx="131104" cy="124685"/>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0.21136</cdr:x>
      <cdr:y>0.06482</cdr:y>
    </cdr:from>
    <cdr:to>
      <cdr:x>0.23226</cdr:x>
      <cdr:y>0.08629</cdr:y>
    </cdr:to>
    <cdr:sp macro="" textlink="">
      <cdr:nvSpPr>
        <cdr:cNvPr id="16" name="正方形/長方形 15"/>
        <cdr:cNvSpPr/>
      </cdr:nvSpPr>
      <cdr:spPr>
        <a:xfrm xmlns:a="http://schemas.openxmlformats.org/drawingml/2006/main">
          <a:off x="1276350" y="400689"/>
          <a:ext cx="126252" cy="13271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0.40904</cdr:x>
      <cdr:y>0.06711</cdr:y>
    </cdr:from>
    <cdr:to>
      <cdr:x>0.42907</cdr:x>
      <cdr:y>0.08747</cdr:y>
    </cdr:to>
    <cdr:sp macro="" textlink="">
      <cdr:nvSpPr>
        <cdr:cNvPr id="17" name="正方形/長方形 16"/>
        <cdr:cNvSpPr/>
      </cdr:nvSpPr>
      <cdr:spPr>
        <a:xfrm xmlns:a="http://schemas.openxmlformats.org/drawingml/2006/main">
          <a:off x="2470131" y="414877"/>
          <a:ext cx="120958" cy="125860"/>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0.602</cdr:x>
      <cdr:y>0.06806</cdr:y>
    </cdr:from>
    <cdr:to>
      <cdr:x>0.62671</cdr:x>
      <cdr:y>0.08834</cdr:y>
    </cdr:to>
    <cdr:sp macro="" textlink="">
      <cdr:nvSpPr>
        <cdr:cNvPr id="18" name="正方形/長方形 17"/>
        <cdr:cNvSpPr/>
      </cdr:nvSpPr>
      <cdr:spPr>
        <a:xfrm xmlns:a="http://schemas.openxmlformats.org/drawingml/2006/main">
          <a:off x="3635406" y="420711"/>
          <a:ext cx="149194" cy="125389"/>
        </a:xfrm>
        <a:prstGeom xmlns:a="http://schemas.openxmlformats.org/drawingml/2006/main" prst="rect">
          <a:avLst/>
        </a:prstGeom>
        <a:pattFill xmlns:a="http://schemas.openxmlformats.org/drawingml/2006/main" prst="pct25">
          <a:fgClr>
            <a:schemeClr val="tx1"/>
          </a:fgClr>
          <a:bgClr>
            <a:srgbClr val="00B05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0.80336</cdr:x>
      <cdr:y>0.06814</cdr:y>
    </cdr:from>
    <cdr:to>
      <cdr:x>0.82229</cdr:x>
      <cdr:y>0.08834</cdr:y>
    </cdr:to>
    <cdr:sp macro="" textlink="">
      <cdr:nvSpPr>
        <cdr:cNvPr id="20" name="正方形/長方形 19"/>
        <cdr:cNvSpPr/>
      </cdr:nvSpPr>
      <cdr:spPr>
        <a:xfrm xmlns:a="http://schemas.openxmlformats.org/drawingml/2006/main">
          <a:off x="4851400" y="421212"/>
          <a:ext cx="114300" cy="124888"/>
        </a:xfrm>
        <a:prstGeom xmlns:a="http://schemas.openxmlformats.org/drawingml/2006/main" prst="rect">
          <a:avLst/>
        </a:prstGeom>
        <a:pattFill xmlns:a="http://schemas.openxmlformats.org/drawingml/2006/main" prst="wdUpDiag">
          <a:fgClr>
            <a:schemeClr val="tx1"/>
          </a:fgClr>
          <a:bgClr>
            <a:srgbClr val="00B0F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1.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0.06708</cdr:x>
      <cdr:y>0.98213</cdr:y>
    </cdr:to>
    <cdr:sp macro="" textlink="">
      <cdr:nvSpPr>
        <cdr:cNvPr id="7" name="左大かっこ 6"/>
        <cdr:cNvSpPr/>
      </cdr:nvSpPr>
      <cdr:spPr>
        <a:xfrm xmlns:a="http://schemas.openxmlformats.org/drawingml/2006/main">
          <a:off x="352396" y="4875354"/>
          <a:ext cx="46300" cy="22305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0.01027</cdr:x>
      <cdr:y>0.00812</cdr:y>
    </cdr:from>
    <cdr:to>
      <cdr:x>0.03431</cdr:x>
      <cdr:y>0.03062</cdr:y>
    </cdr:to>
    <cdr:sp macro="" textlink="">
      <cdr:nvSpPr>
        <cdr:cNvPr id="10" name="正方形/長方形 9"/>
        <cdr:cNvSpPr/>
      </cdr:nvSpPr>
      <cdr:spPr>
        <a:xfrm xmlns:a="http://schemas.openxmlformats.org/drawingml/2006/main">
          <a:off x="63230" y="58738"/>
          <a:ext cx="148029"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0.20844</cdr:x>
      <cdr:y>0.00729</cdr:y>
    </cdr:from>
    <cdr:to>
      <cdr:x>0.23247</cdr:x>
      <cdr:y>0.0298</cdr:y>
    </cdr:to>
    <cdr:sp macro="" textlink="">
      <cdr:nvSpPr>
        <cdr:cNvPr id="11" name="正方形/長方形 10"/>
        <cdr:cNvSpPr/>
      </cdr:nvSpPr>
      <cdr:spPr>
        <a:xfrm xmlns:a="http://schemas.openxmlformats.org/drawingml/2006/main">
          <a:off x="1283459" y="52754"/>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0.4063</cdr:x>
      <cdr:y>0.0103</cdr:y>
    </cdr:from>
    <cdr:to>
      <cdr:x>0.43034</cdr:x>
      <cdr:y>0.03281</cdr:y>
    </cdr:to>
    <cdr:sp macro="" textlink="">
      <cdr:nvSpPr>
        <cdr:cNvPr id="12" name="正方形/長方形 11"/>
        <cdr:cNvSpPr/>
      </cdr:nvSpPr>
      <cdr:spPr>
        <a:xfrm xmlns:a="http://schemas.openxmlformats.org/drawingml/2006/main">
          <a:off x="2502372" y="78137"/>
          <a:ext cx="148059" cy="170683"/>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0.60148</cdr:x>
      <cdr:y>0.01091</cdr:y>
    </cdr:from>
    <cdr:to>
      <cdr:x>0.62552</cdr:x>
      <cdr:y>0.03342</cdr:y>
    </cdr:to>
    <cdr:sp macro="" textlink="">
      <cdr:nvSpPr>
        <cdr:cNvPr id="13" name="正方形/長方形 12"/>
        <cdr:cNvSpPr/>
      </cdr:nvSpPr>
      <cdr:spPr>
        <a:xfrm xmlns:a="http://schemas.openxmlformats.org/drawingml/2006/main">
          <a:off x="3704447" y="82743"/>
          <a:ext cx="148059" cy="17068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0.79891</cdr:x>
      <cdr:y>0.011</cdr:y>
    </cdr:from>
    <cdr:to>
      <cdr:x>0.82295</cdr:x>
      <cdr:y>0.03351</cdr:y>
    </cdr:to>
    <cdr:sp macro="" textlink="">
      <cdr:nvSpPr>
        <cdr:cNvPr id="14" name="正方形/長方形 13"/>
        <cdr:cNvSpPr/>
      </cdr:nvSpPr>
      <cdr:spPr>
        <a:xfrm xmlns:a="http://schemas.openxmlformats.org/drawingml/2006/main">
          <a:off x="4920392" y="83387"/>
          <a:ext cx="148059" cy="17068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0.0099</cdr:x>
      <cdr:y>0.04797</cdr:y>
    </cdr:from>
    <cdr:to>
      <cdr:x>0.03394</cdr:x>
      <cdr:y>0.07048</cdr:y>
    </cdr:to>
    <cdr:sp macro="" textlink="">
      <cdr:nvSpPr>
        <cdr:cNvPr id="15" name="正方形/長方形 14"/>
        <cdr:cNvSpPr/>
      </cdr:nvSpPr>
      <cdr:spPr>
        <a:xfrm xmlns:a="http://schemas.openxmlformats.org/drawingml/2006/main">
          <a:off x="60961" y="347168"/>
          <a:ext cx="148028" cy="162907"/>
        </a:xfrm>
        <a:prstGeom xmlns:a="http://schemas.openxmlformats.org/drawingml/2006/main" prst="rect">
          <a:avLst/>
        </a:prstGeom>
        <a:pattFill xmlns:a="http://schemas.openxmlformats.org/drawingml/2006/main" prst="ltUpDiag">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0.20837</cdr:x>
      <cdr:y>0.05034</cdr:y>
    </cdr:from>
    <cdr:to>
      <cdr:x>0.23241</cdr:x>
      <cdr:y>0.07285</cdr:y>
    </cdr:to>
    <cdr:sp macro="" textlink="">
      <cdr:nvSpPr>
        <cdr:cNvPr id="16" name="正方形/長方形 15"/>
        <cdr:cNvSpPr/>
      </cdr:nvSpPr>
      <cdr:spPr>
        <a:xfrm xmlns:a="http://schemas.openxmlformats.org/drawingml/2006/main">
          <a:off x="1283058" y="364305"/>
          <a:ext cx="148029" cy="16290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0.40464</cdr:x>
      <cdr:y>0.04986</cdr:y>
    </cdr:from>
    <cdr:to>
      <cdr:x>0.42868</cdr:x>
      <cdr:y>0.07236</cdr:y>
    </cdr:to>
    <cdr:sp macro="" textlink="">
      <cdr:nvSpPr>
        <cdr:cNvPr id="17" name="正方形/長方形 16"/>
        <cdr:cNvSpPr/>
      </cdr:nvSpPr>
      <cdr:spPr>
        <a:xfrm xmlns:a="http://schemas.openxmlformats.org/drawingml/2006/main">
          <a:off x="2491609" y="360846"/>
          <a:ext cx="148029" cy="162835"/>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0.60085</cdr:x>
      <cdr:y>0.04822</cdr:y>
    </cdr:from>
    <cdr:to>
      <cdr:x>0.6249</cdr:x>
      <cdr:y>0.07072</cdr:y>
    </cdr:to>
    <cdr:sp macro="" textlink="">
      <cdr:nvSpPr>
        <cdr:cNvPr id="18" name="正方形/長方形 17"/>
        <cdr:cNvSpPr/>
      </cdr:nvSpPr>
      <cdr:spPr>
        <a:xfrm xmlns:a="http://schemas.openxmlformats.org/drawingml/2006/main">
          <a:off x="3700554" y="365649"/>
          <a:ext cx="148121" cy="170607"/>
        </a:xfrm>
        <a:prstGeom xmlns:a="http://schemas.openxmlformats.org/drawingml/2006/main" prst="rect">
          <a:avLst/>
        </a:prstGeom>
        <a:pattFill xmlns:a="http://schemas.openxmlformats.org/drawingml/2006/main" prst="pct25">
          <a:fgClr>
            <a:schemeClr val="tx1"/>
          </a:fgClr>
          <a:bgClr>
            <a:srgbClr val="00B05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0.79986</cdr:x>
      <cdr:y>0.05013</cdr:y>
    </cdr:from>
    <cdr:to>
      <cdr:x>0.82391</cdr:x>
      <cdr:y>0.07263</cdr:y>
    </cdr:to>
    <cdr:sp macro="" textlink="">
      <cdr:nvSpPr>
        <cdr:cNvPr id="19" name="正方形/長方形 18"/>
        <cdr:cNvSpPr/>
      </cdr:nvSpPr>
      <cdr:spPr>
        <a:xfrm xmlns:a="http://schemas.openxmlformats.org/drawingml/2006/main">
          <a:off x="4926242" y="380075"/>
          <a:ext cx="148121" cy="170607"/>
        </a:xfrm>
        <a:prstGeom xmlns:a="http://schemas.openxmlformats.org/drawingml/2006/main" prst="rect">
          <a:avLst/>
        </a:prstGeom>
        <a:pattFill xmlns:a="http://schemas.openxmlformats.org/drawingml/2006/main" prst="wdUpDiag">
          <a:fgClr>
            <a:schemeClr val="tx1"/>
          </a:fgClr>
          <a:bgClr>
            <a:srgbClr val="00B0F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2.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73.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4.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75.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6.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77.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8.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79.xml><?xml version="1.0" encoding="utf-8"?>
<c:userShapes xmlns:c="http://schemas.openxmlformats.org/drawingml/2006/chart">
  <cdr:relSizeAnchor xmlns:cdr="http://schemas.openxmlformats.org/drawingml/2006/chartDrawing">
    <cdr:from>
      <cdr:x>0.81926</cdr:x>
      <cdr:y>0.65563</cdr:y>
    </cdr:from>
    <cdr:to>
      <cdr:x>0.83996</cdr:x>
      <cdr:y>0.67228</cdr:y>
    </cdr:to>
    <cdr:sp macro="" textlink="">
      <cdr:nvSpPr>
        <cdr:cNvPr id="2" name="正方形/長方形 1"/>
        <cdr:cNvSpPr/>
      </cdr:nvSpPr>
      <cdr:spPr>
        <a:xfrm xmlns:a="http://schemas.openxmlformats.org/drawingml/2006/main">
          <a:off x="4885462" y="5079132"/>
          <a:ext cx="123440" cy="128988"/>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0.69046</cdr:y>
    </cdr:from>
    <cdr:to>
      <cdr:x>0.83974</cdr:x>
      <cdr:y>0.70712</cdr:y>
    </cdr:to>
    <cdr:sp macro="" textlink="">
      <cdr:nvSpPr>
        <cdr:cNvPr id="3" name="正方形/長方形 2"/>
        <cdr:cNvSpPr/>
      </cdr:nvSpPr>
      <cdr:spPr>
        <a:xfrm xmlns:a="http://schemas.openxmlformats.org/drawingml/2006/main">
          <a:off x="4884169" y="5348957"/>
          <a:ext cx="123440" cy="129065"/>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0.81855</cdr:x>
      <cdr:y>0.72428</cdr:y>
    </cdr:from>
    <cdr:to>
      <cdr:x>0.83925</cdr:x>
      <cdr:y>0.74093</cdr:y>
    </cdr:to>
    <cdr:sp macro="" textlink="">
      <cdr:nvSpPr>
        <cdr:cNvPr id="4" name="正方形/長方形 3"/>
        <cdr:cNvSpPr/>
      </cdr:nvSpPr>
      <cdr:spPr>
        <a:xfrm xmlns:a="http://schemas.openxmlformats.org/drawingml/2006/main">
          <a:off x="4881228" y="5610997"/>
          <a:ext cx="123440" cy="12898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0.75797</cdr:y>
    </cdr:from>
    <cdr:to>
      <cdr:x>0.84087</cdr:x>
      <cdr:y>0.77462</cdr:y>
    </cdr:to>
    <cdr:sp macro="" textlink="">
      <cdr:nvSpPr>
        <cdr:cNvPr id="5" name="正方形/長方形 4"/>
        <cdr:cNvSpPr/>
      </cdr:nvSpPr>
      <cdr:spPr>
        <a:xfrm xmlns:a="http://schemas.openxmlformats.org/drawingml/2006/main">
          <a:off x="4890907" y="5871997"/>
          <a:ext cx="123440" cy="12898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0.8187</cdr:x>
      <cdr:y>0.78971</cdr:y>
    </cdr:from>
    <cdr:to>
      <cdr:x>0.8394</cdr:x>
      <cdr:y>0.80637</cdr:y>
    </cdr:to>
    <cdr:sp macro="" textlink="">
      <cdr:nvSpPr>
        <cdr:cNvPr id="6" name="正方形/長方形 5"/>
        <cdr:cNvSpPr/>
      </cdr:nvSpPr>
      <cdr:spPr>
        <a:xfrm xmlns:a="http://schemas.openxmlformats.org/drawingml/2006/main">
          <a:off x="4882115" y="6117848"/>
          <a:ext cx="123440" cy="129065"/>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0.82009</cdr:x>
      <cdr:y>0.8284</cdr:y>
    </cdr:from>
    <cdr:to>
      <cdr:x>0.84079</cdr:x>
      <cdr:y>0.84505</cdr:y>
    </cdr:to>
    <cdr:sp macro="" textlink="">
      <cdr:nvSpPr>
        <cdr:cNvPr id="7" name="正方形/長方形 6"/>
        <cdr:cNvSpPr/>
      </cdr:nvSpPr>
      <cdr:spPr>
        <a:xfrm xmlns:a="http://schemas.openxmlformats.org/drawingml/2006/main">
          <a:off x="4890419" y="6417642"/>
          <a:ext cx="123440" cy="128988"/>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0.81981</cdr:x>
      <cdr:y>0.85962</cdr:y>
    </cdr:from>
    <cdr:to>
      <cdr:x>0.8405</cdr:x>
      <cdr:y>0.87627</cdr:y>
    </cdr:to>
    <cdr:sp macro="" textlink="">
      <cdr:nvSpPr>
        <cdr:cNvPr id="8" name="正方形/長方形 7"/>
        <cdr:cNvSpPr/>
      </cdr:nvSpPr>
      <cdr:spPr>
        <a:xfrm xmlns:a="http://schemas.openxmlformats.org/drawingml/2006/main">
          <a:off x="4888775" y="6659504"/>
          <a:ext cx="123381" cy="128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0.86332</cdr:x>
      <cdr:y>0.86618</cdr:y>
    </cdr:from>
    <cdr:to>
      <cdr:x>0.88396</cdr:x>
      <cdr:y>0.88268</cdr:y>
    </cdr:to>
    <cdr:sp macro="" textlink="">
      <cdr:nvSpPr>
        <cdr:cNvPr id="2" name="正方形/長方形 1"/>
        <cdr:cNvSpPr/>
      </cdr:nvSpPr>
      <cdr:spPr>
        <a:xfrm xmlns:a="http://schemas.openxmlformats.org/drawingml/2006/main">
          <a:off x="5161361" y="6771386"/>
          <a:ext cx="123396" cy="128989"/>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0.86243</cdr:x>
      <cdr:y>0.9265</cdr:y>
    </cdr:from>
    <cdr:to>
      <cdr:x>0.88307</cdr:x>
      <cdr:y>0.943</cdr:y>
    </cdr:to>
    <cdr:sp macro="" textlink="">
      <cdr:nvSpPr>
        <cdr:cNvPr id="3" name="正方形/長方形 2"/>
        <cdr:cNvSpPr/>
      </cdr:nvSpPr>
      <cdr:spPr>
        <a:xfrm xmlns:a="http://schemas.openxmlformats.org/drawingml/2006/main">
          <a:off x="5156043" y="7242896"/>
          <a:ext cx="123416" cy="129026"/>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0.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81.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2.xml><?xml version="1.0" encoding="utf-8"?>
<c:userShapes xmlns:c="http://schemas.openxmlformats.org/drawingml/2006/chart">
  <cdr:relSizeAnchor xmlns:cdr="http://schemas.openxmlformats.org/drawingml/2006/chartDrawing">
    <cdr:from>
      <cdr:x>0.0821</cdr:x>
      <cdr:y>0.16573</cdr:y>
    </cdr:from>
    <cdr:to>
      <cdr:x>0.24075</cdr:x>
      <cdr:y>0.20742</cdr:y>
    </cdr:to>
    <cdr:sp macro="" textlink="">
      <cdr:nvSpPr>
        <cdr:cNvPr id="5" name="正方形/長方形 4"/>
        <cdr:cNvSpPr/>
      </cdr:nvSpPr>
      <cdr:spPr>
        <a:xfrm xmlns:a="http://schemas.openxmlformats.org/drawingml/2006/main">
          <a:off x="487970" y="819260"/>
          <a:ext cx="942952" cy="206135"/>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0.05974</cdr:x>
      <cdr:y>0.24763</cdr:y>
    </cdr:from>
    <cdr:to>
      <cdr:x>0.06743</cdr:x>
      <cdr:y>0.36821</cdr:y>
    </cdr:to>
    <cdr:sp macro="" textlink="">
      <cdr:nvSpPr>
        <cdr:cNvPr id="6" name="左大かっこ 5"/>
        <cdr:cNvSpPr/>
      </cdr:nvSpPr>
      <cdr:spPr>
        <a:xfrm xmlns:a="http://schemas.openxmlformats.org/drawingml/2006/main">
          <a:off x="355080" y="1224153"/>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0.39393</cdr:y>
    </cdr:from>
    <cdr:to>
      <cdr:x>0.07249</cdr:x>
      <cdr:y>0.95331</cdr:y>
    </cdr:to>
    <cdr:sp macro="" textlink="">
      <cdr:nvSpPr>
        <cdr:cNvPr id="7" name="左大かっこ 6"/>
        <cdr:cNvSpPr/>
      </cdr:nvSpPr>
      <cdr:spPr>
        <a:xfrm xmlns:a="http://schemas.openxmlformats.org/drawingml/2006/main">
          <a:off x="371476" y="1947383"/>
          <a:ext cx="59348" cy="276529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0.20105</cdr:x>
      <cdr:y>0.0388</cdr:y>
    </cdr:from>
    <cdr:to>
      <cdr:x>0.22509</cdr:x>
      <cdr:y>0.0613</cdr:y>
    </cdr:to>
    <cdr:sp macro="" textlink="">
      <cdr:nvSpPr>
        <cdr:cNvPr id="10" name="正方形/長方形 9"/>
        <cdr:cNvSpPr/>
      </cdr:nvSpPr>
      <cdr:spPr>
        <a:xfrm xmlns:a="http://schemas.openxmlformats.org/drawingml/2006/main">
          <a:off x="1194960" y="191799"/>
          <a:ext cx="142884" cy="111229"/>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0.45174</cdr:x>
      <cdr:y>0.03663</cdr:y>
    </cdr:from>
    <cdr:to>
      <cdr:x>0.47577</cdr:x>
      <cdr:y>0.05914</cdr:y>
    </cdr:to>
    <cdr:sp macro="" textlink="">
      <cdr:nvSpPr>
        <cdr:cNvPr id="11" name="正方形/長方形 10"/>
        <cdr:cNvSpPr/>
      </cdr:nvSpPr>
      <cdr:spPr>
        <a:xfrm xmlns:a="http://schemas.openxmlformats.org/drawingml/2006/main">
          <a:off x="2684962" y="181079"/>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0.72265</cdr:x>
      <cdr:y>0.03451</cdr:y>
    </cdr:from>
    <cdr:to>
      <cdr:x>0.74669</cdr:x>
      <cdr:y>0.05702</cdr:y>
    </cdr:to>
    <cdr:sp macro="" textlink="">
      <cdr:nvSpPr>
        <cdr:cNvPr id="12" name="正方形/長方形 11"/>
        <cdr:cNvSpPr/>
      </cdr:nvSpPr>
      <cdr:spPr>
        <a:xfrm xmlns:a="http://schemas.openxmlformats.org/drawingml/2006/main">
          <a:off x="4295114" y="214939"/>
          <a:ext cx="142884" cy="140194"/>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3.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0.06793</cdr:x>
      <cdr:y>0.64855</cdr:y>
    </cdr:to>
    <cdr:sp macro="" textlink="">
      <cdr:nvSpPr>
        <cdr:cNvPr id="6" name="左大かっこ 5"/>
        <cdr:cNvSpPr/>
      </cdr:nvSpPr>
      <cdr:spPr>
        <a:xfrm xmlns:a="http://schemas.openxmlformats.org/drawingml/2006/main">
          <a:off x="363483" y="1169371"/>
          <a:ext cx="54806" cy="352422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0.66064</cdr:y>
    </cdr:from>
    <cdr:to>
      <cdr:x>0.06951</cdr:x>
      <cdr:y>0.98213</cdr:y>
    </cdr:to>
    <cdr:sp macro="" textlink="">
      <cdr:nvSpPr>
        <cdr:cNvPr id="7" name="左大かっこ 6"/>
        <cdr:cNvSpPr/>
      </cdr:nvSpPr>
      <cdr:spPr>
        <a:xfrm xmlns:a="http://schemas.openxmlformats.org/drawingml/2006/main">
          <a:off x="365084" y="4781145"/>
          <a:ext cx="62933" cy="232662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0.20746</cdr:x>
      <cdr:y>0.02722</cdr:y>
    </cdr:from>
    <cdr:to>
      <cdr:x>0.2315</cdr:x>
      <cdr:y>0.04972</cdr:y>
    </cdr:to>
    <cdr:sp macro="" textlink="">
      <cdr:nvSpPr>
        <cdr:cNvPr id="10" name="正方形/長方形 9"/>
        <cdr:cNvSpPr/>
      </cdr:nvSpPr>
      <cdr:spPr>
        <a:xfrm xmlns:a="http://schemas.openxmlformats.org/drawingml/2006/main">
          <a:off x="1277474" y="196981"/>
          <a:ext cx="148028"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0.45782</cdr:x>
      <cdr:y>0.02572</cdr:y>
    </cdr:from>
    <cdr:to>
      <cdr:x>0.48185</cdr:x>
      <cdr:y>0.04823</cdr:y>
    </cdr:to>
    <cdr:sp macro="" textlink="">
      <cdr:nvSpPr>
        <cdr:cNvPr id="11" name="正方形/長方形 10"/>
        <cdr:cNvSpPr/>
      </cdr:nvSpPr>
      <cdr:spPr>
        <a:xfrm xmlns:a="http://schemas.openxmlformats.org/drawingml/2006/main">
          <a:off x="2819056" y="186138"/>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0.72301</cdr:x>
      <cdr:y>0.02564</cdr:y>
    </cdr:from>
    <cdr:to>
      <cdr:x>0.74705</cdr:x>
      <cdr:y>0.04815</cdr:y>
    </cdr:to>
    <cdr:sp macro="" textlink="">
      <cdr:nvSpPr>
        <cdr:cNvPr id="12" name="正方形/長方形 11"/>
        <cdr:cNvSpPr/>
      </cdr:nvSpPr>
      <cdr:spPr>
        <a:xfrm xmlns:a="http://schemas.openxmlformats.org/drawingml/2006/main">
          <a:off x="4452927" y="195032"/>
          <a:ext cx="148059" cy="17125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4.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85.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6.xml><?xml version="1.0" encoding="utf-8"?>
<c:userShapes xmlns:c="http://schemas.openxmlformats.org/drawingml/2006/chart">
  <cdr:relSizeAnchor xmlns:cdr="http://schemas.openxmlformats.org/drawingml/2006/chartDrawing">
    <cdr:from>
      <cdr:x>0.08287</cdr:x>
      <cdr:y>0.25982</cdr:y>
    </cdr:from>
    <cdr:to>
      <cdr:x>0.24152</cdr:x>
      <cdr:y>0.30151</cdr:y>
    </cdr:to>
    <cdr:sp macro="" textlink="">
      <cdr:nvSpPr>
        <cdr:cNvPr id="5" name="正方形/長方形 4"/>
        <cdr:cNvSpPr/>
      </cdr:nvSpPr>
      <cdr:spPr>
        <a:xfrm xmlns:a="http://schemas.openxmlformats.org/drawingml/2006/main">
          <a:off x="492540" y="1284414"/>
          <a:ext cx="942953" cy="20609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0.06418</cdr:x>
      <cdr:y>0.32055</cdr:y>
    </cdr:from>
    <cdr:to>
      <cdr:x>0.07187</cdr:x>
      <cdr:y>0.44113</cdr:y>
    </cdr:to>
    <cdr:sp macro="" textlink="">
      <cdr:nvSpPr>
        <cdr:cNvPr id="6" name="左大かっこ 5"/>
        <cdr:cNvSpPr/>
      </cdr:nvSpPr>
      <cdr:spPr>
        <a:xfrm xmlns:a="http://schemas.openxmlformats.org/drawingml/2006/main">
          <a:off x="381457" y="1584637"/>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0.0625</cdr:x>
      <cdr:y>0.46776</cdr:y>
    </cdr:from>
    <cdr:to>
      <cdr:x>0.07396</cdr:x>
      <cdr:y>0.95247</cdr:y>
    </cdr:to>
    <cdr:sp macro="" textlink="">
      <cdr:nvSpPr>
        <cdr:cNvPr id="7" name="左大かっこ 6"/>
        <cdr:cNvSpPr/>
      </cdr:nvSpPr>
      <cdr:spPr>
        <a:xfrm xmlns:a="http://schemas.openxmlformats.org/drawingml/2006/main">
          <a:off x="371476" y="2312377"/>
          <a:ext cx="68140" cy="239613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0.33855</cdr:y>
    </cdr:from>
    <cdr:to>
      <cdr:x>0.0625</cdr:x>
      <cdr:y>0.44305</cdr:y>
    </cdr:to>
    <cdr:sp macro="" textlink="">
      <cdr:nvSpPr>
        <cdr:cNvPr id="8" name="テキスト ボックス 7"/>
        <cdr:cNvSpPr txBox="1"/>
      </cdr:nvSpPr>
      <cdr:spPr>
        <a:xfrm xmlns:a="http://schemas.openxmlformats.org/drawingml/2006/main">
          <a:off x="0" y="1673591"/>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0.00623</cdr:x>
      <cdr:y>0.01745</cdr:y>
    </cdr:from>
    <cdr:to>
      <cdr:x>0.03027</cdr:x>
      <cdr:y>0.03466</cdr:y>
    </cdr:to>
    <cdr:sp macro="" textlink="">
      <cdr:nvSpPr>
        <cdr:cNvPr id="10" name="正方形/長方形 9"/>
        <cdr:cNvSpPr/>
      </cdr:nvSpPr>
      <cdr:spPr>
        <a:xfrm xmlns:a="http://schemas.openxmlformats.org/drawingml/2006/main">
          <a:off x="37009" y="101161"/>
          <a:ext cx="142884" cy="9976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0.5004</cdr:x>
      <cdr:y>0.01449</cdr:y>
    </cdr:from>
    <cdr:to>
      <cdr:x>0.52443</cdr:x>
      <cdr:y>0.037</cdr:y>
    </cdr:to>
    <cdr:sp macro="" textlink="">
      <cdr:nvSpPr>
        <cdr:cNvPr id="11" name="正方形/長方形 10"/>
        <cdr:cNvSpPr/>
      </cdr:nvSpPr>
      <cdr:spPr>
        <a:xfrm xmlns:a="http://schemas.openxmlformats.org/drawingml/2006/main">
          <a:off x="2974197" y="71651"/>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0.00705</cdr:x>
      <cdr:y>0.06012</cdr:y>
    </cdr:from>
    <cdr:to>
      <cdr:x>0.03109</cdr:x>
      <cdr:y>0.08263</cdr:y>
    </cdr:to>
    <cdr:sp macro="" textlink="">
      <cdr:nvSpPr>
        <cdr:cNvPr id="12" name="正方形/長方形 11"/>
        <cdr:cNvSpPr/>
      </cdr:nvSpPr>
      <cdr:spPr>
        <a:xfrm xmlns:a="http://schemas.openxmlformats.org/drawingml/2006/main">
          <a:off x="41883" y="348515"/>
          <a:ext cx="142884" cy="130489"/>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0.50118</cdr:x>
      <cdr:y>0.06049</cdr:y>
    </cdr:from>
    <cdr:to>
      <cdr:x>0.52522</cdr:x>
      <cdr:y>0.083</cdr:y>
    </cdr:to>
    <cdr:sp macro="" textlink="">
      <cdr:nvSpPr>
        <cdr:cNvPr id="13" name="正方形/長方形 12"/>
        <cdr:cNvSpPr/>
      </cdr:nvSpPr>
      <cdr:spPr>
        <a:xfrm xmlns:a="http://schemas.openxmlformats.org/drawingml/2006/main">
          <a:off x="2978814" y="299019"/>
          <a:ext cx="142884" cy="1112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0.00534</cdr:x>
      <cdr:y>0.1079</cdr:y>
    </cdr:from>
    <cdr:to>
      <cdr:x>0.02938</cdr:x>
      <cdr:y>0.13041</cdr:y>
    </cdr:to>
    <cdr:sp macro="" textlink="">
      <cdr:nvSpPr>
        <cdr:cNvPr id="14" name="正方形/長方形 13"/>
        <cdr:cNvSpPr/>
      </cdr:nvSpPr>
      <cdr:spPr>
        <a:xfrm xmlns:a="http://schemas.openxmlformats.org/drawingml/2006/main">
          <a:off x="31749" y="533397"/>
          <a:ext cx="142884" cy="111278"/>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0.00499</cdr:x>
      <cdr:y>0.14608</cdr:y>
    </cdr:from>
    <cdr:to>
      <cdr:x>0.02903</cdr:x>
      <cdr:y>0.16859</cdr:y>
    </cdr:to>
    <cdr:sp macro="" textlink="">
      <cdr:nvSpPr>
        <cdr:cNvPr id="15" name="正方形/長方形 14"/>
        <cdr:cNvSpPr/>
      </cdr:nvSpPr>
      <cdr:spPr>
        <a:xfrm xmlns:a="http://schemas.openxmlformats.org/drawingml/2006/main">
          <a:off x="29679" y="722146"/>
          <a:ext cx="142884" cy="11127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0.50167</cdr:x>
      <cdr:y>0.10357</cdr:y>
    </cdr:from>
    <cdr:to>
      <cdr:x>0.52571</cdr:x>
      <cdr:y>0.12608</cdr:y>
    </cdr:to>
    <cdr:sp macro="" textlink="">
      <cdr:nvSpPr>
        <cdr:cNvPr id="16" name="正方形/長方形 15"/>
        <cdr:cNvSpPr/>
      </cdr:nvSpPr>
      <cdr:spPr>
        <a:xfrm xmlns:a="http://schemas.openxmlformats.org/drawingml/2006/main">
          <a:off x="2981717" y="511996"/>
          <a:ext cx="142884" cy="11127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0.50139</cdr:x>
      <cdr:y>0.14971</cdr:y>
    </cdr:from>
    <cdr:to>
      <cdr:x>0.52543</cdr:x>
      <cdr:y>0.17222</cdr:y>
    </cdr:to>
    <cdr:sp macro="" textlink="">
      <cdr:nvSpPr>
        <cdr:cNvPr id="17" name="正方形/長方形 16"/>
        <cdr:cNvSpPr/>
      </cdr:nvSpPr>
      <cdr:spPr>
        <a:xfrm xmlns:a="http://schemas.openxmlformats.org/drawingml/2006/main">
          <a:off x="2980048" y="740083"/>
          <a:ext cx="142884" cy="111278"/>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7.xml><?xml version="1.0" encoding="utf-8"?>
<c:userShapes xmlns:c="http://schemas.openxmlformats.org/drawingml/2006/chart">
  <cdr:relSizeAnchor xmlns:cdr="http://schemas.openxmlformats.org/drawingml/2006/chartDrawing">
    <cdr:from>
      <cdr:x>0.11197</cdr:x>
      <cdr:y>0.17527</cdr:y>
    </cdr:from>
    <cdr:to>
      <cdr:x>0.26524</cdr:x>
      <cdr:y>0.20523</cdr:y>
    </cdr:to>
    <cdr:sp macro="" textlink="">
      <cdr:nvSpPr>
        <cdr:cNvPr id="5" name="正方形/長方形 4"/>
        <cdr:cNvSpPr/>
      </cdr:nvSpPr>
      <cdr:spPr>
        <a:xfrm xmlns:a="http://schemas.openxmlformats.org/drawingml/2006/main">
          <a:off x="689466" y="1268446"/>
          <a:ext cx="943768" cy="21679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0.21504</cdr:y>
    </cdr:from>
    <cdr:to>
      <cdr:x>0.06997</cdr:x>
      <cdr:y>0.67588</cdr:y>
    </cdr:to>
    <cdr:sp macro="" textlink="">
      <cdr:nvSpPr>
        <cdr:cNvPr id="6" name="左大かっこ 5"/>
        <cdr:cNvSpPr/>
      </cdr:nvSpPr>
      <cdr:spPr>
        <a:xfrm xmlns:a="http://schemas.openxmlformats.org/drawingml/2006/main">
          <a:off x="363483" y="1556238"/>
          <a:ext cx="67340" cy="333515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0.6852</cdr:y>
    </cdr:from>
    <cdr:to>
      <cdr:x>0.06854</cdr:x>
      <cdr:y>0.98213</cdr:y>
    </cdr:to>
    <cdr:sp macro="" textlink="">
      <cdr:nvSpPr>
        <cdr:cNvPr id="7" name="左大かっこ 6"/>
        <cdr:cNvSpPr/>
      </cdr:nvSpPr>
      <cdr:spPr>
        <a:xfrm xmlns:a="http://schemas.openxmlformats.org/drawingml/2006/main">
          <a:off x="365084" y="4958862"/>
          <a:ext cx="56947" cy="214890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0.04226</cdr:x>
      <cdr:y>0.00728</cdr:y>
    </cdr:from>
    <cdr:to>
      <cdr:x>0.0663</cdr:x>
      <cdr:y>0.02978</cdr:y>
    </cdr:to>
    <cdr:sp macro="" textlink="">
      <cdr:nvSpPr>
        <cdr:cNvPr id="10" name="正方形/長方形 9"/>
        <cdr:cNvSpPr/>
      </cdr:nvSpPr>
      <cdr:spPr>
        <a:xfrm xmlns:a="http://schemas.openxmlformats.org/drawingml/2006/main">
          <a:off x="260210" y="52681"/>
          <a:ext cx="148029"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0.53389</cdr:x>
      <cdr:y>0.00683</cdr:y>
    </cdr:from>
    <cdr:to>
      <cdr:x>0.55792</cdr:x>
      <cdr:y>0.02934</cdr:y>
    </cdr:to>
    <cdr:sp macro="" textlink="">
      <cdr:nvSpPr>
        <cdr:cNvPr id="11" name="正方形/長方形 10"/>
        <cdr:cNvSpPr/>
      </cdr:nvSpPr>
      <cdr:spPr>
        <a:xfrm xmlns:a="http://schemas.openxmlformats.org/drawingml/2006/main">
          <a:off x="3287481" y="49414"/>
          <a:ext cx="147967" cy="162907"/>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0.04222</cdr:x>
      <cdr:y>0.0389</cdr:y>
    </cdr:from>
    <cdr:to>
      <cdr:x>0.06626</cdr:x>
      <cdr:y>0.06141</cdr:y>
    </cdr:to>
    <cdr:sp macro="" textlink="">
      <cdr:nvSpPr>
        <cdr:cNvPr id="12" name="正方形/長方形 11"/>
        <cdr:cNvSpPr/>
      </cdr:nvSpPr>
      <cdr:spPr>
        <a:xfrm xmlns:a="http://schemas.openxmlformats.org/drawingml/2006/main">
          <a:off x="259971" y="281523"/>
          <a:ext cx="148029"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0.53501</cdr:x>
      <cdr:y>0.03985</cdr:y>
    </cdr:from>
    <cdr:to>
      <cdr:x>0.55905</cdr:x>
      <cdr:y>0.06236</cdr:y>
    </cdr:to>
    <cdr:sp macro="" textlink="">
      <cdr:nvSpPr>
        <cdr:cNvPr id="13" name="正方形/長方形 12"/>
        <cdr:cNvSpPr/>
      </cdr:nvSpPr>
      <cdr:spPr>
        <a:xfrm xmlns:a="http://schemas.openxmlformats.org/drawingml/2006/main">
          <a:off x="3294364" y="288387"/>
          <a:ext cx="148028"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0.04348</cdr:x>
      <cdr:y>0.07253</cdr:y>
    </cdr:from>
    <cdr:to>
      <cdr:x>0.06752</cdr:x>
      <cdr:y>0.09504</cdr:y>
    </cdr:to>
    <cdr:sp macro="" textlink="">
      <cdr:nvSpPr>
        <cdr:cNvPr id="14" name="正方形/長方形 13"/>
        <cdr:cNvSpPr/>
      </cdr:nvSpPr>
      <cdr:spPr>
        <a:xfrm xmlns:a="http://schemas.openxmlformats.org/drawingml/2006/main">
          <a:off x="267730" y="524877"/>
          <a:ext cx="148028" cy="16290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0.53358</cdr:x>
      <cdr:y>0.07022</cdr:y>
    </cdr:from>
    <cdr:to>
      <cdr:x>0.55762</cdr:x>
      <cdr:y>0.09273</cdr:y>
    </cdr:to>
    <cdr:sp macro="" textlink="">
      <cdr:nvSpPr>
        <cdr:cNvPr id="15" name="正方形/長方形 14"/>
        <cdr:cNvSpPr/>
      </cdr:nvSpPr>
      <cdr:spPr>
        <a:xfrm xmlns:a="http://schemas.openxmlformats.org/drawingml/2006/main">
          <a:off x="3285572" y="508196"/>
          <a:ext cx="148028" cy="16290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0.04348</cdr:x>
      <cdr:y>0.10504</cdr:y>
    </cdr:from>
    <cdr:to>
      <cdr:x>0.06752</cdr:x>
      <cdr:y>0.12755</cdr:y>
    </cdr:to>
    <cdr:sp macro="" textlink="">
      <cdr:nvSpPr>
        <cdr:cNvPr id="16" name="正方形/長方形 15"/>
        <cdr:cNvSpPr/>
      </cdr:nvSpPr>
      <cdr:spPr>
        <a:xfrm xmlns:a="http://schemas.openxmlformats.org/drawingml/2006/main">
          <a:off x="267729" y="760158"/>
          <a:ext cx="148028" cy="16290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0.53358</cdr:x>
      <cdr:y>0.10302</cdr:y>
    </cdr:from>
    <cdr:to>
      <cdr:x>0.55762</cdr:x>
      <cdr:y>0.12553</cdr:y>
    </cdr:to>
    <cdr:sp macro="" textlink="">
      <cdr:nvSpPr>
        <cdr:cNvPr id="17" name="正方形/長方形 16"/>
        <cdr:cNvSpPr/>
      </cdr:nvSpPr>
      <cdr:spPr>
        <a:xfrm xmlns:a="http://schemas.openxmlformats.org/drawingml/2006/main">
          <a:off x="3285572" y="745587"/>
          <a:ext cx="148028" cy="162907"/>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8.xml><?xml version="1.0" encoding="utf-8"?>
<c:userShapes xmlns:c="http://schemas.openxmlformats.org/drawingml/2006/chart">
  <cdr:relSizeAnchor xmlns:cdr="http://schemas.openxmlformats.org/drawingml/2006/chartDrawing">
    <cdr:from>
      <cdr:x>0.08062</cdr:x>
      <cdr:y>0.26406</cdr:y>
    </cdr:from>
    <cdr:to>
      <cdr:x>0.23927</cdr:x>
      <cdr:y>0.30258</cdr:y>
    </cdr:to>
    <cdr:sp macro="" textlink="">
      <cdr:nvSpPr>
        <cdr:cNvPr id="5" name="正方形/長方形 4"/>
        <cdr:cNvSpPr/>
      </cdr:nvSpPr>
      <cdr:spPr>
        <a:xfrm xmlns:a="http://schemas.openxmlformats.org/drawingml/2006/main">
          <a:off x="479173" y="1305374"/>
          <a:ext cx="942952" cy="19043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0.06418</cdr:x>
      <cdr:y>0.32411</cdr:y>
    </cdr:from>
    <cdr:to>
      <cdr:x>0.07187</cdr:x>
      <cdr:y>0.44469</cdr:y>
    </cdr:to>
    <cdr:sp macro="" textlink="">
      <cdr:nvSpPr>
        <cdr:cNvPr id="6" name="左大かっこ 5"/>
        <cdr:cNvSpPr/>
      </cdr:nvSpPr>
      <cdr:spPr>
        <a:xfrm xmlns:a="http://schemas.openxmlformats.org/drawingml/2006/main">
          <a:off x="381456" y="1602222"/>
          <a:ext cx="45706" cy="59608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0.06102</cdr:x>
      <cdr:y>0.46954</cdr:y>
    </cdr:from>
    <cdr:to>
      <cdr:x>0.07396</cdr:x>
      <cdr:y>0.95247</cdr:y>
    </cdr:to>
    <cdr:sp macro="" textlink="">
      <cdr:nvSpPr>
        <cdr:cNvPr id="7" name="左大かっこ 6"/>
        <cdr:cNvSpPr/>
      </cdr:nvSpPr>
      <cdr:spPr>
        <a:xfrm xmlns:a="http://schemas.openxmlformats.org/drawingml/2006/main">
          <a:off x="362684" y="2321170"/>
          <a:ext cx="76931" cy="238734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0.33855</cdr:y>
    </cdr:from>
    <cdr:to>
      <cdr:x>0.0625</cdr:x>
      <cdr:y>0.44305</cdr:y>
    </cdr:to>
    <cdr:sp macro="" textlink="">
      <cdr:nvSpPr>
        <cdr:cNvPr id="8" name="テキスト ボックス 7"/>
        <cdr:cNvSpPr txBox="1"/>
      </cdr:nvSpPr>
      <cdr:spPr>
        <a:xfrm xmlns:a="http://schemas.openxmlformats.org/drawingml/2006/main">
          <a:off x="0" y="1673591"/>
          <a:ext cx="371475" cy="51659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0.1504</cdr:x>
      <cdr:y>0.00697</cdr:y>
    </cdr:from>
    <cdr:to>
      <cdr:x>0.17444</cdr:x>
      <cdr:y>0.02947</cdr:y>
    </cdr:to>
    <cdr:sp macro="" textlink="">
      <cdr:nvSpPr>
        <cdr:cNvPr id="10" name="正方形/長方形 9"/>
        <cdr:cNvSpPr/>
      </cdr:nvSpPr>
      <cdr:spPr>
        <a:xfrm xmlns:a="http://schemas.openxmlformats.org/drawingml/2006/main">
          <a:off x="893909" y="34453"/>
          <a:ext cx="142884" cy="111228"/>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0.15027</cdr:x>
      <cdr:y>0.03699</cdr:y>
    </cdr:from>
    <cdr:to>
      <cdr:x>0.1743</cdr:x>
      <cdr:y>0.0595</cdr:y>
    </cdr:to>
    <cdr:sp macro="" textlink="">
      <cdr:nvSpPr>
        <cdr:cNvPr id="11" name="正方形/長方形 10"/>
        <cdr:cNvSpPr/>
      </cdr:nvSpPr>
      <cdr:spPr>
        <a:xfrm xmlns:a="http://schemas.openxmlformats.org/drawingml/2006/main">
          <a:off x="893136" y="182851"/>
          <a:ext cx="142825" cy="11127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0.15111</cdr:x>
      <cdr:y>0.06995</cdr:y>
    </cdr:from>
    <cdr:to>
      <cdr:x>0.17515</cdr:x>
      <cdr:y>0.09246</cdr:y>
    </cdr:to>
    <cdr:sp macro="" textlink="">
      <cdr:nvSpPr>
        <cdr:cNvPr id="12" name="正方形/長方形 11"/>
        <cdr:cNvSpPr/>
      </cdr:nvSpPr>
      <cdr:spPr>
        <a:xfrm xmlns:a="http://schemas.openxmlformats.org/drawingml/2006/main">
          <a:off x="898124" y="345788"/>
          <a:ext cx="142884" cy="111278"/>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0.15121</cdr:x>
      <cdr:y>0.09961</cdr:y>
    </cdr:from>
    <cdr:to>
      <cdr:x>0.17525</cdr:x>
      <cdr:y>0.12212</cdr:y>
    </cdr:to>
    <cdr:sp macro="" textlink="">
      <cdr:nvSpPr>
        <cdr:cNvPr id="13" name="正方形/長方形 12"/>
        <cdr:cNvSpPr/>
      </cdr:nvSpPr>
      <cdr:spPr>
        <a:xfrm xmlns:a="http://schemas.openxmlformats.org/drawingml/2006/main">
          <a:off x="898723" y="536138"/>
          <a:ext cx="142884" cy="12115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0.15137</cdr:x>
      <cdr:y>0.13064</cdr:y>
    </cdr:from>
    <cdr:to>
      <cdr:x>0.17541</cdr:x>
      <cdr:y>0.15315</cdr:y>
    </cdr:to>
    <cdr:sp macro="" textlink="">
      <cdr:nvSpPr>
        <cdr:cNvPr id="14" name="正方形/長方形 13"/>
        <cdr:cNvSpPr/>
      </cdr:nvSpPr>
      <cdr:spPr>
        <a:xfrm xmlns:a="http://schemas.openxmlformats.org/drawingml/2006/main">
          <a:off x="899674" y="703149"/>
          <a:ext cx="142884" cy="121155"/>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0.15161</cdr:x>
      <cdr:y>0.16108</cdr:y>
    </cdr:from>
    <cdr:to>
      <cdr:x>0.17565</cdr:x>
      <cdr:y>0.18359</cdr:y>
    </cdr:to>
    <cdr:sp macro="" textlink="">
      <cdr:nvSpPr>
        <cdr:cNvPr id="15" name="正方形/長方形 14"/>
        <cdr:cNvSpPr/>
      </cdr:nvSpPr>
      <cdr:spPr>
        <a:xfrm xmlns:a="http://schemas.openxmlformats.org/drawingml/2006/main">
          <a:off x="901104" y="866963"/>
          <a:ext cx="142885" cy="121155"/>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9.xml><?xml version="1.0" encoding="utf-8"?>
<c:userShapes xmlns:c="http://schemas.openxmlformats.org/drawingml/2006/chart">
  <cdr:relSizeAnchor xmlns:cdr="http://schemas.openxmlformats.org/drawingml/2006/chartDrawing">
    <cdr:from>
      <cdr:x>0.10483</cdr:x>
      <cdr:y>0.1782</cdr:y>
    </cdr:from>
    <cdr:to>
      <cdr:x>0.26348</cdr:x>
      <cdr:y>0.20742</cdr:y>
    </cdr:to>
    <cdr:sp macro="" textlink="">
      <cdr:nvSpPr>
        <cdr:cNvPr id="5" name="正方形/長方形 4"/>
        <cdr:cNvSpPr/>
      </cdr:nvSpPr>
      <cdr:spPr>
        <a:xfrm xmlns:a="http://schemas.openxmlformats.org/drawingml/2006/main">
          <a:off x="645501" y="1289674"/>
          <a:ext cx="976902" cy="21144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0.21837</cdr:y>
    </cdr:from>
    <cdr:to>
      <cdr:x>0.07039</cdr:x>
      <cdr:y>0.67045</cdr:y>
    </cdr:to>
    <cdr:sp macro="" textlink="">
      <cdr:nvSpPr>
        <cdr:cNvPr id="6" name="左大かっこ 5"/>
        <cdr:cNvSpPr/>
      </cdr:nvSpPr>
      <cdr:spPr>
        <a:xfrm xmlns:a="http://schemas.openxmlformats.org/drawingml/2006/main">
          <a:off x="363483" y="1580378"/>
          <a:ext cx="69932" cy="327175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0.67995</cdr:y>
    </cdr:from>
    <cdr:to>
      <cdr:x>0.06695</cdr:x>
      <cdr:y>0.98213</cdr:y>
    </cdr:to>
    <cdr:sp macro="" textlink="">
      <cdr:nvSpPr>
        <cdr:cNvPr id="7" name="左大かっこ 6"/>
        <cdr:cNvSpPr/>
      </cdr:nvSpPr>
      <cdr:spPr>
        <a:xfrm xmlns:a="http://schemas.openxmlformats.org/drawingml/2006/main">
          <a:off x="365084" y="4920846"/>
          <a:ext cx="47189" cy="218692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0.20249</cdr:x>
      <cdr:y>0.00715</cdr:y>
    </cdr:from>
    <cdr:to>
      <cdr:x>0.22249</cdr:x>
      <cdr:y>0.02149</cdr:y>
    </cdr:to>
    <cdr:sp macro="" textlink="">
      <cdr:nvSpPr>
        <cdr:cNvPr id="10" name="正方形/長方形 9"/>
        <cdr:cNvSpPr/>
      </cdr:nvSpPr>
      <cdr:spPr>
        <a:xfrm xmlns:a="http://schemas.openxmlformats.org/drawingml/2006/main">
          <a:off x="1247098" y="49977"/>
          <a:ext cx="123177" cy="100192"/>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0.20321</cdr:x>
      <cdr:y>0.02907</cdr:y>
    </cdr:from>
    <cdr:to>
      <cdr:x>0.22321</cdr:x>
      <cdr:y>0.04342</cdr:y>
    </cdr:to>
    <cdr:sp macro="" textlink="">
      <cdr:nvSpPr>
        <cdr:cNvPr id="13" name="正方形/長方形 12"/>
        <cdr:cNvSpPr/>
      </cdr:nvSpPr>
      <cdr:spPr>
        <a:xfrm xmlns:a="http://schemas.openxmlformats.org/drawingml/2006/main">
          <a:off x="1251522" y="203084"/>
          <a:ext cx="123177" cy="100262"/>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0.20359</cdr:x>
      <cdr:y>0.04972</cdr:y>
    </cdr:from>
    <cdr:to>
      <cdr:x>0.22358</cdr:x>
      <cdr:y>0.06407</cdr:y>
    </cdr:to>
    <cdr:sp macro="" textlink="">
      <cdr:nvSpPr>
        <cdr:cNvPr id="14" name="正方形/長方形 13"/>
        <cdr:cNvSpPr/>
      </cdr:nvSpPr>
      <cdr:spPr>
        <a:xfrm xmlns:a="http://schemas.openxmlformats.org/drawingml/2006/main">
          <a:off x="1253861" y="347368"/>
          <a:ext cx="123116" cy="10026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0.20367</cdr:x>
      <cdr:y>0.07327</cdr:y>
    </cdr:from>
    <cdr:to>
      <cdr:x>0.22367</cdr:x>
      <cdr:y>0.08761</cdr:y>
    </cdr:to>
    <cdr:sp macro="" textlink="">
      <cdr:nvSpPr>
        <cdr:cNvPr id="15" name="正方形/長方形 14"/>
        <cdr:cNvSpPr/>
      </cdr:nvSpPr>
      <cdr:spPr>
        <a:xfrm xmlns:a="http://schemas.openxmlformats.org/drawingml/2006/main">
          <a:off x="1254355" y="511931"/>
          <a:ext cx="123177" cy="1001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0.20337</cdr:x>
      <cdr:y>0.09527</cdr:y>
    </cdr:from>
    <cdr:to>
      <cdr:x>0.22336</cdr:x>
      <cdr:y>0.10962</cdr:y>
    </cdr:to>
    <cdr:sp macro="" textlink="">
      <cdr:nvSpPr>
        <cdr:cNvPr id="16" name="正方形/長方形 15"/>
        <cdr:cNvSpPr/>
      </cdr:nvSpPr>
      <cdr:spPr>
        <a:xfrm xmlns:a="http://schemas.openxmlformats.org/drawingml/2006/main">
          <a:off x="1252506" y="665646"/>
          <a:ext cx="123116" cy="100262"/>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0.2036</cdr:x>
      <cdr:y>0.11781</cdr:y>
    </cdr:from>
    <cdr:to>
      <cdr:x>0.2236</cdr:x>
      <cdr:y>0.13215</cdr:y>
    </cdr:to>
    <cdr:sp macro="" textlink="">
      <cdr:nvSpPr>
        <cdr:cNvPr id="17" name="正方形/長方形 16"/>
        <cdr:cNvSpPr/>
      </cdr:nvSpPr>
      <cdr:spPr>
        <a:xfrm xmlns:a="http://schemas.openxmlformats.org/drawingml/2006/main">
          <a:off x="1253933" y="823127"/>
          <a:ext cx="123178" cy="1001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0.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91.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2.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93.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4.xml><?xml version="1.0" encoding="utf-8"?>
<c:userShapes xmlns:c="http://schemas.openxmlformats.org/drawingml/2006/chart">
  <cdr:relSizeAnchor xmlns:cdr="http://schemas.openxmlformats.org/drawingml/2006/chartDrawing">
    <cdr:from>
      <cdr:x>0.61898</cdr:x>
      <cdr:y>0.01228</cdr:y>
    </cdr:from>
    <cdr:to>
      <cdr:x>0.75071</cdr:x>
      <cdr:y>0.06133</cdr:y>
    </cdr:to>
    <cdr:sp macro="" textlink="">
      <cdr:nvSpPr>
        <cdr:cNvPr id="4" name="テキスト ボックス 3"/>
        <cdr:cNvSpPr txBox="1"/>
      </cdr:nvSpPr>
      <cdr:spPr>
        <a:xfrm xmlns:a="http://schemas.openxmlformats.org/drawingml/2006/main">
          <a:off x="4740211" y="74173"/>
          <a:ext cx="1008836" cy="296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95.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6.xml><?xml version="1.0" encoding="utf-8"?>
<c:userShapes xmlns:c="http://schemas.openxmlformats.org/drawingml/2006/chart">
  <cdr:relSizeAnchor xmlns:cdr="http://schemas.openxmlformats.org/drawingml/2006/chartDrawing">
    <cdr:from>
      <cdr:x>0.05301</cdr:x>
      <cdr:y>0.16501</cdr:y>
    </cdr:from>
    <cdr:to>
      <cdr:x>0.21166</cdr:x>
      <cdr:y>0.20442</cdr:y>
    </cdr:to>
    <cdr:sp macro="" textlink="">
      <cdr:nvSpPr>
        <cdr:cNvPr id="5" name="正方形/長方形 4"/>
        <cdr:cNvSpPr/>
      </cdr:nvSpPr>
      <cdr:spPr>
        <a:xfrm xmlns:a="http://schemas.openxmlformats.org/drawingml/2006/main">
          <a:off x="315070" y="977630"/>
          <a:ext cx="942952" cy="23346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cdr:x>
      <cdr:y>0.25006</cdr:y>
    </cdr:from>
    <cdr:to>
      <cdr:x>0.07039</cdr:x>
      <cdr:y>0.37064</cdr:y>
    </cdr:to>
    <cdr:sp macro="" textlink="">
      <cdr:nvSpPr>
        <cdr:cNvPr id="6" name="左大かっこ 5"/>
        <cdr:cNvSpPr/>
      </cdr:nvSpPr>
      <cdr:spPr>
        <a:xfrm xmlns:a="http://schemas.openxmlformats.org/drawingml/2006/main">
          <a:off x="372660" y="1481488"/>
          <a:ext cx="45706" cy="7143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0.41405</cdr:y>
    </cdr:from>
    <cdr:to>
      <cdr:x>0.06953</cdr:x>
      <cdr:y>0.95338</cdr:y>
    </cdr:to>
    <cdr:sp macro="" textlink="">
      <cdr:nvSpPr>
        <cdr:cNvPr id="7" name="左大かっこ 6"/>
        <cdr:cNvSpPr/>
      </cdr:nvSpPr>
      <cdr:spPr>
        <a:xfrm xmlns:a="http://schemas.openxmlformats.org/drawingml/2006/main">
          <a:off x="352395" y="2453054"/>
          <a:ext cx="60843" cy="31952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0.27096</cdr:y>
    </cdr:from>
    <cdr:to>
      <cdr:x>0.0625</cdr:x>
      <cdr:y>0.37546</cdr:y>
    </cdr:to>
    <cdr:sp macro="" textlink="">
      <cdr:nvSpPr>
        <cdr:cNvPr id="8" name="テキスト ボックス 7"/>
        <cdr:cNvSpPr txBox="1"/>
      </cdr:nvSpPr>
      <cdr:spPr>
        <a:xfrm xmlns:a="http://schemas.openxmlformats.org/drawingml/2006/main">
          <a:off x="0" y="1605311"/>
          <a:ext cx="371475" cy="61911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0.04692</cdr:x>
      <cdr:y>0.00679</cdr:y>
    </cdr:from>
    <cdr:to>
      <cdr:x>0.07096</cdr:x>
      <cdr:y>0.02929</cdr:y>
    </cdr:to>
    <cdr:sp macro="" textlink="">
      <cdr:nvSpPr>
        <cdr:cNvPr id="10" name="正方形/長方形 9"/>
        <cdr:cNvSpPr/>
      </cdr:nvSpPr>
      <cdr:spPr>
        <a:xfrm xmlns:a="http://schemas.openxmlformats.org/drawingml/2006/main">
          <a:off x="278862" y="40202"/>
          <a:ext cx="142884" cy="133303"/>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0.37425</cdr:x>
      <cdr:y>0.00739</cdr:y>
    </cdr:from>
    <cdr:to>
      <cdr:x>0.39828</cdr:x>
      <cdr:y>0.0299</cdr:y>
    </cdr:to>
    <cdr:sp macro="" textlink="">
      <cdr:nvSpPr>
        <cdr:cNvPr id="11" name="正方形/長方形 10"/>
        <cdr:cNvSpPr/>
      </cdr:nvSpPr>
      <cdr:spPr>
        <a:xfrm xmlns:a="http://schemas.openxmlformats.org/drawingml/2006/main">
          <a:off x="2224402" y="43774"/>
          <a:ext cx="142825" cy="133362"/>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0.70388</cdr:x>
      <cdr:y>0.00575</cdr:y>
    </cdr:from>
    <cdr:to>
      <cdr:x>0.72792</cdr:x>
      <cdr:y>0.02826</cdr:y>
    </cdr:to>
    <cdr:sp macro="" textlink="">
      <cdr:nvSpPr>
        <cdr:cNvPr id="12" name="正方形/長方形 11"/>
        <cdr:cNvSpPr/>
      </cdr:nvSpPr>
      <cdr:spPr>
        <a:xfrm xmlns:a="http://schemas.openxmlformats.org/drawingml/2006/main">
          <a:off x="4183573" y="34066"/>
          <a:ext cx="142884" cy="13336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0.04634</cdr:x>
      <cdr:y>0.03826</cdr:y>
    </cdr:from>
    <cdr:to>
      <cdr:x>0.07038</cdr:x>
      <cdr:y>0.06077</cdr:y>
    </cdr:to>
    <cdr:sp macro="" textlink="">
      <cdr:nvSpPr>
        <cdr:cNvPr id="13" name="正方形/長方形 12"/>
        <cdr:cNvSpPr/>
      </cdr:nvSpPr>
      <cdr:spPr>
        <a:xfrm xmlns:a="http://schemas.openxmlformats.org/drawingml/2006/main">
          <a:off x="275418" y="226699"/>
          <a:ext cx="142884" cy="13336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0.37437</cdr:x>
      <cdr:y>0.03653</cdr:y>
    </cdr:from>
    <cdr:to>
      <cdr:x>0.39841</cdr:x>
      <cdr:y>0.05904</cdr:y>
    </cdr:to>
    <cdr:sp macro="" textlink="">
      <cdr:nvSpPr>
        <cdr:cNvPr id="14" name="正方形/長方形 13"/>
        <cdr:cNvSpPr/>
      </cdr:nvSpPr>
      <cdr:spPr>
        <a:xfrm xmlns:a="http://schemas.openxmlformats.org/drawingml/2006/main">
          <a:off x="2225107" y="216405"/>
          <a:ext cx="142884" cy="133361"/>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0.70387</cdr:x>
      <cdr:y>0.03987</cdr:y>
    </cdr:from>
    <cdr:to>
      <cdr:x>0.72791</cdr:x>
      <cdr:y>0.06238</cdr:y>
    </cdr:to>
    <cdr:sp macro="" textlink="">
      <cdr:nvSpPr>
        <cdr:cNvPr id="15" name="正方形/長方形 14"/>
        <cdr:cNvSpPr/>
      </cdr:nvSpPr>
      <cdr:spPr>
        <a:xfrm xmlns:a="http://schemas.openxmlformats.org/drawingml/2006/main">
          <a:off x="4183513" y="236191"/>
          <a:ext cx="142884" cy="13336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0.04635</cdr:x>
      <cdr:y>0.07053</cdr:y>
    </cdr:from>
    <cdr:to>
      <cdr:x>0.07039</cdr:x>
      <cdr:y>0.09304</cdr:y>
    </cdr:to>
    <cdr:sp macro="" textlink="">
      <cdr:nvSpPr>
        <cdr:cNvPr id="16" name="正方形/長方形 15"/>
        <cdr:cNvSpPr/>
      </cdr:nvSpPr>
      <cdr:spPr>
        <a:xfrm xmlns:a="http://schemas.openxmlformats.org/drawingml/2006/main">
          <a:off x="275477" y="417884"/>
          <a:ext cx="142884" cy="13336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0.37459</cdr:x>
      <cdr:y>0.06873</cdr:y>
    </cdr:from>
    <cdr:to>
      <cdr:x>0.39863</cdr:x>
      <cdr:y>0.09123</cdr:y>
    </cdr:to>
    <cdr:sp macro="" textlink="">
      <cdr:nvSpPr>
        <cdr:cNvPr id="17" name="正方形/長方形 16"/>
        <cdr:cNvSpPr/>
      </cdr:nvSpPr>
      <cdr:spPr>
        <a:xfrm xmlns:a="http://schemas.openxmlformats.org/drawingml/2006/main">
          <a:off x="2226423" y="407188"/>
          <a:ext cx="142884" cy="133303"/>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0.70448</cdr:x>
      <cdr:y>0.06922</cdr:y>
    </cdr:from>
    <cdr:to>
      <cdr:x>0.72852</cdr:x>
      <cdr:y>0.09172</cdr:y>
    </cdr:to>
    <cdr:sp macro="" textlink="">
      <cdr:nvSpPr>
        <cdr:cNvPr id="18" name="正方形/長方形 17"/>
        <cdr:cNvSpPr/>
      </cdr:nvSpPr>
      <cdr:spPr>
        <a:xfrm xmlns:a="http://schemas.openxmlformats.org/drawingml/2006/main">
          <a:off x="4187134" y="410072"/>
          <a:ext cx="142884" cy="133302"/>
        </a:xfrm>
        <a:prstGeom xmlns:a="http://schemas.openxmlformats.org/drawingml/2006/main" prst="rect">
          <a:avLst/>
        </a:prstGeom>
        <a:pattFill xmlns:a="http://schemas.openxmlformats.org/drawingml/2006/main" prst="pct20">
          <a:fgClr>
            <a:schemeClr val="tx1"/>
          </a:fgClr>
          <a:bgClr>
            <a:srgbClr val="00B05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7.xml><?xml version="1.0" encoding="utf-8"?>
<c:userShapes xmlns:c="http://schemas.openxmlformats.org/drawingml/2006/chart">
  <cdr:relSizeAnchor xmlns:cdr="http://schemas.openxmlformats.org/drawingml/2006/chartDrawing">
    <cdr:from>
      <cdr:x>0.10483</cdr:x>
      <cdr:y>0.11088</cdr:y>
    </cdr:from>
    <cdr:to>
      <cdr:x>0.26348</cdr:x>
      <cdr:y>0.14303</cdr:y>
    </cdr:to>
    <cdr:sp macro="" textlink="">
      <cdr:nvSpPr>
        <cdr:cNvPr id="5" name="正方形/長方形 4"/>
        <cdr:cNvSpPr/>
      </cdr:nvSpPr>
      <cdr:spPr>
        <a:xfrm xmlns:a="http://schemas.openxmlformats.org/drawingml/2006/main">
          <a:off x="645488" y="802464"/>
          <a:ext cx="976903" cy="23267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0.05903</cdr:x>
      <cdr:y>0.16158</cdr:y>
    </cdr:from>
    <cdr:to>
      <cdr:x>0.06997</cdr:x>
      <cdr:y>0.65887</cdr:y>
    </cdr:to>
    <cdr:sp macro="" textlink="">
      <cdr:nvSpPr>
        <cdr:cNvPr id="6" name="左大かっこ 5"/>
        <cdr:cNvSpPr/>
      </cdr:nvSpPr>
      <cdr:spPr>
        <a:xfrm xmlns:a="http://schemas.openxmlformats.org/drawingml/2006/main">
          <a:off x="363498" y="1169377"/>
          <a:ext cx="67325" cy="35988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0.05929</cdr:x>
      <cdr:y>0.67384</cdr:y>
    </cdr:from>
    <cdr:to>
      <cdr:x>0.06708</cdr:x>
      <cdr:y>0.98213</cdr:y>
    </cdr:to>
    <cdr:sp macro="" textlink="">
      <cdr:nvSpPr>
        <cdr:cNvPr id="7" name="左大かっこ 6"/>
        <cdr:cNvSpPr/>
      </cdr:nvSpPr>
      <cdr:spPr>
        <a:xfrm xmlns:a="http://schemas.openxmlformats.org/drawingml/2006/main">
          <a:off x="352396" y="4875354"/>
          <a:ext cx="46300" cy="22305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0.39707</cdr:y>
    </cdr:from>
    <cdr:to>
      <cdr:x>0.0625</cdr:x>
      <cdr:y>0.50157</cdr:y>
    </cdr:to>
    <cdr:sp macro="" textlink="">
      <cdr:nvSpPr>
        <cdr:cNvPr id="8" name="テキスト ボックス 7"/>
        <cdr:cNvSpPr txBox="1"/>
      </cdr:nvSpPr>
      <cdr:spPr>
        <a:xfrm xmlns:a="http://schemas.openxmlformats.org/drawingml/2006/main">
          <a:off x="-775723" y="2872905"/>
          <a:ext cx="371475" cy="756077"/>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職業別</a:t>
          </a:r>
        </a:p>
      </cdr:txBody>
    </cdr:sp>
  </cdr:relSizeAnchor>
  <cdr:relSizeAnchor xmlns:cdr="http://schemas.openxmlformats.org/drawingml/2006/chartDrawing">
    <cdr:from>
      <cdr:x>0</cdr:x>
      <cdr:y>0.73134</cdr:y>
    </cdr:from>
    <cdr:to>
      <cdr:x>0.0609</cdr:x>
      <cdr:y>0.91051</cdr:y>
    </cdr:to>
    <cdr:sp macro="" textlink="">
      <cdr:nvSpPr>
        <cdr:cNvPr id="9" name="テキスト ボックス 8"/>
        <cdr:cNvSpPr txBox="1"/>
      </cdr:nvSpPr>
      <cdr:spPr>
        <a:xfrm xmlns:a="http://schemas.openxmlformats.org/drawingml/2006/main">
          <a:off x="0" y="5291385"/>
          <a:ext cx="361965" cy="129635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広域市町村圏別</a:t>
          </a:r>
        </a:p>
      </cdr:txBody>
    </cdr:sp>
  </cdr:relSizeAnchor>
  <cdr:relSizeAnchor xmlns:cdr="http://schemas.openxmlformats.org/drawingml/2006/chartDrawing">
    <cdr:from>
      <cdr:x>0.05222</cdr:x>
      <cdr:y>0.00336</cdr:y>
    </cdr:from>
    <cdr:to>
      <cdr:x>0.07626</cdr:x>
      <cdr:y>0.02586</cdr:y>
    </cdr:to>
    <cdr:sp macro="" textlink="">
      <cdr:nvSpPr>
        <cdr:cNvPr id="10" name="正方形/長方形 9"/>
        <cdr:cNvSpPr/>
      </cdr:nvSpPr>
      <cdr:spPr>
        <a:xfrm xmlns:a="http://schemas.openxmlformats.org/drawingml/2006/main">
          <a:off x="321547" y="24319"/>
          <a:ext cx="148029" cy="162835"/>
        </a:xfrm>
        <a:prstGeom xmlns:a="http://schemas.openxmlformats.org/drawingml/2006/main" prst="rect">
          <a:avLst/>
        </a:prstGeom>
        <a:pattFill xmlns:a="http://schemas.openxmlformats.org/drawingml/2006/main" prst="pct8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0.3797</cdr:x>
      <cdr:y>0</cdr:y>
    </cdr:from>
    <cdr:to>
      <cdr:x>0.40373</cdr:x>
      <cdr:y>0.02251</cdr:y>
    </cdr:to>
    <cdr:sp macro="" textlink="">
      <cdr:nvSpPr>
        <cdr:cNvPr id="11" name="正方形/長方形 10"/>
        <cdr:cNvSpPr/>
      </cdr:nvSpPr>
      <cdr:spPr>
        <a:xfrm xmlns:a="http://schemas.openxmlformats.org/drawingml/2006/main">
          <a:off x="2338028" y="0"/>
          <a:ext cx="147967" cy="162908"/>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0.70896</cdr:x>
      <cdr:y>0.00409</cdr:y>
    </cdr:from>
    <cdr:to>
      <cdr:x>0.733</cdr:x>
      <cdr:y>0.0266</cdr:y>
    </cdr:to>
    <cdr:sp macro="" textlink="">
      <cdr:nvSpPr>
        <cdr:cNvPr id="12" name="正方形/長方形 11"/>
        <cdr:cNvSpPr/>
      </cdr:nvSpPr>
      <cdr:spPr>
        <a:xfrm xmlns:a="http://schemas.openxmlformats.org/drawingml/2006/main">
          <a:off x="4365510" y="29603"/>
          <a:ext cx="148029" cy="162907"/>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0.05156</cdr:x>
      <cdr:y>0.03084</cdr:y>
    </cdr:from>
    <cdr:to>
      <cdr:x>0.0756</cdr:x>
      <cdr:y>0.05335</cdr:y>
    </cdr:to>
    <cdr:sp macro="" textlink="">
      <cdr:nvSpPr>
        <cdr:cNvPr id="13" name="正方形/長方形 12"/>
        <cdr:cNvSpPr/>
      </cdr:nvSpPr>
      <cdr:spPr>
        <a:xfrm xmlns:a="http://schemas.openxmlformats.org/drawingml/2006/main">
          <a:off x="317475" y="223195"/>
          <a:ext cx="148029" cy="16290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0.37976</cdr:x>
      <cdr:y>0.0288</cdr:y>
    </cdr:from>
    <cdr:to>
      <cdr:x>0.4038</cdr:x>
      <cdr:y>0.05131</cdr:y>
    </cdr:to>
    <cdr:sp macro="" textlink="">
      <cdr:nvSpPr>
        <cdr:cNvPr id="14" name="正方形/長方形 13"/>
        <cdr:cNvSpPr/>
      </cdr:nvSpPr>
      <cdr:spPr>
        <a:xfrm xmlns:a="http://schemas.openxmlformats.org/drawingml/2006/main">
          <a:off x="2338409" y="208459"/>
          <a:ext cx="148029" cy="162907"/>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0.70865</cdr:x>
      <cdr:y>0.03034</cdr:y>
    </cdr:from>
    <cdr:to>
      <cdr:x>0.73269</cdr:x>
      <cdr:y>0.05285</cdr:y>
    </cdr:to>
    <cdr:sp macro="" textlink="">
      <cdr:nvSpPr>
        <cdr:cNvPr id="15" name="正方形/長方形 14"/>
        <cdr:cNvSpPr/>
      </cdr:nvSpPr>
      <cdr:spPr>
        <a:xfrm xmlns:a="http://schemas.openxmlformats.org/drawingml/2006/main">
          <a:off x="4363550" y="219581"/>
          <a:ext cx="148029" cy="162907"/>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0.0516</cdr:x>
      <cdr:y>0.0586</cdr:y>
    </cdr:from>
    <cdr:to>
      <cdr:x>0.07564</cdr:x>
      <cdr:y>0.08111</cdr:y>
    </cdr:to>
    <cdr:sp macro="" textlink="">
      <cdr:nvSpPr>
        <cdr:cNvPr id="16" name="正方形/長方形 15"/>
        <cdr:cNvSpPr/>
      </cdr:nvSpPr>
      <cdr:spPr>
        <a:xfrm xmlns:a="http://schemas.openxmlformats.org/drawingml/2006/main">
          <a:off x="317712" y="424103"/>
          <a:ext cx="148028" cy="16290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0.38006</cdr:x>
      <cdr:y>0.05676</cdr:y>
    </cdr:from>
    <cdr:to>
      <cdr:x>0.4041</cdr:x>
      <cdr:y>0.07926</cdr:y>
    </cdr:to>
    <cdr:sp macro="" textlink="">
      <cdr:nvSpPr>
        <cdr:cNvPr id="17" name="正方形/長方形 16"/>
        <cdr:cNvSpPr/>
      </cdr:nvSpPr>
      <cdr:spPr>
        <a:xfrm xmlns:a="http://schemas.openxmlformats.org/drawingml/2006/main">
          <a:off x="2340259" y="410765"/>
          <a:ext cx="148028" cy="162834"/>
        </a:xfrm>
        <a:prstGeom xmlns:a="http://schemas.openxmlformats.org/drawingml/2006/main" prst="rect">
          <a:avLst/>
        </a:prstGeom>
        <a:pattFill xmlns:a="http://schemas.openxmlformats.org/drawingml/2006/main" prst="wd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0.70917</cdr:x>
      <cdr:y>0.05749</cdr:y>
    </cdr:from>
    <cdr:to>
      <cdr:x>0.73321</cdr:x>
      <cdr:y>0.07999</cdr:y>
    </cdr:to>
    <cdr:sp macro="" textlink="">
      <cdr:nvSpPr>
        <cdr:cNvPr id="18" name="正方形/長方形 17"/>
        <cdr:cNvSpPr/>
      </cdr:nvSpPr>
      <cdr:spPr>
        <a:xfrm xmlns:a="http://schemas.openxmlformats.org/drawingml/2006/main">
          <a:off x="4366751" y="416067"/>
          <a:ext cx="148090" cy="162835"/>
        </a:xfrm>
        <a:prstGeom xmlns:a="http://schemas.openxmlformats.org/drawingml/2006/main" prst="rect">
          <a:avLst/>
        </a:prstGeom>
        <a:pattFill xmlns:a="http://schemas.openxmlformats.org/drawingml/2006/main" prst="pct20">
          <a:fgClr>
            <a:schemeClr val="tx1"/>
          </a:fgClr>
          <a:bgClr>
            <a:srgbClr val="00B050"/>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8.xml><?xml version="1.0" encoding="utf-8"?>
<c:userShapes xmlns:c="http://schemas.openxmlformats.org/drawingml/2006/chart">
  <cdr:relSizeAnchor xmlns:cdr="http://schemas.openxmlformats.org/drawingml/2006/chartDrawing">
    <cdr:from>
      <cdr:x>0.81875</cdr:x>
      <cdr:y>0</cdr:y>
    </cdr:from>
    <cdr:to>
      <cdr:x>0.99219</cdr:x>
      <cdr:y>0.04905</cdr:y>
    </cdr:to>
    <cdr:sp macro="" textlink="">
      <cdr:nvSpPr>
        <cdr:cNvPr id="4" name="テキスト ボックス 3"/>
        <cdr:cNvSpPr txBox="1"/>
      </cdr:nvSpPr>
      <cdr:spPr>
        <a:xfrm xmlns:a="http://schemas.openxmlformats.org/drawingml/2006/main">
          <a:off x="4991100" y="0"/>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（単位：％）</a:t>
          </a:r>
        </a:p>
      </cdr:txBody>
    </cdr:sp>
  </cdr:relSizeAnchor>
</c:userShapes>
</file>

<file path=word/drawings/drawing99.xml><?xml version="1.0" encoding="utf-8"?>
<c:userShapes xmlns:c="http://schemas.openxmlformats.org/drawingml/2006/chart">
  <cdr:relSizeAnchor xmlns:cdr="http://schemas.openxmlformats.org/drawingml/2006/chartDrawing">
    <cdr:from>
      <cdr:x>0.81976</cdr:x>
      <cdr:y>0.74403</cdr:y>
    </cdr:from>
    <cdr:to>
      <cdr:x>0.84046</cdr:x>
      <cdr:y>0.76068</cdr:y>
    </cdr:to>
    <cdr:sp macro="" textlink="">
      <cdr:nvSpPr>
        <cdr:cNvPr id="2" name="正方形/長方形 1"/>
        <cdr:cNvSpPr/>
      </cdr:nvSpPr>
      <cdr:spPr>
        <a:xfrm xmlns:a="http://schemas.openxmlformats.org/drawingml/2006/main">
          <a:off x="4888801" y="5764208"/>
          <a:ext cx="123448" cy="128992"/>
        </a:xfrm>
        <a:prstGeom xmlns:a="http://schemas.openxmlformats.org/drawingml/2006/main" prst="rect">
          <a:avLst/>
        </a:prstGeom>
        <a:pattFill xmlns:a="http://schemas.openxmlformats.org/drawingml/2006/main" prst="pct7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0.81904</cdr:x>
      <cdr:y>0.77671</cdr:y>
    </cdr:from>
    <cdr:to>
      <cdr:x>0.83974</cdr:x>
      <cdr:y>0.79337</cdr:y>
    </cdr:to>
    <cdr:sp macro="" textlink="">
      <cdr:nvSpPr>
        <cdr:cNvPr id="3" name="正方形/長方形 2"/>
        <cdr:cNvSpPr/>
      </cdr:nvSpPr>
      <cdr:spPr>
        <a:xfrm xmlns:a="http://schemas.openxmlformats.org/drawingml/2006/main">
          <a:off x="4884531" y="6017389"/>
          <a:ext cx="123448" cy="129070"/>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0.81053</cdr:y>
    </cdr:from>
    <cdr:to>
      <cdr:x>0.83975</cdr:x>
      <cdr:y>0.82718</cdr:y>
    </cdr:to>
    <cdr:sp macro="" textlink="">
      <cdr:nvSpPr>
        <cdr:cNvPr id="4" name="正方形/長方形 3"/>
        <cdr:cNvSpPr/>
      </cdr:nvSpPr>
      <cdr:spPr>
        <a:xfrm xmlns:a="http://schemas.openxmlformats.org/drawingml/2006/main">
          <a:off x="4884582" y="6279402"/>
          <a:ext cx="123449" cy="128992"/>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0.84536</cdr:y>
    </cdr:from>
    <cdr:to>
      <cdr:x>0.84087</cdr:x>
      <cdr:y>0.86201</cdr:y>
    </cdr:to>
    <cdr:sp macro="" textlink="">
      <cdr:nvSpPr>
        <cdr:cNvPr id="5" name="正方形/長方形 4"/>
        <cdr:cNvSpPr/>
      </cdr:nvSpPr>
      <cdr:spPr>
        <a:xfrm xmlns:a="http://schemas.openxmlformats.org/drawingml/2006/main">
          <a:off x="4891222" y="6549240"/>
          <a:ext cx="123449" cy="12899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0.82017</cdr:x>
      <cdr:y>0.87823</cdr:y>
    </cdr:from>
    <cdr:to>
      <cdr:x>0.84087</cdr:x>
      <cdr:y>0.89489</cdr:y>
    </cdr:to>
    <cdr:sp macro="" textlink="">
      <cdr:nvSpPr>
        <cdr:cNvPr id="6" name="正方形/長方形 5"/>
        <cdr:cNvSpPr/>
      </cdr:nvSpPr>
      <cdr:spPr>
        <a:xfrm xmlns:a="http://schemas.openxmlformats.org/drawingml/2006/main">
          <a:off x="4891221" y="6803893"/>
          <a:ext cx="123449" cy="129070"/>
        </a:xfrm>
        <a:prstGeom xmlns:a="http://schemas.openxmlformats.org/drawingml/2006/main" prst="rect">
          <a:avLst/>
        </a:prstGeom>
        <a:pattFill xmlns:a="http://schemas.openxmlformats.org/drawingml/2006/main" prst="pct10">
          <a:fgClr>
            <a:schemeClr val="tx1"/>
          </a:fgClr>
          <a:bgClr>
            <a:srgbClr val="FFFF00"/>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0.81896</cdr:x>
      <cdr:y>0.91277</cdr:y>
    </cdr:from>
    <cdr:to>
      <cdr:x>0.83966</cdr:x>
      <cdr:y>0.92942</cdr:y>
    </cdr:to>
    <cdr:sp macro="" textlink="">
      <cdr:nvSpPr>
        <cdr:cNvPr id="7" name="正方形/長方形 6"/>
        <cdr:cNvSpPr/>
      </cdr:nvSpPr>
      <cdr:spPr>
        <a:xfrm xmlns:a="http://schemas.openxmlformats.org/drawingml/2006/main">
          <a:off x="4884000" y="7071450"/>
          <a:ext cx="123449" cy="128992"/>
        </a:xfrm>
        <a:prstGeom xmlns:a="http://schemas.openxmlformats.org/drawingml/2006/main" prst="rect">
          <a:avLst/>
        </a:prstGeom>
        <a:pattFill xmlns:a="http://schemas.openxmlformats.org/drawingml/2006/main" prst="ltUp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0.9474</cdr:y>
    </cdr:from>
    <cdr:to>
      <cdr:x>0.84019</cdr:x>
      <cdr:y>0.96405</cdr:y>
    </cdr:to>
    <cdr:sp macro="" textlink="">
      <cdr:nvSpPr>
        <cdr:cNvPr id="8" name="正方形/長方形 7"/>
        <cdr:cNvSpPr/>
      </cdr:nvSpPr>
      <cdr:spPr>
        <a:xfrm xmlns:a="http://schemas.openxmlformats.org/drawingml/2006/main">
          <a:off x="4887220" y="7339806"/>
          <a:ext cx="123448" cy="1289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D4336-78C8-437A-821B-6B6FD9B2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10851</Words>
  <Characters>61855</Characters>
  <Application>Microsoft Office Word</Application>
  <DocSecurity>0</DocSecurity>
  <Lines>515</Lines>
  <Paragraphs>145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dc:creator>
  <cp:lastModifiedBy>TOMMY</cp:lastModifiedBy>
  <cp:revision>2</cp:revision>
  <cp:lastPrinted>2017-12-07T10:09:00Z</cp:lastPrinted>
  <dcterms:created xsi:type="dcterms:W3CDTF">2017-12-13T07:46:00Z</dcterms:created>
  <dcterms:modified xsi:type="dcterms:W3CDTF">2017-12-13T07:46:00Z</dcterms:modified>
</cp:coreProperties>
</file>