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harts/chart1.xml" ContentType="application/vnd.openxmlformats-officedocument.drawingml.chart+xml"/>
  <Override PartName="/word/embeddings/Microsoft_Excel_Worksheet.xlsx" ContentType="application/vnd.openxmlformats-officedocument.spreadsheetml.sheet"/>
  <Override PartName="/word/drawings/drawing2.xml" ContentType="application/vnd.openxmlformats-officedocument.drawingml.chartshapes+xml"/>
  <Override PartName="/word/theme/themeOverride1.xml" ContentType="application/vnd.openxmlformats-officedocument.themeOverride+xml"/>
  <Override PartName="/word/charts/chart2.xml" ContentType="application/vnd.openxmlformats-officedocument.drawingml.chart+xml"/>
  <Override PartName="/word/embeddings/Microsoft_Excel_Worksheet1.xlsx" ContentType="application/vnd.openxmlformats-officedocument.spreadsheetml.sheet"/>
  <Override PartName="/word/drawings/drawing1.xml" ContentType="application/vnd.openxmlformats-officedocument.drawingml.chartshapes+xml"/>
  <Override PartName="/word/theme/themeOverride2.xml" ContentType="application/vnd.openxmlformats-officedocument.themeOverride+xml"/>
  <Override PartName="/word/charts/chart3.xml" ContentType="application/vnd.openxmlformats-officedocument.drawingml.chart+xml"/>
  <Override PartName="/word/embeddings/Microsoft_Excel_Worksheet2.xlsx" ContentType="application/vnd.openxmlformats-officedocument.spreadsheetml.sheet"/>
  <Override PartName="/word/drawings/drawing3.xml" ContentType="application/vnd.openxmlformats-officedocument.drawingml.chartshapes+xml"/>
  <Override PartName="/word/theme/themeOverride3.xml" ContentType="application/vnd.openxmlformats-officedocument.themeOverride+xml"/>
  <Override PartName="/word/charts/chart4.xml" ContentType="application/vnd.openxmlformats-officedocument.drawingml.chart+xml"/>
  <Override PartName="/word/embeddings/Microsoft_Excel_Worksheet3.xlsx" ContentType="application/vnd.openxmlformats-officedocument.spreadsheetml.sheet"/>
  <Override PartName="/word/drawings/drawing4.xml" ContentType="application/vnd.openxmlformats-officedocument.drawingml.chartshapes+xml"/>
  <Override PartName="/word/theme/themeOverride4.xml" ContentType="application/vnd.openxmlformats-officedocument.themeOverride+xml"/>
  <Override PartName="/word/charts/chart5.xml" ContentType="application/vnd.openxmlformats-officedocument.drawingml.chart+xml"/>
  <Override PartName="/word/embeddings/Microsoft_Excel_Worksheet4.xlsx" ContentType="application/vnd.openxmlformats-officedocument.spreadsheetml.sheet"/>
  <Override PartName="/word/drawings/drawing5.xml" ContentType="application/vnd.openxmlformats-officedocument.drawingml.chartshapes+xml"/>
  <Override PartName="/word/theme/themeOverride5.xml" ContentType="application/vnd.openxmlformats-officedocument.themeOverride+xml"/>
  <Override PartName="/word/charts/chart6.xml" ContentType="application/vnd.openxmlformats-officedocument.drawingml.chart+xml"/>
  <Override PartName="/word/embeddings/Microsoft_Excel_Worksheet5.xlsx" ContentType="application/vnd.openxmlformats-officedocument.spreadsheetml.sheet"/>
  <Override PartName="/word/theme/themeOverride6.xml" ContentType="application/vnd.openxmlformats-officedocument.themeOverride+xml"/>
  <Override PartName="/word/charts/chart7.xml" ContentType="application/vnd.openxmlformats-officedocument.drawingml.chart+xml"/>
  <Override PartName="/word/embeddings/Microsoft_Excel_Worksheet6.xlsx" ContentType="application/vnd.openxmlformats-officedocument.spreadsheetml.sheet"/>
  <Override PartName="/word/drawings/drawing6.xml" ContentType="application/vnd.openxmlformats-officedocument.drawingml.chartshapes+xml"/>
  <Override PartName="/word/theme/themeOverride7.xml" ContentType="application/vnd.openxmlformats-officedocument.themeOverride+xml"/>
  <Override PartName="/word/charts/chart8.xml" ContentType="application/vnd.openxmlformats-officedocument.drawingml.chart+xml"/>
  <Override PartName="/word/embeddings/Microsoft_Excel_Worksheet7.xlsx" ContentType="application/vnd.openxmlformats-officedocument.spreadsheetml.sheet"/>
  <Override PartName="/word/drawings/drawing7.xml" ContentType="application/vnd.openxmlformats-officedocument.drawingml.chartshapes+xml"/>
  <Override PartName="/word/theme/themeOverride8.xml" ContentType="application/vnd.openxmlformats-officedocument.themeOverride+xml"/>
  <Override PartName="/word/charts/chart9.xml" ContentType="application/vnd.openxmlformats-officedocument.drawingml.chart+xml"/>
  <Override PartName="/word/embeddings/Microsoft_Excel_Worksheet8.xlsx" ContentType="application/vnd.openxmlformats-officedocument.spreadsheetml.sheet"/>
  <Override PartName="/word/drawings/drawing8.xml" ContentType="application/vnd.openxmlformats-officedocument.drawingml.chartshapes+xml"/>
  <Override PartName="/word/theme/themeOverride9.xml" ContentType="application/vnd.openxmlformats-officedocument.themeOverride+xml"/>
  <Override PartName="/word/charts/chart10.xml" ContentType="application/vnd.openxmlformats-officedocument.drawingml.chart+xml"/>
  <Override PartName="/word/embeddings/Microsoft_Excel_Worksheet9.xlsx" ContentType="application/vnd.openxmlformats-officedocument.spreadsheetml.sheet"/>
  <Override PartName="/word/drawings/drawing9.xml" ContentType="application/vnd.openxmlformats-officedocument.drawingml.chartshapes+xml"/>
  <Override PartName="/word/theme/themeOverride10.xml" ContentType="application/vnd.openxmlformats-officedocument.themeOverrid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8"/>
        </w:rPr>
      </w:pPr>
    </w:p>
    <w:p>
      <w:pPr>
        <w:pStyle w:val="0"/>
        <w:jc w:val="center"/>
        <w:rPr>
          <w:rFonts w:hint="default" w:asciiTheme="minorEastAsia" w:hAnsiTheme="minorEastAsia"/>
          <w:sz w:val="38"/>
        </w:rPr>
      </w:pPr>
    </w:p>
    <w:p>
      <w:pPr>
        <w:pStyle w:val="0"/>
        <w:jc w:val="center"/>
        <w:rPr>
          <w:rFonts w:hint="default" w:ascii="ＭＳ 明朝" w:hAnsi="ＭＳ 明朝" w:eastAsia="ＭＳ 明朝"/>
          <w:sz w:val="38"/>
        </w:rPr>
      </w:pPr>
      <w:r>
        <w:rPr>
          <w:rFonts w:hint="default" w:ascii="ＭＳ 明朝" w:hAnsi="ＭＳ 明朝" w:eastAsia="ＭＳ 明朝"/>
          <w:sz w:val="38"/>
        </w:rPr>
        <w:drawing>
          <wp:anchor distT="0" distB="0" distL="114300" distR="114300" simplePos="0" relativeHeight="2" behindDoc="0" locked="0" layoutInCell="1" hidden="0" allowOverlap="1">
            <wp:simplePos x="0" y="0"/>
            <wp:positionH relativeFrom="column">
              <wp:posOffset>4663440</wp:posOffset>
            </wp:positionH>
            <wp:positionV relativeFrom="paragraph">
              <wp:posOffset>-536575</wp:posOffset>
            </wp:positionV>
            <wp:extent cx="790575" cy="1000125"/>
            <wp:effectExtent l="0" t="0" r="0" b="0"/>
            <wp:wrapNone/>
            <wp:docPr id="1026" name="Picture 1" descr="C:\Users\ioas_user\Desktop\kouchike_logo_d1.jpg"/>
            <a:graphic xmlns:a="http://schemas.openxmlformats.org/drawingml/2006/main">
              <a:graphicData uri="http://schemas.openxmlformats.org/drawingml/2006/picture">
                <pic:pic xmlns:pic="http://schemas.openxmlformats.org/drawingml/2006/picture">
                  <pic:nvPicPr>
                    <pic:cNvPr id="1026" name="Picture 1" descr="C:\Users\ioas_user\Desktop\kouchike_logo_d1.jpg"/>
                    <pic:cNvPicPr>
                      <a:picLocks noChangeAspect="1" noChangeArrowheads="1"/>
                    </pic:cNvPicPr>
                  </pic:nvPicPr>
                  <pic:blipFill>
                    <a:blip r:embed="rId5"/>
                    <a:stretch>
                      <a:fillRect/>
                    </a:stretch>
                  </pic:blipFill>
                  <pic:spPr>
                    <a:xfrm>
                      <a:off x="0" y="0"/>
                      <a:ext cx="790575" cy="1000125"/>
                    </a:xfrm>
                    <a:prstGeom prst="rect">
                      <a:avLst/>
                    </a:prstGeom>
                    <a:noFill/>
                    <a:ln w="9525">
                      <a:noFill/>
                      <a:miter lim="800000"/>
                      <a:headEnd/>
                      <a:tailEnd/>
                    </a:ln>
                  </pic:spPr>
                </pic:pic>
              </a:graphicData>
            </a:graphic>
          </wp:anchor>
        </w:drawing>
      </w:r>
      <w:r>
        <w:rPr>
          <w:rFonts w:hint="eastAsia" w:ascii="ＭＳ 明朝" w:hAnsi="ＭＳ 明朝" w:eastAsia="ＭＳ 明朝"/>
          <w:sz w:val="38"/>
        </w:rPr>
        <w:t>令和元年度</w:t>
      </w:r>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sz w:val="80"/>
        </w:rPr>
      </w:pPr>
      <w:r>
        <w:rPr>
          <w:rFonts w:hint="eastAsia" w:asciiTheme="majorEastAsia" w:hAnsiTheme="majorEastAsia" w:eastAsiaTheme="majorEastAsia"/>
          <w:sz w:val="80"/>
        </w:rPr>
        <w:t>県</w:t>
      </w:r>
      <w:r>
        <w:rPr>
          <w:rFonts w:hint="eastAsia" w:asciiTheme="majorEastAsia" w:hAnsiTheme="majorEastAsia" w:eastAsiaTheme="majorEastAsia"/>
          <w:sz w:val="80"/>
        </w:rPr>
        <w:t xml:space="preserve"> </w:t>
      </w:r>
      <w:r>
        <w:rPr>
          <w:rFonts w:hint="eastAsia" w:asciiTheme="majorEastAsia" w:hAnsiTheme="majorEastAsia" w:eastAsiaTheme="majorEastAsia"/>
          <w:sz w:val="80"/>
        </w:rPr>
        <w:t>民</w:t>
      </w:r>
      <w:r>
        <w:rPr>
          <w:rFonts w:hint="eastAsia" w:asciiTheme="majorEastAsia" w:hAnsiTheme="majorEastAsia" w:eastAsiaTheme="majorEastAsia"/>
          <w:sz w:val="80"/>
        </w:rPr>
        <w:t xml:space="preserve"> </w:t>
      </w:r>
      <w:r>
        <w:rPr>
          <w:rFonts w:hint="eastAsia" w:asciiTheme="majorEastAsia" w:hAnsiTheme="majorEastAsia" w:eastAsiaTheme="majorEastAsia"/>
          <w:sz w:val="80"/>
        </w:rPr>
        <w:t>世</w:t>
      </w:r>
      <w:r>
        <w:rPr>
          <w:rFonts w:hint="eastAsia" w:asciiTheme="majorEastAsia" w:hAnsiTheme="majorEastAsia" w:eastAsiaTheme="majorEastAsia"/>
          <w:sz w:val="80"/>
        </w:rPr>
        <w:t xml:space="preserve"> </w:t>
      </w:r>
      <w:r>
        <w:rPr>
          <w:rFonts w:hint="eastAsia" w:asciiTheme="majorEastAsia" w:hAnsiTheme="majorEastAsia" w:eastAsiaTheme="majorEastAsia"/>
          <w:sz w:val="80"/>
        </w:rPr>
        <w:t>論</w:t>
      </w:r>
      <w:r>
        <w:rPr>
          <w:rFonts w:hint="eastAsia" w:asciiTheme="majorEastAsia" w:hAnsiTheme="majorEastAsia" w:eastAsiaTheme="majorEastAsia"/>
          <w:sz w:val="80"/>
        </w:rPr>
        <w:t xml:space="preserve"> </w:t>
      </w:r>
      <w:r>
        <w:rPr>
          <w:rFonts w:hint="eastAsia" w:asciiTheme="majorEastAsia" w:hAnsiTheme="majorEastAsia" w:eastAsiaTheme="majorEastAsia"/>
          <w:sz w:val="80"/>
        </w:rPr>
        <w:t>調</w:t>
      </w:r>
      <w:r>
        <w:rPr>
          <w:rFonts w:hint="eastAsia" w:asciiTheme="majorEastAsia" w:hAnsiTheme="majorEastAsia" w:eastAsiaTheme="majorEastAsia"/>
          <w:sz w:val="80"/>
        </w:rPr>
        <w:t xml:space="preserve"> </w:t>
      </w:r>
      <w:r>
        <w:rPr>
          <w:rFonts w:hint="eastAsia" w:asciiTheme="majorEastAsia" w:hAnsiTheme="majorEastAsia" w:eastAsiaTheme="majorEastAsia"/>
          <w:sz w:val="80"/>
        </w:rPr>
        <w:t>査</w:t>
      </w:r>
    </w:p>
    <w:p>
      <w:pPr>
        <w:pStyle w:val="0"/>
        <w:spacing w:line="576" w:lineRule="auto"/>
        <w:rPr>
          <w:rFonts w:hint="default"/>
          <w:sz w:val="32"/>
        </w:rPr>
      </w:pPr>
    </w:p>
    <w:p>
      <w:pPr>
        <w:pStyle w:val="0"/>
        <w:spacing w:line="576" w:lineRule="auto"/>
        <w:ind w:firstLine="960" w:firstLineChars="300"/>
        <w:rPr>
          <w:rFonts w:hint="default" w:ascii="ＭＳ 明朝" w:hAnsi="ＭＳ 明朝" w:eastAsia="ＭＳ 明朝"/>
          <w:sz w:val="32"/>
        </w:rPr>
      </w:pPr>
      <w:r>
        <w:rPr>
          <w:rFonts w:hint="eastAsia" w:ascii="ＭＳ 明朝" w:hAnsi="ＭＳ 明朝" w:eastAsia="ＭＳ 明朝"/>
          <w:sz w:val="32"/>
        </w:rPr>
        <w:t>県の基本政策について</w:t>
      </w:r>
    </w:p>
    <w:p>
      <w:pPr>
        <w:pStyle w:val="0"/>
        <w:spacing w:line="576" w:lineRule="auto"/>
        <w:ind w:firstLine="972" w:firstLineChars="300"/>
        <w:rPr>
          <w:rFonts w:hint="default" w:ascii="ＭＳ 明朝" w:hAnsi="ＭＳ 明朝" w:eastAsia="ＭＳ 明朝"/>
          <w:spacing w:val="2"/>
          <w:kern w:val="0"/>
          <w:sz w:val="32"/>
        </w:rPr>
      </w:pPr>
      <w:r>
        <w:rPr>
          <w:rFonts w:hint="eastAsia" w:ascii="ＭＳ 明朝" w:hAnsi="ＭＳ 明朝" w:eastAsia="ＭＳ 明朝"/>
          <w:spacing w:val="2"/>
          <w:kern w:val="0"/>
          <w:sz w:val="32"/>
        </w:rPr>
        <w:t>南海トラフ地震対策について</w:t>
      </w:r>
    </w:p>
    <w:p>
      <w:pPr>
        <w:pStyle w:val="0"/>
        <w:spacing w:line="576" w:lineRule="auto"/>
        <w:ind w:firstLine="960" w:firstLineChars="300"/>
        <w:rPr>
          <w:rFonts w:hint="default" w:ascii="ＭＳ 明朝" w:hAnsi="ＭＳ 明朝" w:eastAsia="ＭＳ 明朝"/>
          <w:sz w:val="32"/>
        </w:rPr>
      </w:pPr>
      <w:r>
        <w:rPr>
          <w:rFonts w:hint="eastAsia" w:ascii="ＭＳ 明朝" w:hAnsi="ＭＳ 明朝" w:eastAsia="ＭＳ 明朝"/>
          <w:sz w:val="32"/>
        </w:rPr>
        <w:t>障害者差別解消について</w:t>
      </w:r>
    </w:p>
    <w:p>
      <w:pPr>
        <w:pStyle w:val="0"/>
        <w:spacing w:line="576" w:lineRule="auto"/>
        <w:ind w:firstLine="960" w:firstLineChars="300"/>
        <w:rPr>
          <w:rFonts w:hint="default" w:ascii="ＭＳ 明朝" w:hAnsi="ＭＳ 明朝" w:eastAsia="ＭＳ 明朝"/>
          <w:sz w:val="32"/>
        </w:rPr>
      </w:pPr>
      <w:r>
        <w:rPr>
          <w:rFonts w:hint="eastAsia" w:ascii="ＭＳ 明朝" w:hAnsi="ＭＳ 明朝" w:eastAsia="ＭＳ 明朝"/>
          <w:sz w:val="32"/>
        </w:rPr>
        <w:t>第３期産業振興計画</w:t>
      </w:r>
      <w:r>
        <w:rPr>
          <w:rFonts w:hint="eastAsia" w:ascii="ＭＳ 明朝" w:hAnsi="ＭＳ 明朝" w:eastAsia="ＭＳ 明朝"/>
          <w:sz w:val="32"/>
        </w:rPr>
        <w:t>ver.</w:t>
      </w:r>
      <w:r>
        <w:rPr>
          <w:rFonts w:hint="eastAsia" w:ascii="ＭＳ 明朝" w:hAnsi="ＭＳ 明朝" w:eastAsia="ＭＳ 明朝"/>
          <w:sz w:val="32"/>
        </w:rPr>
        <w:t>４について</w:t>
      </w:r>
    </w:p>
    <w:p>
      <w:pPr>
        <w:pStyle w:val="0"/>
        <w:spacing w:line="576" w:lineRule="auto"/>
        <w:ind w:firstLine="960" w:firstLineChars="300"/>
        <w:rPr>
          <w:rFonts w:hint="default" w:ascii="ＭＳ 明朝" w:hAnsi="ＭＳ 明朝" w:eastAsia="ＭＳ 明朝"/>
          <w:sz w:val="32"/>
        </w:rPr>
      </w:pPr>
      <w:r>
        <w:rPr>
          <w:rFonts w:hint="eastAsia" w:ascii="ＭＳ 明朝" w:hAnsi="ＭＳ 明朝" w:eastAsia="ＭＳ 明朝"/>
          <w:sz w:val="32"/>
        </w:rPr>
        <w:t>暮らしと環境、地球温暖化について</w:t>
      </w:r>
    </w:p>
    <w:p>
      <w:pPr>
        <w:pStyle w:val="0"/>
        <w:spacing w:line="576" w:lineRule="auto"/>
        <w:ind w:firstLine="960" w:firstLineChars="300"/>
        <w:rPr>
          <w:rFonts w:hint="default" w:ascii="ＭＳ 明朝" w:hAnsi="ＭＳ 明朝" w:eastAsia="ＭＳ 明朝"/>
          <w:sz w:val="32"/>
        </w:rPr>
      </w:pPr>
      <w:r>
        <w:rPr>
          <w:rFonts w:hint="eastAsia" w:ascii="ＭＳ 明朝" w:hAnsi="ＭＳ 明朝" w:eastAsia="ＭＳ 明朝"/>
          <w:sz w:val="32"/>
        </w:rPr>
        <w:t>特殊詐欺について</w:t>
      </w:r>
    </w:p>
    <w:p>
      <w:pPr>
        <w:pStyle w:val="0"/>
        <w:spacing w:line="576" w:lineRule="auto"/>
        <w:ind w:firstLine="960" w:firstLineChars="300"/>
        <w:rPr>
          <w:rFonts w:hint="default" w:ascii="ＭＳ 明朝" w:hAnsi="ＭＳ 明朝" w:eastAsia="ＭＳ 明朝"/>
          <w:sz w:val="32"/>
        </w:rPr>
      </w:pPr>
      <w:r>
        <w:rPr>
          <w:rFonts w:hint="eastAsia" w:ascii="ＭＳ 明朝" w:hAnsi="ＭＳ 明朝" w:eastAsia="ＭＳ 明朝"/>
          <w:sz w:val="32"/>
        </w:rPr>
        <w:t>集落活動センターについて</w:t>
      </w:r>
    </w:p>
    <w:p>
      <w:pPr>
        <w:pStyle w:val="0"/>
        <w:spacing w:line="576" w:lineRule="auto"/>
        <w:ind w:firstLine="960" w:firstLineChars="300"/>
        <w:rPr>
          <w:rFonts w:hint="default" w:ascii="ＭＳ 明朝" w:hAnsi="ＭＳ 明朝" w:eastAsia="ＭＳ 明朝"/>
          <w:sz w:val="32"/>
        </w:rPr>
      </w:pPr>
    </w:p>
    <w:p>
      <w:pPr>
        <w:pStyle w:val="0"/>
        <w:spacing w:line="576" w:lineRule="auto"/>
        <w:ind w:firstLine="960" w:firstLineChars="300"/>
        <w:rPr>
          <w:rFonts w:hint="default"/>
          <w:sz w:val="32"/>
        </w:rPr>
      </w:pPr>
    </w:p>
    <w:p>
      <w:pPr>
        <w:pStyle w:val="0"/>
        <w:spacing w:line="576" w:lineRule="auto"/>
        <w:ind w:firstLine="960" w:firstLineChars="300"/>
        <w:rPr>
          <w:rFonts w:hint="default"/>
          <w:sz w:val="32"/>
        </w:rPr>
      </w:pPr>
    </w:p>
    <w:p>
      <w:pPr>
        <w:pStyle w:val="0"/>
        <w:spacing w:line="576" w:lineRule="auto"/>
        <w:jc w:val="center"/>
        <w:rPr>
          <w:rFonts w:hint="default"/>
          <w:sz w:val="38"/>
        </w:rPr>
      </w:pPr>
      <w:r>
        <w:rPr>
          <w:rFonts w:hint="eastAsia"/>
          <w:sz w:val="38"/>
        </w:rPr>
        <w:t>高　　　知　　　県</w:t>
      </w:r>
    </w:p>
    <w:p>
      <w:pPr>
        <w:pStyle w:val="0"/>
        <w:tabs>
          <w:tab w:val="left" w:leader="none" w:pos="483"/>
          <w:tab w:val="left" w:leader="middleDot" w:pos="7560"/>
          <w:tab w:val="right" w:leader="none" w:pos="7980"/>
          <w:tab w:val="left" w:leader="middleDot" w:pos="8820"/>
          <w:tab w:val="right" w:leader="none" w:pos="9345"/>
        </w:tabs>
        <w:spacing w:line="360" w:lineRule="auto"/>
        <w:rPr>
          <w:rFonts w:hint="default" w:asciiTheme="minorEastAsia" w:hAnsiTheme="minorEastAsia"/>
          <w:sz w:val="18"/>
        </w:rPr>
      </w:pPr>
      <w:r>
        <w:rPr>
          <w:rFonts w:hint="eastAsia"/>
        </w:rPr>
        <w:br w:type="page"/>
      </w:r>
    </w:p>
    <w:p>
      <w:pPr>
        <w:pStyle w:val="0"/>
        <w:widowControl w:val="1"/>
        <w:tabs>
          <w:tab w:val="left" w:leader="none" w:pos="238"/>
        </w:tabs>
        <w:spacing w:line="500" w:lineRule="exact"/>
        <w:ind w:left="0" w:leftChars="0" w:firstLine="4" w:firstLineChars="1"/>
        <w:jc w:val="center"/>
        <w:rPr>
          <w:rFonts w:hint="default"/>
          <w:kern w:val="2"/>
          <w:sz w:val="39"/>
        </w:rPr>
      </w:pPr>
      <w:r>
        <w:rPr>
          <w:rFonts w:hint="eastAsia"/>
          <w:kern w:val="2"/>
          <w:sz w:val="36"/>
        </w:rPr>
        <w:t>は　じ　め　に</w:t>
      </w:r>
    </w:p>
    <w:p>
      <w:pPr>
        <w:pStyle w:val="0"/>
        <w:widowControl w:val="1"/>
        <w:tabs>
          <w:tab w:val="left" w:leader="none" w:pos="238"/>
        </w:tabs>
        <w:spacing w:line="480" w:lineRule="exact"/>
        <w:ind w:left="420" w:leftChars="0" w:firstLine="565" w:firstLineChars="257"/>
        <w:jc w:val="center"/>
        <w:rPr>
          <w:rFonts w:hint="default"/>
          <w:kern w:val="2"/>
          <w:sz w:val="22"/>
        </w:rPr>
      </w:pPr>
    </w:p>
    <w:p>
      <w:pPr>
        <w:pStyle w:val="0"/>
        <w:tabs>
          <w:tab w:val="left" w:leader="none" w:pos="238"/>
        </w:tabs>
        <w:spacing w:line="480" w:lineRule="exact"/>
        <w:ind w:left="0" w:leftChars="0" w:firstLine="210" w:firstLineChars="100"/>
        <w:jc w:val="both"/>
        <w:rPr>
          <w:rFonts w:hint="default"/>
          <w:kern w:val="2"/>
        </w:rPr>
      </w:pPr>
      <w:r>
        <w:rPr>
          <w:rFonts w:hint="eastAsia"/>
          <w:kern w:val="2"/>
        </w:rPr>
        <w:t>高知県は、全国に先行した人口の自然減や、これに伴う経済規模の縮小、災害の多発といった数多くの課題に直面しています。</w:t>
      </w:r>
    </w:p>
    <w:p>
      <w:pPr>
        <w:pStyle w:val="0"/>
        <w:tabs>
          <w:tab w:val="left" w:leader="none" w:pos="238"/>
        </w:tabs>
        <w:spacing w:line="480" w:lineRule="exact"/>
        <w:ind w:left="0" w:leftChars="0" w:firstLine="210" w:firstLineChars="100"/>
        <w:jc w:val="both"/>
        <w:rPr>
          <w:rFonts w:hint="default"/>
          <w:kern w:val="2"/>
        </w:rPr>
      </w:pPr>
      <w:r>
        <w:rPr>
          <w:rFonts w:hint="eastAsia"/>
          <w:kern w:val="2"/>
        </w:rPr>
        <w:t>こうした困難な課題に県民の皆様と共に立ち向っていくため、県では、産業振興計画の推進による「経済の活性化」をはじめ、「日本一の健康長寿県づくり」、「教育の充実と子育て支援」、「南海トラフ地震対策の抜本強化・加速化」、「インフラの充実と有効活用」の５つの基本政策に基づいた取組を進めるとともに、それらの政策に横断的に関わる政策として「中山間対策の充実・強化」、「少子化対策の充実・強化と女性の活躍の場の拡大」、「文化芸術とスポーツの振興」に向けた取組を進めています。</w:t>
      </w:r>
    </w:p>
    <w:p>
      <w:pPr>
        <w:pStyle w:val="0"/>
        <w:tabs>
          <w:tab w:val="left" w:leader="none" w:pos="238"/>
        </w:tabs>
        <w:spacing w:line="480" w:lineRule="exact"/>
        <w:ind w:left="0" w:leftChars="0" w:firstLine="210" w:firstLineChars="100"/>
        <w:jc w:val="both"/>
        <w:rPr>
          <w:rFonts w:hint="default"/>
          <w:kern w:val="2"/>
        </w:rPr>
      </w:pPr>
      <w:r>
        <w:rPr>
          <w:rFonts w:hint="eastAsia"/>
          <w:kern w:val="2"/>
        </w:rPr>
        <w:t>その結果、例えば一人当たり県民所得は近年、全国の倍の伸びを見せており、長年にわたり生産年齢人口の減少と連動する形で減少傾向にあった県内総生産や各産業分野の産出額も上昇傾向に転じるなど、高知県は着実によい方向に向かっています。</w:t>
      </w:r>
    </w:p>
    <w:p>
      <w:pPr>
        <w:pStyle w:val="0"/>
        <w:tabs>
          <w:tab w:val="left" w:leader="none" w:pos="238"/>
        </w:tabs>
        <w:spacing w:line="480" w:lineRule="exact"/>
        <w:ind w:left="0" w:leftChars="0" w:firstLine="210" w:firstLineChars="100"/>
        <w:jc w:val="both"/>
        <w:rPr>
          <w:rFonts w:hint="default"/>
          <w:kern w:val="2"/>
        </w:rPr>
      </w:pPr>
      <w:r>
        <w:rPr>
          <w:rFonts w:hint="eastAsia"/>
          <w:kern w:val="2"/>
        </w:rPr>
        <w:t>こうした傾向をより一層確かなものとするためには、県民の皆様のニーズを的確に把握、分析し、政策づくりに生かすことが大変重要と考えており、本年度においても本調査を実施したところです。</w:t>
      </w:r>
    </w:p>
    <w:p>
      <w:pPr>
        <w:pStyle w:val="0"/>
        <w:tabs>
          <w:tab w:val="left" w:leader="none" w:pos="238"/>
        </w:tabs>
        <w:spacing w:line="480" w:lineRule="exact"/>
        <w:ind w:left="0" w:leftChars="0" w:firstLine="210" w:firstLineChars="100"/>
        <w:jc w:val="both"/>
        <w:rPr>
          <w:rFonts w:hint="default"/>
          <w:kern w:val="2"/>
        </w:rPr>
      </w:pPr>
      <w:r>
        <w:rPr>
          <w:rFonts w:hint="eastAsia"/>
          <w:kern w:val="2"/>
        </w:rPr>
        <w:t>本年度は、「県の基本政策」、「南海トラフ地震対策」、「障害者差別解消」、「産業振興計画」、「暮らしと環境、地球温暖化」、「特殊詐欺」、「集落活動センター」の７つのテーマについて、調査を行いました。</w:t>
      </w:r>
    </w:p>
    <w:p>
      <w:pPr>
        <w:pStyle w:val="0"/>
        <w:tabs>
          <w:tab w:val="left" w:leader="none" w:pos="238"/>
        </w:tabs>
        <w:spacing w:line="480" w:lineRule="exact"/>
        <w:ind w:left="0" w:leftChars="0" w:firstLine="210" w:firstLineChars="100"/>
        <w:jc w:val="both"/>
        <w:rPr>
          <w:rFonts w:hint="default"/>
          <w:kern w:val="2"/>
        </w:rPr>
      </w:pPr>
      <w:r>
        <w:rPr>
          <w:rFonts w:hint="eastAsia"/>
          <w:kern w:val="2"/>
        </w:rPr>
        <w:t>これらの調査に集約された県民の皆様の声を、今後の県政に十分反映させていきたいと考えています。また、各方面でも幅広く活用されることを願っています。</w:t>
      </w:r>
    </w:p>
    <w:p>
      <w:pPr>
        <w:pStyle w:val="0"/>
        <w:tabs>
          <w:tab w:val="left" w:leader="none" w:pos="238"/>
        </w:tabs>
        <w:spacing w:line="480" w:lineRule="exact"/>
        <w:ind w:left="0" w:leftChars="0" w:firstLine="210" w:firstLineChars="100"/>
        <w:jc w:val="both"/>
        <w:rPr>
          <w:rFonts w:hint="default"/>
          <w:kern w:val="2"/>
        </w:rPr>
      </w:pPr>
      <w:r>
        <w:rPr>
          <w:rFonts w:hint="eastAsia"/>
          <w:kern w:val="2"/>
        </w:rPr>
        <w:t>この調査にご協力いただきました県民の皆様をはじめ、関係者の皆様に厚くお礼申し上げます。</w:t>
      </w:r>
    </w:p>
    <w:p>
      <w:pPr>
        <w:pStyle w:val="0"/>
        <w:tabs>
          <w:tab w:val="left" w:leader="none" w:pos="238"/>
        </w:tabs>
        <w:spacing w:line="480" w:lineRule="exact"/>
        <w:ind w:left="0" w:leftChars="0" w:firstLine="540" w:firstLineChars="257"/>
        <w:jc w:val="both"/>
        <w:rPr>
          <w:rFonts w:hint="default"/>
          <w:kern w:val="2"/>
        </w:rPr>
      </w:pPr>
    </w:p>
    <w:p>
      <w:pPr>
        <w:pStyle w:val="0"/>
        <w:tabs>
          <w:tab w:val="left" w:leader="none" w:pos="238"/>
        </w:tabs>
        <w:spacing w:line="480" w:lineRule="exact"/>
        <w:ind w:left="0" w:leftChars="0" w:firstLine="540" w:firstLineChars="257"/>
        <w:jc w:val="both"/>
        <w:rPr>
          <w:rFonts w:hint="default"/>
          <w:kern w:val="2"/>
        </w:rPr>
      </w:pPr>
      <w:r>
        <w:rPr>
          <w:rFonts w:hint="eastAsia"/>
          <w:kern w:val="2"/>
        </w:rPr>
        <w:t>令和元年１２月　　　　　　　　　</w:t>
      </w:r>
    </w:p>
    <w:p>
      <w:pPr>
        <w:pStyle w:val="0"/>
        <w:tabs>
          <w:tab w:val="left" w:leader="none" w:pos="238"/>
        </w:tabs>
        <w:spacing w:line="480" w:lineRule="exact"/>
        <w:ind w:left="199" w:leftChars="95" w:firstLine="5021" w:firstLineChars="2391"/>
        <w:jc w:val="both"/>
        <w:rPr>
          <w:rFonts w:hint="default"/>
          <w:kern w:val="2"/>
        </w:rPr>
      </w:pPr>
      <w:r>
        <w:rPr>
          <w:rFonts w:hint="eastAsia"/>
          <w:kern w:val="2"/>
        </w:rPr>
        <w:t>高知県総務部長　　君塚　明宏</w:t>
      </w:r>
    </w:p>
    <w:p>
      <w:pPr>
        <w:pStyle w:val="0"/>
        <w:tabs>
          <w:tab w:val="left" w:leader="none" w:pos="483"/>
          <w:tab w:val="left" w:leader="middleDot" w:pos="7560"/>
          <w:tab w:val="right" w:leader="none" w:pos="7980"/>
          <w:tab w:val="left" w:leader="middleDot" w:pos="8820"/>
          <w:tab w:val="right" w:leader="none" w:pos="9345"/>
        </w:tabs>
        <w:spacing w:line="360" w:lineRule="auto"/>
        <w:rPr>
          <w:rFonts w:hint="default" w:asciiTheme="minorEastAsia" w:hAnsiTheme="minorEastAsia"/>
          <w:sz w:val="18"/>
        </w:rPr>
      </w:pPr>
      <w:r>
        <w:rPr>
          <w:rFonts w:hint="eastAsia"/>
        </w:rPr>
        <w:br w:type="page"/>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目　　次</w:t>
      </w:r>
    </w:p>
    <w:p>
      <w:pPr>
        <w:pStyle w:val="0"/>
        <w:jc w:val="center"/>
        <w:rPr>
          <w:rFonts w:hint="default" w:asciiTheme="minorEastAsia" w:hAnsiTheme="minorEastAsia"/>
          <w:sz w:val="14"/>
        </w:rPr>
      </w:pPr>
      <w:r>
        <w:rPr>
          <w:rFonts w:hint="eastAsia" w:asciiTheme="minorEastAsia" w:hAnsiTheme="minorEastAsia"/>
          <w:sz w:val="10"/>
        </w:rPr>
        <w:t>　　　　　　　　　　　　　　　　　　　　　　　　　　　　　　　　　　　　　　　　　　　　　　　　　　　　　　　</w:t>
      </w:r>
      <w:r>
        <w:rPr>
          <w:rFonts w:hint="eastAsia" w:asciiTheme="minorEastAsia" w:hAnsiTheme="minorEastAsia"/>
          <w:sz w:val="10"/>
        </w:rPr>
        <w:t xml:space="preserve">               </w:t>
      </w:r>
      <w:r>
        <w:rPr>
          <w:rFonts w:hint="default" w:asciiTheme="minorEastAsia" w:hAnsiTheme="minorEastAsia"/>
          <w:sz w:val="10"/>
        </w:rPr>
        <w:t xml:space="preserve">                      </w:t>
      </w:r>
      <w:r>
        <w:rPr>
          <w:rFonts w:hint="eastAsia" w:asciiTheme="minorEastAsia" w:hAnsiTheme="minorEastAsia"/>
          <w:sz w:val="14"/>
        </w:rPr>
        <w:t>ページ</w:t>
      </w:r>
    </w:p>
    <w:p>
      <w:pPr>
        <w:pStyle w:val="0"/>
        <w:tabs>
          <w:tab w:val="left" w:leader="none" w:pos="483"/>
          <w:tab w:val="left" w:leader="middleDot" w:pos="7980"/>
          <w:tab w:val="left" w:leader="none" w:pos="8400"/>
        </w:tabs>
        <w:spacing w:line="480" w:lineRule="exact"/>
        <w:rPr>
          <w:rFonts w:hint="default" w:asciiTheme="minorEastAsia" w:hAnsiTheme="minorEastAsia"/>
          <w:b w:val="1"/>
          <w:sz w:val="24"/>
          <w:shd w:val="pct15" w:color="auto" w:fill="FFFFFF"/>
        </w:rPr>
      </w:pPr>
      <w:r>
        <w:rPr>
          <w:rFonts w:hint="default" w:asciiTheme="minorEastAsia" w:hAnsiTheme="minorEastAsia"/>
          <w:b w:val="1"/>
          <w:sz w:val="24"/>
        </w:rPr>
        <w:tab/>
      </w:r>
      <w:r>
        <w:rPr>
          <w:rFonts w:hint="eastAsia" w:asciiTheme="minorEastAsia" w:hAnsiTheme="minorEastAsia"/>
          <w:b w:val="1"/>
          <w:sz w:val="24"/>
          <w:shd w:val="pct15" w:color="auto" w:fill="FFFFFF"/>
        </w:rPr>
        <w:t>Ⅰ　調査の設計</w:t>
      </w:r>
      <w:r>
        <w:rPr>
          <w:rFonts w:hint="default" w:asciiTheme="minorEastAsia" w:hAnsiTheme="minorEastAsia"/>
          <w:b w:val="1"/>
          <w:sz w:val="24"/>
          <w:shd w:val="pct15" w:color="auto" w:fill="FFFFFF"/>
        </w:rPr>
        <w:tab/>
      </w:r>
      <w:r>
        <w:rPr>
          <w:rFonts w:hint="default" w:asciiTheme="minorEastAsia" w:hAnsiTheme="minorEastAsia"/>
          <w:b w:val="1"/>
          <w:sz w:val="24"/>
          <w:shd w:val="pct15" w:color="auto" w:fill="FFFFFF"/>
        </w:rPr>
        <w:tab/>
      </w:r>
      <w:r>
        <w:rPr>
          <w:rFonts w:hint="eastAsia" w:asciiTheme="minorEastAsia" w:hAnsiTheme="minorEastAsia"/>
          <w:b w:val="1"/>
          <w:sz w:val="24"/>
          <w:shd w:val="pct15" w:color="auto" w:fill="FFFFFF"/>
        </w:rPr>
        <w:t>1</w:t>
      </w:r>
    </w:p>
    <w:p>
      <w:pPr>
        <w:pStyle w:val="0"/>
        <w:tabs>
          <w:tab w:val="left" w:leader="none" w:pos="483"/>
          <w:tab w:val="left" w:leader="middleDot" w:pos="7980"/>
          <w:tab w:val="left" w:leader="none" w:pos="8820"/>
        </w:tabs>
        <w:rPr>
          <w:rFonts w:hint="default" w:asciiTheme="minorEastAsia" w:hAnsiTheme="minorEastAsia"/>
          <w:b w:val="1"/>
        </w:rPr>
      </w:pPr>
    </w:p>
    <w:p>
      <w:pPr>
        <w:pStyle w:val="0"/>
        <w:tabs>
          <w:tab w:val="left" w:leader="none" w:pos="483"/>
          <w:tab w:val="left" w:leader="middleDot" w:pos="7980"/>
          <w:tab w:val="left" w:leader="none" w:pos="8400"/>
        </w:tabs>
        <w:spacing w:line="480" w:lineRule="exact"/>
        <w:rPr>
          <w:rFonts w:hint="default" w:asciiTheme="minorEastAsia" w:hAnsiTheme="minorEastAsia"/>
          <w:b w:val="1"/>
          <w:sz w:val="24"/>
          <w:shd w:val="pct15" w:color="auto" w:fill="FFFFFF"/>
        </w:rPr>
      </w:pPr>
      <w:r>
        <w:rPr>
          <w:rFonts w:hint="default" w:asciiTheme="minorEastAsia" w:hAnsiTheme="minorEastAsia"/>
          <w:b w:val="1"/>
          <w:sz w:val="24"/>
        </w:rPr>
        <w:tab/>
      </w:r>
      <w:r>
        <w:rPr>
          <w:rFonts w:hint="eastAsia" w:asciiTheme="minorEastAsia" w:hAnsiTheme="minorEastAsia"/>
          <w:b w:val="1"/>
          <w:sz w:val="24"/>
          <w:shd w:val="pct15" w:color="auto" w:fill="FFFFFF"/>
        </w:rPr>
        <w:t>Ⅱ　調査結果の見方</w:t>
      </w:r>
      <w:r>
        <w:rPr>
          <w:rFonts w:hint="eastAsia" w:asciiTheme="minorEastAsia" w:hAnsiTheme="minorEastAsia"/>
          <w:b w:val="1"/>
          <w:sz w:val="24"/>
          <w:shd w:val="pct15" w:color="auto" w:fill="FFFFFF"/>
        </w:rPr>
        <w:tab/>
      </w:r>
      <w:r>
        <w:rPr>
          <w:rFonts w:hint="eastAsia" w:asciiTheme="minorEastAsia" w:hAnsiTheme="minorEastAsia"/>
          <w:b w:val="1"/>
          <w:shd w:val="pct15" w:color="auto" w:fill="FFFFFF"/>
        </w:rPr>
        <w:tab/>
      </w:r>
      <w:r>
        <w:rPr>
          <w:rFonts w:hint="eastAsia" w:asciiTheme="minorEastAsia" w:hAnsiTheme="minorEastAsia"/>
          <w:b w:val="1"/>
          <w:sz w:val="24"/>
          <w:shd w:val="pct15" w:color="auto" w:fill="FFFFFF"/>
        </w:rPr>
        <w:t>2</w:t>
      </w:r>
    </w:p>
    <w:p>
      <w:pPr>
        <w:pStyle w:val="0"/>
        <w:tabs>
          <w:tab w:val="left" w:leader="none" w:pos="483"/>
          <w:tab w:val="left" w:leader="middleDot" w:pos="7980"/>
          <w:tab w:val="left" w:leader="none" w:pos="8400"/>
        </w:tabs>
        <w:rPr>
          <w:rFonts w:hint="default" w:asciiTheme="minorEastAsia" w:hAnsiTheme="minorEastAsia"/>
          <w:shd w:val="pct15" w:color="auto" w:fill="FFFFFF"/>
        </w:rPr>
      </w:pPr>
    </w:p>
    <w:p>
      <w:pPr>
        <w:pStyle w:val="0"/>
        <w:tabs>
          <w:tab w:val="left" w:leader="none" w:pos="483"/>
          <w:tab w:val="left" w:leader="middleDot" w:pos="7980"/>
          <w:tab w:val="left" w:leader="none" w:pos="8400"/>
        </w:tabs>
        <w:spacing w:line="480" w:lineRule="exact"/>
        <w:rPr>
          <w:rFonts w:hint="default" w:asciiTheme="minorEastAsia" w:hAnsiTheme="minorEastAsia"/>
          <w:b w:val="1"/>
          <w:sz w:val="24"/>
          <w:shd w:val="pct15" w:color="auto" w:fill="FFFFFF"/>
        </w:rPr>
      </w:pPr>
      <w:r>
        <w:rPr>
          <w:rFonts w:hint="default" w:asciiTheme="minorEastAsia" w:hAnsiTheme="minorEastAsia"/>
          <w:b w:val="1"/>
          <w:sz w:val="24"/>
        </w:rPr>
        <w:tab/>
      </w:r>
      <w:r>
        <w:rPr>
          <w:rFonts w:hint="eastAsia" w:asciiTheme="minorEastAsia" w:hAnsiTheme="minorEastAsia"/>
          <w:b w:val="1"/>
          <w:sz w:val="24"/>
          <w:shd w:val="pct15" w:color="auto" w:fill="FFFFFF"/>
        </w:rPr>
        <w:t>Ⅲ　調査対象者の特性</w:t>
      </w:r>
      <w:r>
        <w:rPr>
          <w:rFonts w:hint="eastAsia" w:asciiTheme="minorEastAsia" w:hAnsiTheme="minorEastAsia"/>
          <w:b w:val="1"/>
          <w:sz w:val="24"/>
          <w:shd w:val="pct15" w:color="auto" w:fill="FFFFFF"/>
        </w:rPr>
        <w:tab/>
      </w:r>
      <w:r>
        <w:rPr>
          <w:rFonts w:hint="eastAsia" w:asciiTheme="minorEastAsia" w:hAnsiTheme="minorEastAsia"/>
          <w:b w:val="1"/>
          <w:shd w:val="pct15" w:color="auto" w:fill="FFFFFF"/>
        </w:rPr>
        <w:tab/>
      </w:r>
      <w:r>
        <w:rPr>
          <w:rFonts w:hint="eastAsia" w:asciiTheme="minorEastAsia" w:hAnsiTheme="minorEastAsia"/>
          <w:b w:val="1"/>
          <w:sz w:val="24"/>
          <w:shd w:val="pct15" w:color="auto" w:fill="FFFFFF"/>
        </w:rPr>
        <w:t>4</w:t>
      </w:r>
    </w:p>
    <w:p>
      <w:pPr>
        <w:pStyle w:val="0"/>
        <w:tabs>
          <w:tab w:val="left" w:leader="none" w:pos="483"/>
          <w:tab w:val="left" w:leader="middleDot" w:pos="7560"/>
          <w:tab w:val="left" w:leader="middleDot" w:pos="7980"/>
          <w:tab w:val="left" w:leader="none" w:pos="8820"/>
          <w:tab w:val="right" w:leader="none" w:pos="9345"/>
        </w:tabs>
        <w:rPr>
          <w:rFonts w:hint="default" w:ascii="ＭＳ 明朝" w:hAnsi="ＭＳ 明朝" w:eastAsia="ＭＳ 明朝"/>
          <w:b w:val="1"/>
          <w:sz w:val="20"/>
          <w:shd w:val="pct15" w:color="auto" w:fill="FFFFFF"/>
        </w:rPr>
      </w:pPr>
    </w:p>
    <w:p>
      <w:pPr>
        <w:pStyle w:val="0"/>
        <w:tabs>
          <w:tab w:val="left" w:leader="none" w:pos="960"/>
          <w:tab w:val="left" w:leader="middleDot" w:pos="7980"/>
          <w:tab w:val="left" w:leader="none" w:pos="8400"/>
        </w:tabs>
        <w:spacing w:line="480" w:lineRule="exact"/>
        <w:rPr>
          <w:rFonts w:hint="default" w:ascii="ＭＳ 明朝" w:hAnsi="ＭＳ 明朝" w:eastAsia="ＭＳ 明朝"/>
        </w:rPr>
      </w:pPr>
      <w:r>
        <w:rPr>
          <w:rFonts w:hint="eastAsia" w:asciiTheme="minorEastAsia" w:hAnsiTheme="minorEastAsia"/>
          <w:sz w:val="24"/>
        </w:rPr>
        <w:tab/>
      </w:r>
      <w:r>
        <w:rPr>
          <w:rFonts w:hint="eastAsia" w:asciiTheme="minorEastAsia" w:hAnsiTheme="minorEastAsia"/>
        </w:rPr>
        <w:t>１．広域市町村圏別の配布・回収状況</w:t>
      </w:r>
      <w:r>
        <w:rPr>
          <w:rFonts w:hint="eastAsia" w:asciiTheme="minorEastAsia" w:hAnsiTheme="minorEastAsia"/>
        </w:rPr>
        <w:tab/>
      </w:r>
      <w:r>
        <w:rPr>
          <w:rFonts w:hint="eastAsia" w:asciiTheme="minorEastAsia" w:hAnsiTheme="minorEastAsia"/>
        </w:rPr>
        <w:tab/>
      </w:r>
      <w:r>
        <w:rPr>
          <w:rFonts w:hint="eastAsia" w:asciiTheme="minorEastAsia" w:hAnsiTheme="minorEastAsia"/>
        </w:rPr>
        <w:t>4</w:t>
      </w:r>
    </w:p>
    <w:p>
      <w:pPr>
        <w:pStyle w:val="0"/>
        <w:tabs>
          <w:tab w:val="left" w:leader="none" w:pos="483"/>
          <w:tab w:val="left" w:leader="middleDot" w:pos="7980"/>
          <w:tab w:val="left" w:leader="none" w:pos="8400"/>
        </w:tabs>
        <w:spacing w:line="480" w:lineRule="exac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default" w:asciiTheme="minorEastAsia" w:hAnsiTheme="minorEastAsia"/>
        </w:rPr>
        <w:t xml:space="preserve"> </w:t>
      </w:r>
      <w:r>
        <w:rPr>
          <w:rFonts w:hint="eastAsia" w:asciiTheme="minorEastAsia" w:hAnsiTheme="minorEastAsia"/>
        </w:rPr>
        <w:t xml:space="preserve"> </w:t>
      </w:r>
      <w:r>
        <w:rPr>
          <w:rFonts w:hint="eastAsia" w:asciiTheme="minorEastAsia" w:hAnsiTheme="minorEastAsia"/>
        </w:rPr>
        <w:t>２．対象者の特性</w:t>
      </w:r>
      <w:r>
        <w:rPr>
          <w:rFonts w:hint="eastAsia" w:asciiTheme="minorEastAsia" w:hAnsiTheme="minorEastAsia"/>
        </w:rPr>
        <w:tab/>
      </w:r>
      <w:r>
        <w:rPr>
          <w:rFonts w:hint="eastAsia" w:asciiTheme="minorEastAsia" w:hAnsiTheme="minorEastAsia"/>
        </w:rPr>
        <w:tab/>
      </w:r>
      <w:r>
        <w:rPr>
          <w:rFonts w:hint="eastAsia" w:asciiTheme="minorEastAsia" w:hAnsiTheme="minorEastAsia"/>
        </w:rPr>
        <w:t>4</w:t>
      </w:r>
    </w:p>
    <w:p>
      <w:pPr>
        <w:pStyle w:val="0"/>
        <w:tabs>
          <w:tab w:val="left" w:leader="none" w:pos="483"/>
          <w:tab w:val="left" w:leader="middleDot" w:pos="7560"/>
          <w:tab w:val="left" w:leader="middleDot" w:pos="7980"/>
          <w:tab w:val="left" w:leader="none" w:pos="8820"/>
          <w:tab w:val="right" w:leader="none" w:pos="9345"/>
        </w:tabs>
        <w:rPr>
          <w:rFonts w:hint="default" w:asciiTheme="minorEastAsia" w:hAnsiTheme="minorEastAsia"/>
          <w:sz w:val="20"/>
        </w:rPr>
      </w:pPr>
    </w:p>
    <w:p>
      <w:pPr>
        <w:pStyle w:val="0"/>
        <w:tabs>
          <w:tab w:val="left" w:leader="none" w:pos="483"/>
          <w:tab w:val="left" w:leader="middleDot" w:pos="7980"/>
          <w:tab w:val="left" w:leader="none" w:pos="8400"/>
        </w:tabs>
        <w:spacing w:line="480" w:lineRule="exact"/>
        <w:rPr>
          <w:rFonts w:hint="default" w:asciiTheme="minorEastAsia" w:hAnsiTheme="minorEastAsia"/>
          <w:b w:val="1"/>
          <w:sz w:val="24"/>
          <w:shd w:val="pct15" w:color="auto" w:fill="FFFFFF"/>
        </w:rPr>
      </w:pPr>
      <w:r>
        <w:rPr>
          <w:rFonts w:hint="default" w:asciiTheme="minorEastAsia" w:hAnsiTheme="minorEastAsia"/>
          <w:b w:val="1"/>
          <w:sz w:val="24"/>
        </w:rPr>
        <w:tab/>
      </w:r>
      <w:r>
        <w:rPr>
          <w:rFonts w:hint="eastAsia" w:asciiTheme="minorEastAsia" w:hAnsiTheme="minorEastAsia"/>
          <w:b w:val="1"/>
          <w:sz w:val="24"/>
          <w:shd w:val="pct15" w:color="auto" w:fill="FFFFFF"/>
        </w:rPr>
        <w:t>Ⅳ　調査結果〔解説・グラフ〕</w:t>
      </w:r>
      <w:r>
        <w:rPr>
          <w:rFonts w:hint="default" w:asciiTheme="minorEastAsia" w:hAnsiTheme="minorEastAsia"/>
          <w:b w:val="1"/>
          <w:sz w:val="24"/>
          <w:shd w:val="pct15" w:color="auto" w:fill="FFFFFF"/>
        </w:rPr>
        <w:tab/>
      </w:r>
      <w:r>
        <w:rPr>
          <w:rFonts w:hint="default" w:asciiTheme="minorEastAsia" w:hAnsiTheme="minorEastAsia"/>
          <w:b w:val="1"/>
          <w:sz w:val="24"/>
          <w:shd w:val="pct15" w:color="auto" w:fill="FFFFFF"/>
        </w:rPr>
        <w:tab/>
      </w:r>
      <w:r>
        <w:rPr>
          <w:rFonts w:hint="eastAsia" w:asciiTheme="minorEastAsia" w:hAnsiTheme="minorEastAsia"/>
          <w:b w:val="1"/>
          <w:sz w:val="24"/>
          <w:shd w:val="pct15" w:color="auto" w:fill="FFFFFF"/>
        </w:rPr>
        <w:t>8</w:t>
      </w:r>
    </w:p>
    <w:p>
      <w:pPr>
        <w:pStyle w:val="0"/>
        <w:tabs>
          <w:tab w:val="left" w:leader="none" w:pos="483"/>
          <w:tab w:val="left" w:leader="middleDot" w:pos="7560"/>
          <w:tab w:val="left" w:leader="middleDot" w:pos="7980"/>
          <w:tab w:val="left" w:leader="none" w:pos="8820"/>
          <w:tab w:val="right" w:leader="none" w:pos="9345"/>
        </w:tabs>
        <w:rPr>
          <w:rFonts w:hint="default" w:asciiTheme="minorEastAsia" w:hAnsiTheme="minorEastAsia"/>
          <w:b w:val="1"/>
          <w:sz w:val="20"/>
          <w:shd w:val="pct15" w:color="auto" w:fill="FFFFFF"/>
        </w:rPr>
      </w:pPr>
    </w:p>
    <w:p>
      <w:pPr>
        <w:pStyle w:val="0"/>
        <w:tabs>
          <w:tab w:val="left" w:leader="none" w:pos="840"/>
          <w:tab w:val="left" w:leader="middleDot" w:pos="7980"/>
          <w:tab w:val="left" w:leader="none" w:pos="8400"/>
        </w:tabs>
        <w:spacing w:line="480" w:lineRule="exact"/>
        <w:rPr>
          <w:rFonts w:hint="default" w:asciiTheme="minorEastAsia" w:hAnsiTheme="minorEastAsia"/>
          <w:b w:val="1"/>
        </w:rPr>
      </w:pPr>
      <w:r>
        <w:rPr>
          <w:rFonts w:hint="default" w:asciiTheme="minorEastAsia" w:hAnsiTheme="minorEastAsia"/>
        </w:rPr>
        <w:tab/>
      </w:r>
      <w:r>
        <w:rPr>
          <w:rFonts w:hint="eastAsia" w:asciiTheme="minorEastAsia" w:hAnsiTheme="minorEastAsia"/>
        </w:rPr>
        <w:t>〔１〕県の基本政策について</w:t>
      </w:r>
      <w:r>
        <w:rPr>
          <w:rFonts w:hint="default" w:asciiTheme="minorEastAsia" w:hAnsiTheme="minorEastAsia"/>
        </w:rPr>
        <w:tab/>
      </w:r>
      <w:r>
        <w:rPr>
          <w:rFonts w:hint="default" w:asciiTheme="minorEastAsia" w:hAnsiTheme="minorEastAsia"/>
        </w:rPr>
        <w:tab/>
      </w:r>
      <w:r>
        <w:rPr>
          <w:rFonts w:hint="eastAsia" w:asciiTheme="minorEastAsia" w:hAnsiTheme="minorEastAsia"/>
        </w:rPr>
        <w:t>8</w:t>
      </w:r>
    </w:p>
    <w:p>
      <w:pPr>
        <w:pStyle w:val="0"/>
        <w:tabs>
          <w:tab w:val="left" w:leader="none" w:pos="840"/>
          <w:tab w:val="left" w:leader="middleDot" w:pos="7980"/>
          <w:tab w:val="left" w:leader="none" w:pos="8295"/>
        </w:tabs>
        <w:spacing w:line="480" w:lineRule="exact"/>
        <w:rPr>
          <w:rFonts w:hint="default" w:asciiTheme="minorEastAsia" w:hAnsiTheme="minorEastAsia"/>
        </w:rPr>
      </w:pPr>
      <w:r>
        <w:rPr>
          <w:rFonts w:hint="default" w:asciiTheme="minorEastAsia" w:hAnsiTheme="minorEastAsia"/>
        </w:rPr>
        <w:tab/>
      </w:r>
      <w:r>
        <w:rPr>
          <w:rFonts w:hint="eastAsia" w:asciiTheme="minorEastAsia" w:hAnsiTheme="minorEastAsia"/>
        </w:rPr>
        <w:t>〔２〕南海トラフ地震対策について</w:t>
      </w:r>
      <w:r>
        <w:rPr>
          <w:rFonts w:hint="default" w:asciiTheme="minorEastAsia" w:hAnsiTheme="minorEastAsia"/>
        </w:rPr>
        <w:tab/>
      </w:r>
      <w:r>
        <w:rPr>
          <w:rFonts w:hint="default" w:asciiTheme="minorEastAsia" w:hAnsiTheme="minorEastAsia"/>
        </w:rPr>
        <w:tab/>
      </w:r>
      <w:r>
        <w:rPr>
          <w:rFonts w:hint="eastAsia" w:asciiTheme="minorEastAsia" w:hAnsiTheme="minorEastAsia"/>
        </w:rPr>
        <w:t>38</w:t>
      </w:r>
    </w:p>
    <w:p>
      <w:pPr>
        <w:pStyle w:val="0"/>
        <w:tabs>
          <w:tab w:val="left" w:leader="none" w:pos="840"/>
          <w:tab w:val="left" w:leader="middleDot" w:pos="7980"/>
          <w:tab w:val="left" w:leader="none" w:pos="8190"/>
        </w:tabs>
        <w:spacing w:line="480" w:lineRule="exact"/>
        <w:rPr>
          <w:rFonts w:hint="default" w:asciiTheme="minorEastAsia" w:hAnsiTheme="minorEastAsia"/>
        </w:rPr>
      </w:pPr>
      <w:r>
        <w:rPr>
          <w:rFonts w:hint="eastAsia" w:asciiTheme="minorEastAsia" w:hAnsiTheme="minorEastAsia"/>
        </w:rPr>
        <w:tab/>
      </w:r>
      <w:r>
        <w:rPr>
          <w:rFonts w:hint="eastAsia" w:ascii="ＭＳ 明朝" w:hAnsi="ＭＳ 明朝" w:eastAsia="ＭＳ 明朝"/>
        </w:rPr>
        <w:t>〔３〕障害者差別解消について</w:t>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10</w:t>
      </w:r>
      <w:r>
        <w:rPr>
          <w:rFonts w:hint="default" w:ascii="ＭＳ 明朝" w:hAnsi="ＭＳ 明朝" w:eastAsia="ＭＳ 明朝"/>
        </w:rPr>
        <w:t>4</w:t>
      </w:r>
    </w:p>
    <w:p>
      <w:pPr>
        <w:pStyle w:val="0"/>
        <w:tabs>
          <w:tab w:val="left" w:leader="none" w:pos="840"/>
          <w:tab w:val="left" w:leader="middleDot" w:pos="7980"/>
          <w:tab w:val="left" w:leader="none" w:pos="8190"/>
        </w:tabs>
        <w:spacing w:line="480" w:lineRule="exact"/>
        <w:rPr>
          <w:rFonts w:hint="default" w:asciiTheme="minorEastAsia" w:hAnsiTheme="minorEastAsia"/>
        </w:rPr>
      </w:pPr>
      <w:r>
        <w:rPr>
          <w:rFonts w:hint="default" w:asciiTheme="minorEastAsia" w:hAnsiTheme="minorEastAsia"/>
        </w:rPr>
        <w:tab/>
      </w:r>
      <w:r>
        <w:rPr>
          <w:rFonts w:hint="eastAsia" w:asciiTheme="minorEastAsia" w:hAnsiTheme="minorEastAsia"/>
        </w:rPr>
        <w:t>〔４〕第３期産業振興計画</w:t>
      </w:r>
      <w:r>
        <w:rPr>
          <w:rFonts w:hint="eastAsia" w:asciiTheme="minorEastAsia" w:hAnsiTheme="minorEastAsia"/>
        </w:rPr>
        <w:t>ver.</w:t>
      </w:r>
      <w:r>
        <w:rPr>
          <w:rFonts w:hint="eastAsia" w:asciiTheme="minorEastAsia" w:hAnsiTheme="minorEastAsia"/>
        </w:rPr>
        <w:t>４について</w:t>
      </w:r>
      <w:r>
        <w:rPr>
          <w:rFonts w:hint="default" w:asciiTheme="minorEastAsia" w:hAnsiTheme="minorEastAsia"/>
        </w:rPr>
        <w:tab/>
      </w:r>
      <w:r>
        <w:rPr>
          <w:rFonts w:hint="default" w:asciiTheme="minorEastAsia" w:hAnsiTheme="minorEastAsia"/>
        </w:rPr>
        <w:tab/>
      </w:r>
      <w:r>
        <w:rPr>
          <w:rFonts w:hint="eastAsia" w:asciiTheme="minorEastAsia" w:hAnsiTheme="minorEastAsia"/>
        </w:rPr>
        <w:t>12</w:t>
      </w:r>
      <w:r>
        <w:rPr>
          <w:rFonts w:hint="default" w:asciiTheme="minorEastAsia" w:hAnsiTheme="minorEastAsia"/>
        </w:rPr>
        <w:t>4</w:t>
      </w:r>
    </w:p>
    <w:p>
      <w:pPr>
        <w:pStyle w:val="0"/>
        <w:tabs>
          <w:tab w:val="left" w:leader="none" w:pos="840"/>
          <w:tab w:val="left" w:leader="middleDot" w:pos="7980"/>
          <w:tab w:val="left" w:leader="none" w:pos="8190"/>
        </w:tabs>
        <w:spacing w:line="480" w:lineRule="exact"/>
        <w:ind w:left="210" w:hanging="210" w:hangingChars="100"/>
        <w:rPr>
          <w:rFonts w:hint="default" w:asciiTheme="minorEastAsia" w:hAnsiTheme="minorEastAsia"/>
        </w:rPr>
      </w:pPr>
      <w:r>
        <w:rPr>
          <w:rFonts w:hint="default" w:asciiTheme="minorEastAsia" w:hAnsiTheme="minorEastAsia"/>
        </w:rPr>
        <w:tab/>
      </w:r>
      <w:r>
        <w:rPr>
          <w:rFonts w:hint="default" w:asciiTheme="minorEastAsia" w:hAnsiTheme="minorEastAsia"/>
        </w:rPr>
        <w:tab/>
      </w:r>
      <w:r>
        <w:rPr>
          <w:rFonts w:hint="eastAsia" w:asciiTheme="minorEastAsia" w:hAnsiTheme="minorEastAsia"/>
        </w:rPr>
        <w:t>〔５〕暮らしと環境、地球温暖化について</w:t>
      </w:r>
      <w:r>
        <w:rPr>
          <w:rFonts w:hint="default" w:asciiTheme="minorEastAsia" w:hAnsiTheme="minorEastAsia"/>
        </w:rPr>
        <w:tab/>
      </w:r>
      <w:r>
        <w:rPr>
          <w:rFonts w:hint="default" w:asciiTheme="minorEastAsia" w:hAnsiTheme="minorEastAsia"/>
        </w:rPr>
        <w:tab/>
      </w:r>
      <w:r>
        <w:rPr>
          <w:rFonts w:hint="eastAsia" w:asciiTheme="minorEastAsia" w:hAnsiTheme="minorEastAsia"/>
        </w:rPr>
        <w:t>13</w:t>
      </w:r>
      <w:r>
        <w:rPr>
          <w:rFonts w:hint="default" w:asciiTheme="minorEastAsia" w:hAnsiTheme="minorEastAsia"/>
        </w:rPr>
        <w:t>0</w:t>
      </w:r>
    </w:p>
    <w:p>
      <w:pPr>
        <w:pStyle w:val="0"/>
        <w:tabs>
          <w:tab w:val="left" w:leader="none" w:pos="840"/>
          <w:tab w:val="left" w:leader="middleDot" w:pos="7980"/>
          <w:tab w:val="left" w:leader="none" w:pos="8190"/>
        </w:tabs>
        <w:spacing w:line="480" w:lineRule="exact"/>
        <w:rPr>
          <w:rFonts w:hint="default" w:asciiTheme="minorEastAsia" w:hAnsiTheme="minorEastAsia"/>
        </w:rPr>
      </w:pPr>
      <w:r>
        <w:rPr>
          <w:rFonts w:hint="eastAsia" w:asciiTheme="minorEastAsia" w:hAnsiTheme="minorEastAsia"/>
        </w:rPr>
        <w:tab/>
      </w:r>
      <w:r>
        <w:rPr>
          <w:rFonts w:hint="eastAsia" w:asciiTheme="minorEastAsia" w:hAnsiTheme="minorEastAsia"/>
        </w:rPr>
        <w:t>〔６〕</w:t>
      </w:r>
      <w:bookmarkStart w:id="0" w:name="_Hlk22564983"/>
      <w:r>
        <w:rPr>
          <w:rFonts w:hint="eastAsia" w:asciiTheme="minorEastAsia" w:hAnsiTheme="minorEastAsia"/>
        </w:rPr>
        <w:t>特殊詐欺について</w:t>
      </w:r>
      <w:bookmarkEnd w:id="0"/>
      <w:r>
        <w:rPr>
          <w:rFonts w:hint="default" w:asciiTheme="minorEastAsia" w:hAnsiTheme="minorEastAsia"/>
        </w:rPr>
        <w:tab/>
      </w:r>
      <w:r>
        <w:rPr>
          <w:rFonts w:hint="default" w:asciiTheme="minorEastAsia" w:hAnsiTheme="minorEastAsia"/>
        </w:rPr>
        <w:tab/>
      </w:r>
      <w:r>
        <w:rPr>
          <w:rFonts w:hint="eastAsia" w:asciiTheme="minorEastAsia" w:hAnsiTheme="minorEastAsia"/>
        </w:rPr>
        <w:t>16</w:t>
      </w:r>
      <w:r>
        <w:rPr>
          <w:rFonts w:hint="default" w:asciiTheme="minorEastAsia" w:hAnsiTheme="minorEastAsia"/>
        </w:rPr>
        <w:t>2</w:t>
      </w:r>
    </w:p>
    <w:p>
      <w:pPr>
        <w:pStyle w:val="0"/>
        <w:tabs>
          <w:tab w:val="left" w:leader="none" w:pos="840"/>
          <w:tab w:val="left" w:leader="middleDot" w:pos="7980"/>
          <w:tab w:val="left" w:leader="none" w:pos="8190"/>
        </w:tabs>
        <w:spacing w:line="480" w:lineRule="exact"/>
        <w:rPr>
          <w:rFonts w:hint="default" w:asciiTheme="minorEastAsia" w:hAnsiTheme="minorEastAsia"/>
        </w:rPr>
      </w:pPr>
      <w:r>
        <w:rPr>
          <w:rFonts w:hint="eastAsia" w:asciiTheme="minorEastAsia" w:hAnsiTheme="minorEastAsia"/>
        </w:rPr>
        <w:tab/>
      </w:r>
      <w:r>
        <w:rPr>
          <w:rFonts w:hint="eastAsia" w:asciiTheme="minorEastAsia" w:hAnsiTheme="minorEastAsia"/>
        </w:rPr>
        <w:t>〔７〕集落活動センターについて</w:t>
      </w:r>
      <w:r>
        <w:rPr>
          <w:rFonts w:hint="default" w:asciiTheme="minorEastAsia" w:hAnsiTheme="minorEastAsia"/>
        </w:rPr>
        <w:tab/>
      </w:r>
      <w:r>
        <w:rPr>
          <w:rFonts w:hint="default" w:asciiTheme="minorEastAsia" w:hAnsiTheme="minorEastAsia"/>
        </w:rPr>
        <w:tab/>
      </w:r>
      <w:r>
        <w:rPr>
          <w:rFonts w:hint="default" w:asciiTheme="minorEastAsia" w:hAnsiTheme="minorEastAsia"/>
        </w:rPr>
        <w:t>199</w:t>
      </w:r>
    </w:p>
    <w:p>
      <w:pPr>
        <w:pStyle w:val="0"/>
        <w:tabs>
          <w:tab w:val="left" w:leader="none" w:pos="483"/>
          <w:tab w:val="left" w:leader="middleDot" w:pos="7560"/>
          <w:tab w:val="left" w:leader="middleDot" w:pos="7980"/>
          <w:tab w:val="left" w:leader="none" w:pos="8820"/>
          <w:tab w:val="right" w:leader="none" w:pos="9345"/>
        </w:tabs>
        <w:rPr>
          <w:rFonts w:hint="default" w:asciiTheme="minorEastAsia" w:hAnsiTheme="minorEastAsia"/>
          <w:sz w:val="20"/>
        </w:rPr>
      </w:pPr>
    </w:p>
    <w:p>
      <w:pPr>
        <w:pStyle w:val="0"/>
        <w:tabs>
          <w:tab w:val="left" w:leader="none" w:pos="483"/>
          <w:tab w:val="left" w:leader="middleDot" w:pos="7980"/>
          <w:tab w:val="left" w:leader="none" w:pos="8160"/>
        </w:tabs>
        <w:spacing w:line="480" w:lineRule="exact"/>
        <w:ind w:firstLine="482" w:firstLineChars="200"/>
        <w:rPr>
          <w:rFonts w:hint="default" w:asciiTheme="minorEastAsia" w:hAnsiTheme="minorEastAsia"/>
          <w:b w:val="1"/>
          <w:sz w:val="24"/>
          <w:shd w:val="pct15" w:color="auto" w:fill="FFFFFF"/>
        </w:rPr>
      </w:pPr>
      <w:r>
        <w:rPr>
          <w:rFonts w:hint="eastAsia" w:asciiTheme="minorEastAsia" w:hAnsiTheme="minorEastAsia"/>
          <w:b w:val="1"/>
          <w:sz w:val="24"/>
          <w:shd w:val="pct15" w:color="auto" w:fill="FFFFFF"/>
        </w:rPr>
        <w:t>Ⅴ　調査結果〔数表〕</w:t>
      </w:r>
      <w:r>
        <w:rPr>
          <w:rFonts w:hint="eastAsia" w:asciiTheme="minorEastAsia" w:hAnsiTheme="minorEastAsia"/>
          <w:b w:val="1"/>
          <w:sz w:val="24"/>
          <w:shd w:val="pct15" w:color="auto" w:fill="FFFFFF"/>
        </w:rPr>
        <w:tab/>
      </w:r>
      <w:r>
        <w:rPr>
          <w:rFonts w:hint="eastAsia" w:asciiTheme="minorEastAsia" w:hAnsiTheme="minorEastAsia"/>
          <w:b w:val="1"/>
          <w:sz w:val="24"/>
          <w:shd w:val="pct15" w:color="auto" w:fill="FFFFFF"/>
        </w:rPr>
        <w:tab/>
      </w:r>
      <w:r>
        <w:rPr>
          <w:rFonts w:hint="eastAsia" w:asciiTheme="minorEastAsia" w:hAnsiTheme="minorEastAsia"/>
          <w:b w:val="1"/>
          <w:sz w:val="24"/>
          <w:shd w:val="pct15" w:color="auto" w:fill="FFFFFF"/>
        </w:rPr>
        <w:t>20</w:t>
      </w:r>
      <w:r>
        <w:rPr>
          <w:rFonts w:hint="default" w:asciiTheme="minorEastAsia" w:hAnsiTheme="minorEastAsia"/>
          <w:b w:val="1"/>
          <w:sz w:val="24"/>
          <w:shd w:val="pct15" w:color="auto" w:fill="FFFFFF"/>
        </w:rPr>
        <w:t>7</w:t>
      </w:r>
    </w:p>
    <w:p>
      <w:pPr>
        <w:pStyle w:val="0"/>
        <w:tabs>
          <w:tab w:val="left" w:leader="middleDot" w:pos="7560"/>
          <w:tab w:val="left" w:leader="middleDot" w:pos="7980"/>
          <w:tab w:val="left" w:leader="none" w:pos="8820"/>
          <w:tab w:val="right" w:leader="none" w:pos="9345"/>
        </w:tabs>
        <w:rPr>
          <w:rFonts w:hint="default" w:asciiTheme="minorEastAsia" w:hAnsiTheme="minorEastAsia"/>
        </w:rPr>
      </w:pPr>
    </w:p>
    <w:p>
      <w:pPr>
        <w:pStyle w:val="0"/>
        <w:tabs>
          <w:tab w:val="left" w:leader="none" w:pos="483"/>
          <w:tab w:val="left" w:leader="middleDot" w:pos="7980"/>
          <w:tab w:val="left" w:leader="none" w:pos="8160"/>
        </w:tabs>
        <w:spacing w:line="480" w:lineRule="exact"/>
        <w:ind w:firstLine="482" w:firstLineChars="200"/>
        <w:rPr>
          <w:rFonts w:hint="default" w:asciiTheme="minorEastAsia" w:hAnsiTheme="minorEastAsia"/>
          <w:b w:val="1"/>
          <w:sz w:val="24"/>
          <w:shd w:val="pct15" w:color="auto" w:fill="FFFFFF"/>
        </w:rPr>
      </w:pPr>
      <w:r>
        <w:rPr>
          <w:rFonts w:hint="eastAsia" w:asciiTheme="minorEastAsia" w:hAnsiTheme="minorEastAsia"/>
          <w:b w:val="1"/>
          <w:sz w:val="24"/>
          <w:shd w:val="pct15" w:color="auto" w:fill="FFFFFF"/>
        </w:rPr>
        <w:t>Ⅵ　調査票〔単純集計結果〕</w:t>
      </w:r>
      <w:r>
        <w:rPr>
          <w:rFonts w:hint="eastAsia" w:asciiTheme="minorEastAsia" w:hAnsiTheme="minorEastAsia"/>
          <w:b w:val="1"/>
          <w:sz w:val="24"/>
          <w:shd w:val="pct15" w:color="auto" w:fill="FFFFFF"/>
        </w:rPr>
        <w:tab/>
      </w:r>
      <w:r>
        <w:rPr>
          <w:rFonts w:hint="eastAsia" w:asciiTheme="minorEastAsia" w:hAnsiTheme="minorEastAsia"/>
          <w:b w:val="1"/>
          <w:sz w:val="24"/>
          <w:shd w:val="pct15" w:color="auto" w:fill="FFFFFF"/>
        </w:rPr>
        <w:tab/>
      </w:r>
      <w:r>
        <w:rPr>
          <w:rFonts w:hint="eastAsia" w:asciiTheme="minorEastAsia" w:hAnsiTheme="minorEastAsia"/>
          <w:b w:val="1"/>
          <w:sz w:val="24"/>
          <w:shd w:val="pct15" w:color="auto" w:fill="FFFFFF"/>
        </w:rPr>
        <w:t>28</w:t>
      </w:r>
      <w:r>
        <w:rPr>
          <w:rFonts w:hint="default" w:asciiTheme="minorEastAsia" w:hAnsiTheme="minorEastAsia"/>
          <w:b w:val="1"/>
          <w:sz w:val="24"/>
          <w:shd w:val="pct15" w:color="auto" w:fill="FFFFFF"/>
        </w:rPr>
        <w:t>3</w:t>
      </w:r>
    </w:p>
    <w:p>
      <w:pPr>
        <w:pStyle w:val="0"/>
        <w:tabs>
          <w:tab w:val="left" w:leader="none" w:pos="483"/>
          <w:tab w:val="left" w:leader="middleDot" w:pos="7560"/>
          <w:tab w:val="right" w:leader="none" w:pos="7980"/>
          <w:tab w:val="left" w:leader="middleDot" w:pos="8820"/>
          <w:tab w:val="right" w:leader="none" w:pos="9345"/>
        </w:tabs>
        <w:spacing w:line="360" w:lineRule="auto"/>
        <w:rPr>
          <w:rFonts w:hint="default" w:asciiTheme="minorEastAsia" w:hAnsiTheme="minorEastAsia"/>
          <w:sz w:val="18"/>
        </w:rPr>
      </w:pPr>
      <w:r>
        <w:rPr>
          <w:rFonts w:hint="eastAsia"/>
        </w:rPr>
        <w:br w:type="page"/>
      </w:r>
    </w:p>
    <w:p>
      <w:pPr>
        <w:pStyle w:val="1"/>
        <w:spacing w:line="380" w:lineRule="exact"/>
        <w:ind w:left="0" w:leftChars="0"/>
        <w:rPr>
          <w:rFonts w:hint="default"/>
        </w:rPr>
      </w:pPr>
      <w:bookmarkStart w:id="1" w:name="_Toc331449304"/>
      <w:bookmarkStart w:id="2" w:name="_Toc331449306"/>
      <w:r>
        <w:rPr>
          <w:rFonts w:hint="eastAsia"/>
        </w:rPr>
        <w:t>Ⅰ　調査の設計</w:t>
      </w:r>
    </w:p>
    <w:p>
      <w:pPr>
        <w:pStyle w:val="0"/>
        <w:spacing w:line="380" w:lineRule="exact"/>
        <w:ind w:left="420" w:firstLine="565"/>
        <w:rPr>
          <w:rFonts w:hint="default"/>
          <w:sz w:val="22"/>
        </w:rPr>
      </w:pPr>
    </w:p>
    <w:p>
      <w:pPr>
        <w:pStyle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１．調査の目的</w:t>
      </w:r>
    </w:p>
    <w:p>
      <w:pPr>
        <w:pStyle w:val="0"/>
        <w:spacing w:line="380" w:lineRule="exact"/>
        <w:ind w:left="420"/>
        <w:rPr>
          <w:rFonts w:hint="default"/>
          <w:sz w:val="22"/>
        </w:rPr>
      </w:pPr>
      <w:r>
        <w:rPr>
          <w:rFonts w:hint="eastAsia"/>
          <w:sz w:val="22"/>
        </w:rPr>
        <w:t>この調査は、県民のニーズ・意識などを把握し、県政運営上の基礎資料を得ることを目的とする。</w:t>
      </w:r>
    </w:p>
    <w:p>
      <w:pPr>
        <w:pStyle w:val="0"/>
        <w:autoSpaceDE w:val="0"/>
        <w:autoSpaceDN w:val="0"/>
        <w:spacing w:line="380" w:lineRule="exact"/>
        <w:ind w:left="440" w:leftChars="0" w:hanging="440" w:hangingChars="200"/>
        <w:rPr>
          <w:rFonts w:hint="default"/>
          <w:sz w:val="22"/>
        </w:rPr>
      </w:pPr>
    </w:p>
    <w:p>
      <w:pPr>
        <w:pStyle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２．調査の事項</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r>
        <w:rPr>
          <w:rFonts w:hint="eastAsia"/>
          <w:sz w:val="22"/>
        </w:rPr>
        <w:t>（１）県の基本政策について</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r>
        <w:rPr>
          <w:rFonts w:hint="eastAsia"/>
          <w:sz w:val="22"/>
        </w:rPr>
        <w:t>（２）南海トラフ地震対策について</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r>
        <w:rPr>
          <w:rFonts w:hint="eastAsia"/>
          <w:sz w:val="22"/>
        </w:rPr>
        <w:t>（３）障害者差別解消について</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r>
        <w:rPr>
          <w:rFonts w:hint="eastAsia"/>
          <w:sz w:val="22"/>
        </w:rPr>
        <w:t>（４）第３期産業振興計画</w:t>
      </w:r>
      <w:r>
        <w:rPr>
          <w:rFonts w:hint="eastAsia"/>
          <w:sz w:val="22"/>
        </w:rPr>
        <w:t>ver.</w:t>
      </w:r>
      <w:r>
        <w:rPr>
          <w:rFonts w:hint="eastAsia"/>
          <w:sz w:val="22"/>
        </w:rPr>
        <w:t>４について</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r>
        <w:rPr>
          <w:rFonts w:hint="eastAsia"/>
          <w:sz w:val="22"/>
        </w:rPr>
        <w:t>（５）暮らしと環境、地球温暖化について</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r>
        <w:rPr>
          <w:rFonts w:hint="eastAsia"/>
          <w:sz w:val="22"/>
        </w:rPr>
        <w:t>（６）特殊詐欺について</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r>
        <w:rPr>
          <w:rFonts w:hint="eastAsia"/>
          <w:sz w:val="22"/>
        </w:rPr>
        <w:t>（７）集落活動センターについて</w:t>
      </w:r>
    </w:p>
    <w:p>
      <w:pPr>
        <w:pStyle w:val="0"/>
        <w:tabs>
          <w:tab w:val="left" w:leader="middleDot" w:pos="7938"/>
          <w:tab w:val="left" w:leader="middleDot" w:pos="7980"/>
          <w:tab w:val="right" w:leader="none" w:pos="8400"/>
          <w:tab w:val="left" w:leader="middleDot" w:pos="8925"/>
          <w:tab w:val="left" w:leader="middleDot" w:pos="9030"/>
          <w:tab w:val="right" w:leader="none" w:pos="9450"/>
        </w:tabs>
        <w:overflowPunct w:val="0"/>
        <w:autoSpaceDE w:val="0"/>
        <w:autoSpaceDN w:val="0"/>
        <w:spacing w:line="380" w:lineRule="exact"/>
        <w:ind w:left="199" w:leftChars="95"/>
        <w:textAlignment w:val="baseline"/>
        <w:rPr>
          <w:rFonts w:hint="default"/>
          <w:sz w:val="22"/>
        </w:rPr>
      </w:pPr>
    </w:p>
    <w:p>
      <w:pPr>
        <w:pStyle w:val="0"/>
        <w:autoSpaceDE w:val="0"/>
        <w:autoSpaceDN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３．調査の対象</w:t>
      </w:r>
    </w:p>
    <w:p>
      <w:pPr>
        <w:pStyle w:val="0"/>
        <w:autoSpaceDE w:val="0"/>
        <w:autoSpaceDN w:val="0"/>
        <w:spacing w:line="380" w:lineRule="exact"/>
        <w:ind w:left="0" w:leftChars="0" w:firstLine="440" w:firstLineChars="200"/>
        <w:rPr>
          <w:rFonts w:hint="default"/>
          <w:sz w:val="22"/>
        </w:rPr>
      </w:pPr>
      <w:r>
        <w:rPr>
          <w:rFonts w:hint="eastAsia"/>
          <w:sz w:val="22"/>
        </w:rPr>
        <w:t>県内全域から１８歳以上の県民３，０００人を抽出（各市町村の「選挙人名簿」より）</w:t>
      </w:r>
    </w:p>
    <w:p>
      <w:pPr>
        <w:pStyle w:val="0"/>
        <w:autoSpaceDE w:val="0"/>
        <w:autoSpaceDN w:val="0"/>
        <w:spacing w:line="380" w:lineRule="exact"/>
        <w:ind w:left="420"/>
        <w:rPr>
          <w:rFonts w:hint="default"/>
          <w:sz w:val="22"/>
        </w:rPr>
      </w:pPr>
    </w:p>
    <w:p>
      <w:pPr>
        <w:pStyle w:val="0"/>
        <w:autoSpaceDE w:val="0"/>
        <w:autoSpaceDN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４．対象者の抽出方法</w:t>
      </w:r>
    </w:p>
    <w:p>
      <w:pPr>
        <w:pStyle w:val="0"/>
        <w:autoSpaceDE w:val="0"/>
        <w:autoSpaceDN w:val="0"/>
        <w:spacing w:line="380" w:lineRule="exact"/>
        <w:ind w:left="0" w:leftChars="0" w:firstLine="440" w:firstLineChars="200"/>
        <w:rPr>
          <w:rFonts w:hint="default"/>
          <w:sz w:val="22"/>
        </w:rPr>
      </w:pPr>
      <w:r>
        <w:rPr>
          <w:rFonts w:hint="eastAsia"/>
          <w:sz w:val="22"/>
        </w:rPr>
        <w:t>層化二段無作為抽出法</w:t>
      </w:r>
    </w:p>
    <w:p>
      <w:pPr>
        <w:pStyle w:val="0"/>
        <w:autoSpaceDE w:val="0"/>
        <w:autoSpaceDN w:val="0"/>
        <w:spacing w:line="380" w:lineRule="exact"/>
        <w:ind w:left="420"/>
        <w:rPr>
          <w:rFonts w:hint="default"/>
          <w:sz w:val="22"/>
        </w:rPr>
      </w:pPr>
    </w:p>
    <w:p>
      <w:pPr>
        <w:pStyle w:val="0"/>
        <w:autoSpaceDE w:val="0"/>
        <w:autoSpaceDN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５．調査の方法</w:t>
      </w:r>
    </w:p>
    <w:p>
      <w:pPr>
        <w:pStyle w:val="0"/>
        <w:autoSpaceDE w:val="0"/>
        <w:autoSpaceDN w:val="0"/>
        <w:spacing w:line="380" w:lineRule="exact"/>
        <w:ind w:left="0" w:leftChars="0" w:firstLine="440" w:firstLineChars="200"/>
        <w:rPr>
          <w:rFonts w:hint="default"/>
          <w:sz w:val="22"/>
        </w:rPr>
      </w:pPr>
      <w:r>
        <w:rPr>
          <w:rFonts w:hint="eastAsia"/>
          <w:sz w:val="22"/>
        </w:rPr>
        <w:t>郵送法</w:t>
      </w:r>
    </w:p>
    <w:p>
      <w:pPr>
        <w:pStyle w:val="0"/>
        <w:autoSpaceDE w:val="0"/>
        <w:autoSpaceDN w:val="0"/>
        <w:spacing w:line="380" w:lineRule="exact"/>
        <w:ind w:left="420"/>
        <w:rPr>
          <w:rFonts w:hint="default"/>
          <w:sz w:val="22"/>
        </w:rPr>
      </w:pPr>
    </w:p>
    <w:p>
      <w:pPr>
        <w:pStyle w:val="0"/>
        <w:autoSpaceDE w:val="0"/>
        <w:autoSpaceDN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６．調査の期間</w:t>
      </w:r>
    </w:p>
    <w:p>
      <w:pPr>
        <w:pStyle w:val="0"/>
        <w:autoSpaceDE w:val="0"/>
        <w:autoSpaceDN w:val="0"/>
        <w:spacing w:line="380" w:lineRule="exact"/>
        <w:ind w:left="0" w:leftChars="0" w:firstLine="440" w:firstLineChars="200"/>
        <w:rPr>
          <w:rFonts w:hint="default"/>
          <w:sz w:val="22"/>
        </w:rPr>
      </w:pPr>
      <w:r>
        <w:rPr>
          <w:rFonts w:hint="eastAsia"/>
          <w:sz w:val="22"/>
        </w:rPr>
        <w:t>令和元年８月２８日（水）～９月２０日（金）までの２４日間</w:t>
      </w:r>
    </w:p>
    <w:p>
      <w:pPr>
        <w:pStyle w:val="0"/>
        <w:autoSpaceDE w:val="0"/>
        <w:autoSpaceDN w:val="0"/>
        <w:spacing w:line="380" w:lineRule="exact"/>
        <w:ind w:left="0" w:leftChars="0"/>
        <w:rPr>
          <w:rFonts w:hint="default" w:asciiTheme="majorEastAsia" w:hAnsiTheme="majorEastAsia" w:eastAsiaTheme="majorEastAsia"/>
          <w:sz w:val="24"/>
        </w:rPr>
      </w:pPr>
    </w:p>
    <w:p>
      <w:pPr>
        <w:pStyle w:val="0"/>
        <w:autoSpaceDE w:val="0"/>
        <w:autoSpaceDN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７．実査および集計</w:t>
      </w:r>
    </w:p>
    <w:p>
      <w:pPr>
        <w:pStyle w:val="0"/>
        <w:autoSpaceDE w:val="0"/>
        <w:autoSpaceDN w:val="0"/>
        <w:spacing w:line="380" w:lineRule="exact"/>
        <w:ind w:left="0" w:leftChars="0" w:firstLine="440" w:firstLineChars="200"/>
        <w:rPr>
          <w:rFonts w:hint="default"/>
          <w:sz w:val="22"/>
        </w:rPr>
      </w:pPr>
      <w:r>
        <w:rPr>
          <w:rFonts w:hint="eastAsia"/>
          <w:sz w:val="22"/>
        </w:rPr>
        <w:t>株式会社　トミーコーポレーション</w:t>
      </w:r>
    </w:p>
    <w:p>
      <w:pPr>
        <w:pStyle w:val="0"/>
        <w:autoSpaceDE w:val="0"/>
        <w:autoSpaceDN w:val="0"/>
        <w:spacing w:line="380" w:lineRule="exact"/>
        <w:ind w:left="0" w:leftChars="0"/>
        <w:rPr>
          <w:rFonts w:hint="default"/>
          <w:sz w:val="22"/>
        </w:rPr>
      </w:pPr>
    </w:p>
    <w:p>
      <w:pPr>
        <w:pStyle w:val="0"/>
        <w:autoSpaceDE w:val="0"/>
        <w:autoSpaceDN w:val="0"/>
        <w:spacing w:line="380" w:lineRule="exact"/>
        <w:ind w:left="0" w:leftChars="0"/>
        <w:rPr>
          <w:rFonts w:hint="default" w:asciiTheme="majorEastAsia" w:hAnsiTheme="majorEastAsia" w:eastAsiaTheme="majorEastAsia"/>
          <w:sz w:val="24"/>
        </w:rPr>
      </w:pPr>
      <w:r>
        <w:rPr>
          <w:rFonts w:hint="eastAsia" w:asciiTheme="majorEastAsia" w:hAnsiTheme="majorEastAsia" w:eastAsiaTheme="majorEastAsia"/>
          <w:sz w:val="24"/>
        </w:rPr>
        <w:t>８．調査票配布数と回収状況</w:t>
      </w:r>
    </w:p>
    <w:p>
      <w:pPr>
        <w:pStyle w:val="0"/>
        <w:autoSpaceDE w:val="0"/>
        <w:autoSpaceDN w:val="0"/>
        <w:spacing w:line="380" w:lineRule="exact"/>
        <w:ind w:left="0" w:leftChars="0" w:firstLine="440" w:firstLineChars="200"/>
        <w:rPr>
          <w:rFonts w:hint="default" w:asciiTheme="majorEastAsia" w:hAnsiTheme="majorEastAsia" w:eastAsiaTheme="majorEastAsia"/>
          <w:sz w:val="22"/>
        </w:rPr>
      </w:pPr>
      <w:r>
        <w:rPr>
          <w:rFonts w:hint="eastAsia"/>
          <w:sz w:val="22"/>
        </w:rPr>
        <w:t>配　布　数　　３，０００票</w:t>
      </w:r>
    </w:p>
    <w:p>
      <w:pPr>
        <w:pStyle w:val="0"/>
        <w:autoSpaceDE w:val="0"/>
        <w:autoSpaceDN w:val="0"/>
        <w:spacing w:line="380" w:lineRule="exact"/>
        <w:ind w:left="0" w:leftChars="0" w:firstLine="440" w:firstLineChars="200"/>
        <w:rPr>
          <w:rFonts w:hint="default"/>
          <w:sz w:val="22"/>
        </w:rPr>
      </w:pPr>
      <w:r>
        <w:rPr>
          <w:rFonts w:hint="eastAsia"/>
          <w:sz w:val="22"/>
        </w:rPr>
        <w:t>有効回収数　　１，７１８票（有効回収率　５７．３％）</w:t>
      </w:r>
      <w:r>
        <w:rPr>
          <w:rFonts w:hint="default"/>
          <w:sz w:val="22"/>
        </w:rPr>
        <w:br w:type="page"/>
      </w:r>
    </w:p>
    <w:p>
      <w:pPr>
        <w:pStyle w:val="1"/>
        <w:spacing w:line="360" w:lineRule="exact"/>
        <w:ind w:left="420"/>
        <w:rPr>
          <w:rFonts w:hint="default"/>
        </w:rPr>
      </w:pPr>
      <w:bookmarkStart w:id="3" w:name="_Toc331449305"/>
      <w:r>
        <w:rPr>
          <w:rFonts w:hint="eastAsia"/>
        </w:rPr>
        <w:t>Ⅱ　調査結果の見方</w:t>
      </w:r>
    </w:p>
    <w:p>
      <w:pPr>
        <w:pStyle w:val="0"/>
        <w:spacing w:line="360" w:lineRule="exact"/>
        <w:ind w:left="420"/>
        <w:jc w:val="center"/>
        <w:rPr>
          <w:rFonts w:hint="default"/>
        </w:rPr>
      </w:pPr>
    </w:p>
    <w:p>
      <w:pPr>
        <w:pStyle w:val="0"/>
        <w:autoSpaceDN w:val="0"/>
        <w:spacing w:line="360" w:lineRule="exact"/>
        <w:ind w:left="220" w:leftChars="0" w:hanging="220" w:hangingChars="100"/>
        <w:rPr>
          <w:rFonts w:hint="default"/>
          <w:sz w:val="22"/>
        </w:rPr>
      </w:pPr>
      <w:r>
        <w:rPr>
          <w:rFonts w:hint="eastAsia"/>
          <w:sz w:val="22"/>
        </w:rPr>
        <w:t>１．「Ⅳ　調査結果〔解説・グラフ〕」は「Ⅴ　調査結果〔数表〕」に基づき、要点のみを記述してあるので、「Ⅴ　調査結果〔数表〕」をあわせて参照すること。</w:t>
      </w:r>
    </w:p>
    <w:p>
      <w:pPr>
        <w:pStyle w:val="0"/>
        <w:autoSpaceDN w:val="0"/>
        <w:spacing w:line="360" w:lineRule="exact"/>
        <w:ind w:left="420"/>
        <w:rPr>
          <w:rFonts w:hint="default"/>
          <w:sz w:val="22"/>
        </w:rPr>
      </w:pPr>
    </w:p>
    <w:p>
      <w:pPr>
        <w:pStyle w:val="0"/>
        <w:autoSpaceDN w:val="0"/>
        <w:spacing w:line="360" w:lineRule="exact"/>
        <w:ind w:left="220" w:leftChars="0" w:hanging="220" w:hangingChars="100"/>
        <w:rPr>
          <w:rFonts w:hint="default"/>
          <w:sz w:val="22"/>
        </w:rPr>
      </w:pPr>
      <w:r>
        <w:rPr>
          <w:rFonts w:hint="eastAsia"/>
          <w:sz w:val="22"/>
        </w:rPr>
        <w:t>２．「Ⅴ　調査結果〔数表〕」の「サンプル」は有効調査人数を示し、比率（％）算出の基礎となっている。</w:t>
      </w:r>
    </w:p>
    <w:p>
      <w:pPr>
        <w:pStyle w:val="0"/>
        <w:autoSpaceDN w:val="0"/>
        <w:spacing w:line="360" w:lineRule="exact"/>
        <w:ind w:left="420"/>
        <w:rPr>
          <w:rFonts w:hint="default"/>
          <w:sz w:val="22"/>
        </w:rPr>
      </w:pPr>
    </w:p>
    <w:p>
      <w:pPr>
        <w:pStyle w:val="0"/>
        <w:autoSpaceDN w:val="0"/>
        <w:spacing w:line="360" w:lineRule="exact"/>
        <w:ind w:left="220" w:leftChars="0" w:hanging="220" w:hangingChars="100"/>
        <w:rPr>
          <w:rFonts w:hint="default"/>
          <w:sz w:val="22"/>
        </w:rPr>
      </w:pPr>
      <w:r>
        <w:rPr>
          <w:rFonts w:hint="eastAsia"/>
          <w:sz w:val="22"/>
        </w:rPr>
        <w:t>３．「Ⅴ　調査結果〔数表〕」に記入してある数値は、回答人数又は各回答項目に対する回答率であり、回答率は下記の式により求めている。</w:t>
      </w:r>
    </w:p>
    <w:p>
      <w:pPr>
        <w:pStyle w:val="0"/>
        <w:autoSpaceDN w:val="0"/>
        <w:spacing w:line="360" w:lineRule="exact"/>
        <w:ind w:left="199" w:leftChars="95" w:firstLine="4180" w:firstLineChars="1900"/>
        <w:rPr>
          <w:rFonts w:hint="default"/>
          <w:sz w:val="22"/>
        </w:rPr>
      </w:pPr>
      <w:r>
        <w:rPr>
          <w:rFonts w:hint="eastAsia"/>
          <w:sz w:val="22"/>
        </w:rPr>
        <w:t>回答人数</w:t>
      </w:r>
    </w:p>
    <w:p>
      <w:pPr>
        <w:pStyle w:val="0"/>
        <w:autoSpaceDN w:val="0"/>
        <w:spacing w:line="240" w:lineRule="exact"/>
        <w:ind w:left="199" w:leftChars="95" w:firstLine="440" w:firstLineChars="200"/>
        <w:rPr>
          <w:rFonts w:hint="default"/>
          <w:sz w:val="22"/>
        </w:rPr>
      </w:pPr>
      <w:r>
        <w:rPr>
          <w:rFonts w:hint="eastAsia"/>
          <w:sz w:val="22"/>
        </w:rPr>
        <w:t>回答率（％）　＝　</w:t>
      </w:r>
      <w:r>
        <w:rPr>
          <w:rFonts w:hint="eastAsia"/>
          <w:strike w:val="1"/>
          <w:sz w:val="22"/>
        </w:rPr>
        <w:t>　　　　　　　　　　　　　　　　　　　　　</w:t>
      </w:r>
      <w:r>
        <w:rPr>
          <w:rFonts w:hint="eastAsia"/>
          <w:sz w:val="22"/>
        </w:rPr>
        <w:t>　×　１００</w:t>
      </w:r>
    </w:p>
    <w:p>
      <w:pPr>
        <w:pStyle w:val="0"/>
        <w:autoSpaceDN w:val="0"/>
        <w:spacing w:line="360" w:lineRule="exact"/>
        <w:ind w:left="199" w:leftChars="95" w:firstLine="3520" w:firstLineChars="1600"/>
        <w:rPr>
          <w:rFonts w:hint="default"/>
          <w:sz w:val="22"/>
        </w:rPr>
      </w:pPr>
      <w:r>
        <w:rPr>
          <w:rFonts w:hint="eastAsia"/>
          <w:sz w:val="22"/>
        </w:rPr>
        <w:t>サンプル（有効調査人数）</w:t>
      </w:r>
    </w:p>
    <w:p>
      <w:pPr>
        <w:pStyle w:val="0"/>
        <w:autoSpaceDN w:val="0"/>
        <w:spacing w:line="360" w:lineRule="exact"/>
        <w:ind w:left="199" w:leftChars="95" w:firstLine="220" w:firstLineChars="100"/>
        <w:rPr>
          <w:rFonts w:hint="default"/>
          <w:sz w:val="22"/>
        </w:rPr>
      </w:pPr>
      <w:r>
        <w:rPr>
          <w:rFonts w:hint="eastAsia"/>
          <w:sz w:val="22"/>
        </w:rPr>
        <w:t>なお、回答率は、小数第２位を四捨五入し、表示している。</w:t>
      </w:r>
    </w:p>
    <w:p>
      <w:pPr>
        <w:pStyle w:val="0"/>
        <w:autoSpaceDN w:val="0"/>
        <w:spacing w:line="360" w:lineRule="exact"/>
        <w:ind w:left="420"/>
        <w:rPr>
          <w:rFonts w:hint="default"/>
          <w:sz w:val="22"/>
        </w:rPr>
      </w:pPr>
    </w:p>
    <w:p>
      <w:pPr>
        <w:pStyle w:val="0"/>
        <w:autoSpaceDN w:val="0"/>
        <w:spacing w:line="360" w:lineRule="exact"/>
        <w:ind w:left="220" w:leftChars="0" w:hanging="220" w:hangingChars="100"/>
        <w:rPr>
          <w:rFonts w:hint="default"/>
          <w:sz w:val="22"/>
        </w:rPr>
      </w:pPr>
      <w:r>
        <w:rPr>
          <w:rFonts w:hint="eastAsia"/>
          <w:sz w:val="22"/>
        </w:rPr>
        <w:t>４．質問への回答方法は「１つだけ○印（どちらかに○印）」、「２つまで○印」、「３つまで○印」、「５つまで〇印」、「当てはまるものすべてに○印」などの方法を採用している。したがって、複数回答の質問は比率を合計すると</w:t>
      </w:r>
      <w:r>
        <w:rPr>
          <w:rFonts w:hint="eastAsia"/>
          <w:sz w:val="22"/>
        </w:rPr>
        <w:t>100</w:t>
      </w:r>
      <w:r>
        <w:rPr>
          <w:rFonts w:hint="eastAsia"/>
          <w:sz w:val="22"/>
        </w:rPr>
        <w:t>％以上になる。</w:t>
      </w:r>
    </w:p>
    <w:p>
      <w:pPr>
        <w:pStyle w:val="0"/>
        <w:autoSpaceDN w:val="0"/>
        <w:spacing w:line="360" w:lineRule="exact"/>
        <w:ind w:left="0" w:leftChars="0"/>
        <w:rPr>
          <w:rFonts w:hint="default"/>
          <w:sz w:val="22"/>
        </w:rPr>
      </w:pPr>
    </w:p>
    <w:p>
      <w:pPr>
        <w:pStyle w:val="0"/>
        <w:autoSpaceDN w:val="0"/>
        <w:spacing w:line="360" w:lineRule="exact"/>
        <w:ind w:left="0" w:leftChars="0"/>
        <w:rPr>
          <w:rFonts w:hint="default"/>
          <w:sz w:val="22"/>
        </w:rPr>
      </w:pPr>
      <w:r>
        <w:rPr>
          <w:rFonts w:hint="eastAsia"/>
          <w:sz w:val="22"/>
        </w:rPr>
        <w:t>５．副問については、該当者の人数を母数として回答率を算出した。</w:t>
      </w:r>
    </w:p>
    <w:p>
      <w:pPr>
        <w:pStyle w:val="0"/>
        <w:autoSpaceDN w:val="0"/>
        <w:spacing w:line="360" w:lineRule="exact"/>
        <w:ind w:left="0" w:leftChars="0"/>
        <w:rPr>
          <w:rFonts w:hint="default"/>
          <w:sz w:val="22"/>
        </w:rPr>
      </w:pPr>
    </w:p>
    <w:p>
      <w:pPr>
        <w:pStyle w:val="0"/>
        <w:autoSpaceDN w:val="0"/>
        <w:spacing w:line="360" w:lineRule="exact"/>
        <w:ind w:left="220" w:leftChars="0" w:hanging="220" w:hangingChars="100"/>
        <w:rPr>
          <w:rFonts w:hint="default"/>
          <w:sz w:val="22"/>
        </w:rPr>
      </w:pPr>
      <w:r>
        <w:rPr>
          <w:rFonts w:hint="eastAsia"/>
          <w:sz w:val="22"/>
        </w:rPr>
        <w:t>６．各質問に対する集計は、対象者の特性別（階層別）及び回答者別（質問間クロス）で分析した。</w:t>
      </w:r>
    </w:p>
    <w:p>
      <w:pPr>
        <w:pStyle w:val="0"/>
        <w:autoSpaceDN w:val="0"/>
        <w:spacing w:line="360" w:lineRule="exact"/>
        <w:ind w:left="210" w:leftChars="100"/>
        <w:rPr>
          <w:rFonts w:hint="default"/>
          <w:sz w:val="22"/>
        </w:rPr>
      </w:pPr>
      <w:r>
        <w:rPr>
          <w:rFonts w:hint="eastAsia"/>
          <w:sz w:val="22"/>
        </w:rPr>
        <w:t>F</w:t>
      </w:r>
      <w:r>
        <w:rPr>
          <w:rFonts w:hint="eastAsia"/>
          <w:sz w:val="22"/>
        </w:rPr>
        <w:t>１　</w:t>
      </w:r>
      <w:r>
        <w:rPr>
          <w:rFonts w:hint="eastAsia"/>
          <w:sz w:val="22"/>
        </w:rPr>
        <w:t xml:space="preserve"> </w:t>
      </w:r>
      <w:r>
        <w:rPr>
          <w:rFonts w:hint="eastAsia"/>
          <w:spacing w:val="660"/>
          <w:sz w:val="22"/>
          <w:fitText w:val="1760" w:id="1"/>
        </w:rPr>
        <w:t>性</w:t>
      </w:r>
      <w:r>
        <w:rPr>
          <w:rFonts w:hint="eastAsia"/>
          <w:sz w:val="22"/>
          <w:fitText w:val="1760" w:id="1"/>
        </w:rPr>
        <w:t>別</w:t>
      </w:r>
      <w:r>
        <w:rPr>
          <w:rFonts w:hint="eastAsia"/>
          <w:sz w:val="22"/>
        </w:rPr>
        <w:t>　…　男性、女性、その他の３種類に分類</w:t>
      </w:r>
    </w:p>
    <w:p>
      <w:pPr>
        <w:pStyle w:val="0"/>
        <w:autoSpaceDN w:val="0"/>
        <w:spacing w:line="360" w:lineRule="exact"/>
        <w:ind w:left="3290" w:leftChars="100" w:hanging="3080" w:hangingChars="1400"/>
        <w:rPr>
          <w:rFonts w:hint="default"/>
          <w:sz w:val="22"/>
        </w:rPr>
      </w:pPr>
      <w:r>
        <w:rPr>
          <w:rFonts w:hint="eastAsia"/>
          <w:sz w:val="22"/>
        </w:rPr>
        <w:t>F</w:t>
      </w:r>
      <w:r>
        <w:rPr>
          <w:rFonts w:hint="eastAsia"/>
          <w:sz w:val="22"/>
        </w:rPr>
        <w:t>２　</w:t>
      </w:r>
      <w:r>
        <w:rPr>
          <w:rFonts w:hint="eastAsia"/>
          <w:sz w:val="22"/>
        </w:rPr>
        <w:t xml:space="preserve"> </w:t>
      </w:r>
      <w:r>
        <w:rPr>
          <w:rFonts w:hint="eastAsia"/>
          <w:spacing w:val="275"/>
          <w:sz w:val="22"/>
          <w:fitText w:val="1760" w:id="2"/>
        </w:rPr>
        <w:t>年代</w:t>
      </w:r>
      <w:r>
        <w:rPr>
          <w:rFonts w:hint="eastAsia"/>
          <w:sz w:val="22"/>
          <w:fitText w:val="1760" w:id="2"/>
        </w:rPr>
        <w:t>別</w:t>
      </w:r>
      <w:r>
        <w:rPr>
          <w:rFonts w:hint="eastAsia"/>
          <w:sz w:val="22"/>
        </w:rPr>
        <w:t>　…　</w:t>
      </w:r>
      <w:r>
        <w:rPr>
          <w:rFonts w:hint="eastAsia"/>
          <w:sz w:val="22"/>
        </w:rPr>
        <w:t>10</w:t>
      </w:r>
      <w:r>
        <w:rPr>
          <w:rFonts w:hint="eastAsia"/>
          <w:sz w:val="22"/>
        </w:rPr>
        <w:t>歳代、</w:t>
      </w:r>
      <w:r>
        <w:rPr>
          <w:rFonts w:hint="eastAsia"/>
          <w:sz w:val="22"/>
        </w:rPr>
        <w:t>20</w:t>
      </w:r>
      <w:r>
        <w:rPr>
          <w:rFonts w:hint="eastAsia"/>
          <w:sz w:val="22"/>
        </w:rPr>
        <w:t>歳代、</w:t>
      </w:r>
      <w:r>
        <w:rPr>
          <w:rFonts w:hint="eastAsia"/>
          <w:sz w:val="22"/>
        </w:rPr>
        <w:t>30</w:t>
      </w:r>
      <w:r>
        <w:rPr>
          <w:rFonts w:hint="eastAsia"/>
          <w:sz w:val="22"/>
        </w:rPr>
        <w:t>歳代、</w:t>
      </w:r>
      <w:r>
        <w:rPr>
          <w:rFonts w:hint="eastAsia"/>
          <w:sz w:val="22"/>
        </w:rPr>
        <w:t>40</w:t>
      </w:r>
      <w:r>
        <w:rPr>
          <w:rFonts w:hint="eastAsia"/>
          <w:sz w:val="22"/>
        </w:rPr>
        <w:t>歳代、</w:t>
      </w:r>
      <w:r>
        <w:rPr>
          <w:rFonts w:hint="eastAsia"/>
          <w:sz w:val="22"/>
        </w:rPr>
        <w:t>50</w:t>
      </w:r>
      <w:r>
        <w:rPr>
          <w:rFonts w:hint="eastAsia"/>
          <w:sz w:val="22"/>
        </w:rPr>
        <w:t>歳代、</w:t>
      </w:r>
      <w:r>
        <w:rPr>
          <w:rFonts w:hint="eastAsia"/>
          <w:sz w:val="22"/>
        </w:rPr>
        <w:t>60</w:t>
      </w:r>
      <w:r>
        <w:rPr>
          <w:rFonts w:hint="eastAsia"/>
          <w:sz w:val="22"/>
        </w:rPr>
        <w:t>歳代、</w:t>
      </w:r>
      <w:r>
        <w:rPr>
          <w:rFonts w:hint="eastAsia"/>
          <w:sz w:val="22"/>
        </w:rPr>
        <w:t>70</w:t>
      </w:r>
      <w:r>
        <w:rPr>
          <w:rFonts w:hint="eastAsia"/>
          <w:sz w:val="22"/>
        </w:rPr>
        <w:t>歳以上の７階層に分類</w:t>
      </w:r>
    </w:p>
    <w:p>
      <w:pPr>
        <w:pStyle w:val="0"/>
        <w:autoSpaceDN w:val="0"/>
        <w:spacing w:line="360" w:lineRule="exact"/>
        <w:ind w:left="3290" w:leftChars="100" w:hanging="3080" w:hangingChars="1400"/>
        <w:rPr>
          <w:rFonts w:hint="default"/>
          <w:sz w:val="22"/>
        </w:rPr>
      </w:pPr>
      <w:r>
        <w:rPr>
          <w:rFonts w:hint="eastAsia"/>
          <w:sz w:val="22"/>
        </w:rPr>
        <w:t>F</w:t>
      </w:r>
      <w:r>
        <w:rPr>
          <w:rFonts w:hint="eastAsia"/>
          <w:sz w:val="22"/>
        </w:rPr>
        <w:t>３　</w:t>
      </w:r>
      <w:r>
        <w:rPr>
          <w:rFonts w:hint="eastAsia"/>
          <w:sz w:val="22"/>
        </w:rPr>
        <w:t xml:space="preserve"> </w:t>
      </w:r>
      <w:r>
        <w:rPr>
          <w:rFonts w:hint="eastAsia"/>
          <w:spacing w:val="275"/>
          <w:sz w:val="22"/>
          <w:fitText w:val="1760" w:id="3"/>
        </w:rPr>
        <w:t>職業</w:t>
      </w:r>
      <w:r>
        <w:rPr>
          <w:rFonts w:hint="eastAsia"/>
          <w:sz w:val="22"/>
          <w:fitText w:val="1760" w:id="3"/>
        </w:rPr>
        <w:t>別</w:t>
      </w:r>
      <w:r>
        <w:rPr>
          <w:rFonts w:hint="eastAsia"/>
          <w:sz w:val="22"/>
        </w:rPr>
        <w:t>　…　農林業、漁業、商工サービス業自営、事務職、技術職、労務職、管理職、自由業、主婦・主夫、学生、無職、その他の</w:t>
      </w:r>
      <w:r>
        <w:rPr>
          <w:rFonts w:hint="eastAsia"/>
          <w:sz w:val="22"/>
        </w:rPr>
        <w:t>12</w:t>
      </w:r>
      <w:r>
        <w:rPr>
          <w:rFonts w:hint="eastAsia"/>
          <w:sz w:val="22"/>
        </w:rPr>
        <w:t>種類に分類</w:t>
      </w:r>
    </w:p>
    <w:p>
      <w:pPr>
        <w:pStyle w:val="0"/>
        <w:autoSpaceDN w:val="0"/>
        <w:spacing w:line="360" w:lineRule="exact"/>
        <w:ind w:left="210" w:leftChars="100"/>
        <w:rPr>
          <w:rFonts w:hint="default"/>
          <w:sz w:val="22"/>
        </w:rPr>
      </w:pPr>
      <w:r>
        <w:rPr>
          <w:rFonts w:hint="eastAsia"/>
          <w:sz w:val="22"/>
        </w:rPr>
        <w:t>F</w:t>
      </w:r>
      <w:r>
        <w:rPr>
          <w:rFonts w:hint="eastAsia"/>
          <w:sz w:val="22"/>
        </w:rPr>
        <w:t>４　</w:t>
      </w:r>
      <w:r>
        <w:rPr>
          <w:rFonts w:hint="eastAsia"/>
          <w:sz w:val="22"/>
        </w:rPr>
        <w:t xml:space="preserve"> </w:t>
      </w:r>
      <w:r>
        <w:rPr>
          <w:rFonts w:hint="eastAsia"/>
          <w:sz w:val="22"/>
        </w:rPr>
        <w:t>属　</w:t>
      </w:r>
      <w:r>
        <w:rPr>
          <w:rFonts w:hint="eastAsia"/>
          <w:sz w:val="22"/>
        </w:rPr>
        <w:t xml:space="preserve"> </w:t>
      </w:r>
      <w:r>
        <w:rPr>
          <w:rFonts w:hint="eastAsia"/>
          <w:sz w:val="22"/>
        </w:rPr>
        <w:t>　性</w:t>
      </w:r>
      <w:r>
        <w:rPr>
          <w:rFonts w:hint="eastAsia"/>
          <w:sz w:val="22"/>
        </w:rPr>
        <w:t xml:space="preserve"> </w:t>
      </w:r>
      <w:r>
        <w:rPr>
          <w:rFonts w:hint="eastAsia"/>
          <w:sz w:val="22"/>
        </w:rPr>
        <w:t>　　別　…　世帯主、世帯主ではない（世帯員）の２種類に分類</w:t>
      </w:r>
    </w:p>
    <w:p>
      <w:pPr>
        <w:pStyle w:val="0"/>
        <w:autoSpaceDN w:val="0"/>
        <w:spacing w:line="360" w:lineRule="exact"/>
        <w:ind w:left="210" w:leftChars="100"/>
        <w:rPr>
          <w:rFonts w:hint="default"/>
          <w:sz w:val="22"/>
        </w:rPr>
      </w:pPr>
      <w:r>
        <w:rPr>
          <w:rFonts w:hint="eastAsia"/>
          <w:sz w:val="22"/>
        </w:rPr>
        <w:t>F</w:t>
      </w:r>
      <w:r>
        <w:rPr>
          <w:rFonts w:hint="eastAsia"/>
          <w:sz w:val="22"/>
        </w:rPr>
        <w:t>５　</w:t>
      </w:r>
      <w:r>
        <w:rPr>
          <w:rFonts w:hint="eastAsia"/>
          <w:sz w:val="22"/>
        </w:rPr>
        <w:t xml:space="preserve"> </w:t>
      </w:r>
      <w:r>
        <w:rPr>
          <w:rFonts w:hint="eastAsia"/>
          <w:spacing w:val="82"/>
          <w:sz w:val="22"/>
          <w:fitText w:val="1760" w:id="4"/>
        </w:rPr>
        <w:t>婚姻状況</w:t>
      </w:r>
      <w:r>
        <w:rPr>
          <w:rFonts w:hint="eastAsia"/>
          <w:spacing w:val="2"/>
          <w:sz w:val="22"/>
          <w:fitText w:val="1760" w:id="4"/>
        </w:rPr>
        <w:t>別</w:t>
      </w:r>
      <w:r>
        <w:rPr>
          <w:rFonts w:hint="eastAsia"/>
          <w:sz w:val="22"/>
        </w:rPr>
        <w:t>　…　未婚、既婚、その他（離別、死別を含む）の３種類に分類</w:t>
      </w:r>
    </w:p>
    <w:p>
      <w:pPr>
        <w:pStyle w:val="0"/>
        <w:autoSpaceDN w:val="0"/>
        <w:spacing w:line="360" w:lineRule="exact"/>
        <w:ind w:left="3290" w:leftChars="100" w:hanging="3080" w:hangingChars="1400"/>
        <w:rPr>
          <w:rFonts w:hint="default"/>
          <w:sz w:val="22"/>
        </w:rPr>
      </w:pPr>
      <w:r>
        <w:rPr>
          <w:rFonts w:hint="eastAsia"/>
          <w:sz w:val="22"/>
        </w:rPr>
        <w:t>F</w:t>
      </w:r>
      <w:r>
        <w:rPr>
          <w:rFonts w:hint="eastAsia"/>
          <w:sz w:val="22"/>
        </w:rPr>
        <w:t>６　</w:t>
      </w:r>
      <w:r>
        <w:rPr>
          <w:rFonts w:hint="eastAsia"/>
          <w:sz w:val="22"/>
        </w:rPr>
        <w:t xml:space="preserve"> </w:t>
      </w:r>
      <w:r>
        <w:rPr>
          <w:rFonts w:hint="eastAsia"/>
          <w:spacing w:val="18"/>
          <w:sz w:val="22"/>
          <w:fitText w:val="1760" w:id="5"/>
        </w:rPr>
        <w:t>子どもの状況</w:t>
      </w:r>
      <w:r>
        <w:rPr>
          <w:rFonts w:hint="eastAsia"/>
          <w:spacing w:val="2"/>
          <w:sz w:val="22"/>
          <w:fitText w:val="1760" w:id="5"/>
        </w:rPr>
        <w:t>別</w:t>
      </w:r>
      <w:r>
        <w:rPr>
          <w:rFonts w:hint="eastAsia"/>
          <w:sz w:val="22"/>
        </w:rPr>
        <w:t>　…　就学前の子どもがいる、小・中学生の子どもがいる、高校生の子どもがいる、大学生・専門学校生等の子どもがいる、子どもは成人している又は独立している、子どもはいないの６種類に分類</w:t>
      </w:r>
    </w:p>
    <w:p>
      <w:pPr>
        <w:pStyle w:val="0"/>
        <w:autoSpaceDN w:val="0"/>
        <w:spacing w:line="360" w:lineRule="exact"/>
        <w:ind w:left="3400" w:leftChars="100" w:hanging="3190" w:hangingChars="1450"/>
        <w:rPr>
          <w:rFonts w:hint="default"/>
          <w:sz w:val="22"/>
        </w:rPr>
      </w:pPr>
      <w:r>
        <w:rPr>
          <w:rFonts w:hint="eastAsia"/>
          <w:sz w:val="22"/>
        </w:rPr>
        <w:t>F</w:t>
      </w:r>
      <w:r>
        <w:rPr>
          <w:rFonts w:hint="eastAsia"/>
          <w:sz w:val="22"/>
        </w:rPr>
        <w:t>７　</w:t>
      </w:r>
      <w:r>
        <w:rPr>
          <w:rFonts w:hint="eastAsia"/>
          <w:sz w:val="22"/>
        </w:rPr>
        <w:t xml:space="preserve"> </w:t>
      </w:r>
      <w:r>
        <w:rPr>
          <w:rFonts w:hint="eastAsia"/>
          <w:sz w:val="22"/>
        </w:rPr>
        <w:t>世帯の年間収入別　…　</w:t>
      </w:r>
      <w:r>
        <w:rPr>
          <w:rFonts w:hint="eastAsia"/>
          <w:sz w:val="22"/>
        </w:rPr>
        <w:t>0</w:t>
      </w:r>
      <w:r>
        <w:rPr>
          <w:rFonts w:hint="eastAsia"/>
          <w:sz w:val="22"/>
        </w:rPr>
        <w:t>～</w:t>
      </w:r>
      <w:r>
        <w:rPr>
          <w:rFonts w:hint="eastAsia"/>
          <w:sz w:val="22"/>
        </w:rPr>
        <w:t>100</w:t>
      </w:r>
      <w:r>
        <w:rPr>
          <w:rFonts w:hint="eastAsia"/>
          <w:sz w:val="22"/>
        </w:rPr>
        <w:t>万円未満、</w:t>
      </w:r>
      <w:r>
        <w:rPr>
          <w:rFonts w:hint="eastAsia"/>
          <w:sz w:val="22"/>
        </w:rPr>
        <w:t>100</w:t>
      </w:r>
      <w:r>
        <w:rPr>
          <w:rFonts w:hint="eastAsia"/>
          <w:sz w:val="22"/>
        </w:rPr>
        <w:t>～</w:t>
      </w:r>
      <w:r>
        <w:rPr>
          <w:rFonts w:hint="eastAsia"/>
          <w:sz w:val="22"/>
        </w:rPr>
        <w:t>200</w:t>
      </w:r>
      <w:r>
        <w:rPr>
          <w:rFonts w:hint="eastAsia"/>
          <w:sz w:val="22"/>
        </w:rPr>
        <w:t>万円未満、</w:t>
      </w:r>
      <w:r>
        <w:rPr>
          <w:rFonts w:hint="eastAsia"/>
          <w:sz w:val="22"/>
        </w:rPr>
        <w:t>200</w:t>
      </w:r>
      <w:r>
        <w:rPr>
          <w:rFonts w:hint="eastAsia"/>
          <w:sz w:val="22"/>
        </w:rPr>
        <w:t>～</w:t>
      </w:r>
      <w:r>
        <w:rPr>
          <w:rFonts w:hint="eastAsia"/>
          <w:sz w:val="22"/>
        </w:rPr>
        <w:t>300</w:t>
      </w:r>
      <w:r>
        <w:rPr>
          <w:rFonts w:hint="eastAsia"/>
          <w:sz w:val="22"/>
        </w:rPr>
        <w:t>万円未満、</w:t>
      </w:r>
    </w:p>
    <w:p>
      <w:pPr>
        <w:pStyle w:val="0"/>
        <w:autoSpaceDN w:val="0"/>
        <w:spacing w:line="360" w:lineRule="exact"/>
        <w:ind w:left="3150" w:leftChars="1500" w:firstLine="110" w:firstLineChars="50"/>
        <w:rPr>
          <w:rFonts w:hint="default"/>
          <w:sz w:val="22"/>
        </w:rPr>
      </w:pPr>
      <w:r>
        <w:rPr>
          <w:rFonts w:hint="eastAsia"/>
          <w:sz w:val="22"/>
        </w:rPr>
        <w:t>300</w:t>
      </w:r>
      <w:r>
        <w:rPr>
          <w:rFonts w:hint="eastAsia"/>
          <w:sz w:val="22"/>
        </w:rPr>
        <w:t>～</w:t>
      </w:r>
      <w:r>
        <w:rPr>
          <w:rFonts w:hint="eastAsia"/>
          <w:sz w:val="22"/>
        </w:rPr>
        <w:t>400</w:t>
      </w:r>
      <w:r>
        <w:rPr>
          <w:rFonts w:hint="eastAsia"/>
          <w:sz w:val="22"/>
        </w:rPr>
        <w:t>万円未満、</w:t>
      </w:r>
      <w:r>
        <w:rPr>
          <w:rFonts w:hint="eastAsia"/>
          <w:sz w:val="22"/>
        </w:rPr>
        <w:t>400</w:t>
      </w:r>
      <w:r>
        <w:rPr>
          <w:rFonts w:hint="eastAsia"/>
          <w:sz w:val="22"/>
        </w:rPr>
        <w:t>～</w:t>
      </w:r>
      <w:r>
        <w:rPr>
          <w:rFonts w:hint="eastAsia"/>
          <w:sz w:val="22"/>
        </w:rPr>
        <w:t>600</w:t>
      </w:r>
      <w:r>
        <w:rPr>
          <w:rFonts w:hint="eastAsia"/>
          <w:sz w:val="22"/>
        </w:rPr>
        <w:t>万円未満、</w:t>
      </w:r>
      <w:r>
        <w:rPr>
          <w:rFonts w:hint="eastAsia"/>
          <w:sz w:val="22"/>
        </w:rPr>
        <w:t>600</w:t>
      </w:r>
      <w:r>
        <w:rPr>
          <w:rFonts w:hint="eastAsia"/>
          <w:sz w:val="22"/>
        </w:rPr>
        <w:t>～</w:t>
      </w:r>
      <w:r>
        <w:rPr>
          <w:rFonts w:hint="eastAsia"/>
          <w:sz w:val="22"/>
        </w:rPr>
        <w:t>800</w:t>
      </w:r>
      <w:r>
        <w:rPr>
          <w:rFonts w:hint="eastAsia"/>
          <w:sz w:val="22"/>
        </w:rPr>
        <w:t>万円未満、</w:t>
      </w:r>
    </w:p>
    <w:p>
      <w:pPr>
        <w:pStyle w:val="0"/>
        <w:autoSpaceDN w:val="0"/>
        <w:spacing w:line="360" w:lineRule="exact"/>
        <w:ind w:left="3150" w:leftChars="1500" w:firstLine="110" w:firstLineChars="50"/>
        <w:rPr>
          <w:rFonts w:hint="default"/>
          <w:sz w:val="22"/>
        </w:rPr>
      </w:pPr>
      <w:r>
        <w:rPr>
          <w:rFonts w:hint="eastAsia"/>
          <w:sz w:val="22"/>
        </w:rPr>
        <w:t>800</w:t>
      </w:r>
      <w:r>
        <w:rPr>
          <w:rFonts w:hint="eastAsia"/>
          <w:sz w:val="22"/>
        </w:rPr>
        <w:t>～</w:t>
      </w:r>
      <w:r>
        <w:rPr>
          <w:rFonts w:hint="eastAsia"/>
          <w:sz w:val="22"/>
        </w:rPr>
        <w:t xml:space="preserve">1,000 </w:t>
      </w:r>
      <w:r>
        <w:rPr>
          <w:rFonts w:hint="eastAsia"/>
          <w:sz w:val="22"/>
        </w:rPr>
        <w:t>万円未満、</w:t>
      </w:r>
      <w:r>
        <w:rPr>
          <w:rFonts w:hint="eastAsia"/>
          <w:sz w:val="22"/>
        </w:rPr>
        <w:t>1,000</w:t>
      </w:r>
      <w:r>
        <w:rPr>
          <w:rFonts w:hint="eastAsia"/>
          <w:sz w:val="22"/>
        </w:rPr>
        <w:t>万円以上の８種類に分類</w:t>
      </w:r>
    </w:p>
    <w:p>
      <w:pPr>
        <w:pStyle w:val="0"/>
        <w:autoSpaceDN w:val="0"/>
        <w:spacing w:line="360" w:lineRule="exact"/>
        <w:ind w:left="3070" w:leftChars="100" w:hanging="2860" w:hangingChars="1300"/>
        <w:rPr>
          <w:rFonts w:hint="default"/>
          <w:sz w:val="22"/>
        </w:rPr>
      </w:pPr>
      <w:r>
        <w:rPr>
          <w:rFonts w:hint="eastAsia"/>
          <w:sz w:val="22"/>
        </w:rPr>
        <w:t>F</w:t>
      </w:r>
      <w:r>
        <w:rPr>
          <w:rFonts w:hint="eastAsia"/>
          <w:sz w:val="22"/>
        </w:rPr>
        <w:t>８　</w:t>
      </w:r>
      <w:r>
        <w:rPr>
          <w:rFonts w:hint="eastAsia"/>
          <w:sz w:val="22"/>
        </w:rPr>
        <w:t xml:space="preserve"> </w:t>
      </w:r>
      <w:r>
        <w:rPr>
          <w:rFonts w:hint="eastAsia"/>
          <w:spacing w:val="18"/>
          <w:sz w:val="22"/>
          <w:fitText w:val="1760" w:id="6"/>
        </w:rPr>
        <w:t>住まいの状況</w:t>
      </w:r>
      <w:r>
        <w:rPr>
          <w:rFonts w:hint="eastAsia"/>
          <w:spacing w:val="2"/>
          <w:sz w:val="22"/>
          <w:fitText w:val="1760" w:id="6"/>
        </w:rPr>
        <w:t>別</w:t>
      </w:r>
      <w:r>
        <w:rPr>
          <w:rFonts w:hint="eastAsia"/>
          <w:sz w:val="22"/>
        </w:rPr>
        <w:t>　…　持家、借家の２種類に分類</w:t>
      </w:r>
    </w:p>
    <w:p>
      <w:pPr>
        <w:pStyle w:val="0"/>
        <w:autoSpaceDN w:val="0"/>
        <w:spacing w:line="360" w:lineRule="exact"/>
        <w:ind w:left="3290" w:leftChars="100" w:hanging="3080" w:hangingChars="1400"/>
        <w:rPr>
          <w:rFonts w:hint="default"/>
          <w:sz w:val="22"/>
        </w:rPr>
      </w:pPr>
    </w:p>
    <w:p>
      <w:pPr>
        <w:pStyle w:val="0"/>
        <w:autoSpaceDN w:val="0"/>
        <w:spacing w:line="360" w:lineRule="exact"/>
        <w:ind w:left="3290" w:leftChars="100" w:hanging="3080" w:hangingChars="1400"/>
        <w:rPr>
          <w:rFonts w:hint="default"/>
          <w:sz w:val="22"/>
        </w:rPr>
      </w:pPr>
    </w:p>
    <w:p>
      <w:pPr>
        <w:pStyle w:val="0"/>
        <w:autoSpaceDN w:val="0"/>
        <w:spacing w:line="360" w:lineRule="exact"/>
        <w:ind w:left="3290" w:leftChars="100" w:hanging="3080" w:hangingChars="1400"/>
        <w:rPr>
          <w:rFonts w:hint="default"/>
          <w:sz w:val="22"/>
        </w:rPr>
      </w:pPr>
      <w:r>
        <w:rPr>
          <w:rFonts w:hint="eastAsia"/>
          <w:sz w:val="22"/>
        </w:rPr>
        <w:t>F</w:t>
      </w:r>
      <w:r>
        <w:rPr>
          <w:rFonts w:hint="eastAsia"/>
          <w:sz w:val="22"/>
        </w:rPr>
        <w:t>９</w:t>
      </w:r>
      <w:r>
        <w:rPr>
          <w:rFonts w:hint="eastAsia"/>
          <w:sz w:val="22"/>
        </w:rPr>
        <w:t xml:space="preserve"> </w:t>
      </w:r>
      <w:r>
        <w:rPr>
          <w:rFonts w:hint="eastAsia"/>
          <w:sz w:val="22"/>
        </w:rPr>
        <w:t>　</w:t>
      </w:r>
      <w:r>
        <w:rPr>
          <w:rFonts w:hint="eastAsia"/>
          <w:spacing w:val="18"/>
          <w:sz w:val="22"/>
          <w:fitText w:val="1760" w:id="7"/>
        </w:rPr>
        <w:t>広域市町村圏</w:t>
      </w:r>
      <w:r>
        <w:rPr>
          <w:rFonts w:hint="eastAsia"/>
          <w:spacing w:val="2"/>
          <w:sz w:val="22"/>
          <w:fitText w:val="1760" w:id="7"/>
        </w:rPr>
        <w:t>別</w:t>
      </w:r>
      <w:r>
        <w:rPr>
          <w:rFonts w:hint="eastAsia"/>
          <w:sz w:val="22"/>
        </w:rPr>
        <w:t>　…　高知市、安芸広域圏、南国・香美広域圏、嶺北広域圏、仁淀川広域圏、高吾北広域圏、高幡広域圏、幡多広域圏の１市７広域圏に分類</w:t>
      </w:r>
    </w:p>
    <w:p>
      <w:pPr>
        <w:pStyle w:val="0"/>
        <w:autoSpaceDN w:val="0"/>
        <w:spacing w:line="360" w:lineRule="exact"/>
        <w:ind w:left="3070" w:leftChars="100" w:hanging="2860" w:hangingChars="1300"/>
        <w:rPr>
          <w:rFonts w:hint="default"/>
          <w:sz w:val="22"/>
        </w:rPr>
      </w:pPr>
      <w:r>
        <w:rPr>
          <w:rFonts w:hint="eastAsia"/>
          <w:sz w:val="22"/>
        </w:rPr>
        <w:t>F10</w:t>
      </w:r>
      <w:r>
        <w:rPr>
          <w:rFonts w:hint="eastAsia"/>
          <w:sz w:val="22"/>
        </w:rPr>
        <w:t>　</w:t>
      </w:r>
      <w:r>
        <w:rPr>
          <w:rFonts w:hint="eastAsia"/>
          <w:sz w:val="22"/>
        </w:rPr>
        <w:t xml:space="preserve"> </w:t>
      </w:r>
      <w:r>
        <w:rPr>
          <w:rFonts w:hint="eastAsia"/>
          <w:spacing w:val="146"/>
          <w:sz w:val="22"/>
          <w:fitText w:val="1760" w:id="8"/>
        </w:rPr>
        <w:t>沿岸部</w:t>
      </w:r>
      <w:r>
        <w:rPr>
          <w:rFonts w:hint="eastAsia"/>
          <w:spacing w:val="2"/>
          <w:sz w:val="22"/>
          <w:fitText w:val="1760" w:id="8"/>
        </w:rPr>
        <w:t>別</w:t>
      </w:r>
      <w:r>
        <w:rPr>
          <w:rFonts w:hint="eastAsia"/>
          <w:sz w:val="22"/>
        </w:rPr>
        <w:t>　…　沿岸部、非沿岸部の別</w:t>
      </w:r>
    </w:p>
    <w:p>
      <w:pPr>
        <w:pStyle w:val="0"/>
        <w:autoSpaceDN w:val="0"/>
        <w:spacing w:line="360" w:lineRule="exact"/>
        <w:ind w:left="210" w:leftChars="100"/>
        <w:rPr>
          <w:rFonts w:hint="default"/>
          <w:sz w:val="22"/>
        </w:rPr>
      </w:pPr>
    </w:p>
    <w:p>
      <w:pPr>
        <w:pStyle w:val="0"/>
        <w:autoSpaceDN w:val="0"/>
        <w:spacing w:line="360" w:lineRule="exact"/>
        <w:ind w:left="210" w:leftChars="100"/>
        <w:rPr>
          <w:rFonts w:hint="default"/>
          <w:sz w:val="22"/>
        </w:rPr>
      </w:pPr>
      <w:r>
        <w:rPr>
          <w:rFonts w:hint="eastAsia"/>
          <w:sz w:val="22"/>
        </w:rPr>
        <w:t>※　対象者の職業別、広域市町村圏別及び沿岸部別判定は次のとおりである。</w:t>
      </w:r>
    </w:p>
    <w:p>
      <w:pPr>
        <w:pStyle w:val="0"/>
        <w:autoSpaceDN w:val="0"/>
        <w:spacing w:line="360" w:lineRule="exact"/>
        <w:ind w:left="0" w:leftChars="0" w:firstLine="440" w:firstLineChars="200"/>
        <w:rPr>
          <w:rFonts w:hint="default"/>
          <w:sz w:val="22"/>
        </w:rPr>
      </w:pPr>
      <w:r>
        <w:rPr>
          <w:rFonts w:hint="eastAsia"/>
          <w:sz w:val="22"/>
        </w:rPr>
        <w:t>◆職業別</w:t>
      </w:r>
    </w:p>
    <w:p>
      <w:pPr>
        <w:pStyle w:val="0"/>
        <w:tabs>
          <w:tab w:val="left" w:leader="none" w:pos="2730"/>
        </w:tabs>
        <w:autoSpaceDN w:val="0"/>
        <w:spacing w:line="360" w:lineRule="exact"/>
        <w:ind w:left="2830" w:leftChars="300" w:hanging="2200" w:hangingChars="1000"/>
        <w:rPr>
          <w:rFonts w:hint="default"/>
          <w:sz w:val="22"/>
        </w:rPr>
      </w:pPr>
      <w:r>
        <w:rPr>
          <w:rFonts w:hint="default"/>
          <w:spacing w:val="262"/>
          <w:sz w:val="22"/>
        </w:rPr>
        <mc:AlternateContent>
          <mc:Choice Requires="wps">
            <w:drawing>
              <wp:anchor simplePos="0" relativeHeight="3" behindDoc="0" locked="0" layoutInCell="1" hidden="0" allowOverlap="1">
                <wp:simplePos x="0" y="0"/>
                <wp:positionH relativeFrom="column">
                  <wp:posOffset>1569085</wp:posOffset>
                </wp:positionH>
                <wp:positionV relativeFrom="paragraph">
                  <wp:posOffset>78105</wp:posOffset>
                </wp:positionV>
                <wp:extent cx="90805" cy="323850"/>
                <wp:effectExtent l="635" t="635" r="29845" b="10795"/>
                <wp:wrapNone/>
                <wp:docPr id="1027" name="AutoShape 5"/>
                <a:graphic xmlns:a="http://schemas.openxmlformats.org/drawingml/2006/main">
                  <a:graphicData uri="http://schemas.microsoft.com/office/word/2010/wordprocessingShape">
                    <wps:wsp>
                      <wps:cNvPr id="1027" name="AutoShape 5"/>
                      <wps:cNvSpPr/>
                      <wps:spPr>
                        <a:xfrm>
                          <a:off x="0" y="0"/>
                          <a:ext cx="90805" cy="323850"/>
                        </a:xfrm>
                        <a:prstGeom prst="rightBrace">
                          <a:avLst>
                            <a:gd name="adj1" fmla="val 89168"/>
                            <a:gd name="adj2" fmla="val 50000"/>
                          </a:avLst>
                        </a:prstGeom>
                        <a:noFill/>
                        <a:ln w="9525">
                          <a:solidFill>
                            <a:sysClr val="windowText" lastClr="000000"/>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style="margin-top:6.15pt;mso-position-vertical-relative:text;mso-position-horizontal-relative:text;position:absolute;height:25.5pt;width:7.15pt;margin-left:123.55pt;z-index:3;" o:spid="_x0000_s1027" filled="f" stroked="t" strokecolor="#000000" strokeweight="0.75pt" o:spt="88" type="#_x0000_t88" adj="5400,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spacing w:val="9"/>
          <w:sz w:val="22"/>
          <w:fitText w:val="1650" w:id="9"/>
        </w:rPr>
        <w:t>農　　林　　</w:t>
      </w:r>
      <w:r>
        <w:rPr>
          <w:rFonts w:hint="eastAsia"/>
          <w:spacing w:val="1"/>
          <w:sz w:val="22"/>
          <w:fitText w:val="1650" w:id="9"/>
        </w:rPr>
        <w:t>業</w:t>
      </w:r>
      <w:r>
        <w:rPr>
          <w:rFonts w:hint="eastAsia"/>
          <w:sz w:val="22"/>
        </w:rPr>
        <w:t>　</w:t>
      </w:r>
      <w:r>
        <w:rPr>
          <w:rFonts w:hint="eastAsia"/>
          <w:sz w:val="22"/>
        </w:rPr>
        <w:t xml:space="preserve">  </w:t>
      </w:r>
      <w:r>
        <w:rPr>
          <w:rFonts w:hint="eastAsia"/>
        </w:rPr>
        <w:t>（主婦・主夫の場合は、家庭内の仕事と田畑、漁業に出る時間と比較</w:t>
      </w:r>
    </w:p>
    <w:p>
      <w:pPr>
        <w:pStyle w:val="0"/>
        <w:tabs>
          <w:tab w:val="left" w:leader="none" w:pos="2730"/>
        </w:tabs>
        <w:autoSpaceDN w:val="0"/>
        <w:spacing w:line="360" w:lineRule="exact"/>
        <w:ind w:left="88" w:leftChars="42" w:firstLine="550" w:firstLineChars="250"/>
        <w:rPr>
          <w:rFonts w:hint="default"/>
          <w:sz w:val="22"/>
        </w:rPr>
      </w:pPr>
      <w:r>
        <w:rPr>
          <w:rFonts w:hint="eastAsia"/>
          <w:sz w:val="22"/>
        </w:rPr>
        <w:t>漁　　　　　</w:t>
      </w:r>
      <w:r>
        <w:rPr>
          <w:rFonts w:hint="eastAsia"/>
          <w:sz w:val="22"/>
        </w:rPr>
        <w:t xml:space="preserve"> </w:t>
      </w:r>
      <w:r>
        <w:rPr>
          <w:rFonts w:hint="eastAsia"/>
          <w:sz w:val="22"/>
        </w:rPr>
        <w:t>業　　</w:t>
      </w:r>
      <w:r>
        <w:rPr>
          <w:rFonts w:hint="eastAsia"/>
        </w:rPr>
        <w:t xml:space="preserve"> </w:t>
      </w:r>
      <w:r>
        <w:rPr>
          <w:rFonts w:hint="eastAsia"/>
        </w:rPr>
        <w:t>して多い方を選択）</w:t>
      </w:r>
    </w:p>
    <w:p>
      <w:pPr>
        <w:pStyle w:val="0"/>
        <w:tabs>
          <w:tab w:val="left" w:leader="none" w:pos="2730"/>
        </w:tabs>
        <w:autoSpaceDN w:val="0"/>
        <w:spacing w:line="360" w:lineRule="exact"/>
        <w:ind w:left="2489" w:leftChars="300" w:hanging="1859" w:hangingChars="1000"/>
        <w:rPr>
          <w:rFonts w:hint="default"/>
          <w:sz w:val="22"/>
        </w:rPr>
      </w:pPr>
      <w:r>
        <w:rPr>
          <w:rFonts w:hint="eastAsia"/>
          <w:spacing w:val="1"/>
          <w:w w:val="84"/>
          <w:sz w:val="22"/>
          <w:fitText w:val="1680" w:id="10"/>
        </w:rPr>
        <w:t>商工サービス業自</w:t>
      </w:r>
      <w:r>
        <w:rPr>
          <w:rFonts w:hint="eastAsia"/>
          <w:spacing w:val="4"/>
          <w:w w:val="84"/>
          <w:sz w:val="22"/>
          <w:fitText w:val="1680" w:id="10"/>
        </w:rPr>
        <w:t>営</w:t>
      </w:r>
      <w:r>
        <w:rPr>
          <w:rFonts w:hint="eastAsia"/>
          <w:sz w:val="22"/>
        </w:rPr>
        <w:tab/>
      </w:r>
      <w:r>
        <w:rPr>
          <w:rFonts w:hint="eastAsia"/>
          <w:sz w:val="22"/>
        </w:rPr>
        <w:t>　</w:t>
      </w:r>
      <w:r>
        <w:rPr>
          <w:rFonts w:hint="eastAsia"/>
        </w:rPr>
        <w:t>（商店や工場などを自分でやっている人、家族従業者を含む）</w:t>
      </w:r>
    </w:p>
    <w:p>
      <w:pPr>
        <w:pStyle w:val="0"/>
        <w:tabs>
          <w:tab w:val="left" w:leader="none" w:pos="2730"/>
        </w:tabs>
        <w:autoSpaceDN w:val="0"/>
        <w:spacing w:line="360" w:lineRule="exact"/>
        <w:ind w:left="630" w:leftChars="300"/>
        <w:rPr>
          <w:rFonts w:hint="default"/>
          <w:sz w:val="22"/>
        </w:rPr>
      </w:pPr>
      <w:r>
        <w:rPr>
          <w:rFonts w:hint="eastAsia"/>
          <w:spacing w:val="255"/>
          <w:sz w:val="22"/>
          <w:fitText w:val="1680" w:id="11"/>
        </w:rPr>
        <w:t>事務</w:t>
      </w:r>
      <w:r>
        <w:rPr>
          <w:rFonts w:hint="eastAsia"/>
          <w:sz w:val="22"/>
          <w:fitText w:val="1680" w:id="11"/>
        </w:rPr>
        <w:t>職</w:t>
      </w:r>
      <w:r>
        <w:rPr>
          <w:rFonts w:hint="eastAsia"/>
          <w:sz w:val="22"/>
        </w:rPr>
        <w:tab/>
      </w:r>
      <w:r>
        <w:rPr>
          <w:rFonts w:hint="eastAsia"/>
        </w:rPr>
        <w:t>（勤め人や公務員で主に事務系の仕事の人、課長以上を除く）</w:t>
      </w:r>
    </w:p>
    <w:p>
      <w:pPr>
        <w:pStyle w:val="0"/>
        <w:tabs>
          <w:tab w:val="left" w:leader="none" w:pos="2730"/>
        </w:tabs>
        <w:autoSpaceDN w:val="0"/>
        <w:spacing w:line="360" w:lineRule="exact"/>
        <w:ind w:left="630" w:leftChars="300"/>
        <w:rPr>
          <w:rFonts w:hint="default"/>
        </w:rPr>
      </w:pPr>
      <w:r>
        <w:rPr>
          <w:rFonts w:hint="eastAsia"/>
          <w:spacing w:val="255"/>
          <w:sz w:val="22"/>
          <w:fitText w:val="1680" w:id="12"/>
        </w:rPr>
        <w:t>技術</w:t>
      </w:r>
      <w:r>
        <w:rPr>
          <w:rFonts w:hint="eastAsia"/>
          <w:sz w:val="22"/>
          <w:fitText w:val="1680" w:id="12"/>
        </w:rPr>
        <w:t>職</w:t>
      </w:r>
      <w:r>
        <w:rPr>
          <w:rFonts w:hint="eastAsia"/>
          <w:sz w:val="22"/>
        </w:rPr>
        <w:tab/>
      </w:r>
      <w:r>
        <w:rPr>
          <w:rFonts w:hint="eastAsia"/>
        </w:rPr>
        <w:t>（主に技術系の仕事の人、看護師、保育士、教員など、課長以上を除く）</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255"/>
          <w:sz w:val="22"/>
          <w:fitText w:val="1680" w:id="13"/>
        </w:rPr>
        <w:t>労務</w:t>
      </w:r>
      <w:r>
        <w:rPr>
          <w:rFonts w:hint="eastAsia"/>
          <w:sz w:val="22"/>
          <w:fitText w:val="1680" w:id="13"/>
        </w:rPr>
        <w:t>職</w:t>
      </w:r>
      <w:r>
        <w:rPr>
          <w:rFonts w:hint="eastAsia"/>
          <w:sz w:val="22"/>
        </w:rPr>
        <w:tab/>
      </w:r>
      <w:r>
        <w:rPr>
          <w:rFonts w:hint="eastAsia"/>
        </w:rPr>
        <w:t>（現場従業者、工員、運転手、店員、日雇い、大工など）</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255"/>
          <w:sz w:val="22"/>
          <w:fitText w:val="1680" w:id="14"/>
        </w:rPr>
        <w:t>管理</w:t>
      </w:r>
      <w:r>
        <w:rPr>
          <w:rFonts w:hint="eastAsia"/>
          <w:sz w:val="22"/>
          <w:fitText w:val="1680" w:id="14"/>
        </w:rPr>
        <w:t>職</w:t>
      </w:r>
      <w:r>
        <w:rPr>
          <w:rFonts w:hint="eastAsia"/>
          <w:sz w:val="22"/>
        </w:rPr>
        <w:tab/>
      </w:r>
      <w:r>
        <w:rPr>
          <w:rFonts w:hint="eastAsia"/>
        </w:rPr>
        <w:t>（勤め人・公務員で課長以上の場合、校長・教頭など）</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255"/>
          <w:sz w:val="22"/>
          <w:fitText w:val="1680" w:id="15"/>
        </w:rPr>
        <w:t>自由</w:t>
      </w:r>
      <w:r>
        <w:rPr>
          <w:rFonts w:hint="eastAsia"/>
          <w:sz w:val="22"/>
          <w:fitText w:val="1680" w:id="15"/>
        </w:rPr>
        <w:t>業</w:t>
      </w:r>
      <w:r>
        <w:rPr>
          <w:rFonts w:hint="eastAsia"/>
          <w:sz w:val="22"/>
        </w:rPr>
        <w:tab/>
      </w:r>
      <w:r>
        <w:rPr>
          <w:rFonts w:hint="eastAsia"/>
        </w:rPr>
        <w:t>（医師、弁護士、画家、僧侶など）</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11"/>
          <w:sz w:val="22"/>
          <w:fitText w:val="1681" w:id="16"/>
        </w:rPr>
        <w:t>主　婦・主　</w:t>
      </w:r>
      <w:r>
        <w:rPr>
          <w:rFonts w:hint="eastAsia"/>
          <w:spacing w:val="4"/>
          <w:sz w:val="22"/>
          <w:fitText w:val="1681" w:id="16"/>
        </w:rPr>
        <w:t>夫</w:t>
      </w:r>
      <w:r>
        <w:rPr>
          <w:rFonts w:hint="eastAsia"/>
          <w:sz w:val="22"/>
        </w:rPr>
        <w:tab/>
      </w:r>
      <w:r>
        <w:rPr>
          <w:rFonts w:hint="eastAsia"/>
        </w:rPr>
        <w:t>（家庭内の仕事が一日で最も多い場合）</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620"/>
          <w:sz w:val="22"/>
          <w:fitText w:val="1680" w:id="17"/>
        </w:rPr>
        <w:t>学</w:t>
      </w:r>
      <w:r>
        <w:rPr>
          <w:rFonts w:hint="eastAsia"/>
          <w:sz w:val="22"/>
          <w:fitText w:val="1680" w:id="17"/>
        </w:rPr>
        <w:t>生</w:t>
      </w:r>
      <w:r>
        <w:rPr>
          <w:rFonts w:hint="eastAsia"/>
          <w:sz w:val="22"/>
        </w:rPr>
        <w:tab/>
      </w:r>
      <w:r>
        <w:rPr>
          <w:rFonts w:hint="eastAsia"/>
        </w:rPr>
        <w:t>（高校、短大、大学、その他の学校在学中）</w:t>
      </w:r>
    </w:p>
    <w:p>
      <w:pPr>
        <w:pStyle w:val="0"/>
        <w:tabs>
          <w:tab w:val="left" w:leader="none" w:pos="2730"/>
          <w:tab w:val="left" w:leader="none" w:pos="2835"/>
        </w:tabs>
        <w:autoSpaceDN w:val="0"/>
        <w:spacing w:line="360" w:lineRule="exact"/>
        <w:ind w:left="630" w:leftChars="300"/>
        <w:rPr>
          <w:rFonts w:hint="default"/>
        </w:rPr>
      </w:pPr>
      <w:r>
        <w:rPr>
          <w:rFonts w:hint="eastAsia"/>
          <w:spacing w:val="620"/>
          <w:sz w:val="22"/>
          <w:fitText w:val="1680" w:id="18"/>
        </w:rPr>
        <w:t>無</w:t>
      </w:r>
      <w:r>
        <w:rPr>
          <w:rFonts w:hint="eastAsia"/>
          <w:sz w:val="22"/>
          <w:fitText w:val="1680" w:id="18"/>
        </w:rPr>
        <w:t>職</w:t>
      </w:r>
      <w:r>
        <w:rPr>
          <w:rFonts w:hint="eastAsia"/>
          <w:sz w:val="22"/>
        </w:rPr>
        <w:tab/>
      </w:r>
      <w:r>
        <w:rPr>
          <w:rFonts w:hint="eastAsia"/>
          <w:sz w:val="22"/>
        </w:rPr>
        <w:t>（</w:t>
      </w:r>
      <w:r>
        <w:rPr>
          <w:rFonts w:hint="eastAsia"/>
        </w:rPr>
        <w:t>年金などで生活しているか、自分の収入がなく、または働いていない</w:t>
      </w:r>
    </w:p>
    <w:p>
      <w:pPr>
        <w:pStyle w:val="0"/>
        <w:tabs>
          <w:tab w:val="left" w:leader="none" w:pos="2940"/>
          <w:tab w:val="left" w:leader="none" w:pos="3045"/>
        </w:tabs>
        <w:autoSpaceDN w:val="0"/>
        <w:spacing w:line="360" w:lineRule="exact"/>
        <w:ind w:left="630" w:leftChars="300"/>
        <w:rPr>
          <w:rFonts w:hint="default"/>
        </w:rPr>
      </w:pPr>
      <w:r>
        <w:rPr>
          <w:rFonts w:hint="eastAsia"/>
        </w:rPr>
        <w:tab/>
      </w:r>
      <w:r>
        <w:rPr>
          <w:rFonts w:hint="eastAsia"/>
        </w:rPr>
        <w:t>場合）</w:t>
      </w:r>
    </w:p>
    <w:p>
      <w:pPr>
        <w:pStyle w:val="0"/>
        <w:tabs>
          <w:tab w:val="left" w:leader="none" w:pos="2730"/>
          <w:tab w:val="left" w:leader="none" w:pos="2835"/>
        </w:tabs>
        <w:autoSpaceDN w:val="0"/>
        <w:spacing w:line="360" w:lineRule="exact"/>
        <w:ind w:left="630" w:leftChars="300"/>
        <w:rPr>
          <w:rFonts w:hint="default"/>
        </w:rPr>
      </w:pPr>
      <w:r>
        <w:rPr>
          <w:rFonts w:hint="eastAsia"/>
          <w:spacing w:val="255"/>
          <w:sz w:val="22"/>
          <w:fitText w:val="1680" w:id="19"/>
        </w:rPr>
        <w:t>その</w:t>
      </w:r>
      <w:r>
        <w:rPr>
          <w:rFonts w:hint="eastAsia"/>
          <w:sz w:val="22"/>
          <w:fitText w:val="1680" w:id="19"/>
        </w:rPr>
        <w:t>他</w:t>
      </w:r>
      <w:r>
        <w:rPr>
          <w:rFonts w:hint="eastAsia"/>
          <w:sz w:val="22"/>
        </w:rPr>
        <w:tab/>
      </w:r>
      <w:r>
        <w:rPr>
          <w:rFonts w:hint="eastAsia"/>
        </w:rPr>
        <w:t>（上のいずれにも属さないもの）</w:t>
      </w:r>
    </w:p>
    <w:p>
      <w:pPr>
        <w:pStyle w:val="0"/>
        <w:tabs>
          <w:tab w:val="left" w:leader="middleDot" w:pos="2730"/>
          <w:tab w:val="left" w:leader="none" w:pos="2835"/>
        </w:tabs>
        <w:autoSpaceDN w:val="0"/>
        <w:spacing w:line="360" w:lineRule="exact"/>
        <w:ind w:left="420"/>
        <w:rPr>
          <w:rFonts w:hint="default"/>
          <w:sz w:val="22"/>
        </w:rPr>
      </w:pPr>
    </w:p>
    <w:p>
      <w:pPr>
        <w:pStyle w:val="0"/>
        <w:tabs>
          <w:tab w:val="left" w:leader="middleDot" w:pos="2730"/>
          <w:tab w:val="left" w:leader="none" w:pos="2835"/>
        </w:tabs>
        <w:autoSpaceDN w:val="0"/>
        <w:spacing w:line="360" w:lineRule="exact"/>
        <w:ind w:left="210" w:leftChars="100" w:firstLine="220" w:firstLineChars="100"/>
        <w:rPr>
          <w:rFonts w:hint="default"/>
          <w:sz w:val="22"/>
        </w:rPr>
      </w:pPr>
      <w:r>
        <w:rPr>
          <w:rFonts w:hint="eastAsia"/>
          <w:sz w:val="22"/>
        </w:rPr>
        <w:t>◆広域市町村圏別</w:t>
      </w:r>
    </w:p>
    <w:p>
      <w:pPr>
        <w:pStyle w:val="0"/>
        <w:tabs>
          <w:tab w:val="left" w:leader="middleDot" w:pos="840"/>
          <w:tab w:val="left" w:leader="none" w:pos="2730"/>
          <w:tab w:val="left" w:leader="none" w:pos="2835"/>
        </w:tabs>
        <w:autoSpaceDN w:val="0"/>
        <w:spacing w:line="360" w:lineRule="exact"/>
        <w:ind w:left="630" w:leftChars="300"/>
        <w:rPr>
          <w:rFonts w:hint="default"/>
          <w:sz w:val="22"/>
        </w:rPr>
      </w:pPr>
      <w:r>
        <w:rPr>
          <w:rFonts w:hint="eastAsia"/>
          <w:spacing w:val="255"/>
          <w:sz w:val="22"/>
          <w:fitText w:val="1680" w:id="20"/>
        </w:rPr>
        <w:t>高知</w:t>
      </w:r>
      <w:r>
        <w:rPr>
          <w:rFonts w:hint="eastAsia"/>
          <w:sz w:val="22"/>
          <w:fitText w:val="1680" w:id="20"/>
        </w:rPr>
        <w:t>市</w:t>
      </w:r>
      <w:r>
        <w:rPr>
          <w:rFonts w:hint="eastAsia"/>
          <w:sz w:val="22"/>
        </w:rPr>
        <w:tab/>
      </w:r>
    </w:p>
    <w:p>
      <w:pPr>
        <w:pStyle w:val="0"/>
        <w:tabs>
          <w:tab w:val="left" w:leader="none" w:pos="2730"/>
        </w:tabs>
        <w:autoSpaceDN w:val="0"/>
        <w:spacing w:line="360" w:lineRule="exact"/>
        <w:ind w:left="630" w:leftChars="300"/>
        <w:rPr>
          <w:rFonts w:hint="default"/>
          <w:sz w:val="22"/>
        </w:rPr>
      </w:pPr>
      <w:r>
        <w:rPr>
          <w:rFonts w:hint="eastAsia"/>
          <w:spacing w:val="72"/>
          <w:sz w:val="22"/>
          <w:fitText w:val="1680" w:id="21"/>
        </w:rPr>
        <w:t>安芸広域</w:t>
      </w:r>
      <w:r>
        <w:rPr>
          <w:rFonts w:hint="eastAsia"/>
          <w:spacing w:val="2"/>
          <w:sz w:val="22"/>
          <w:fitText w:val="1680" w:id="21"/>
        </w:rPr>
        <w:t>圏</w:t>
      </w:r>
      <w:r>
        <w:rPr>
          <w:rFonts w:hint="eastAsia"/>
          <w:sz w:val="22"/>
        </w:rPr>
        <w:tab/>
      </w:r>
      <w:r>
        <w:rPr>
          <w:rFonts w:hint="eastAsia"/>
          <w:sz w:val="22"/>
        </w:rPr>
        <w:t>室戸市、安芸市、東洋町、奈半利町、田野町、安田町、北川村</w:t>
      </w:r>
    </w:p>
    <w:p>
      <w:pPr>
        <w:pStyle w:val="0"/>
        <w:tabs>
          <w:tab w:val="left" w:leader="none" w:pos="2730"/>
        </w:tabs>
        <w:autoSpaceDN w:val="0"/>
        <w:spacing w:line="360" w:lineRule="exact"/>
        <w:ind w:left="630" w:leftChars="300"/>
        <w:rPr>
          <w:rFonts w:hint="default"/>
          <w:sz w:val="22"/>
        </w:rPr>
      </w:pPr>
      <w:r>
        <w:rPr>
          <w:rFonts w:hint="eastAsia"/>
          <w:sz w:val="22"/>
        </w:rPr>
        <w:tab/>
      </w:r>
      <w:r>
        <w:rPr>
          <w:rFonts w:hint="eastAsia"/>
          <w:sz w:val="22"/>
        </w:rPr>
        <w:t>馬路村、芸西村</w:t>
      </w:r>
    </w:p>
    <w:p>
      <w:pPr>
        <w:pStyle w:val="0"/>
        <w:tabs>
          <w:tab w:val="left" w:leader="none" w:pos="2730"/>
        </w:tabs>
        <w:autoSpaceDN w:val="0"/>
        <w:spacing w:line="360" w:lineRule="exact"/>
        <w:ind w:left="630" w:leftChars="300"/>
        <w:rPr>
          <w:rFonts w:hint="default"/>
          <w:sz w:val="22"/>
        </w:rPr>
      </w:pPr>
      <w:r>
        <w:rPr>
          <w:rFonts w:hint="eastAsia"/>
          <w:spacing w:val="1"/>
          <w:w w:val="95"/>
          <w:sz w:val="22"/>
          <w:fitText w:val="1680" w:id="22"/>
        </w:rPr>
        <w:t>南国・香美広域圏</w:t>
      </w:r>
      <w:r>
        <w:rPr>
          <w:rFonts w:hint="eastAsia"/>
          <w:sz w:val="22"/>
        </w:rPr>
        <w:tab/>
      </w:r>
      <w:r>
        <w:rPr>
          <w:rFonts w:hint="eastAsia"/>
          <w:sz w:val="22"/>
        </w:rPr>
        <w:t>南国市、香南市、香美市</w:t>
      </w:r>
    </w:p>
    <w:p>
      <w:pPr>
        <w:pStyle w:val="0"/>
        <w:tabs>
          <w:tab w:val="left" w:leader="middleDot" w:pos="840"/>
          <w:tab w:val="left" w:leader="none" w:pos="2730"/>
          <w:tab w:val="left" w:leader="none" w:pos="2835"/>
        </w:tabs>
        <w:autoSpaceDN w:val="0"/>
        <w:spacing w:line="360" w:lineRule="exact"/>
        <w:ind w:left="630" w:leftChars="300"/>
        <w:rPr>
          <w:rFonts w:hint="default"/>
          <w:sz w:val="22"/>
        </w:rPr>
      </w:pPr>
      <w:r>
        <w:rPr>
          <w:rFonts w:hint="eastAsia"/>
          <w:spacing w:val="72"/>
          <w:sz w:val="22"/>
          <w:fitText w:val="1680" w:id="23"/>
        </w:rPr>
        <w:t>嶺北広域</w:t>
      </w:r>
      <w:r>
        <w:rPr>
          <w:rFonts w:hint="eastAsia"/>
          <w:spacing w:val="2"/>
          <w:sz w:val="22"/>
          <w:fitText w:val="1680" w:id="23"/>
        </w:rPr>
        <w:t>圏</w:t>
      </w:r>
      <w:r>
        <w:rPr>
          <w:rFonts w:hint="eastAsia"/>
          <w:sz w:val="22"/>
        </w:rPr>
        <w:tab/>
      </w:r>
      <w:r>
        <w:rPr>
          <w:rFonts w:hint="eastAsia"/>
          <w:sz w:val="22"/>
        </w:rPr>
        <w:t>本山町、大豊町、土佐町、大川村</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36"/>
          <w:sz w:val="22"/>
          <w:fitText w:val="1680" w:id="24"/>
        </w:rPr>
        <w:t>仁淀川広域</w:t>
      </w:r>
      <w:r>
        <w:rPr>
          <w:rFonts w:hint="eastAsia"/>
          <w:sz w:val="22"/>
          <w:fitText w:val="1680" w:id="24"/>
        </w:rPr>
        <w:t>圏</w:t>
      </w:r>
      <w:r>
        <w:rPr>
          <w:rFonts w:hint="eastAsia"/>
          <w:sz w:val="22"/>
        </w:rPr>
        <w:tab/>
      </w:r>
      <w:r>
        <w:rPr>
          <w:rFonts w:hint="eastAsia"/>
          <w:sz w:val="22"/>
        </w:rPr>
        <w:t>土佐市、いの町、日高村</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36"/>
          <w:sz w:val="22"/>
          <w:fitText w:val="1680" w:id="25"/>
        </w:rPr>
        <w:t>高吾北広域</w:t>
      </w:r>
      <w:r>
        <w:rPr>
          <w:rFonts w:hint="eastAsia"/>
          <w:sz w:val="22"/>
          <w:fitText w:val="1680" w:id="25"/>
        </w:rPr>
        <w:t>圏</w:t>
      </w:r>
      <w:r>
        <w:rPr>
          <w:rFonts w:hint="eastAsia"/>
          <w:sz w:val="22"/>
        </w:rPr>
        <w:tab/>
      </w:r>
      <w:r>
        <w:rPr>
          <w:rFonts w:hint="eastAsia"/>
          <w:sz w:val="22"/>
        </w:rPr>
        <w:t>佐川町、越知町、仁淀川町</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72"/>
          <w:sz w:val="22"/>
          <w:fitText w:val="1680" w:id="26"/>
        </w:rPr>
        <w:t>高幡広域</w:t>
      </w:r>
      <w:r>
        <w:rPr>
          <w:rFonts w:hint="eastAsia"/>
          <w:spacing w:val="2"/>
          <w:sz w:val="22"/>
          <w:fitText w:val="1680" w:id="26"/>
        </w:rPr>
        <w:t>圏</w:t>
      </w:r>
      <w:r>
        <w:rPr>
          <w:rFonts w:hint="eastAsia"/>
          <w:sz w:val="22"/>
        </w:rPr>
        <w:tab/>
      </w:r>
      <w:r>
        <w:rPr>
          <w:rFonts w:hint="eastAsia"/>
          <w:sz w:val="22"/>
        </w:rPr>
        <w:t>須崎市、中土佐町、梼原町、津野町、四万十町</w:t>
      </w:r>
    </w:p>
    <w:p>
      <w:pPr>
        <w:pStyle w:val="0"/>
        <w:tabs>
          <w:tab w:val="left" w:leader="none" w:pos="2730"/>
          <w:tab w:val="left" w:leader="none" w:pos="2835"/>
        </w:tabs>
        <w:autoSpaceDN w:val="0"/>
        <w:spacing w:line="360" w:lineRule="exact"/>
        <w:ind w:left="630" w:leftChars="300"/>
        <w:rPr>
          <w:rFonts w:hint="default"/>
          <w:sz w:val="22"/>
        </w:rPr>
      </w:pPr>
      <w:r>
        <w:rPr>
          <w:rFonts w:hint="eastAsia"/>
          <w:spacing w:val="72"/>
          <w:sz w:val="22"/>
          <w:fitText w:val="1680" w:id="27"/>
        </w:rPr>
        <w:t>幡多広域</w:t>
      </w:r>
      <w:r>
        <w:rPr>
          <w:rFonts w:hint="eastAsia"/>
          <w:spacing w:val="2"/>
          <w:sz w:val="22"/>
          <w:fitText w:val="1680" w:id="27"/>
        </w:rPr>
        <w:t>圏</w:t>
      </w:r>
      <w:r>
        <w:rPr>
          <w:rFonts w:hint="eastAsia"/>
          <w:sz w:val="22"/>
        </w:rPr>
        <w:tab/>
      </w:r>
      <w:r>
        <w:rPr>
          <w:rFonts w:hint="eastAsia"/>
          <w:sz w:val="22"/>
        </w:rPr>
        <w:t>宿毛市、土佐清水市、四万十市、大月町、三原村、黒潮町</w:t>
      </w:r>
    </w:p>
    <w:p>
      <w:pPr>
        <w:pStyle w:val="0"/>
        <w:tabs>
          <w:tab w:val="left" w:leader="none" w:pos="2730"/>
          <w:tab w:val="left" w:leader="none" w:pos="2835"/>
        </w:tabs>
        <w:autoSpaceDN w:val="0"/>
        <w:spacing w:line="360" w:lineRule="exact"/>
        <w:ind w:left="420"/>
        <w:rPr>
          <w:rFonts w:hint="default"/>
          <w:sz w:val="22"/>
        </w:rPr>
      </w:pPr>
    </w:p>
    <w:p>
      <w:pPr>
        <w:pStyle w:val="0"/>
        <w:tabs>
          <w:tab w:val="left" w:leader="none" w:pos="2730"/>
          <w:tab w:val="left" w:leader="none" w:pos="2835"/>
        </w:tabs>
        <w:autoSpaceDN w:val="0"/>
        <w:spacing w:line="360" w:lineRule="exact"/>
        <w:ind w:left="0" w:leftChars="0" w:firstLine="440" w:firstLineChars="200"/>
        <w:rPr>
          <w:rFonts w:hint="default"/>
          <w:sz w:val="22"/>
        </w:rPr>
      </w:pPr>
      <w:r>
        <w:rPr>
          <w:rFonts w:hint="eastAsia"/>
          <w:sz w:val="22"/>
        </w:rPr>
        <w:t>◆沿岸部別</w:t>
      </w:r>
    </w:p>
    <w:p>
      <w:pPr>
        <w:pStyle w:val="0"/>
        <w:tabs>
          <w:tab w:val="left" w:leader="none" w:pos="2730"/>
          <w:tab w:val="left" w:leader="none" w:pos="2835"/>
        </w:tabs>
        <w:autoSpaceDN w:val="0"/>
        <w:spacing w:line="360" w:lineRule="exact"/>
        <w:ind w:left="630" w:leftChars="300"/>
        <w:rPr>
          <w:rFonts w:hint="default"/>
          <w:sz w:val="22"/>
        </w:rPr>
      </w:pPr>
      <w:r>
        <w:rPr>
          <w:rFonts w:hint="eastAsia"/>
          <w:sz w:val="22"/>
        </w:rPr>
        <w:t>居住地が沿岸部であると判断する目安は、海（海岸、岸壁、港、湾、河口付近）から直線距離で約５㎞（または車で約</w:t>
      </w:r>
      <w:r>
        <w:rPr>
          <w:rFonts w:hint="eastAsia"/>
          <w:sz w:val="22"/>
        </w:rPr>
        <w:t>10</w:t>
      </w:r>
      <w:r>
        <w:rPr>
          <w:rFonts w:hint="eastAsia"/>
          <w:sz w:val="22"/>
        </w:rPr>
        <w:t>分）を目安とする。</w:t>
      </w:r>
    </w:p>
    <w:p>
      <w:pPr>
        <w:pStyle w:val="0"/>
        <w:widowControl w:val="1"/>
        <w:ind w:left="420"/>
        <w:rPr>
          <w:rFonts w:hint="default"/>
          <w:sz w:val="22"/>
        </w:rPr>
      </w:pPr>
      <w:r>
        <w:rPr>
          <w:rFonts w:hint="default"/>
          <w:sz w:val="22"/>
        </w:rPr>
        <w:br w:type="page"/>
      </w:r>
    </w:p>
    <w:p>
      <w:pPr>
        <w:pStyle w:val="1"/>
        <w:ind w:left="420"/>
        <w:rPr>
          <w:rFonts w:hint="default"/>
        </w:rPr>
      </w:pPr>
      <w:r>
        <w:rPr>
          <w:rFonts w:hint="eastAsia"/>
        </w:rPr>
        <w:t>Ⅲ　調査対象者の特性</w:t>
      </w:r>
    </w:p>
    <w:p>
      <w:pPr>
        <w:pStyle w:val="0"/>
        <w:ind w:left="420"/>
        <w:rPr>
          <w:rFonts w:hint="default"/>
          <w:sz w:val="22"/>
        </w:rPr>
      </w:pPr>
    </w:p>
    <w:p>
      <w:pPr>
        <w:pStyle w:val="0"/>
        <w:ind w:left="420"/>
        <w:rPr>
          <w:rFonts w:hint="default"/>
        </w:rPr>
      </w:pPr>
      <w:r>
        <w:rPr>
          <w:rFonts w:hint="eastAsia"/>
        </w:rPr>
        <w:t>※構成比は小数第２位を四捨五入しているため合計が</w:t>
      </w:r>
      <w:r>
        <w:rPr>
          <w:rFonts w:hint="eastAsia"/>
        </w:rPr>
        <w:t>100</w:t>
      </w:r>
      <w:r>
        <w:rPr>
          <w:rFonts w:hint="eastAsia"/>
        </w:rPr>
        <w:t>％にならない場合もある。</w:t>
      </w:r>
      <w:bookmarkStart w:id="4" w:name="_Toc331449307"/>
    </w:p>
    <w:p>
      <w:pPr>
        <w:pStyle w:val="0"/>
        <w:ind w:left="0" w:leftChars="0"/>
        <w:rPr>
          <w:rFonts w:hint="default" w:ascii="ＭＳ ゴシック" w:hAnsi="ＭＳ ゴシック" w:eastAsia="ＭＳ ゴシック"/>
        </w:rPr>
      </w:pPr>
      <w:r>
        <w:rPr>
          <w:rFonts w:hint="eastAsia" w:ascii="ＭＳ ゴシック" w:hAnsi="ＭＳ ゴシック" w:eastAsia="ＭＳ ゴシック"/>
        </w:rPr>
        <w:t>１．広域市町村圏別の配布・回収状況</w:t>
      </w:r>
    </w:p>
    <w:p>
      <w:pPr>
        <w:pStyle w:val="0"/>
        <w:ind w:left="0" w:leftChars="0"/>
        <w:rPr>
          <w:rFonts w:hint="default" w:ascii="ＭＳ ゴシック" w:hAnsi="ＭＳ ゴシック" w:eastAsia="ＭＳ ゴシック"/>
        </w:rPr>
      </w:pPr>
    </w:p>
    <w:tbl>
      <w:tblPr>
        <w:tblStyle w:val="11"/>
        <w:tblW w:w="9072"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4"/>
        <w:gridCol w:w="2126"/>
        <w:gridCol w:w="1654"/>
        <w:gridCol w:w="1654"/>
        <w:gridCol w:w="1654"/>
      </w:tblGrid>
      <w:tr>
        <w:trPr>
          <w:trHeight w:val="374" w:hRule="exact"/>
        </w:trPr>
        <w:tc>
          <w:tcPr>
            <w:tcW w:w="1984" w:type="dxa"/>
            <w:vMerge w:val="restart"/>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広域市町村圏</w:t>
            </w:r>
          </w:p>
        </w:tc>
        <w:tc>
          <w:tcPr>
            <w:tcW w:w="2126" w:type="dxa"/>
            <w:vMerge w:val="restart"/>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配布数（人）</w:t>
            </w:r>
          </w:p>
        </w:tc>
        <w:tc>
          <w:tcPr>
            <w:tcW w:w="4962" w:type="dxa"/>
            <w:gridSpan w:val="3"/>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有効回収状況</w:t>
            </w:r>
          </w:p>
        </w:tc>
      </w:tr>
      <w:tr>
        <w:trPr>
          <w:trHeight w:val="374" w:hRule="exact"/>
        </w:trPr>
        <w:tc>
          <w:tcPr>
            <w:tcW w:w="1984" w:type="dxa"/>
            <w:vMerge w:val="continue"/>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p>
        </w:tc>
        <w:tc>
          <w:tcPr>
            <w:tcW w:w="2126" w:type="dxa"/>
            <w:vMerge w:val="continue"/>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p>
        </w:tc>
        <w:tc>
          <w:tcPr>
            <w:tcW w:w="1654" w:type="dxa"/>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回答数（人）</w:t>
            </w:r>
          </w:p>
        </w:tc>
        <w:tc>
          <w:tcPr>
            <w:tcW w:w="1654" w:type="dxa"/>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回収率（％）</w:t>
            </w:r>
          </w:p>
        </w:tc>
        <w:tc>
          <w:tcPr>
            <w:tcW w:w="1654" w:type="dxa"/>
            <w:shd w:val="clear" w:color="auto" w:themeFill="background2" w:themeFillTint="FF" w:themeFillShade="FF"/>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構成比（％）</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高知市</w:t>
            </w:r>
          </w:p>
        </w:tc>
        <w:tc>
          <w:tcPr>
            <w:tcW w:w="2126" w:type="dxa"/>
            <w:vAlign w:val="center"/>
          </w:tcPr>
          <w:p>
            <w:pPr>
              <w:pStyle w:val="0"/>
              <w:widowControl w:val="1"/>
              <w:spacing w:line="200" w:lineRule="exact"/>
              <w:ind w:left="0" w:leftChars="0"/>
              <w:jc w:val="right"/>
              <w:rPr>
                <w:rFonts w:hint="default"/>
                <w:sz w:val="20"/>
              </w:rPr>
            </w:pPr>
            <w:r>
              <w:rPr>
                <w:rFonts w:hint="eastAsia"/>
                <w:sz w:val="20"/>
              </w:rPr>
              <w:t>1,363</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842</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61.8</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49.0</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安芸広域圏</w:t>
            </w:r>
          </w:p>
        </w:tc>
        <w:tc>
          <w:tcPr>
            <w:tcW w:w="2126" w:type="dxa"/>
            <w:vAlign w:val="center"/>
          </w:tcPr>
          <w:p>
            <w:pPr>
              <w:pStyle w:val="0"/>
              <w:widowControl w:val="1"/>
              <w:spacing w:line="200" w:lineRule="exact"/>
              <w:ind w:left="0" w:leftChars="0"/>
              <w:jc w:val="right"/>
              <w:rPr>
                <w:rFonts w:hint="default"/>
                <w:sz w:val="20"/>
              </w:rPr>
            </w:pPr>
            <w:r>
              <w:rPr>
                <w:rFonts w:hint="eastAsia"/>
                <w:sz w:val="20"/>
              </w:rPr>
              <w:t>208</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107</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51.4</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6.2</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南国・香美広域圏</w:t>
            </w:r>
          </w:p>
        </w:tc>
        <w:tc>
          <w:tcPr>
            <w:tcW w:w="2126" w:type="dxa"/>
            <w:vAlign w:val="center"/>
          </w:tcPr>
          <w:p>
            <w:pPr>
              <w:pStyle w:val="0"/>
              <w:widowControl w:val="1"/>
              <w:spacing w:line="200" w:lineRule="exact"/>
              <w:ind w:left="0" w:leftChars="0"/>
              <w:jc w:val="right"/>
              <w:rPr>
                <w:rFonts w:hint="default"/>
                <w:sz w:val="20"/>
              </w:rPr>
            </w:pPr>
            <w:r>
              <w:rPr>
                <w:rFonts w:hint="eastAsia"/>
                <w:sz w:val="20"/>
              </w:rPr>
              <w:t>442</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244</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55.2</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14.2</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嶺北広域圏</w:t>
            </w:r>
          </w:p>
        </w:tc>
        <w:tc>
          <w:tcPr>
            <w:tcW w:w="2126" w:type="dxa"/>
            <w:vAlign w:val="center"/>
          </w:tcPr>
          <w:p>
            <w:pPr>
              <w:pStyle w:val="0"/>
              <w:widowControl w:val="1"/>
              <w:spacing w:line="200" w:lineRule="exact"/>
              <w:ind w:left="0" w:leftChars="0"/>
              <w:jc w:val="right"/>
              <w:rPr>
                <w:rFonts w:hint="default"/>
                <w:sz w:val="20"/>
              </w:rPr>
            </w:pPr>
            <w:r>
              <w:rPr>
                <w:rFonts w:hint="eastAsia"/>
                <w:sz w:val="20"/>
              </w:rPr>
              <w:t>51</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26</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51.0</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1.5</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仁淀川広域圏</w:t>
            </w:r>
          </w:p>
        </w:tc>
        <w:tc>
          <w:tcPr>
            <w:tcW w:w="2126" w:type="dxa"/>
            <w:vAlign w:val="center"/>
          </w:tcPr>
          <w:p>
            <w:pPr>
              <w:pStyle w:val="0"/>
              <w:widowControl w:val="1"/>
              <w:spacing w:line="200" w:lineRule="exact"/>
              <w:ind w:left="0" w:leftChars="0"/>
              <w:jc w:val="right"/>
              <w:rPr>
                <w:rFonts w:hint="default"/>
                <w:sz w:val="20"/>
              </w:rPr>
            </w:pPr>
            <w:r>
              <w:rPr>
                <w:rFonts w:hint="eastAsia"/>
                <w:sz w:val="20"/>
              </w:rPr>
              <w:t>234</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101</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43.2</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5.9</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高吾北広域圏</w:t>
            </w:r>
          </w:p>
        </w:tc>
        <w:tc>
          <w:tcPr>
            <w:tcW w:w="2126" w:type="dxa"/>
            <w:vAlign w:val="center"/>
          </w:tcPr>
          <w:p>
            <w:pPr>
              <w:pStyle w:val="0"/>
              <w:widowControl w:val="1"/>
              <w:spacing w:line="200" w:lineRule="exact"/>
              <w:ind w:left="0" w:leftChars="0"/>
              <w:jc w:val="right"/>
              <w:rPr>
                <w:rFonts w:hint="default"/>
                <w:sz w:val="20"/>
              </w:rPr>
            </w:pPr>
            <w:r>
              <w:rPr>
                <w:rFonts w:hint="eastAsia"/>
                <w:sz w:val="20"/>
              </w:rPr>
              <w:t>103</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58</w:t>
            </w:r>
          </w:p>
        </w:tc>
        <w:tc>
          <w:tcPr>
            <w:tcW w:w="1654" w:type="dxa"/>
            <w:shd w:val="clear" w:color="auto" w:fill="auto"/>
            <w:vAlign w:val="center"/>
          </w:tcPr>
          <w:p>
            <w:pPr>
              <w:pStyle w:val="0"/>
              <w:wordWrap w:val="0"/>
              <w:ind w:left="420"/>
              <w:jc w:val="right"/>
              <w:rPr>
                <w:rFonts w:hint="default"/>
                <w:color w:val="000000"/>
                <w:sz w:val="20"/>
              </w:rPr>
            </w:pPr>
            <w:r>
              <w:rPr>
                <w:rFonts w:hint="eastAsia"/>
                <w:color w:val="000000"/>
                <w:sz w:val="20"/>
              </w:rPr>
              <w:t>56.3</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3.4</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高幡広域圏</w:t>
            </w:r>
          </w:p>
        </w:tc>
        <w:tc>
          <w:tcPr>
            <w:tcW w:w="2126" w:type="dxa"/>
            <w:vAlign w:val="center"/>
          </w:tcPr>
          <w:p>
            <w:pPr>
              <w:pStyle w:val="0"/>
              <w:widowControl w:val="1"/>
              <w:spacing w:line="200" w:lineRule="exact"/>
              <w:ind w:left="0" w:leftChars="0"/>
              <w:jc w:val="right"/>
              <w:rPr>
                <w:rFonts w:hint="default"/>
                <w:sz w:val="20"/>
              </w:rPr>
            </w:pPr>
            <w:r>
              <w:rPr>
                <w:rFonts w:hint="eastAsia"/>
                <w:sz w:val="20"/>
              </w:rPr>
              <w:t>234</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134</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57.3</w:t>
            </w:r>
          </w:p>
        </w:tc>
        <w:tc>
          <w:tcPr>
            <w:tcW w:w="1654" w:type="dxa"/>
            <w:shd w:val="clear" w:color="auto" w:fill="auto"/>
            <w:vAlign w:val="center"/>
          </w:tcPr>
          <w:p>
            <w:pPr>
              <w:pStyle w:val="0"/>
              <w:ind w:left="420"/>
              <w:jc w:val="right"/>
              <w:rPr>
                <w:rFonts w:hint="default"/>
                <w:color w:val="000000"/>
                <w:sz w:val="20"/>
              </w:rPr>
            </w:pPr>
            <w:r>
              <w:rPr>
                <w:rFonts w:hint="eastAsia"/>
                <w:color w:val="000000"/>
                <w:sz w:val="20"/>
              </w:rPr>
              <w:t>7.8</w:t>
            </w:r>
          </w:p>
        </w:tc>
      </w:tr>
      <w:tr>
        <w:trPr>
          <w:trHeight w:val="374" w:hRule="exact"/>
        </w:trPr>
        <w:tc>
          <w:tcPr>
            <w:tcW w:w="1984" w:type="dxa"/>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幡多広域圏</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00" w:lineRule="exact"/>
              <w:ind w:left="0" w:leftChars="0"/>
              <w:jc w:val="right"/>
              <w:rPr>
                <w:rFonts w:hint="default"/>
                <w:sz w:val="20"/>
              </w:rPr>
            </w:pPr>
            <w:r>
              <w:rPr>
                <w:rFonts w:hint="eastAsia"/>
                <w:sz w:val="20"/>
              </w:rPr>
              <w:t>365</w:t>
            </w:r>
          </w:p>
        </w:tc>
        <w:tc>
          <w:tcPr>
            <w:tcW w:w="165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ind w:left="420"/>
              <w:jc w:val="right"/>
              <w:rPr>
                <w:rFonts w:hint="default"/>
                <w:color w:val="000000"/>
                <w:sz w:val="20"/>
              </w:rPr>
            </w:pPr>
            <w:r>
              <w:rPr>
                <w:rFonts w:hint="eastAsia"/>
                <w:color w:val="000000"/>
                <w:sz w:val="20"/>
              </w:rPr>
              <w:t>189</w:t>
            </w:r>
          </w:p>
        </w:tc>
        <w:tc>
          <w:tcPr>
            <w:tcW w:w="165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ind w:left="420"/>
              <w:jc w:val="right"/>
              <w:rPr>
                <w:rFonts w:hint="default"/>
                <w:color w:val="000000"/>
                <w:sz w:val="20"/>
              </w:rPr>
            </w:pPr>
            <w:r>
              <w:rPr>
                <w:rFonts w:hint="eastAsia"/>
                <w:color w:val="000000"/>
                <w:sz w:val="20"/>
              </w:rPr>
              <w:t>51.8</w:t>
            </w:r>
          </w:p>
        </w:tc>
        <w:tc>
          <w:tcPr>
            <w:tcW w:w="165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ind w:left="420"/>
              <w:jc w:val="right"/>
              <w:rPr>
                <w:rFonts w:hint="default"/>
                <w:color w:val="000000"/>
                <w:sz w:val="20"/>
              </w:rPr>
            </w:pPr>
            <w:r>
              <w:rPr>
                <w:rFonts w:hint="eastAsia"/>
                <w:color w:val="000000"/>
                <w:sz w:val="20"/>
              </w:rPr>
              <w:t>11.0</w:t>
            </w:r>
          </w:p>
        </w:tc>
      </w:tr>
      <w:tr>
        <w:trPr>
          <w:trHeight w:val="374" w:hRule="exact"/>
        </w:trPr>
        <w:tc>
          <w:tcPr>
            <w:tcW w:w="1984" w:type="dxa"/>
            <w:tcBorders>
              <w:top w:val="nil"/>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無回答</w:t>
            </w:r>
          </w:p>
        </w:tc>
        <w:tc>
          <w:tcPr>
            <w:tcW w:w="2126" w:type="dxa"/>
            <w:tcBorders>
              <w:top w:val="nil"/>
              <w:left w:val="none" w:color="auto" w:sz="0" w:space="0"/>
              <w:bottom w:val="double" w:color="auto" w:sz="4" w:space="0"/>
              <w:right w:val="none" w:color="auto" w:sz="0" w:space="0"/>
              <w:tl2br w:val="none" w:color="auto" w:sz="0" w:space="0"/>
              <w:tr2bl w:val="single" w:color="auto" w:sz="4" w:space="0"/>
            </w:tcBorders>
            <w:vAlign w:val="center"/>
          </w:tcPr>
          <w:p>
            <w:pPr>
              <w:pStyle w:val="0"/>
              <w:widowControl w:val="1"/>
              <w:spacing w:line="200" w:lineRule="exact"/>
              <w:ind w:left="0" w:leftChars="0"/>
              <w:jc w:val="right"/>
              <w:rPr>
                <w:rFonts w:hint="default"/>
                <w:sz w:val="20"/>
              </w:rPr>
            </w:pPr>
          </w:p>
        </w:tc>
        <w:tc>
          <w:tcPr>
            <w:tcW w:w="165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420"/>
              <w:jc w:val="right"/>
              <w:rPr>
                <w:rFonts w:hint="default"/>
                <w:color w:val="000000"/>
                <w:sz w:val="20"/>
              </w:rPr>
            </w:pPr>
            <w:r>
              <w:rPr>
                <w:rFonts w:hint="eastAsia"/>
                <w:color w:val="000000"/>
                <w:sz w:val="20"/>
              </w:rPr>
              <w:t>17</w:t>
            </w:r>
          </w:p>
        </w:tc>
        <w:tc>
          <w:tcPr>
            <w:tcW w:w="1654" w:type="dxa"/>
            <w:tcBorders>
              <w:top w:val="none" w:color="auto" w:sz="0" w:space="0"/>
              <w:left w:val="none" w:color="auto" w:sz="0" w:space="0"/>
              <w:bottom w:val="double" w:color="auto" w:sz="4" w:space="0"/>
              <w:right w:val="none" w:color="auto" w:sz="0" w:space="0"/>
              <w:tl2br w:val="none" w:color="auto" w:sz="0" w:space="0"/>
              <w:tr2bl w:val="single" w:color="auto" w:sz="4" w:space="0"/>
            </w:tcBorders>
            <w:shd w:val="clear" w:color="auto" w:fill="auto"/>
            <w:vAlign w:val="center"/>
          </w:tcPr>
          <w:p>
            <w:pPr>
              <w:pStyle w:val="0"/>
              <w:widowControl w:val="1"/>
              <w:spacing w:line="200" w:lineRule="exact"/>
              <w:ind w:left="0" w:leftChars="0"/>
              <w:jc w:val="right"/>
              <w:rPr>
                <w:rFonts w:hint="default"/>
                <w:sz w:val="20"/>
              </w:rPr>
            </w:pPr>
          </w:p>
        </w:tc>
        <w:tc>
          <w:tcPr>
            <w:tcW w:w="165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420"/>
              <w:jc w:val="right"/>
              <w:rPr>
                <w:rFonts w:hint="default"/>
                <w:color w:val="000000"/>
                <w:sz w:val="20"/>
              </w:rPr>
            </w:pPr>
            <w:r>
              <w:rPr>
                <w:rFonts w:hint="eastAsia"/>
                <w:color w:val="000000"/>
                <w:sz w:val="20"/>
              </w:rPr>
              <w:t>1.0</w:t>
            </w:r>
          </w:p>
        </w:tc>
      </w:tr>
      <w:tr>
        <w:trPr>
          <w:trHeight w:val="374" w:hRule="exact"/>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0" w:leftChars="0"/>
              <w:jc w:val="center"/>
              <w:rPr>
                <w:rFonts w:hint="default" w:asciiTheme="minorEastAsia" w:hAnsiTheme="minorEastAsia" w:eastAsiaTheme="minorEastAsia"/>
                <w:sz w:val="20"/>
              </w:rPr>
            </w:pPr>
            <w:r>
              <w:rPr>
                <w:rFonts w:hint="eastAsia" w:asciiTheme="minorEastAsia" w:hAnsiTheme="minorEastAsia" w:eastAsiaTheme="minorEastAsia"/>
                <w:sz w:val="20"/>
              </w:rPr>
              <w:t>合　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00" w:lineRule="exact"/>
              <w:ind w:left="0" w:leftChars="0"/>
              <w:jc w:val="right"/>
              <w:rPr>
                <w:rFonts w:hint="default"/>
                <w:sz w:val="20"/>
              </w:rPr>
            </w:pPr>
            <w:r>
              <w:rPr>
                <w:rFonts w:hint="eastAsia"/>
                <w:sz w:val="20"/>
              </w:rPr>
              <w:t>3,000</w:t>
            </w:r>
          </w:p>
        </w:tc>
        <w:tc>
          <w:tcPr>
            <w:tcW w:w="165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wordWrap w:val="0"/>
              <w:spacing w:line="200" w:lineRule="exact"/>
              <w:ind w:left="0" w:leftChars="0"/>
              <w:jc w:val="right"/>
              <w:rPr>
                <w:rFonts w:hint="default"/>
                <w:sz w:val="20"/>
              </w:rPr>
            </w:pPr>
            <w:r>
              <w:rPr>
                <w:rFonts w:hint="eastAsia"/>
                <w:sz w:val="20"/>
              </w:rPr>
              <w:t>1,718</w:t>
            </w:r>
          </w:p>
        </w:tc>
        <w:tc>
          <w:tcPr>
            <w:tcW w:w="1654" w:type="dxa"/>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idowControl w:val="1"/>
              <w:spacing w:line="200" w:lineRule="exact"/>
              <w:ind w:left="0" w:leftChars="0"/>
              <w:jc w:val="right"/>
              <w:rPr>
                <w:rFonts w:hint="default"/>
                <w:sz w:val="20"/>
              </w:rPr>
            </w:pPr>
            <w:r>
              <w:rPr>
                <w:rFonts w:hint="eastAsia"/>
                <w:sz w:val="20"/>
              </w:rPr>
              <w:t>57.3</w:t>
            </w:r>
          </w:p>
        </w:tc>
        <w:tc>
          <w:tcPr>
            <w:tcW w:w="165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00" w:lineRule="exact"/>
              <w:ind w:left="0" w:leftChars="0"/>
              <w:jc w:val="right"/>
              <w:rPr>
                <w:rFonts w:hint="default"/>
                <w:sz w:val="20"/>
              </w:rPr>
            </w:pPr>
            <w:r>
              <w:rPr>
                <w:rFonts w:hint="eastAsia"/>
                <w:sz w:val="20"/>
              </w:rPr>
              <w:t>100.0</w:t>
            </w:r>
          </w:p>
        </w:tc>
      </w:tr>
    </w:tbl>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bookmarkStart w:id="5" w:name="_Toc331449308"/>
      <w:bookmarkEnd w:id="5"/>
      <w:r>
        <w:rPr>
          <w:rFonts w:hint="eastAsia" w:ascii="ＭＳ ゴシック" w:hAnsi="ＭＳ ゴシック" w:eastAsia="ＭＳ ゴシック"/>
        </w:rPr>
        <w:t>２．対象者の特性</w:t>
      </w:r>
    </w:p>
    <w:p>
      <w:pPr>
        <w:pStyle w:val="0"/>
        <w:ind w:left="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Ｆ１　性別</w:t>
      </w:r>
    </w:p>
    <w:tbl>
      <w:tblPr>
        <w:tblStyle w:val="11"/>
        <w:tblpPr w:leftFromText="142" w:rightFromText="142" w:topFromText="0" w:bottomFromText="0" w:vertAnchor="text" w:horzAnchor="text" w:tblpX="4185" w:tblpY="225"/>
        <w:tblOverlap w:val="never"/>
        <w:tblW w:w="5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6"/>
        <w:gridCol w:w="1552"/>
        <w:gridCol w:w="1553"/>
      </w:tblGrid>
      <w:tr>
        <w:trPr>
          <w:trHeight w:val="414" w:hRule="atLeast"/>
        </w:trPr>
        <w:tc>
          <w:tcPr>
            <w:tcW w:w="2376"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52"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53"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男　性</w:t>
            </w:r>
          </w:p>
        </w:tc>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838</w:t>
            </w:r>
          </w:p>
        </w:tc>
        <w:tc>
          <w:tcPr>
            <w:tcW w:w="1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女　性</w:t>
            </w:r>
          </w:p>
        </w:tc>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874</w:t>
            </w:r>
          </w:p>
        </w:tc>
        <w:tc>
          <w:tcPr>
            <w:tcW w:w="1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その他</w:t>
            </w:r>
          </w:p>
        </w:tc>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w:t>
            </w:r>
          </w:p>
        </w:tc>
        <w:tc>
          <w:tcPr>
            <w:tcW w:w="1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無回答</w:t>
            </w:r>
          </w:p>
        </w:tc>
        <w:tc>
          <w:tcPr>
            <w:tcW w:w="155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5</w:t>
            </w:r>
          </w:p>
        </w:tc>
        <w:tc>
          <w:tcPr>
            <w:tcW w:w="1553"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合　計</w:t>
            </w:r>
          </w:p>
        </w:tc>
        <w:tc>
          <w:tcPr>
            <w:tcW w:w="155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1,718</w:t>
            </w:r>
          </w:p>
        </w:tc>
        <w:tc>
          <w:tcPr>
            <w:tcW w:w="1553"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100.0</w:t>
            </w:r>
          </w:p>
        </w:tc>
      </w:tr>
    </w:tbl>
    <w:p>
      <w:pPr>
        <w:pStyle w:val="0"/>
        <w:ind w:left="0" w:leftChars="0" w:firstLine="210" w:firstLineChars="10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469515" cy="2095500"/>
            <wp:effectExtent l="0" t="0" r="0" b="0"/>
            <wp:docPr id="1028" name="オブジェクト 0"/>
            <a:graphic xmlns:a="http://schemas.openxmlformats.org/drawingml/2006/main">
              <a:graphicData uri="http://schemas.openxmlformats.org/drawingml/2006/chart">
                <c:chart xmlns:c="http://schemas.openxmlformats.org/drawingml/2006/chart" r:id="rId6"/>
              </a:graphicData>
            </a:graphic>
          </wp:inline>
        </w:drawing>
      </w:r>
    </w:p>
    <w:p>
      <w:pPr>
        <w:pStyle w:val="0"/>
        <w:ind w:left="420"/>
        <w:jc w:val="right"/>
        <w:rPr>
          <w:rFonts w:hint="default" w:ascii="ＭＳ ゴシック" w:hAnsi="ＭＳ ゴシック" w:eastAsia="ＭＳ ゴシック"/>
        </w:rPr>
      </w:pPr>
    </w:p>
    <w:p>
      <w:pPr>
        <w:pStyle w:val="0"/>
        <w:ind w:left="420"/>
        <w:rPr>
          <w:rFonts w:hint="default" w:ascii="ＭＳ ゴシック" w:hAnsi="ＭＳ ゴシック" w:eastAsia="ＭＳ ゴシック"/>
        </w:rPr>
      </w:pPr>
      <w:r>
        <w:rPr>
          <w:rFonts w:hint="eastAsia" w:ascii="ＭＳ ゴシック" w:hAnsi="ＭＳ ゴシック" w:eastAsia="ＭＳ ゴシック"/>
        </w:rPr>
        <w:t>Ｆ２　年代別</w:t>
      </w:r>
    </w:p>
    <w:tbl>
      <w:tblPr>
        <w:tblStyle w:val="11"/>
        <w:tblpPr w:leftFromText="142" w:rightFromText="142" w:topFromText="0" w:bottomFromText="0" w:vertAnchor="text" w:horzAnchor="margin" w:tblpXSpec="right" w:tblpY="225"/>
        <w:tblOverlap w:val="never"/>
        <w:tblW w:w="5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6"/>
        <w:gridCol w:w="1544"/>
        <w:gridCol w:w="1545"/>
      </w:tblGrid>
      <w:tr>
        <w:trPr>
          <w:trHeight w:val="414" w:hRule="atLeast"/>
        </w:trPr>
        <w:tc>
          <w:tcPr>
            <w:tcW w:w="2376"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44"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45"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rPr/>
        <w:tc>
          <w:tcPr>
            <w:tcW w:w="237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10</w:t>
            </w:r>
            <w:r>
              <w:rPr>
                <w:rFonts w:hint="eastAsia"/>
              </w:rPr>
              <w:t>歳代</w:t>
            </w:r>
          </w:p>
        </w:tc>
        <w:tc>
          <w:tcPr>
            <w:tcW w:w="15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53</w:t>
            </w:r>
          </w:p>
        </w:tc>
        <w:tc>
          <w:tcPr>
            <w:tcW w:w="15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3.1</w:t>
            </w:r>
          </w:p>
        </w:tc>
      </w:tr>
      <w:tr>
        <w:trPr/>
        <w:tc>
          <w:tcPr>
            <w:tcW w:w="2376" w:type="dxa"/>
            <w:vAlign w:val="center"/>
          </w:tcPr>
          <w:p>
            <w:pPr>
              <w:pStyle w:val="0"/>
              <w:ind w:left="0" w:leftChars="0"/>
              <w:jc w:val="center"/>
              <w:rPr>
                <w:rFonts w:hint="default"/>
              </w:rPr>
            </w:pPr>
            <w:r>
              <w:rPr>
                <w:rFonts w:hint="eastAsia"/>
              </w:rPr>
              <w:t>20</w:t>
            </w:r>
            <w:r>
              <w:rPr>
                <w:rFonts w:hint="eastAsia"/>
              </w:rPr>
              <w:t>歳代</w:t>
            </w:r>
          </w:p>
        </w:tc>
        <w:tc>
          <w:tcPr>
            <w:tcW w:w="1544" w:type="dxa"/>
            <w:vAlign w:val="center"/>
          </w:tcPr>
          <w:p>
            <w:pPr>
              <w:pStyle w:val="0"/>
              <w:ind w:left="0" w:leftChars="0"/>
              <w:jc w:val="right"/>
              <w:rPr>
                <w:rFonts w:hint="default"/>
              </w:rPr>
            </w:pPr>
            <w:r>
              <w:rPr>
                <w:rFonts w:hint="eastAsia"/>
              </w:rPr>
              <w:t>194</w:t>
            </w:r>
          </w:p>
        </w:tc>
        <w:tc>
          <w:tcPr>
            <w:tcW w:w="1545" w:type="dxa"/>
            <w:vAlign w:val="center"/>
          </w:tcPr>
          <w:p>
            <w:pPr>
              <w:pStyle w:val="0"/>
              <w:ind w:left="0" w:leftChars="0"/>
              <w:jc w:val="right"/>
              <w:rPr>
                <w:rFonts w:hint="default"/>
              </w:rPr>
            </w:pPr>
            <w:r>
              <w:rPr>
                <w:rFonts w:hint="eastAsia"/>
              </w:rPr>
              <w:t>11.3</w:t>
            </w:r>
          </w:p>
        </w:tc>
      </w:tr>
      <w:tr>
        <w:trPr/>
        <w:tc>
          <w:tcPr>
            <w:tcW w:w="2376" w:type="dxa"/>
            <w:vAlign w:val="center"/>
          </w:tcPr>
          <w:p>
            <w:pPr>
              <w:pStyle w:val="0"/>
              <w:ind w:left="0" w:leftChars="0"/>
              <w:jc w:val="center"/>
              <w:rPr>
                <w:rFonts w:hint="default"/>
              </w:rPr>
            </w:pPr>
            <w:r>
              <w:rPr>
                <w:rFonts w:hint="eastAsia"/>
              </w:rPr>
              <w:t>30</w:t>
            </w:r>
            <w:r>
              <w:rPr>
                <w:rFonts w:hint="eastAsia"/>
              </w:rPr>
              <w:t>歳代</w:t>
            </w:r>
          </w:p>
        </w:tc>
        <w:tc>
          <w:tcPr>
            <w:tcW w:w="1544" w:type="dxa"/>
            <w:vAlign w:val="center"/>
          </w:tcPr>
          <w:p>
            <w:pPr>
              <w:pStyle w:val="0"/>
              <w:ind w:left="0" w:leftChars="0"/>
              <w:jc w:val="right"/>
              <w:rPr>
                <w:rFonts w:hint="default"/>
              </w:rPr>
            </w:pPr>
            <w:r>
              <w:rPr>
                <w:rFonts w:hint="eastAsia"/>
              </w:rPr>
              <w:t>268</w:t>
            </w:r>
          </w:p>
        </w:tc>
        <w:tc>
          <w:tcPr>
            <w:tcW w:w="1545" w:type="dxa"/>
            <w:vAlign w:val="center"/>
          </w:tcPr>
          <w:p>
            <w:pPr>
              <w:pStyle w:val="0"/>
              <w:ind w:left="0" w:leftChars="0"/>
              <w:jc w:val="right"/>
              <w:rPr>
                <w:rFonts w:hint="default"/>
              </w:rPr>
            </w:pPr>
            <w:r>
              <w:rPr>
                <w:rFonts w:hint="eastAsia"/>
              </w:rPr>
              <w:t>15.6</w:t>
            </w:r>
          </w:p>
        </w:tc>
      </w:tr>
      <w:tr>
        <w:trPr/>
        <w:tc>
          <w:tcPr>
            <w:tcW w:w="2376" w:type="dxa"/>
            <w:vAlign w:val="center"/>
          </w:tcPr>
          <w:p>
            <w:pPr>
              <w:pStyle w:val="0"/>
              <w:ind w:left="0" w:leftChars="0"/>
              <w:jc w:val="center"/>
              <w:rPr>
                <w:rFonts w:hint="default"/>
              </w:rPr>
            </w:pPr>
            <w:r>
              <w:rPr>
                <w:rFonts w:hint="eastAsia"/>
              </w:rPr>
              <w:t>40</w:t>
            </w:r>
            <w:r>
              <w:rPr>
                <w:rFonts w:hint="eastAsia"/>
              </w:rPr>
              <w:t>歳代</w:t>
            </w:r>
          </w:p>
        </w:tc>
        <w:tc>
          <w:tcPr>
            <w:tcW w:w="1544" w:type="dxa"/>
            <w:vAlign w:val="center"/>
          </w:tcPr>
          <w:p>
            <w:pPr>
              <w:pStyle w:val="0"/>
              <w:ind w:left="0" w:leftChars="0"/>
              <w:jc w:val="right"/>
              <w:rPr>
                <w:rFonts w:hint="default"/>
              </w:rPr>
            </w:pPr>
            <w:r>
              <w:rPr>
                <w:rFonts w:hint="eastAsia"/>
              </w:rPr>
              <w:t>361</w:t>
            </w:r>
          </w:p>
        </w:tc>
        <w:tc>
          <w:tcPr>
            <w:tcW w:w="1545" w:type="dxa"/>
            <w:vAlign w:val="center"/>
          </w:tcPr>
          <w:p>
            <w:pPr>
              <w:pStyle w:val="0"/>
              <w:ind w:left="0" w:leftChars="0"/>
              <w:jc w:val="right"/>
              <w:rPr>
                <w:rFonts w:hint="default"/>
              </w:rPr>
            </w:pPr>
            <w:r>
              <w:rPr>
                <w:rFonts w:hint="eastAsia"/>
              </w:rPr>
              <w:t>21.0</w:t>
            </w:r>
          </w:p>
        </w:tc>
      </w:tr>
      <w:tr>
        <w:trPr/>
        <w:tc>
          <w:tcPr>
            <w:tcW w:w="2376" w:type="dxa"/>
            <w:vAlign w:val="center"/>
          </w:tcPr>
          <w:p>
            <w:pPr>
              <w:pStyle w:val="0"/>
              <w:ind w:left="0" w:leftChars="0"/>
              <w:jc w:val="center"/>
              <w:rPr>
                <w:rFonts w:hint="default"/>
              </w:rPr>
            </w:pPr>
            <w:r>
              <w:rPr>
                <w:rFonts w:hint="eastAsia"/>
              </w:rPr>
              <w:t>50</w:t>
            </w:r>
            <w:r>
              <w:rPr>
                <w:rFonts w:hint="eastAsia"/>
              </w:rPr>
              <w:t>歳代</w:t>
            </w:r>
          </w:p>
        </w:tc>
        <w:tc>
          <w:tcPr>
            <w:tcW w:w="1544" w:type="dxa"/>
            <w:vAlign w:val="center"/>
          </w:tcPr>
          <w:p>
            <w:pPr>
              <w:pStyle w:val="0"/>
              <w:ind w:left="0" w:leftChars="0"/>
              <w:jc w:val="right"/>
              <w:rPr>
                <w:rFonts w:hint="default"/>
              </w:rPr>
            </w:pPr>
            <w:r>
              <w:rPr>
                <w:rFonts w:hint="eastAsia"/>
              </w:rPr>
              <w:t>333</w:t>
            </w:r>
          </w:p>
        </w:tc>
        <w:tc>
          <w:tcPr>
            <w:tcW w:w="1545" w:type="dxa"/>
            <w:vAlign w:val="center"/>
          </w:tcPr>
          <w:p>
            <w:pPr>
              <w:pStyle w:val="0"/>
              <w:ind w:left="0" w:leftChars="0"/>
              <w:jc w:val="right"/>
              <w:rPr>
                <w:rFonts w:hint="default"/>
              </w:rPr>
            </w:pPr>
            <w:r>
              <w:rPr>
                <w:rFonts w:hint="eastAsia"/>
              </w:rPr>
              <w:t>19.4</w:t>
            </w:r>
          </w:p>
        </w:tc>
      </w:tr>
      <w:tr>
        <w:trPr/>
        <w:tc>
          <w:tcPr>
            <w:tcW w:w="2376" w:type="dxa"/>
            <w:vAlign w:val="center"/>
          </w:tcPr>
          <w:p>
            <w:pPr>
              <w:pStyle w:val="0"/>
              <w:ind w:left="0" w:leftChars="0"/>
              <w:jc w:val="center"/>
              <w:rPr>
                <w:rFonts w:hint="default"/>
              </w:rPr>
            </w:pPr>
            <w:r>
              <w:rPr>
                <w:rFonts w:hint="eastAsia"/>
              </w:rPr>
              <w:t>60</w:t>
            </w:r>
            <w:r>
              <w:rPr>
                <w:rFonts w:hint="eastAsia"/>
              </w:rPr>
              <w:t>歳代</w:t>
            </w:r>
          </w:p>
        </w:tc>
        <w:tc>
          <w:tcPr>
            <w:tcW w:w="1544" w:type="dxa"/>
            <w:vAlign w:val="center"/>
          </w:tcPr>
          <w:p>
            <w:pPr>
              <w:pStyle w:val="0"/>
              <w:ind w:left="0" w:leftChars="0"/>
              <w:jc w:val="right"/>
              <w:rPr>
                <w:rFonts w:hint="default"/>
              </w:rPr>
            </w:pPr>
            <w:r>
              <w:rPr>
                <w:rFonts w:hint="eastAsia"/>
              </w:rPr>
              <w:t>329</w:t>
            </w:r>
          </w:p>
        </w:tc>
        <w:tc>
          <w:tcPr>
            <w:tcW w:w="1545" w:type="dxa"/>
            <w:vAlign w:val="center"/>
          </w:tcPr>
          <w:p>
            <w:pPr>
              <w:pStyle w:val="0"/>
              <w:ind w:left="0" w:leftChars="0"/>
              <w:jc w:val="right"/>
              <w:rPr>
                <w:rFonts w:hint="default"/>
              </w:rPr>
            </w:pPr>
            <w:r>
              <w:rPr>
                <w:rFonts w:hint="eastAsia"/>
              </w:rPr>
              <w:t>19.2</w:t>
            </w:r>
          </w:p>
        </w:tc>
      </w:tr>
      <w:tr>
        <w:trPr/>
        <w:tc>
          <w:tcPr>
            <w:tcW w:w="2376" w:type="dxa"/>
            <w:vAlign w:val="center"/>
          </w:tcPr>
          <w:p>
            <w:pPr>
              <w:pStyle w:val="0"/>
              <w:ind w:left="0" w:leftChars="0"/>
              <w:jc w:val="center"/>
              <w:rPr>
                <w:rFonts w:hint="default"/>
              </w:rPr>
            </w:pPr>
            <w:r>
              <w:rPr>
                <w:rFonts w:hint="eastAsia"/>
              </w:rPr>
              <w:t>70</w:t>
            </w:r>
            <w:r>
              <w:rPr>
                <w:rFonts w:hint="eastAsia"/>
              </w:rPr>
              <w:t>歳以上</w:t>
            </w:r>
          </w:p>
        </w:tc>
        <w:tc>
          <w:tcPr>
            <w:tcW w:w="1544" w:type="dxa"/>
            <w:vAlign w:val="center"/>
          </w:tcPr>
          <w:p>
            <w:pPr>
              <w:pStyle w:val="0"/>
              <w:ind w:left="0" w:leftChars="0"/>
              <w:jc w:val="right"/>
              <w:rPr>
                <w:rFonts w:hint="default"/>
              </w:rPr>
            </w:pPr>
            <w:r>
              <w:rPr>
                <w:rFonts w:hint="eastAsia"/>
              </w:rPr>
              <w:t>177</w:t>
            </w:r>
          </w:p>
        </w:tc>
        <w:tc>
          <w:tcPr>
            <w:tcW w:w="1545" w:type="dxa"/>
            <w:vAlign w:val="center"/>
          </w:tcPr>
          <w:p>
            <w:pPr>
              <w:pStyle w:val="0"/>
              <w:ind w:left="0" w:leftChars="0"/>
              <w:jc w:val="right"/>
              <w:rPr>
                <w:rFonts w:hint="default"/>
              </w:rPr>
            </w:pPr>
            <w:r>
              <w:rPr>
                <w:rFonts w:hint="eastAsia"/>
              </w:rPr>
              <w:t>10.3</w:t>
            </w:r>
          </w:p>
        </w:tc>
      </w:tr>
      <w:tr>
        <w:trPr/>
        <w:tc>
          <w:tcPr>
            <w:tcW w:w="23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無回答</w:t>
            </w:r>
          </w:p>
        </w:tc>
        <w:tc>
          <w:tcPr>
            <w:tcW w:w="15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3</w:t>
            </w:r>
          </w:p>
        </w:tc>
        <w:tc>
          <w:tcPr>
            <w:tcW w:w="15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0.2</w:t>
            </w:r>
          </w:p>
        </w:tc>
      </w:tr>
      <w:tr>
        <w:trPr/>
        <w:tc>
          <w:tcPr>
            <w:tcW w:w="23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合　計</w:t>
            </w:r>
          </w:p>
        </w:tc>
        <w:tc>
          <w:tcPr>
            <w:tcW w:w="15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1,718</w:t>
            </w:r>
          </w:p>
        </w:tc>
        <w:tc>
          <w:tcPr>
            <w:tcW w:w="15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100.0</w:t>
            </w:r>
          </w:p>
        </w:tc>
      </w:tr>
    </w:tbl>
    <w:p>
      <w:pPr>
        <w:pStyle w:val="0"/>
        <w:ind w:left="42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305050" cy="2019300"/>
            <wp:effectExtent l="0" t="0" r="0" b="0"/>
            <wp:docPr id="1029" name="オブジェクト 0"/>
            <a:graphic xmlns:a="http://schemas.openxmlformats.org/drawingml/2006/main">
              <a:graphicData uri="http://schemas.openxmlformats.org/drawingml/2006/chart">
                <c:chart xmlns:c="http://schemas.openxmlformats.org/drawingml/2006/chart" r:id="rId7"/>
              </a:graphicData>
            </a:graphic>
          </wp:inline>
        </w:drawing>
      </w:r>
    </w:p>
    <w:p>
      <w:pPr>
        <w:pStyle w:val="0"/>
        <w:ind w:left="420"/>
        <w:rPr>
          <w:rFonts w:hint="default" w:ascii="ＭＳ ゴシック" w:hAnsi="ＭＳ ゴシック" w:eastAsia="ＭＳ ゴシック"/>
        </w:rPr>
      </w:pPr>
      <w:r>
        <w:rPr>
          <w:rFonts w:hint="eastAsia" w:ascii="ＭＳ ゴシック" w:hAnsi="ＭＳ ゴシック" w:eastAsia="ＭＳ ゴシック"/>
        </w:rPr>
        <w:t>Ｆ３　職業別</w:t>
      </w:r>
    </w:p>
    <w:tbl>
      <w:tblPr>
        <w:tblStyle w:val="11"/>
        <w:tblpPr w:leftFromText="142" w:rightFromText="142" w:topFromText="0" w:bottomFromText="0" w:vertAnchor="text" w:horzAnchor="text" w:tblpX="4219" w:tblpY="1"/>
        <w:tblOverlap w:val="never"/>
        <w:tblW w:w="5465" w:type="dxa"/>
        <w:tblLayout w:type="fixed"/>
        <w:tblLook w:firstRow="1" w:lastRow="0" w:firstColumn="1" w:lastColumn="0" w:noHBand="0" w:noVBand="1" w:val="04A0"/>
      </w:tblPr>
      <w:tblGrid>
        <w:gridCol w:w="2410"/>
        <w:gridCol w:w="1527"/>
        <w:gridCol w:w="1528"/>
      </w:tblGrid>
      <w:tr>
        <w:trPr>
          <w:trHeight w:val="41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農林業</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73</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4.2</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漁　業</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14</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0.8</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商工サービス業自営</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94</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5.5</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事務職</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245</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14.3</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技術職</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255</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14.8</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労務職</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246</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14.3</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管理職</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83</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4.8</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自由業</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47</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2.7</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主婦・主夫</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161</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9.4</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学　生</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92</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5.4</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無　職</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232</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13.5</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その他</w:t>
            </w:r>
          </w:p>
        </w:tc>
        <w:tc>
          <w:tcPr>
            <w:tcW w:w="1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160</w:t>
            </w:r>
          </w:p>
        </w:tc>
        <w:tc>
          <w:tcPr>
            <w:tcW w:w="1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9.3</w:t>
            </w:r>
          </w:p>
        </w:tc>
      </w:tr>
      <w:t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無回答</w:t>
            </w:r>
          </w:p>
        </w:tc>
        <w:tc>
          <w:tcPr>
            <w:tcW w:w="152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16</w:t>
            </w:r>
          </w:p>
        </w:tc>
        <w:tc>
          <w:tcPr>
            <w:tcW w:w="152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0.9</w:t>
            </w:r>
          </w:p>
        </w:tc>
      </w:tr>
      <w:tr>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合　計</w:t>
            </w:r>
          </w:p>
        </w:tc>
        <w:tc>
          <w:tcPr>
            <w:tcW w:w="1527"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1,718</w:t>
            </w:r>
          </w:p>
        </w:tc>
        <w:tc>
          <w:tcPr>
            <w:tcW w:w="152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100.0</w:t>
            </w:r>
          </w:p>
        </w:tc>
      </w:tr>
    </w:tbl>
    <w:p>
      <w:pPr>
        <w:pStyle w:val="0"/>
        <w:ind w:left="0" w:leftChars="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647950" cy="2727960"/>
            <wp:effectExtent l="0" t="0" r="0" b="0"/>
            <wp:docPr id="1030" name="オブジェクト 0"/>
            <a:graphic xmlns:a="http://schemas.openxmlformats.org/drawingml/2006/main">
              <a:graphicData uri="http://schemas.openxmlformats.org/drawingml/2006/chart">
                <c:chart xmlns:c="http://schemas.openxmlformats.org/drawingml/2006/chart" r:id="rId8"/>
              </a:graphicData>
            </a:graphic>
          </wp:inline>
        </w:drawing>
      </w:r>
      <w:r>
        <w:rPr>
          <w:rFonts w:hint="default" w:ascii="ＭＳ ゴシック" w:hAnsi="ＭＳ ゴシック" w:eastAsia="ＭＳ ゴシック"/>
        </w:rPr>
        <w:br w:type="textWrapping" w:clear="all"/>
      </w: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r>
        <w:rPr>
          <w:rFonts w:hint="eastAsia" w:ascii="ＭＳ ゴシック" w:hAnsi="ＭＳ ゴシック" w:eastAsia="ＭＳ ゴシック"/>
        </w:rPr>
        <w:t>　　Ｆ４　属性別</w:t>
      </w:r>
    </w:p>
    <w:tbl>
      <w:tblPr>
        <w:tblStyle w:val="11"/>
        <w:tblpPr w:leftFromText="142" w:rightFromText="142" w:topFromText="0" w:bottomFromText="0" w:vertAnchor="text" w:horzAnchor="margin" w:tblpXSpec="right" w:tblpY="853"/>
        <w:tblOverlap w:val="never"/>
        <w:tblW w:w="5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6"/>
        <w:gridCol w:w="1552"/>
        <w:gridCol w:w="1553"/>
      </w:tblGrid>
      <w:tr>
        <w:trPr>
          <w:trHeight w:val="414" w:hRule="atLeast"/>
        </w:trPr>
        <w:tc>
          <w:tcPr>
            <w:tcW w:w="2376"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52"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53"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世帯主</w:t>
            </w:r>
          </w:p>
        </w:tc>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758</w:t>
            </w:r>
          </w:p>
        </w:tc>
        <w:tc>
          <w:tcPr>
            <w:tcW w:w="1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世帯主ではない</w:t>
            </w:r>
          </w:p>
        </w:tc>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952</w:t>
            </w:r>
          </w:p>
        </w:tc>
        <w:tc>
          <w:tcPr>
            <w:tcW w:w="1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無回答</w:t>
            </w:r>
          </w:p>
        </w:tc>
        <w:tc>
          <w:tcPr>
            <w:tcW w:w="155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8</w:t>
            </w:r>
          </w:p>
        </w:tc>
        <w:tc>
          <w:tcPr>
            <w:tcW w:w="1553"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tcW w:w="237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合　計</w:t>
            </w:r>
          </w:p>
        </w:tc>
        <w:tc>
          <w:tcPr>
            <w:tcW w:w="155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1,718</w:t>
            </w:r>
          </w:p>
        </w:tc>
        <w:tc>
          <w:tcPr>
            <w:tcW w:w="1553"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100.0</w:t>
            </w:r>
          </w:p>
        </w:tc>
      </w:tr>
    </w:tbl>
    <w:p>
      <w:pPr>
        <w:pStyle w:val="0"/>
        <w:ind w:left="0" w:leftChars="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647950" cy="2727960"/>
            <wp:effectExtent l="0" t="0" r="0" b="0"/>
            <wp:docPr id="1031" name="オブジェクト 0"/>
            <a:graphic xmlns:a="http://schemas.openxmlformats.org/drawingml/2006/main">
              <a:graphicData uri="http://schemas.openxmlformats.org/drawingml/2006/chart">
                <c:chart xmlns:c="http://schemas.openxmlformats.org/drawingml/2006/chart" r:id="rId9"/>
              </a:graphicData>
            </a:graphic>
          </wp:inline>
        </w:drawing>
      </w: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r>
        <w:rPr>
          <w:rFonts w:hint="eastAsia" w:ascii="ＭＳ ゴシック" w:hAnsi="ＭＳ ゴシック" w:eastAsia="ＭＳ ゴシック"/>
        </w:rPr>
        <w:t>Ｆ５　婚姻別状況</w:t>
      </w:r>
    </w:p>
    <w:tbl>
      <w:tblPr>
        <w:tblStyle w:val="11"/>
        <w:tblpPr w:leftFromText="142" w:rightFromText="142" w:topFromText="0" w:bottomFromText="0" w:vertAnchor="text" w:horzAnchor="text" w:tblpX="4219" w:tblpY="335"/>
        <w:tblOverlap w:val="never"/>
        <w:tblW w:w="5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1518"/>
        <w:gridCol w:w="1519"/>
      </w:tblGrid>
      <w:tr>
        <w:trPr>
          <w:trHeight w:val="414" w:hRule="atLeast"/>
        </w:trPr>
        <w:tc>
          <w:tcPr>
            <w:tcW w:w="2410"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18"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1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rPr/>
        <w:tc>
          <w:tcPr>
            <w:tcW w:w="2410" w:type="dxa"/>
            <w:shd w:val="clear" w:color="auto" w:fill="auto"/>
            <w:vAlign w:val="center"/>
          </w:tcPr>
          <w:p>
            <w:pPr>
              <w:pStyle w:val="0"/>
              <w:ind w:left="0" w:leftChars="0"/>
              <w:jc w:val="center"/>
              <w:rPr>
                <w:rFonts w:hint="default"/>
              </w:rPr>
            </w:pPr>
            <w:r>
              <w:rPr>
                <w:rFonts w:hint="eastAsia"/>
              </w:rPr>
              <w:t>未　婚</w:t>
            </w:r>
          </w:p>
        </w:tc>
        <w:tc>
          <w:tcPr>
            <w:tcW w:w="1518" w:type="dxa"/>
            <w:shd w:val="clear" w:color="auto" w:fill="auto"/>
            <w:vAlign w:val="center"/>
          </w:tcPr>
          <w:p>
            <w:pPr>
              <w:pStyle w:val="0"/>
              <w:ind w:left="0" w:leftChars="0"/>
              <w:jc w:val="right"/>
              <w:rPr>
                <w:rFonts w:hint="default"/>
              </w:rPr>
            </w:pPr>
            <w:r>
              <w:rPr>
                <w:rFonts w:hint="eastAsia"/>
              </w:rPr>
              <w:t>522</w:t>
            </w:r>
          </w:p>
        </w:tc>
        <w:tc>
          <w:tcPr>
            <w:tcW w:w="1519" w:type="dxa"/>
            <w:shd w:val="clear" w:color="auto" w:fill="auto"/>
            <w:vAlign w:val="center"/>
          </w:tcPr>
          <w:p>
            <w:pPr>
              <w:pStyle w:val="0"/>
              <w:ind w:left="0" w:leftChars="0"/>
              <w:jc w:val="right"/>
              <w:rPr>
                <w:rFonts w:hint="default"/>
              </w:rPr>
            </w:pPr>
            <w:r>
              <w:rPr>
                <w:rFonts w:hint="eastAsia"/>
              </w:rPr>
              <w:t>30.4</w:t>
            </w:r>
          </w:p>
        </w:tc>
      </w:tr>
      <w:tr>
        <w:trPr/>
        <w:tc>
          <w:tcPr>
            <w:tcW w:w="2410" w:type="dxa"/>
            <w:shd w:val="clear" w:color="auto" w:fill="auto"/>
            <w:vAlign w:val="center"/>
          </w:tcPr>
          <w:p>
            <w:pPr>
              <w:pStyle w:val="0"/>
              <w:ind w:left="0" w:leftChars="0"/>
              <w:jc w:val="center"/>
              <w:rPr>
                <w:rFonts w:hint="default"/>
              </w:rPr>
            </w:pPr>
            <w:r>
              <w:rPr>
                <w:rFonts w:hint="eastAsia"/>
              </w:rPr>
              <w:t>既　婚</w:t>
            </w:r>
          </w:p>
        </w:tc>
        <w:tc>
          <w:tcPr>
            <w:tcW w:w="1518" w:type="dxa"/>
            <w:shd w:val="clear" w:color="auto" w:fill="auto"/>
            <w:vAlign w:val="center"/>
          </w:tcPr>
          <w:p>
            <w:pPr>
              <w:pStyle w:val="0"/>
              <w:ind w:left="0" w:leftChars="0"/>
              <w:jc w:val="right"/>
              <w:rPr>
                <w:rFonts w:hint="default"/>
              </w:rPr>
            </w:pPr>
            <w:r>
              <w:rPr>
                <w:rFonts w:hint="eastAsia"/>
              </w:rPr>
              <w:t>995</w:t>
            </w:r>
          </w:p>
        </w:tc>
        <w:tc>
          <w:tcPr>
            <w:tcW w:w="1519" w:type="dxa"/>
            <w:shd w:val="clear" w:color="auto" w:fill="auto"/>
            <w:vAlign w:val="center"/>
          </w:tcPr>
          <w:p>
            <w:pPr>
              <w:pStyle w:val="0"/>
              <w:ind w:left="0" w:leftChars="0"/>
              <w:jc w:val="right"/>
              <w:rPr>
                <w:rFonts w:hint="default"/>
              </w:rPr>
            </w:pPr>
            <w:r>
              <w:rPr>
                <w:rFonts w:hint="eastAsia"/>
              </w:rPr>
              <w:t>57.9</w:t>
            </w:r>
          </w:p>
        </w:tc>
      </w:tr>
      <w:tr>
        <w:trPr/>
        <w:tc>
          <w:tcPr>
            <w:tcW w:w="2410" w:type="dxa"/>
            <w:shd w:val="clear" w:color="auto" w:fill="auto"/>
            <w:vAlign w:val="center"/>
          </w:tcPr>
          <w:p>
            <w:pPr>
              <w:pStyle w:val="0"/>
              <w:ind w:left="0" w:leftChars="0"/>
              <w:jc w:val="center"/>
              <w:rPr>
                <w:rFonts w:hint="default"/>
              </w:rPr>
            </w:pPr>
            <w:r>
              <w:rPr>
                <w:rFonts w:hint="eastAsia"/>
              </w:rPr>
              <w:t>その他</w:t>
            </w:r>
          </w:p>
        </w:tc>
        <w:tc>
          <w:tcPr>
            <w:tcW w:w="1518" w:type="dxa"/>
            <w:shd w:val="clear" w:color="auto" w:fill="auto"/>
            <w:vAlign w:val="center"/>
          </w:tcPr>
          <w:p>
            <w:pPr>
              <w:pStyle w:val="0"/>
              <w:ind w:left="0" w:leftChars="0"/>
              <w:jc w:val="right"/>
              <w:rPr>
                <w:rFonts w:hint="default"/>
              </w:rPr>
            </w:pPr>
            <w:r>
              <w:rPr>
                <w:rFonts w:hint="eastAsia"/>
              </w:rPr>
              <w:t>191</w:t>
            </w:r>
          </w:p>
        </w:tc>
        <w:tc>
          <w:tcPr>
            <w:tcW w:w="1519" w:type="dxa"/>
            <w:shd w:val="clear" w:color="auto" w:fill="auto"/>
            <w:vAlign w:val="center"/>
          </w:tcPr>
          <w:p>
            <w:pPr>
              <w:pStyle w:val="0"/>
              <w:ind w:left="0" w:leftChars="0"/>
              <w:jc w:val="right"/>
              <w:rPr>
                <w:rFonts w:hint="default"/>
              </w:rPr>
            </w:pPr>
            <w:r>
              <w:rPr>
                <w:rFonts w:hint="eastAsia"/>
              </w:rPr>
              <w:t>11.1</w:t>
            </w:r>
          </w:p>
        </w:tc>
      </w:tr>
      <w:tr>
        <w:trPr/>
        <w:tc>
          <w:tcPr>
            <w:tcW w:w="241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無回答</w:t>
            </w:r>
          </w:p>
        </w:tc>
        <w:tc>
          <w:tcPr>
            <w:tcW w:w="151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10</w:t>
            </w:r>
          </w:p>
        </w:tc>
        <w:tc>
          <w:tcPr>
            <w:tcW w:w="151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0.6</w:t>
            </w:r>
          </w:p>
        </w:tc>
      </w:tr>
      <w:tr>
        <w:trPr/>
        <w:tc>
          <w:tcPr>
            <w:tcW w:w="241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合　計</w:t>
            </w:r>
          </w:p>
        </w:tc>
        <w:tc>
          <w:tcPr>
            <w:tcW w:w="15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1,718</w:t>
            </w:r>
          </w:p>
        </w:tc>
        <w:tc>
          <w:tcPr>
            <w:tcW w:w="151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100.0</w:t>
            </w:r>
          </w:p>
        </w:tc>
      </w:tr>
    </w:tbl>
    <w:p>
      <w:pPr>
        <w:pStyle w:val="0"/>
        <w:ind w:left="0" w:leftChars="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647950" cy="2113915"/>
            <wp:effectExtent l="0" t="0" r="0" b="0"/>
            <wp:docPr id="1032" name="オブジェクト 0"/>
            <a:graphic xmlns:a="http://schemas.openxmlformats.org/drawingml/2006/main">
              <a:graphicData uri="http://schemas.openxmlformats.org/drawingml/2006/chart">
                <c:chart xmlns:c="http://schemas.openxmlformats.org/drawingml/2006/chart" r:id="rId10"/>
              </a:graphicData>
            </a:graphic>
          </wp:inline>
        </w:drawing>
      </w:r>
      <w:r>
        <w:rPr>
          <w:rFonts w:hint="default" w:ascii="ＭＳ ゴシック" w:hAnsi="ＭＳ ゴシック" w:eastAsia="ＭＳ ゴシック"/>
        </w:rPr>
        <w:br w:type="textWrapping" w:clear="all"/>
      </w:r>
      <w:r>
        <w:rPr>
          <w:rFonts w:hint="eastAsia" w:ascii="ＭＳ ゴシック" w:hAnsi="ＭＳ ゴシック" w:eastAsia="ＭＳ ゴシック"/>
        </w:rPr>
        <w:t>Ｆ６　子どもの状況別（複数回答）</w:t>
      </w:r>
    </w:p>
    <w:tbl>
      <w:tblPr>
        <w:tblStyle w:val="11"/>
        <w:tblpPr w:leftFromText="142" w:rightFromText="142" w:topFromText="0" w:bottomFromText="0" w:vertAnchor="text" w:horzAnchor="margin" w:tblpXSpec="right" w:tblpY="78"/>
        <w:tblW w:w="5495" w:type="dxa"/>
        <w:tblLayout w:type="fixed"/>
        <w:tblLook w:firstRow="1" w:lastRow="0" w:firstColumn="1" w:lastColumn="0" w:noHBand="0" w:noVBand="1" w:val="04A0"/>
      </w:tblPr>
      <w:tblGrid>
        <w:gridCol w:w="2376"/>
        <w:gridCol w:w="1560"/>
        <w:gridCol w:w="1559"/>
      </w:tblGrid>
      <w:tr>
        <w:trPr>
          <w:trHeight w:val="434"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rPr>
          <w:trHeight w:val="34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就学前の子どもがいる</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153</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8.9</w:t>
            </w:r>
          </w:p>
        </w:tc>
      </w:tr>
      <w:tr>
        <w:trPr>
          <w:trHeight w:val="567"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小・中学生の子どもがいる</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230</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13.4</w:t>
            </w:r>
          </w:p>
        </w:tc>
      </w:tr>
      <w:tr>
        <w:trPr>
          <w:trHeight w:val="34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高校生の子どもがいる</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130</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7.6</w:t>
            </w:r>
          </w:p>
        </w:tc>
      </w:tr>
      <w:tr>
        <w:trPr>
          <w:trHeight w:val="51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大学生、専門学校生等の子どもがいる</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120</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7.0</w:t>
            </w:r>
          </w:p>
        </w:tc>
      </w:tr>
      <w:tr>
        <w:trPr>
          <w:trHeight w:val="51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子どもは成人している又は独立している</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646</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37.6</w:t>
            </w:r>
          </w:p>
        </w:tc>
      </w:tr>
      <w:tr>
        <w:trPr>
          <w:trHeight w:val="34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子どもはいない</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639</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37.2</w:t>
            </w:r>
          </w:p>
        </w:tc>
      </w:tr>
      <w:tr>
        <w:trPr>
          <w:trHeight w:val="340" w:hRule="atLeast"/>
        </w:trPr>
        <w:tc>
          <w:tcPr>
            <w:tcW w:w="23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無回答</w:t>
            </w:r>
          </w:p>
        </w:tc>
        <w:tc>
          <w:tcPr>
            <w:tcW w:w="15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28</w:t>
            </w:r>
          </w:p>
        </w:tc>
        <w:tc>
          <w:tcPr>
            <w:tcW w:w="155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1.6</w:t>
            </w:r>
          </w:p>
        </w:tc>
      </w:tr>
      <w:tr>
        <w:trPr>
          <w:trHeight w:val="340" w:hRule="atLeast"/>
        </w:trPr>
        <w:tc>
          <w:tcPr>
            <w:tcW w:w="237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合　計</w:t>
            </w:r>
          </w:p>
        </w:tc>
        <w:tc>
          <w:tcPr>
            <w:tcW w:w="15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1,718</w:t>
            </w:r>
          </w:p>
        </w:tc>
        <w:tc>
          <w:tcPr>
            <w:tcW w:w="1559" w:type="dxa"/>
            <w:tcBorders>
              <w:top w:val="doub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ind w:left="0" w:leftChars="0"/>
              <w:jc w:val="right"/>
              <w:rPr>
                <w:rFonts w:hint="default"/>
              </w:rPr>
            </w:pPr>
          </w:p>
        </w:tc>
      </w:tr>
    </w:tbl>
    <w:p>
      <w:pPr>
        <w:pStyle w:val="0"/>
        <w:ind w:left="0" w:leftChars="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simplePos="0" relativeHeight="12" behindDoc="0" locked="0" layoutInCell="1" hidden="0" allowOverlap="1">
                <wp:simplePos x="0" y="0"/>
                <wp:positionH relativeFrom="column">
                  <wp:posOffset>-86360</wp:posOffset>
                </wp:positionH>
                <wp:positionV relativeFrom="paragraph">
                  <wp:posOffset>38100</wp:posOffset>
                </wp:positionV>
                <wp:extent cx="965200" cy="17018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965200" cy="170180"/>
                        </a:xfrm>
                        <a:prstGeom prst="rect"/>
                        <a:solidFill>
                          <a:srgbClr val="FFFFFF"/>
                        </a:solidFill>
                        <a:ln w="9525">
                          <a:solidFill>
                            <a:sysClr val="windowText" lastClr="000000"/>
                          </a:solidFill>
                          <a:miter/>
                        </a:ln>
                      </wps:spPr>
                      <wps:txbx>
                        <w:txbxContent>
                          <w:p>
                            <w:pPr>
                              <w:pStyle w:val="0"/>
                              <w:ind w:left="0" w:leftChars="0" w:firstLine="80" w:firstLineChars="50"/>
                              <w:rPr>
                                <w:rFonts w:hint="default"/>
                                <w:sz w:val="16"/>
                              </w:rPr>
                            </w:pPr>
                            <w:r>
                              <w:rPr>
                                <w:rFonts w:hint="eastAsia"/>
                                <w:sz w:val="16"/>
                              </w:rPr>
                              <w:t>回答者数：</w:t>
                            </w:r>
                            <w:r>
                              <w:rPr>
                                <w:rFonts w:hint="eastAsia"/>
                                <w:sz w:val="16"/>
                              </w:rPr>
                              <w:t>1,718</w:t>
                            </w:r>
                            <w:r>
                              <w:rPr>
                                <w:rFonts w:hint="eastAsia"/>
                                <w:sz w:val="16"/>
                              </w:rPr>
                              <w:t>人</w:t>
                            </w:r>
                          </w:p>
                        </w:txbxContent>
                      </wps:txbx>
                      <wps:bodyPr lIns="0" tIns="0" rIns="18000" bIns="0" upright="1"/>
                    </wps:wsp>
                  </a:graphicData>
                </a:graphic>
              </wp:anchor>
            </w:drawing>
          </mc:Choice>
          <mc:Fallback>
            <w:pict>
              <v:shapetype id="_x0000_t202" coordsize="21600,21600" o:spt="202" path="m,l,21600r21600,l21600,xe">
                <v:stroke joinstyle="miter"/>
                <v:path gradientshapeok="t" o:connecttype="rect"/>
              </v:shapetype>
              <v:shape id="_x0000_s1033" style="margin-top:3pt;mso-position-vertical-relative:text;mso-position-horizontal-relative:text;position:absolute;height:13.4pt;width:76pt;margin-left:-6.8pt;z-index:12;" filled="t" fillcolor="#ffffff" stroked="t" strokecolor="#000000" strokeweight="0.75pt" o:spt="202" type="#_x0000_t202">
                <v:fill/>
                <v:stroke filltype="solid"/>
                <v:textbox style="layout-flow:horizontal;" inset="0mm,0mm,0.49999999999999989mm,0mm">
                  <w:txbxContent>
                    <w:p>
                      <w:pPr>
                        <w:pStyle w:val="0"/>
                        <w:ind w:left="0" w:leftChars="0" w:firstLine="80" w:firstLineChars="50"/>
                        <w:rPr>
                          <w:rFonts w:hint="default"/>
                          <w:sz w:val="16"/>
                        </w:rPr>
                      </w:pPr>
                      <w:r>
                        <w:rPr>
                          <w:rFonts w:hint="eastAsia"/>
                          <w:sz w:val="16"/>
                        </w:rPr>
                        <w:t>回答者数：</w:t>
                      </w:r>
                      <w:r>
                        <w:rPr>
                          <w:rFonts w:hint="eastAsia"/>
                          <w:sz w:val="16"/>
                        </w:rPr>
                        <w:t>1,718</w:t>
                      </w:r>
                      <w:r>
                        <w:rPr>
                          <w:rFonts w:hint="eastAsia"/>
                          <w:sz w:val="16"/>
                        </w:rPr>
                        <w:t>人</w:t>
                      </w:r>
                    </w:p>
                  </w:txbxContent>
                </v:textbox>
                <v:imagedata o:title=""/>
                <w10:wrap type="none" anchorx="text" anchory="text"/>
              </v:shape>
            </w:pict>
          </mc:Fallback>
        </mc:AlternateContent>
      </w:r>
      <w:r>
        <w:rPr>
          <w:rFonts w:hint="eastAsia" w:ascii="ＭＳ ゴシック" w:hAnsi="ＭＳ ゴシック" w:eastAsia="ＭＳ ゴシック"/>
        </w:rPr>
        <w:drawing>
          <wp:inline distT="0" distB="0" distL="0" distR="0">
            <wp:extent cx="2552700" cy="2981325"/>
            <wp:effectExtent l="0" t="0" r="0" b="0"/>
            <wp:docPr id="1034"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r>
        <w:rPr>
          <w:rFonts w:hint="eastAsia" w:ascii="ＭＳ ゴシック" w:hAnsi="ＭＳ ゴシック" w:eastAsia="ＭＳ ゴシック"/>
        </w:rPr>
        <w:t>Ｆ７　世帯の年間収入別</w:t>
      </w:r>
    </w:p>
    <w:tbl>
      <w:tblPr>
        <w:tblStyle w:val="11"/>
        <w:tblpPr w:leftFromText="142" w:rightFromText="142" w:topFromText="0" w:bottomFromText="0" w:vertAnchor="text" w:horzAnchor="text" w:tblpX="4219" w:tblpY="1"/>
        <w:tblOverlap w:val="never"/>
        <w:tblW w:w="5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1518"/>
        <w:gridCol w:w="1519"/>
      </w:tblGrid>
      <w:tr>
        <w:trPr>
          <w:trHeight w:val="414" w:hRule="atLeast"/>
        </w:trPr>
        <w:tc>
          <w:tcPr>
            <w:tcW w:w="2410" w:type="dxa"/>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18" w:type="dxa"/>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19" w:type="dxa"/>
            <w:shd w:val="clear" w:color="auto" w:themeFill="background1" w:themeFillTint="FF" w:themeFillShade="D9"/>
            <w:vAlign w:val="center"/>
          </w:tcPr>
          <w:p>
            <w:pPr>
              <w:pStyle w:val="0"/>
              <w:ind w:left="0" w:leftChars="0"/>
              <w:jc w:val="center"/>
              <w:rPr>
                <w:rFonts w:hint="default"/>
              </w:rPr>
            </w:pPr>
            <w:r>
              <w:rPr>
                <w:rFonts w:hint="eastAsia"/>
              </w:rPr>
              <w:t>構成比（％）</w:t>
            </w:r>
          </w:p>
        </w:tc>
      </w:tr>
      <w:tr>
        <w:trPr/>
        <w:tc>
          <w:tcPr>
            <w:tcW w:w="2410" w:type="dxa"/>
            <w:vAlign w:val="center"/>
          </w:tcPr>
          <w:p>
            <w:pPr>
              <w:pStyle w:val="0"/>
              <w:ind w:left="0" w:leftChars="0"/>
              <w:jc w:val="center"/>
              <w:rPr>
                <w:rFonts w:hint="default"/>
              </w:rPr>
            </w:pPr>
            <w:r>
              <w:rPr>
                <w:rFonts w:hint="eastAsia"/>
              </w:rPr>
              <w:t>0</w:t>
            </w:r>
            <w:r>
              <w:rPr>
                <w:rFonts w:hint="eastAsia"/>
              </w:rPr>
              <w:t>～</w:t>
            </w:r>
            <w:r>
              <w:rPr>
                <w:rFonts w:hint="eastAsia"/>
              </w:rPr>
              <w:t>100</w:t>
            </w:r>
            <w:r>
              <w:rPr>
                <w:rFonts w:hint="eastAsia"/>
              </w:rPr>
              <w:t>万円未満</w:t>
            </w:r>
          </w:p>
        </w:tc>
        <w:tc>
          <w:tcPr>
            <w:tcW w:w="1518" w:type="dxa"/>
            <w:shd w:val="clear" w:color="auto" w:fill="auto"/>
            <w:vAlign w:val="center"/>
          </w:tcPr>
          <w:p>
            <w:pPr>
              <w:pStyle w:val="0"/>
              <w:ind w:left="0" w:leftChars="0"/>
              <w:jc w:val="right"/>
              <w:rPr>
                <w:rFonts w:hint="default"/>
              </w:rPr>
            </w:pPr>
            <w:r>
              <w:rPr>
                <w:rFonts w:hint="default"/>
              </w:rPr>
              <w:t>129</w:t>
            </w:r>
          </w:p>
        </w:tc>
        <w:tc>
          <w:tcPr>
            <w:tcW w:w="1519" w:type="dxa"/>
            <w:shd w:val="clear" w:color="auto" w:fill="auto"/>
            <w:vAlign w:val="center"/>
          </w:tcPr>
          <w:p>
            <w:pPr>
              <w:pStyle w:val="0"/>
              <w:ind w:left="0" w:leftChars="0"/>
              <w:jc w:val="right"/>
              <w:rPr>
                <w:rFonts w:hint="default"/>
              </w:rPr>
            </w:pPr>
            <w:r>
              <w:rPr>
                <w:rFonts w:hint="eastAsia"/>
              </w:rPr>
              <w:t>7.</w:t>
            </w:r>
            <w:r>
              <w:rPr>
                <w:rFonts w:hint="default"/>
              </w:rPr>
              <w:t>5</w:t>
            </w:r>
            <w:r>
              <w:rPr>
                <w:rFonts w:hint="eastAsia"/>
              </w:rPr>
              <w:t>％</w:t>
            </w:r>
          </w:p>
        </w:tc>
      </w:tr>
      <w:tr>
        <w:trPr/>
        <w:tc>
          <w:tcPr>
            <w:tcW w:w="2410" w:type="dxa"/>
            <w:vAlign w:val="center"/>
          </w:tcPr>
          <w:p>
            <w:pPr>
              <w:pStyle w:val="0"/>
              <w:ind w:left="0" w:leftChars="0"/>
              <w:jc w:val="center"/>
              <w:rPr>
                <w:rFonts w:hint="default"/>
              </w:rPr>
            </w:pPr>
            <w:r>
              <w:rPr>
                <w:rFonts w:hint="eastAsia"/>
              </w:rPr>
              <w:t>100</w:t>
            </w:r>
            <w:r>
              <w:rPr>
                <w:rFonts w:hint="eastAsia"/>
              </w:rPr>
              <w:t>～</w:t>
            </w:r>
            <w:r>
              <w:rPr>
                <w:rFonts w:hint="eastAsia"/>
              </w:rPr>
              <w:t>200</w:t>
            </w:r>
            <w:r>
              <w:rPr>
                <w:rFonts w:hint="eastAsia"/>
              </w:rPr>
              <w:t>万円未満</w:t>
            </w:r>
          </w:p>
        </w:tc>
        <w:tc>
          <w:tcPr>
            <w:tcW w:w="1518" w:type="dxa"/>
            <w:shd w:val="clear" w:color="auto" w:fill="auto"/>
            <w:vAlign w:val="center"/>
          </w:tcPr>
          <w:p>
            <w:pPr>
              <w:pStyle w:val="0"/>
              <w:ind w:left="0" w:leftChars="0"/>
              <w:jc w:val="right"/>
              <w:rPr>
                <w:rFonts w:hint="default"/>
              </w:rPr>
            </w:pPr>
            <w:r>
              <w:rPr>
                <w:rFonts w:hint="default"/>
              </w:rPr>
              <w:t>189</w:t>
            </w:r>
          </w:p>
        </w:tc>
        <w:tc>
          <w:tcPr>
            <w:tcW w:w="1519" w:type="dxa"/>
            <w:shd w:val="clear" w:color="auto" w:fill="auto"/>
            <w:vAlign w:val="center"/>
          </w:tcPr>
          <w:p>
            <w:pPr>
              <w:pStyle w:val="0"/>
              <w:ind w:left="0" w:leftChars="0"/>
              <w:jc w:val="right"/>
              <w:rPr>
                <w:rFonts w:hint="default"/>
              </w:rPr>
            </w:pPr>
            <w:r>
              <w:rPr>
                <w:rFonts w:hint="eastAsia"/>
              </w:rPr>
              <w:t>1</w:t>
            </w:r>
            <w:r>
              <w:rPr>
                <w:rFonts w:hint="default"/>
              </w:rPr>
              <w:t>1.0</w:t>
            </w:r>
            <w:r>
              <w:rPr>
                <w:rFonts w:hint="eastAsia"/>
              </w:rPr>
              <w:t>％</w:t>
            </w:r>
          </w:p>
        </w:tc>
      </w:tr>
      <w:tr>
        <w:trPr/>
        <w:tc>
          <w:tcPr>
            <w:tcW w:w="2410" w:type="dxa"/>
            <w:vAlign w:val="center"/>
          </w:tcPr>
          <w:p>
            <w:pPr>
              <w:pStyle w:val="0"/>
              <w:ind w:left="0" w:leftChars="0"/>
              <w:jc w:val="center"/>
              <w:rPr>
                <w:rFonts w:hint="default"/>
              </w:rPr>
            </w:pPr>
            <w:r>
              <w:rPr>
                <w:rFonts w:hint="eastAsia"/>
              </w:rPr>
              <w:t>200</w:t>
            </w:r>
            <w:r>
              <w:rPr>
                <w:rFonts w:hint="eastAsia"/>
              </w:rPr>
              <w:t>～</w:t>
            </w:r>
            <w:r>
              <w:rPr>
                <w:rFonts w:hint="eastAsia"/>
              </w:rPr>
              <w:t>300</w:t>
            </w:r>
            <w:r>
              <w:rPr>
                <w:rFonts w:hint="eastAsia"/>
              </w:rPr>
              <w:t>万円未満</w:t>
            </w:r>
          </w:p>
        </w:tc>
        <w:tc>
          <w:tcPr>
            <w:tcW w:w="1518" w:type="dxa"/>
            <w:shd w:val="clear" w:color="auto" w:fill="auto"/>
            <w:vAlign w:val="center"/>
          </w:tcPr>
          <w:p>
            <w:pPr>
              <w:pStyle w:val="0"/>
              <w:ind w:left="0" w:leftChars="0"/>
              <w:jc w:val="right"/>
              <w:rPr>
                <w:rFonts w:hint="default"/>
              </w:rPr>
            </w:pPr>
            <w:r>
              <w:rPr>
                <w:rFonts w:hint="default"/>
              </w:rPr>
              <w:t>312</w:t>
            </w:r>
          </w:p>
        </w:tc>
        <w:tc>
          <w:tcPr>
            <w:tcW w:w="1519" w:type="dxa"/>
            <w:shd w:val="clear" w:color="auto" w:fill="auto"/>
            <w:vAlign w:val="center"/>
          </w:tcPr>
          <w:p>
            <w:pPr>
              <w:pStyle w:val="0"/>
              <w:ind w:left="0" w:leftChars="0"/>
              <w:jc w:val="right"/>
              <w:rPr>
                <w:rFonts w:hint="default"/>
              </w:rPr>
            </w:pPr>
            <w:r>
              <w:rPr>
                <w:rFonts w:hint="default"/>
              </w:rPr>
              <w:t>18.2</w:t>
            </w:r>
            <w:r>
              <w:rPr>
                <w:rFonts w:hint="eastAsia"/>
              </w:rPr>
              <w:t>％</w:t>
            </w:r>
          </w:p>
        </w:tc>
      </w:tr>
      <w:tr>
        <w:trPr/>
        <w:tc>
          <w:tcPr>
            <w:tcW w:w="2410" w:type="dxa"/>
            <w:vAlign w:val="center"/>
          </w:tcPr>
          <w:p>
            <w:pPr>
              <w:pStyle w:val="0"/>
              <w:ind w:left="0" w:leftChars="0"/>
              <w:jc w:val="center"/>
              <w:rPr>
                <w:rFonts w:hint="default"/>
              </w:rPr>
            </w:pPr>
            <w:r>
              <w:rPr>
                <w:rFonts w:hint="eastAsia"/>
              </w:rPr>
              <w:t>300</w:t>
            </w:r>
            <w:r>
              <w:rPr>
                <w:rFonts w:hint="eastAsia"/>
              </w:rPr>
              <w:t>～</w:t>
            </w:r>
            <w:r>
              <w:rPr>
                <w:rFonts w:hint="eastAsia"/>
              </w:rPr>
              <w:t>400</w:t>
            </w:r>
            <w:r>
              <w:rPr>
                <w:rFonts w:hint="eastAsia"/>
              </w:rPr>
              <w:t>万円未満</w:t>
            </w:r>
          </w:p>
        </w:tc>
        <w:tc>
          <w:tcPr>
            <w:tcW w:w="1518" w:type="dxa"/>
            <w:shd w:val="clear" w:color="auto" w:fill="auto"/>
            <w:vAlign w:val="center"/>
          </w:tcPr>
          <w:p>
            <w:pPr>
              <w:pStyle w:val="0"/>
              <w:ind w:left="0" w:leftChars="0"/>
              <w:jc w:val="right"/>
              <w:rPr>
                <w:rFonts w:hint="default"/>
              </w:rPr>
            </w:pPr>
            <w:r>
              <w:rPr>
                <w:rFonts w:hint="default"/>
              </w:rPr>
              <w:t>294</w:t>
            </w:r>
          </w:p>
        </w:tc>
        <w:tc>
          <w:tcPr>
            <w:tcW w:w="1519" w:type="dxa"/>
            <w:shd w:val="clear" w:color="auto" w:fill="auto"/>
            <w:vAlign w:val="center"/>
          </w:tcPr>
          <w:p>
            <w:pPr>
              <w:pStyle w:val="0"/>
              <w:ind w:left="0" w:leftChars="0"/>
              <w:jc w:val="right"/>
              <w:rPr>
                <w:rFonts w:hint="default"/>
              </w:rPr>
            </w:pPr>
            <w:r>
              <w:rPr>
                <w:rFonts w:hint="default"/>
              </w:rPr>
              <w:t>17.1</w:t>
            </w:r>
            <w:r>
              <w:rPr>
                <w:rFonts w:hint="eastAsia"/>
              </w:rPr>
              <w:t>％</w:t>
            </w:r>
          </w:p>
        </w:tc>
      </w:tr>
      <w:tr>
        <w:trPr/>
        <w:tc>
          <w:tcPr>
            <w:tcW w:w="2410" w:type="dxa"/>
            <w:vAlign w:val="center"/>
          </w:tcPr>
          <w:p>
            <w:pPr>
              <w:pStyle w:val="0"/>
              <w:ind w:left="0" w:leftChars="0"/>
              <w:jc w:val="center"/>
              <w:rPr>
                <w:rFonts w:hint="default"/>
              </w:rPr>
            </w:pPr>
            <w:r>
              <w:rPr>
                <w:rFonts w:hint="eastAsia"/>
              </w:rPr>
              <w:t>400</w:t>
            </w:r>
            <w:r>
              <w:rPr>
                <w:rFonts w:hint="eastAsia"/>
              </w:rPr>
              <w:t>～</w:t>
            </w:r>
            <w:r>
              <w:rPr>
                <w:rFonts w:hint="eastAsia"/>
              </w:rPr>
              <w:t>600</w:t>
            </w:r>
            <w:r>
              <w:rPr>
                <w:rFonts w:hint="eastAsia"/>
              </w:rPr>
              <w:t>万円未満</w:t>
            </w:r>
          </w:p>
        </w:tc>
        <w:tc>
          <w:tcPr>
            <w:tcW w:w="1518" w:type="dxa"/>
            <w:shd w:val="clear" w:color="auto" w:fill="auto"/>
            <w:vAlign w:val="center"/>
          </w:tcPr>
          <w:p>
            <w:pPr>
              <w:pStyle w:val="0"/>
              <w:ind w:left="0" w:leftChars="0"/>
              <w:jc w:val="right"/>
              <w:rPr>
                <w:rFonts w:hint="default"/>
              </w:rPr>
            </w:pPr>
            <w:r>
              <w:rPr>
                <w:rFonts w:hint="default"/>
              </w:rPr>
              <w:t>344</w:t>
            </w:r>
          </w:p>
        </w:tc>
        <w:tc>
          <w:tcPr>
            <w:tcW w:w="1519" w:type="dxa"/>
            <w:shd w:val="clear" w:color="auto" w:fill="auto"/>
            <w:vAlign w:val="center"/>
          </w:tcPr>
          <w:p>
            <w:pPr>
              <w:pStyle w:val="0"/>
              <w:ind w:left="0" w:leftChars="0"/>
              <w:jc w:val="right"/>
              <w:rPr>
                <w:rFonts w:hint="default"/>
              </w:rPr>
            </w:pPr>
            <w:r>
              <w:rPr>
                <w:rFonts w:hint="default"/>
              </w:rPr>
              <w:t>20.0</w:t>
            </w:r>
            <w:r>
              <w:rPr>
                <w:rFonts w:hint="eastAsia"/>
              </w:rPr>
              <w:t>％</w:t>
            </w:r>
          </w:p>
        </w:tc>
      </w:tr>
      <w:tr>
        <w:trPr/>
        <w:tc>
          <w:tcPr>
            <w:tcW w:w="2410" w:type="dxa"/>
            <w:vAlign w:val="center"/>
          </w:tcPr>
          <w:p>
            <w:pPr>
              <w:pStyle w:val="0"/>
              <w:ind w:left="0" w:leftChars="0"/>
              <w:jc w:val="center"/>
              <w:rPr>
                <w:rFonts w:hint="default"/>
              </w:rPr>
            </w:pPr>
            <w:r>
              <w:rPr>
                <w:rFonts w:hint="eastAsia"/>
              </w:rPr>
              <w:t>600</w:t>
            </w:r>
            <w:r>
              <w:rPr>
                <w:rFonts w:hint="eastAsia"/>
              </w:rPr>
              <w:t>～</w:t>
            </w:r>
            <w:r>
              <w:rPr>
                <w:rFonts w:hint="eastAsia"/>
              </w:rPr>
              <w:t>800</w:t>
            </w:r>
            <w:r>
              <w:rPr>
                <w:rFonts w:hint="eastAsia"/>
              </w:rPr>
              <w:t>万円未満</w:t>
            </w:r>
          </w:p>
        </w:tc>
        <w:tc>
          <w:tcPr>
            <w:tcW w:w="1518" w:type="dxa"/>
            <w:shd w:val="clear" w:color="auto" w:fill="auto"/>
            <w:vAlign w:val="center"/>
          </w:tcPr>
          <w:p>
            <w:pPr>
              <w:pStyle w:val="0"/>
              <w:ind w:left="0" w:leftChars="0"/>
              <w:jc w:val="right"/>
              <w:rPr>
                <w:rFonts w:hint="default"/>
              </w:rPr>
            </w:pPr>
            <w:r>
              <w:rPr>
                <w:rFonts w:hint="default"/>
              </w:rPr>
              <w:t>174</w:t>
            </w:r>
          </w:p>
        </w:tc>
        <w:tc>
          <w:tcPr>
            <w:tcW w:w="1519" w:type="dxa"/>
            <w:shd w:val="clear" w:color="auto" w:fill="auto"/>
            <w:vAlign w:val="center"/>
          </w:tcPr>
          <w:p>
            <w:pPr>
              <w:pStyle w:val="0"/>
              <w:ind w:left="0" w:leftChars="0"/>
              <w:jc w:val="right"/>
              <w:rPr>
                <w:rFonts w:hint="default"/>
              </w:rPr>
            </w:pPr>
            <w:r>
              <w:rPr>
                <w:rFonts w:hint="default"/>
              </w:rPr>
              <w:t>10.1</w:t>
            </w:r>
            <w:r>
              <w:rPr>
                <w:rFonts w:hint="eastAsia"/>
              </w:rPr>
              <w:t>％</w:t>
            </w:r>
          </w:p>
        </w:tc>
      </w:tr>
      <w:tr>
        <w:trPr/>
        <w:tc>
          <w:tcPr>
            <w:tcW w:w="2410" w:type="dxa"/>
            <w:vAlign w:val="center"/>
          </w:tcPr>
          <w:p>
            <w:pPr>
              <w:pStyle w:val="0"/>
              <w:ind w:left="0" w:leftChars="0"/>
              <w:jc w:val="center"/>
              <w:rPr>
                <w:rFonts w:hint="default"/>
              </w:rPr>
            </w:pPr>
            <w:r>
              <w:rPr>
                <w:rFonts w:hint="eastAsia"/>
              </w:rPr>
              <w:t>800</w:t>
            </w:r>
            <w:r>
              <w:rPr>
                <w:rFonts w:hint="eastAsia"/>
              </w:rPr>
              <w:t>～</w:t>
            </w:r>
            <w:r>
              <w:rPr>
                <w:rFonts w:hint="eastAsia"/>
              </w:rPr>
              <w:t>1,000</w:t>
            </w:r>
            <w:r>
              <w:rPr>
                <w:rFonts w:hint="eastAsia"/>
              </w:rPr>
              <w:t>万円未満</w:t>
            </w:r>
          </w:p>
        </w:tc>
        <w:tc>
          <w:tcPr>
            <w:tcW w:w="1518" w:type="dxa"/>
            <w:shd w:val="clear" w:color="auto" w:fill="auto"/>
            <w:vAlign w:val="center"/>
          </w:tcPr>
          <w:p>
            <w:pPr>
              <w:pStyle w:val="0"/>
              <w:ind w:left="0" w:leftChars="0"/>
              <w:jc w:val="right"/>
              <w:rPr>
                <w:rFonts w:hint="default"/>
              </w:rPr>
            </w:pPr>
            <w:r>
              <w:rPr>
                <w:rFonts w:hint="default"/>
              </w:rPr>
              <w:t>90</w:t>
            </w:r>
          </w:p>
        </w:tc>
        <w:tc>
          <w:tcPr>
            <w:tcW w:w="1519" w:type="dxa"/>
            <w:shd w:val="clear" w:color="auto" w:fill="auto"/>
            <w:vAlign w:val="center"/>
          </w:tcPr>
          <w:p>
            <w:pPr>
              <w:pStyle w:val="0"/>
              <w:ind w:left="0" w:leftChars="0"/>
              <w:jc w:val="right"/>
              <w:rPr>
                <w:rFonts w:hint="default"/>
              </w:rPr>
            </w:pPr>
            <w:r>
              <w:rPr>
                <w:rFonts w:hint="default"/>
              </w:rPr>
              <w:t>5.2</w:t>
            </w:r>
            <w:r>
              <w:rPr>
                <w:rFonts w:hint="eastAsia"/>
              </w:rPr>
              <w:t>％</w:t>
            </w: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1,000</w:t>
            </w:r>
            <w:r>
              <w:rPr>
                <w:rFonts w:hint="eastAsia"/>
              </w:rPr>
              <w:t>万円以上</w:t>
            </w:r>
          </w:p>
        </w:tc>
        <w:tc>
          <w:tcPr>
            <w:tcW w:w="15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default"/>
              </w:rPr>
              <w:t>108</w:t>
            </w:r>
          </w:p>
        </w:tc>
        <w:tc>
          <w:tcPr>
            <w:tcW w:w="15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default"/>
              </w:rPr>
              <w:t>6.3</w:t>
            </w:r>
            <w:r>
              <w:rPr>
                <w:rFonts w:hint="eastAsia"/>
              </w:rPr>
              <w:t>％</w:t>
            </w:r>
          </w:p>
        </w:tc>
      </w:tr>
      <w:tr>
        <w:trPr/>
        <w:tc>
          <w:tcPr>
            <w:tcW w:w="241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無回答</w:t>
            </w:r>
          </w:p>
        </w:tc>
        <w:tc>
          <w:tcPr>
            <w:tcW w:w="151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default"/>
              </w:rPr>
              <w:t>78</w:t>
            </w:r>
          </w:p>
        </w:tc>
        <w:tc>
          <w:tcPr>
            <w:tcW w:w="151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4.</w:t>
            </w:r>
            <w:r>
              <w:rPr>
                <w:rFonts w:hint="default"/>
              </w:rPr>
              <w:t>5</w:t>
            </w:r>
            <w:r>
              <w:rPr>
                <w:rFonts w:hint="eastAsia"/>
              </w:rPr>
              <w:t>％</w:t>
            </w:r>
          </w:p>
        </w:tc>
      </w:tr>
      <w:tr>
        <w:trPr/>
        <w:tc>
          <w:tcPr>
            <w:tcW w:w="24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合　計</w:t>
            </w:r>
          </w:p>
        </w:tc>
        <w:tc>
          <w:tcPr>
            <w:tcW w:w="151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1,</w:t>
            </w:r>
            <w:r>
              <w:rPr>
                <w:rFonts w:hint="default"/>
              </w:rPr>
              <w:t>718</w:t>
            </w:r>
          </w:p>
        </w:tc>
        <w:tc>
          <w:tcPr>
            <w:tcW w:w="151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100.0</w:t>
            </w:r>
            <w:r>
              <w:rPr>
                <w:rFonts w:hint="eastAsia"/>
              </w:rPr>
              <w:t>％</w:t>
            </w:r>
          </w:p>
        </w:tc>
      </w:tr>
    </w:tbl>
    <w:p>
      <w:pPr>
        <w:pStyle w:val="0"/>
        <w:ind w:left="0" w:leftChars="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669540" cy="2428240"/>
            <wp:effectExtent l="0" t="0" r="0" b="0"/>
            <wp:docPr id="1035"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r>
        <w:rPr>
          <w:rFonts w:hint="eastAsia" w:ascii="ＭＳ ゴシック" w:hAnsi="ＭＳ ゴシック" w:eastAsia="ＭＳ ゴシック"/>
        </w:rPr>
        <w:t>Ｆ８　住まいの状況</w:t>
      </w:r>
    </w:p>
    <w:tbl>
      <w:tblPr>
        <w:tblStyle w:val="11"/>
        <w:tblpPr w:leftFromText="142" w:rightFromText="142" w:topFromText="0" w:bottomFromText="0" w:vertAnchor="text" w:horzAnchor="margin" w:tblpXSpec="right" w:tblpY="64"/>
        <w:tblOverlap w:val="never"/>
        <w:tblW w:w="5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6"/>
        <w:gridCol w:w="1560"/>
        <w:gridCol w:w="1559"/>
      </w:tblGrid>
      <w:tr>
        <w:trPr>
          <w:trHeight w:val="414" w:hRule="atLeast"/>
        </w:trPr>
        <w:tc>
          <w:tcPr>
            <w:tcW w:w="2376"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BF"/>
            <w:vAlign w:val="center"/>
          </w:tcPr>
          <w:p>
            <w:pPr>
              <w:pStyle w:val="0"/>
              <w:ind w:left="0" w:leftChars="0"/>
              <w:jc w:val="center"/>
              <w:rPr>
                <w:rFonts w:hint="default"/>
              </w:rPr>
            </w:pPr>
            <w:r>
              <w:rPr>
                <w:rFonts w:hint="eastAsia"/>
              </w:rPr>
              <w:t>区　分</w:t>
            </w:r>
          </w:p>
        </w:tc>
        <w:tc>
          <w:tcPr>
            <w:tcW w:w="1560"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BF"/>
            <w:vAlign w:val="center"/>
          </w:tcPr>
          <w:p>
            <w:pPr>
              <w:pStyle w:val="0"/>
              <w:ind w:left="0" w:leftChars="0"/>
              <w:jc w:val="center"/>
              <w:rPr>
                <w:rFonts w:hint="default"/>
              </w:rPr>
            </w:pPr>
            <w:r>
              <w:rPr>
                <w:rFonts w:hint="eastAsia"/>
              </w:rPr>
              <w:t>回答数（人）</w:t>
            </w:r>
          </w:p>
        </w:tc>
        <w:tc>
          <w:tcPr>
            <w:tcW w:w="155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BF"/>
            <w:vAlign w:val="center"/>
          </w:tcPr>
          <w:p>
            <w:pPr>
              <w:pStyle w:val="0"/>
              <w:ind w:left="0" w:leftChars="0"/>
              <w:jc w:val="center"/>
              <w:rPr>
                <w:rFonts w:hint="default"/>
              </w:rPr>
            </w:pPr>
            <w:r>
              <w:rPr>
                <w:rFonts w:hint="eastAsia"/>
              </w:rPr>
              <w:t>構成比（％）</w:t>
            </w:r>
          </w:p>
        </w:tc>
      </w:tr>
      <w:tr>
        <w:trPr/>
        <w:tc>
          <w:tcPr>
            <w:tcW w:w="2376" w:type="dxa"/>
            <w:shd w:val="clear" w:color="auto" w:fill="auto"/>
            <w:vAlign w:val="center"/>
          </w:tcPr>
          <w:p>
            <w:pPr>
              <w:pStyle w:val="0"/>
              <w:ind w:left="0" w:leftChars="0"/>
              <w:jc w:val="center"/>
              <w:rPr>
                <w:rFonts w:hint="default"/>
              </w:rPr>
            </w:pPr>
            <w:r>
              <w:rPr>
                <w:rFonts w:hint="eastAsia"/>
              </w:rPr>
              <w:t>持　家</w:t>
            </w:r>
          </w:p>
        </w:tc>
        <w:tc>
          <w:tcPr>
            <w:tcW w:w="1560" w:type="dxa"/>
            <w:shd w:val="clear" w:color="auto" w:fill="auto"/>
            <w:vAlign w:val="center"/>
          </w:tcPr>
          <w:p>
            <w:pPr>
              <w:pStyle w:val="0"/>
              <w:ind w:left="0" w:leftChars="0"/>
              <w:jc w:val="right"/>
              <w:rPr>
                <w:rFonts w:hint="default"/>
              </w:rPr>
            </w:pPr>
            <w:r>
              <w:rPr>
                <w:rFonts w:hint="eastAsia"/>
              </w:rPr>
              <w:t>1,310</w:t>
            </w:r>
          </w:p>
        </w:tc>
        <w:tc>
          <w:tcPr>
            <w:tcW w:w="1559" w:type="dxa"/>
            <w:shd w:val="clear" w:color="auto" w:fill="auto"/>
            <w:vAlign w:val="center"/>
          </w:tcPr>
          <w:p>
            <w:pPr>
              <w:pStyle w:val="0"/>
              <w:ind w:left="0" w:leftChars="0"/>
              <w:jc w:val="right"/>
              <w:rPr>
                <w:rFonts w:hint="default"/>
              </w:rPr>
            </w:pPr>
            <w:r>
              <w:rPr>
                <w:rFonts w:hint="eastAsia"/>
              </w:rPr>
              <w:t>76.3</w:t>
            </w:r>
          </w:p>
        </w:tc>
      </w:tr>
      <w:tr>
        <w:trPr/>
        <w:tc>
          <w:tcPr>
            <w:tcW w:w="2376" w:type="dxa"/>
            <w:shd w:val="clear" w:color="auto" w:fill="auto"/>
            <w:vAlign w:val="center"/>
          </w:tcPr>
          <w:p>
            <w:pPr>
              <w:pStyle w:val="0"/>
              <w:ind w:left="0" w:leftChars="0"/>
              <w:jc w:val="center"/>
              <w:rPr>
                <w:rFonts w:hint="default"/>
              </w:rPr>
            </w:pPr>
            <w:r>
              <w:rPr>
                <w:rFonts w:hint="eastAsia"/>
              </w:rPr>
              <w:t>借　家</w:t>
            </w:r>
          </w:p>
        </w:tc>
        <w:tc>
          <w:tcPr>
            <w:tcW w:w="1560" w:type="dxa"/>
            <w:shd w:val="clear" w:color="auto" w:fill="auto"/>
            <w:vAlign w:val="center"/>
          </w:tcPr>
          <w:p>
            <w:pPr>
              <w:pStyle w:val="0"/>
              <w:ind w:left="0" w:leftChars="0"/>
              <w:jc w:val="right"/>
              <w:rPr>
                <w:rFonts w:hint="default"/>
              </w:rPr>
            </w:pPr>
            <w:r>
              <w:rPr>
                <w:rFonts w:hint="eastAsia"/>
              </w:rPr>
              <w:t>382</w:t>
            </w:r>
          </w:p>
        </w:tc>
        <w:tc>
          <w:tcPr>
            <w:tcW w:w="1559" w:type="dxa"/>
            <w:shd w:val="clear" w:color="auto" w:fill="auto"/>
            <w:vAlign w:val="center"/>
          </w:tcPr>
          <w:p>
            <w:pPr>
              <w:pStyle w:val="0"/>
              <w:ind w:left="0" w:leftChars="0"/>
              <w:jc w:val="right"/>
              <w:rPr>
                <w:rFonts w:hint="default"/>
              </w:rPr>
            </w:pPr>
            <w:r>
              <w:rPr>
                <w:rFonts w:hint="eastAsia"/>
              </w:rPr>
              <w:t>22.2</w:t>
            </w:r>
          </w:p>
        </w:tc>
      </w:tr>
      <w:tr>
        <w:trPr/>
        <w:tc>
          <w:tcPr>
            <w:tcW w:w="23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無回答</w:t>
            </w:r>
          </w:p>
        </w:tc>
        <w:tc>
          <w:tcPr>
            <w:tcW w:w="156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26</w:t>
            </w:r>
          </w:p>
        </w:tc>
        <w:tc>
          <w:tcPr>
            <w:tcW w:w="155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1.5</w:t>
            </w:r>
          </w:p>
        </w:tc>
      </w:tr>
      <w:tr>
        <w:trPr/>
        <w:tc>
          <w:tcPr>
            <w:tcW w:w="23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jc w:val="center"/>
              <w:rPr>
                <w:rFonts w:hint="default"/>
              </w:rPr>
            </w:pPr>
            <w:r>
              <w:rPr>
                <w:rFonts w:hint="eastAsia"/>
              </w:rPr>
              <w:t>合　計</w:t>
            </w:r>
          </w:p>
        </w:tc>
        <w:tc>
          <w:tcPr>
            <w:tcW w:w="156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1,718</w:t>
            </w: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100.0</w:t>
            </w:r>
          </w:p>
        </w:tc>
      </w:tr>
    </w:tbl>
    <w:p>
      <w:pPr>
        <w:pStyle w:val="0"/>
        <w:ind w:left="0" w:leftChars="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469515" cy="2095500"/>
            <wp:effectExtent l="0" t="0" r="0" b="0"/>
            <wp:docPr id="1036" name="オブジェクト 0"/>
            <a:graphic xmlns:a="http://schemas.openxmlformats.org/drawingml/2006/main">
              <a:graphicData uri="http://schemas.openxmlformats.org/drawingml/2006/chart">
                <c:chart xmlns:c="http://schemas.openxmlformats.org/drawingml/2006/chart" r:id="rId13"/>
              </a:graphicData>
            </a:graphic>
          </wp:inline>
        </w:drawing>
      </w: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p>
    <w:p>
      <w:pPr>
        <w:pStyle w:val="0"/>
        <w:ind w:left="0" w:leftChars="0"/>
        <w:rPr>
          <w:rFonts w:hint="default" w:ascii="ＭＳ ゴシック" w:hAnsi="ＭＳ ゴシック" w:eastAsia="ＭＳ ゴシック"/>
        </w:rPr>
      </w:pPr>
      <w:r>
        <w:rPr>
          <w:rFonts w:hint="eastAsia" w:ascii="ＭＳ ゴシック" w:hAnsi="ＭＳ ゴシック" w:eastAsia="ＭＳ ゴシック"/>
        </w:rPr>
        <w:t>Ｆ９　広域市町村圏別</w:t>
      </w:r>
    </w:p>
    <w:tbl>
      <w:tblPr>
        <w:tblStyle w:val="11"/>
        <w:tblpPr w:leftFromText="142" w:rightFromText="142" w:topFromText="0" w:bottomFromText="0" w:vertAnchor="text" w:horzAnchor="text" w:tblpX="4219" w:tblpY="1"/>
        <w:tblOverlap w:val="never"/>
        <w:tblW w:w="5449" w:type="dxa"/>
        <w:tblLayout w:type="fixed"/>
        <w:tblLook w:firstRow="1" w:lastRow="0" w:firstColumn="1" w:lastColumn="0" w:noHBand="0" w:noVBand="1" w:val="04A0"/>
      </w:tblPr>
      <w:tblGrid>
        <w:gridCol w:w="2410"/>
        <w:gridCol w:w="1520"/>
        <w:gridCol w:w="1519"/>
      </w:tblGrid>
      <w:tr>
        <w:trPr>
          <w:trHeight w:val="41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高知市</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jc w:val="right"/>
              <w:rPr>
                <w:rFonts w:hint="default"/>
              </w:rPr>
            </w:pPr>
            <w:r>
              <w:rPr>
                <w:rFonts w:hint="eastAsia"/>
              </w:rPr>
              <w:t>8</w:t>
            </w:r>
            <w:r>
              <w:rPr>
                <w:rFonts w:hint="default"/>
              </w:rPr>
              <w:t>42</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49.0</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安芸広域圏</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107</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6.2</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南国・香美広域圏</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244</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14.2</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嶺北広域圏</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26</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1.5</w:t>
            </w:r>
          </w:p>
        </w:tc>
      </w:tr>
      <w:tr>
        <w:trPr/>
        <w:tc>
          <w:tcPr>
            <w:tcW w:w="241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仁淀川広域圏</w:t>
            </w:r>
          </w:p>
        </w:tc>
        <w:tc>
          <w:tcPr>
            <w:tcW w:w="151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101</w:t>
            </w:r>
          </w:p>
        </w:tc>
        <w:tc>
          <w:tcPr>
            <w:tcW w:w="151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5.9</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高吾北広域圏</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58</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3.4</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高幡広域圏</w:t>
            </w:r>
          </w:p>
        </w:tc>
        <w:tc>
          <w:tcPr>
            <w:tcW w:w="1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134</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7.8</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幡多広域圏</w:t>
            </w:r>
          </w:p>
        </w:tc>
        <w:tc>
          <w:tcPr>
            <w:tcW w:w="1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189</w:t>
            </w:r>
          </w:p>
        </w:tc>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11.0</w:t>
            </w:r>
          </w:p>
        </w:tc>
      </w:tr>
      <w:t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無回答</w:t>
            </w:r>
          </w:p>
        </w:tc>
        <w:tc>
          <w:tcPr>
            <w:tcW w:w="152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17</w:t>
            </w:r>
          </w:p>
        </w:tc>
        <w:tc>
          <w:tcPr>
            <w:tcW w:w="151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1.0</w:t>
            </w:r>
          </w:p>
        </w:tc>
      </w:tr>
      <w:tr>
        <w:trPr>
          <w:trHeight w:val="299" w:hRule="atLeast"/>
        </w:trPr>
        <w:tc>
          <w:tcPr>
            <w:tcW w:w="240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合　計</w:t>
            </w:r>
          </w:p>
        </w:tc>
        <w:tc>
          <w:tcPr>
            <w:tcW w:w="1520" w:type="dxa"/>
            <w:tcBorders>
              <w:top w:val="nil"/>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ind w:left="0" w:leftChars="0"/>
              <w:jc w:val="right"/>
              <w:rPr>
                <w:rFonts w:hint="default"/>
              </w:rPr>
            </w:pPr>
            <w:r>
              <w:rPr>
                <w:rFonts w:hint="eastAsia"/>
              </w:rPr>
              <w:t>1,718</w:t>
            </w:r>
          </w:p>
        </w:tc>
        <w:tc>
          <w:tcPr>
            <w:tcW w:w="1519" w:type="dxa"/>
            <w:tcBorders>
              <w:top w:val="nil"/>
              <w:left w:val="single" w:color="000000" w:themeColor="text1"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100.0</w:t>
            </w:r>
          </w:p>
        </w:tc>
      </w:tr>
      <w:tr>
        <w:trPr>
          <w:trHeight w:val="300" w:hRule="atLeast"/>
        </w:trPr>
        <w:tc>
          <w:tcPr>
            <w:tcW w:w="54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right"/>
              <w:rPr>
                <w:rFonts w:hint="default"/>
              </w:rPr>
            </w:pPr>
          </w:p>
        </w:tc>
      </w:tr>
    </w:tbl>
    <w:p>
      <w:pPr>
        <w:pStyle w:val="0"/>
        <w:ind w:left="0" w:leftChars="0"/>
        <w:rPr>
          <w:rFonts w:hint="default" w:ascii="ＭＳ ゴシック" w:hAnsi="ＭＳ ゴシック" w:eastAsia="ＭＳ ゴシック"/>
        </w:rPr>
      </w:pPr>
      <w:r>
        <w:rPr>
          <w:rFonts w:hint="default" w:ascii="ＭＳ ゴシック" w:hAnsi="ＭＳ ゴシック" w:eastAsia="ＭＳ ゴシック"/>
        </w:rPr>
        <w:drawing>
          <wp:inline distT="0" distB="0" distL="0" distR="0">
            <wp:extent cx="2552700" cy="2618740"/>
            <wp:effectExtent l="0" t="0" r="0" b="0"/>
            <wp:docPr id="1037" name="オブジェクト 0"/>
            <a:graphic xmlns:a="http://schemas.openxmlformats.org/drawingml/2006/main">
              <a:graphicData uri="http://schemas.openxmlformats.org/drawingml/2006/chart">
                <c:chart xmlns:c="http://schemas.openxmlformats.org/drawingml/2006/chart" r:id="rId14"/>
              </a:graphicData>
            </a:graphic>
          </wp:inline>
        </w:drawing>
      </w:r>
      <w:r>
        <w:rPr>
          <w:rFonts w:hint="default" w:ascii="ＭＳ ゴシック" w:hAnsi="ＭＳ ゴシック" w:eastAsia="ＭＳ ゴシック"/>
        </w:rPr>
        <w:br w:type="textWrapping" w:clear="all"/>
      </w:r>
      <w:r>
        <w:rPr>
          <w:rFonts w:hint="eastAsia" w:ascii="ＭＳ ゴシック" w:hAnsi="ＭＳ ゴシック" w:eastAsia="ＭＳ ゴシック"/>
        </w:rPr>
        <w:t>Ｆ</w:t>
      </w:r>
      <w:r>
        <w:rPr>
          <w:rFonts w:hint="eastAsia" w:ascii="ＭＳ ゴシック" w:hAnsi="ＭＳ ゴシック" w:eastAsia="ＭＳ ゴシック"/>
        </w:rPr>
        <w:t>10</w:t>
      </w:r>
      <w:r>
        <w:rPr>
          <w:rFonts w:hint="eastAsia" w:ascii="ＭＳ ゴシック" w:hAnsi="ＭＳ ゴシック" w:eastAsia="ＭＳ ゴシック"/>
        </w:rPr>
        <w:t>　沿岸部別</w:t>
      </w:r>
    </w:p>
    <w:tbl>
      <w:tblPr>
        <w:tblStyle w:val="11"/>
        <w:tblpPr w:leftFromText="142" w:rightFromText="142" w:topFromText="0" w:bottomFromText="0" w:vertAnchor="text" w:horzAnchor="text" w:tblpX="4219" w:tblpY="335"/>
        <w:tblOverlap w:val="never"/>
        <w:tblW w:w="5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1559"/>
        <w:gridCol w:w="1478"/>
      </w:tblGrid>
      <w:tr>
        <w:trPr>
          <w:trHeight w:val="416"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区　分</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回答数（人）</w:t>
            </w:r>
          </w:p>
        </w:tc>
        <w:tc>
          <w:tcPr>
            <w:tcW w:w="147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0" w:leftChars="0"/>
              <w:jc w:val="center"/>
              <w:rPr>
                <w:rFonts w:hint="default"/>
              </w:rPr>
            </w:pPr>
            <w:r>
              <w:rPr>
                <w:rFonts w:hint="eastAsia"/>
              </w:rPr>
              <w:t>構成比（％）</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沿岸部</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538</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31.3</w:t>
            </w:r>
          </w:p>
        </w:tc>
      </w:tr>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center"/>
              <w:rPr>
                <w:rFonts w:hint="default"/>
              </w:rPr>
            </w:pPr>
            <w:r>
              <w:rPr>
                <w:rFonts w:hint="eastAsia"/>
              </w:rPr>
              <w:t>非沿岸部</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1,145</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jc w:val="right"/>
              <w:rPr>
                <w:rFonts w:hint="default"/>
              </w:rPr>
            </w:pPr>
            <w:r>
              <w:rPr>
                <w:rFonts w:hint="eastAsia"/>
              </w:rPr>
              <w:t>66.6</w:t>
            </w:r>
          </w:p>
        </w:tc>
      </w:tr>
      <w:tr>
        <w:trPr/>
        <w:tc>
          <w:tcPr>
            <w:tcW w:w="241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無回答</w:t>
            </w:r>
          </w:p>
        </w:tc>
        <w:tc>
          <w:tcPr>
            <w:tcW w:w="1559"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35</w:t>
            </w:r>
          </w:p>
        </w:tc>
        <w:tc>
          <w:tcPr>
            <w:tcW w:w="147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2.0</w:t>
            </w:r>
          </w:p>
        </w:tc>
      </w:tr>
      <w:tr>
        <w:trPr/>
        <w:tc>
          <w:tcPr>
            <w:tcW w:w="24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center"/>
              <w:rPr>
                <w:rFonts w:hint="default"/>
              </w:rPr>
            </w:pPr>
            <w:r>
              <w:rPr>
                <w:rFonts w:hint="eastAsia"/>
              </w:rPr>
              <w:t>合　計</w:t>
            </w: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1,718</w:t>
            </w:r>
          </w:p>
        </w:tc>
        <w:tc>
          <w:tcPr>
            <w:tcW w:w="14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jc w:val="right"/>
              <w:rPr>
                <w:rFonts w:hint="default"/>
              </w:rPr>
            </w:pPr>
            <w:r>
              <w:rPr>
                <w:rFonts w:hint="eastAsia"/>
              </w:rPr>
              <w:t>100.0</w:t>
            </w:r>
          </w:p>
        </w:tc>
      </w:tr>
    </w:tbl>
    <w:p>
      <w:pPr>
        <w:pStyle w:val="0"/>
        <w:ind w:left="0" w:leftChars="0"/>
        <w:rPr>
          <w:rFonts w:hint="default" w:asciiTheme="minorEastAsia" w:hAnsiTheme="minorEastAsia"/>
          <w:sz w:val="18"/>
        </w:rPr>
      </w:pPr>
      <w:r>
        <w:rPr>
          <w:rFonts w:hint="default" w:ascii="ＭＳ ゴシック" w:hAnsi="ＭＳ ゴシック" w:eastAsia="ＭＳ ゴシック"/>
        </w:rPr>
        <w:drawing>
          <wp:inline distT="0" distB="0" distL="0" distR="0">
            <wp:extent cx="2552700" cy="2267585"/>
            <wp:effectExtent l="0" t="0" r="0" b="0"/>
            <wp:docPr id="1038" name="オブジェクト 0"/>
            <a:graphic xmlns:a="http://schemas.openxmlformats.org/drawingml/2006/main">
              <a:graphicData uri="http://schemas.openxmlformats.org/drawingml/2006/chart">
                <c:chart xmlns:c="http://schemas.openxmlformats.org/drawingml/2006/chart" r:id="rId15"/>
              </a:graphicData>
            </a:graphic>
          </wp:inline>
        </w:drawing>
      </w:r>
      <w:bookmarkStart w:id="6" w:name="_GoBack"/>
      <w:bookmarkEnd w:id="6"/>
    </w:p>
    <w:sectPr>
      <w:type w:val="continuous"/>
      <w:pgSz w:w="11906" w:h="16838"/>
      <w:pgMar w:top="964" w:right="1219" w:bottom="1021" w:left="1219"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20"/>
  <w:drawingGridVerticalSpacing w:val="4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0"/>
      <w15:collapsed w:val="0"/>
    </w:pPr>
    <w:rPr>
      <w:rFonts w:eastAsia="ＭＳ 明朝" w:asciiTheme="majorHAnsi" w:hAnsiTheme="majorHAnsi"/>
      <w:b w:val="0"/>
      <w:i w:val="0"/>
      <w:caps w:val="0"/>
      <w:smallCaps w:val="0"/>
      <w:strike w:val="0"/>
      <w:dstrike w:val="0"/>
      <w:outline w:val="0"/>
      <w:shadow w:val="0"/>
      <w:emboss w:val="0"/>
      <w:imprint w:val="0"/>
      <w:snapToGrid w:val="1"/>
      <w:vanish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sz w:val="36"/>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 Id="rId10" Type="http://schemas.openxmlformats.org/officeDocument/2006/relationships/chart" Target="charts/chart5.xml" /><Relationship Id="rId11" Type="http://schemas.openxmlformats.org/officeDocument/2006/relationships/chart" Target="charts/chart6.xml" /><Relationship Id="rId12" Type="http://schemas.openxmlformats.org/officeDocument/2006/relationships/chart" Target="charts/chart7.xml" /><Relationship Id="rId13" Type="http://schemas.openxmlformats.org/officeDocument/2006/relationships/chart" Target="charts/chart8.xml" /><Relationship Id="rId14" Type="http://schemas.openxmlformats.org/officeDocument/2006/relationships/chart" Target="charts/chart9.xml" /><Relationship Id="rId15" Type="http://schemas.openxmlformats.org/officeDocument/2006/relationships/chart" Target="charts/chart10.xml" /><Relationship Id="rId16"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Microsoft_Excel_Worksheet.xlsx" /><Relationship Id="rId2" Type="http://schemas.openxmlformats.org/officeDocument/2006/relationships/chartUserShapes" Target="../drawings/drawing2.xml" /><Relationship Id="rId3" Type="http://schemas.openxmlformats.org/officeDocument/2006/relationships/themeOverride" Target="../theme/themeOverride1.xml" /></Relationships>
</file>

<file path=word/charts/_rels/chart10.xml.rels><?xml version="1.0" encoding="UTF-8"?><Relationships xmlns="http://schemas.openxmlformats.org/package/2006/relationships"><Relationship Id="rId1" Type="http://schemas.openxmlformats.org/officeDocument/2006/relationships/package" Target="../embeddings/Microsoft_Excel_Worksheet9.xlsx" /><Relationship Id="rId2" Type="http://schemas.openxmlformats.org/officeDocument/2006/relationships/chartUserShapes" Target="../drawings/drawing9.xml" /><Relationship Id="rId3" Type="http://schemas.openxmlformats.org/officeDocument/2006/relationships/themeOverride" Target="../theme/themeOverride10.xml" /></Relationships>
</file>

<file path=word/charts/_rels/chart2.xml.rels><?xml version="1.0" encoding="UTF-8"?><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chartUserShapes" Target="../drawings/drawing1.xml" /><Relationship Id="rId3" Type="http://schemas.openxmlformats.org/officeDocument/2006/relationships/themeOverride" Target="../theme/themeOverride2.xml" /></Relationships>
</file>

<file path=word/charts/_rels/chart3.xml.rels><?xml version="1.0" encoding="UTF-8"?><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chartUserShapes" Target="../drawings/drawing3.xml" /><Relationship Id="rId3" Type="http://schemas.openxmlformats.org/officeDocument/2006/relationships/themeOverride" Target="../theme/themeOverride3.xml" /></Relationships>
</file>

<file path=word/charts/_rels/chart4.xml.rels><?xml version="1.0" encoding="UTF-8"?><Relationships xmlns="http://schemas.openxmlformats.org/package/2006/relationships"><Relationship Id="rId1" Type="http://schemas.openxmlformats.org/officeDocument/2006/relationships/package" Target="../embeddings/Microsoft_Excel_Worksheet3.xlsx" /><Relationship Id="rId2" Type="http://schemas.openxmlformats.org/officeDocument/2006/relationships/chartUserShapes" Target="../drawings/drawing4.xml" /><Relationship Id="rId3" Type="http://schemas.openxmlformats.org/officeDocument/2006/relationships/themeOverride" Target="../theme/themeOverride4.xml" /></Relationships>
</file>

<file path=word/charts/_rels/chart5.xml.rels><?xml version="1.0" encoding="UTF-8"?><Relationships xmlns="http://schemas.openxmlformats.org/package/2006/relationships"><Relationship Id="rId1" Type="http://schemas.openxmlformats.org/officeDocument/2006/relationships/package" Target="../embeddings/Microsoft_Excel_Worksheet4.xlsx" /><Relationship Id="rId2" Type="http://schemas.openxmlformats.org/officeDocument/2006/relationships/chartUserShapes" Target="../drawings/drawing5.xml" /><Relationship Id="rId3" Type="http://schemas.openxmlformats.org/officeDocument/2006/relationships/themeOverride" Target="../theme/themeOverride5.xml" /></Relationships>
</file>

<file path=word/charts/_rels/chart6.xml.rels><?xml version="1.0" encoding="UTF-8"?><Relationships xmlns="http://schemas.openxmlformats.org/package/2006/relationships"><Relationship Id="rId1" Type="http://schemas.openxmlformats.org/officeDocument/2006/relationships/package" Target="../embeddings/Microsoft_Excel_Worksheet5.xlsx" /><Relationship Id="rId2" Type="http://schemas.openxmlformats.org/officeDocument/2006/relationships/themeOverride" Target="../theme/themeOverride6.xml" /></Relationships>
</file>

<file path=word/charts/_rels/chart7.xml.rels><?xml version="1.0" encoding="UTF-8"?><Relationships xmlns="http://schemas.openxmlformats.org/package/2006/relationships"><Relationship Id="rId1" Type="http://schemas.openxmlformats.org/officeDocument/2006/relationships/package" Target="../embeddings/Microsoft_Excel_Worksheet6.xlsx" /><Relationship Id="rId2" Type="http://schemas.openxmlformats.org/officeDocument/2006/relationships/chartUserShapes" Target="../drawings/drawing6.xml" /><Relationship Id="rId3" Type="http://schemas.openxmlformats.org/officeDocument/2006/relationships/themeOverride" Target="../theme/themeOverride7.xml" /></Relationships>
</file>

<file path=word/charts/_rels/chart8.xml.rels><?xml version="1.0" encoding="UTF-8"?><Relationships xmlns="http://schemas.openxmlformats.org/package/2006/relationships"><Relationship Id="rId1" Type="http://schemas.openxmlformats.org/officeDocument/2006/relationships/package" Target="../embeddings/Microsoft_Excel_Worksheet7.xlsx" /><Relationship Id="rId2" Type="http://schemas.openxmlformats.org/officeDocument/2006/relationships/chartUserShapes" Target="../drawings/drawing7.xml" /><Relationship Id="rId3" Type="http://schemas.openxmlformats.org/officeDocument/2006/relationships/themeOverride" Target="../theme/themeOverride8.xml" /></Relationships>
</file>

<file path=word/charts/_rels/chart9.xml.rels><?xml version="1.0" encoding="UTF-8"?><Relationships xmlns="http://schemas.openxmlformats.org/package/2006/relationships"><Relationship Id="rId1" Type="http://schemas.openxmlformats.org/officeDocument/2006/relationships/package" Target="../embeddings/Microsoft_Excel_Worksheet8.xlsx" /><Relationship Id="rId2" Type="http://schemas.openxmlformats.org/officeDocument/2006/relationships/chartUserShapes" Target="../drawings/drawing8.xml" /><Relationship Id="rId3" Type="http://schemas.openxmlformats.org/officeDocument/2006/relationships/themeOverride" Target="../theme/themeOverride9.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05991090123847"/>
          <c:y val="0.13333858267716578"/>
          <c:w val="0.6939087229678722"/>
          <c:h val="0.81776091624910752"/>
        </c:manualLayout>
      </c:layout>
      <c:doughnutChart>
        <c:varyColors val="1"/>
        <c:ser>
          <c:idx val="2"/>
          <c:order val="0"/>
          <c:tx>
            <c:strRef>
              <c:f>Sheet1!$B$1</c:f>
              <c:strCache>
                <c:ptCount val="1"/>
                <c:pt idx="0">
                  <c:v>売上高</c:v>
                </c:pt>
              </c:strCache>
            </c:strRef>
          </c:tx>
          <c:spPr>
            <a:ln w="6350">
              <a:solidFill>
                <a:sysClr val="windowText" lastClr="000000"/>
              </a:solidFill>
            </a:ln>
          </c:spPr>
          <c:dPt>
            <c:idx val="0"/>
            <c:invertIfNegative val="0"/>
            <c:bubble3D val="0"/>
            <c:spPr>
              <a:solidFill>
                <a:srgbClr val="00B0F0"/>
              </a:solidFill>
              <a:ln w="6350">
                <a:solidFill>
                  <a:sysClr val="windowText" lastClr="000000"/>
                </a:solidFill>
              </a:ln>
            </c:spPr>
          </c:dPt>
          <c:dPt>
            <c:idx val="1"/>
            <c:invertIfNegative val="0"/>
            <c:bubble3D val="0"/>
            <c:spPr>
              <a:pattFill prst="pct60">
                <a:fgClr>
                  <a:sysClr val="windowText" lastClr="000000"/>
                </a:fgClr>
                <a:bgClr>
                  <a:sysClr val="window" lastClr="FFFFFF"/>
                </a:bgClr>
              </a:pattFill>
              <a:ln w="6350">
                <a:solidFill>
                  <a:sysClr val="windowText" lastClr="000000"/>
                </a:solidFill>
              </a:ln>
            </c:spPr>
          </c:dPt>
          <c:dPt>
            <c:idx val="2"/>
            <c:invertIfNegative val="0"/>
            <c:bubble3D val="0"/>
            <c:spPr>
              <a:pattFill prst="ltDnDiag">
                <a:fgClr>
                  <a:sysClr val="windowText" lastClr="000000"/>
                </a:fgClr>
                <a:bgClr>
                  <a:sysClr val="window" lastClr="FFFFFF"/>
                </a:bgClr>
              </a:pattFill>
              <a:ln w="6350">
                <a:solidFill>
                  <a:sysClr val="windowText" lastClr="000000"/>
                </a:solidFill>
              </a:ln>
            </c:spPr>
          </c:dPt>
          <c:dPt>
            <c:idx val="3"/>
            <c:invertIfNegative val="0"/>
            <c:bubble3D val="0"/>
            <c:spPr>
              <a:pattFill prst="dkHorz">
                <a:fgClr>
                  <a:srgbClr val="F79646"/>
                </a:fgClr>
                <a:bgClr>
                  <a:sysClr val="window" lastClr="FFFFFF"/>
                </a:bgClr>
              </a:pattFill>
              <a:ln w="6350">
                <a:solidFill>
                  <a:sysClr val="windowText" lastClr="000000"/>
                </a:solidFill>
              </a:ln>
            </c:spPr>
          </c:dPt>
          <c:dLbls>
            <c:dLbl>
              <c:idx val="0"/>
              <c:layout>
                <c:manualLayout>
                  <c:x val="-1.1313962458215573e-002"/>
                  <c:y val="-1.512860892388457e-002"/>
                </c:manualLayout>
              </c:layout>
              <c:numFmt formatCode="0.0%" sourceLinked="0"/>
              <c:spPr>
                <a:solidFill>
                  <a:sysClr val="window" lastClr="FFFFFF"/>
                </a:solidFill>
                <a:ln>
                  <a:noFill/>
                </a:ln>
                <a:effectLst/>
              </c:spPr>
              <c:txPr>
                <a:bodyPr wrap="square" lIns="38100" tIns="19050" rIns="38100" bIns="19050">
                  <a:spAutoFit/>
                </a:bodyPr>
                <a:lstStyle/>
                <a:p>
                  <a:pPr>
                    <a:defRPr sz="9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1.0285420416559526e-002"/>
                  <c:y val="-5.5042710570269625e-002"/>
                </c:manualLayout>
              </c:layout>
              <c:tx>
                <c:rich>
                  <a:bodyPr wrap="square" lIns="38100" tIns="19050" rIns="38100" bIns="19050">
                    <a:spAutoFit/>
                  </a:bodyPr>
                  <a:lstStyle/>
                  <a:p>
                    <a:pPr>
                      <a:defRPr sz="900">
                        <a:solidFill>
                          <a:schemeClr val="tx1"/>
                        </a:solidFill>
                        <a:latin typeface="ＭＳ ゴシック"/>
                        <a:ea typeface="ＭＳ ゴシック"/>
                      </a:defRPr>
                    </a:pPr>
                    <a:fld id="{4142E1E5-FF03-4CF8-A324-F60214E56364}" type="CATEGORYNAME">
                      <a:rPr lang="ja-JP" altLang="en-US" sz="900">
                        <a:solidFill>
                          <a:schemeClr val="tx1"/>
                        </a:solidFill>
                        <a:latin typeface="ＭＳ ゴシック"/>
                        <a:ea typeface="ＭＳ ゴシック"/>
                      </a:rPr>
                      <a:t>[分類名]</a:t>
                    </a:fld>
                    <a:br>
                      <a:rPr lang="ja-JP" altLang="en-US" sz="900" baseline="0">
                        <a:solidFill>
                          <a:schemeClr val="tx1"/>
                        </a:solidFill>
                        <a:latin typeface="ＭＳ ゴシック"/>
                        <a:ea typeface="ＭＳ ゴシック"/>
                      </a:rPr>
                    </a:br>
                    <a:r>
                      <a:rPr lang="en-US" altLang="ja-JP" sz="900" baseline="0">
                        <a:solidFill>
                          <a:schemeClr val="tx1"/>
                        </a:solidFill>
                        <a:latin typeface="ＭＳ ゴシック"/>
                        <a:ea typeface="ＭＳ ゴシック"/>
                      </a:rPr>
                      <a:t>50.9%</a:t>
                    </a:r>
                    <a:endParaRPr lang="ja-JP" altLang="en-US" sz="900">
                      <a:solidFill>
                        <a:schemeClr val="tx1"/>
                      </a:solidFill>
                      <a:latin typeface="ＭＳ ゴシック"/>
                      <a:ea typeface="ＭＳ ゴシック"/>
                    </a:endParaRPr>
                  </a:p>
                </c:rich>
              </c:tx>
              <c:numFmt formatCode="0.0%" sourceLinked="0"/>
              <c:spPr>
                <a:solidFill>
                  <a:sysClr val="window" lastClr="FFFFFF"/>
                </a:solidFill>
                <a:ln>
                  <a:noFill/>
                </a:ln>
                <a:effectLst/>
              </c:spPr>
              <c:showLegendKey val="0"/>
              <c:showVal val="0"/>
              <c:showCatName val="1"/>
              <c:showSerName val="0"/>
              <c:showPercent val="1"/>
              <c:showBubbleSize val="0"/>
            </c:dLbl>
            <c:dLbl>
              <c:idx val="2"/>
              <c:layout>
                <c:manualLayout>
                  <c:x val="-0.29602209340700503"/>
                  <c:y val="-0.16363636363636364"/>
                </c:manualLayout>
              </c:layout>
              <c:numFmt formatCode="0.0%" sourceLinked="0"/>
              <c:spPr>
                <a:noFill/>
                <a:ln>
                  <a:noFill/>
                </a:ln>
                <a:effectLst/>
              </c:spPr>
              <c:txPr>
                <a:bodyPr>
                  <a:spAutoFit/>
                </a:bodyPr>
                <a:lstStyle/>
                <a:p>
                  <a:pPr>
                    <a:defRPr sz="9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3"/>
              <c:layout>
                <c:manualLayout>
                  <c:x val="0.22198285898243172"/>
                  <c:y val="-0.1803030303030303"/>
                </c:manualLayout>
              </c:layout>
              <c:numFmt formatCode="0.0%" sourceLinked="0"/>
              <c:spPr>
                <a:noFill/>
                <a:ln>
                  <a:noFill/>
                </a:ln>
                <a:effectLst/>
              </c:spPr>
              <c:txPr>
                <a:bodyPr>
                  <a:spAutoFit/>
                </a:bodyPr>
                <a:lstStyle/>
                <a:p>
                  <a:pPr>
                    <a:defRPr sz="9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9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Sheet1!$A$2:$A$5</c:f>
              <c:strCache>
                <c:ptCount val="4"/>
                <c:pt idx="0">
                  <c:v>男性</c:v>
                </c:pt>
                <c:pt idx="1">
                  <c:v>女性</c:v>
                </c:pt>
                <c:pt idx="2">
                  <c:v>その他</c:v>
                </c:pt>
                <c:pt idx="3">
                  <c:v>無回答</c:v>
                </c:pt>
              </c:strCache>
            </c:strRef>
          </c:cat>
          <c:val>
            <c:numRef>
              <c:f>Sheet1!$B$2:$B$5</c:f>
              <c:numCache>
                <c:formatCode>General</c:formatCode>
                <c:ptCount val="4"/>
                <c:pt idx="0">
                  <c:v>48.8</c:v>
                </c:pt>
                <c:pt idx="1">
                  <c:v>50.9</c:v>
                </c:pt>
                <c:pt idx="2">
                  <c:v>0.1</c:v>
                </c:pt>
                <c:pt idx="3">
                  <c:v>0.3</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77720500764745"/>
          <c:y val="0.18543815991526752"/>
          <c:w val="0.66829513848082411"/>
          <c:h val="0.75232328666841586"/>
        </c:manualLayout>
      </c:layout>
      <c:doughnutChart>
        <c:varyColors val="1"/>
        <c:ser>
          <c:idx val="2"/>
          <c:order val="0"/>
          <c:tx>
            <c:strRef>
              <c:f>Sheet1!$B$1</c:f>
              <c:strCache>
                <c:ptCount val="1"/>
                <c:pt idx="0">
                  <c:v>売上高</c:v>
                </c:pt>
              </c:strCache>
            </c:strRef>
          </c:tx>
          <c:spPr>
            <a:ln>
              <a:solidFill>
                <a:schemeClr val="tx1"/>
              </a:solidFill>
            </a:ln>
          </c:spPr>
          <c:dPt>
            <c:idx val="0"/>
            <c:invertIfNegative val="0"/>
            <c:bubble3D val="0"/>
            <c:spPr>
              <a:solidFill>
                <a:srgbClr val="00B0F0"/>
              </a:solidFill>
              <a:ln>
                <a:solidFill>
                  <a:schemeClr val="tx1"/>
                </a:solidFill>
              </a:ln>
            </c:spPr>
          </c:dPt>
          <c:dPt>
            <c:idx val="1"/>
            <c:invertIfNegative val="0"/>
            <c:bubble3D val="0"/>
            <c:spPr>
              <a:pattFill prst="pct60">
                <a:fgClr>
                  <a:sysClr val="windowText" lastClr="000000"/>
                </a:fgClr>
                <a:bgClr>
                  <a:sysClr val="window" lastClr="FFFFFF"/>
                </a:bgClr>
              </a:pattFill>
              <a:ln>
                <a:solidFill>
                  <a:schemeClr val="tx1"/>
                </a:solidFill>
              </a:ln>
            </c:spPr>
          </c:dPt>
          <c:dPt>
            <c:idx val="2"/>
            <c:invertIfNegative val="0"/>
            <c:bubble3D val="0"/>
            <c:spPr>
              <a:pattFill prst="ltDnDiag">
                <a:fgClr>
                  <a:sysClr val="windowText" lastClr="000000"/>
                </a:fgClr>
                <a:bgClr>
                  <a:sysClr val="window" lastClr="FFFFFF"/>
                </a:bgClr>
              </a:pattFill>
              <a:ln>
                <a:solidFill>
                  <a:schemeClr val="tx1"/>
                </a:solidFill>
              </a:ln>
            </c:spPr>
          </c:dPt>
          <c:dPt>
            <c:idx val="3"/>
            <c:invertIfNegative val="0"/>
            <c:bubble3D val="0"/>
            <c:spPr>
              <a:pattFill prst="dkHorz">
                <a:fgClr>
                  <a:srgbClr val="F79646"/>
                </a:fgClr>
                <a:bgClr>
                  <a:sysClr val="window" lastClr="FFFFFF"/>
                </a:bgClr>
              </a:pattFill>
              <a:ln>
                <a:solidFill>
                  <a:schemeClr val="tx1"/>
                </a:solidFill>
              </a:ln>
            </c:spPr>
          </c:dPt>
          <c:dLbls>
            <c:dLbl>
              <c:idx val="0"/>
              <c:layout>
                <c:manualLayout>
                  <c:x val="-1.7698123555451181e-002"/>
                  <c:y val="-2.120008731756472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3.4890116347396874e-002"/>
                  <c:y val="-0.13348518357635988"/>
                </c:manualLayout>
              </c:layout>
              <c:tx>
                <c:rich>
                  <a:bodyPr wrap="square" lIns="38100" tIns="19050" rIns="38100" bIns="19050">
                    <a:spAutoFit/>
                  </a:bodyPr>
                  <a:lstStyle/>
                  <a:p>
                    <a:pPr>
                      <a:defRPr sz="800">
                        <a:solidFill>
                          <a:schemeClr val="tx1"/>
                        </a:solidFill>
                        <a:latin typeface="ＭＳ ゴシック"/>
                        <a:ea typeface="ＭＳ ゴシック"/>
                      </a:defRPr>
                    </a:pPr>
                    <a:fld id="{7C07B56E-61C0-4F0B-9767-9FA2AB978ED3}" type="CATEGORYNAME">
                      <a:rPr lang="ja-JP" altLang="en-US" sz="800">
                        <a:solidFill>
                          <a:schemeClr val="tx1"/>
                        </a:solidFill>
                        <a:latin typeface="ＭＳ ゴシック"/>
                        <a:ea typeface="ＭＳ ゴシック"/>
                      </a:rPr>
                      <a:t>[分類名]</a:t>
                    </a:fld>
                    <a:br>
                      <a:rPr lang="ja-JP" altLang="en-US" sz="800" baseline="0">
                        <a:solidFill>
                          <a:schemeClr val="tx1"/>
                        </a:solidFill>
                        <a:latin typeface="ＭＳ ゴシック"/>
                        <a:ea typeface="ＭＳ ゴシック"/>
                      </a:rPr>
                    </a:br>
                    <a:r>
                      <a:rPr lang="en-US" altLang="ja-JP" sz="800" baseline="0">
                        <a:solidFill>
                          <a:schemeClr val="tx1"/>
                        </a:solidFill>
                        <a:latin typeface="ＭＳ ゴシック"/>
                        <a:ea typeface="ＭＳ ゴシック"/>
                      </a:rPr>
                      <a:t>66.6%</a:t>
                    </a:r>
                    <a:endParaRPr lang="ja-JP" altLang="en-US" sz="800">
                      <a:solidFill>
                        <a:schemeClr val="tx1"/>
                      </a:solidFill>
                      <a:latin typeface="ＭＳ ゴシック"/>
                      <a:ea typeface="ＭＳ ゴシック"/>
                    </a:endParaRPr>
                  </a:p>
                </c:rich>
              </c:tx>
              <c:numFmt formatCode="0.0%" sourceLinked="0"/>
              <c:spPr>
                <a:solidFill>
                  <a:sysClr val="window" lastClr="FFFFFF"/>
                </a:solidFill>
                <a:ln>
                  <a:noFill/>
                </a:ln>
                <a:effectLst/>
              </c:spPr>
              <c:showLegendKey val="0"/>
              <c:showVal val="0"/>
              <c:showCatName val="1"/>
              <c:showSerName val="0"/>
              <c:showPercent val="1"/>
              <c:showBubbleSize val="0"/>
            </c:dLbl>
            <c:dLbl>
              <c:idx val="2"/>
              <c:layout>
                <c:manualLayout>
                  <c:x val="-0.11559975711991224"/>
                  <c:y val="-0.22561249082173326"/>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4400460733775184"/>
                      <c:h val="0.16108007448789569"/>
                    </c:manualLayout>
                  </c15:layout>
                </c:ext>
              </c:extLst>
            </c:dLbl>
            <c:dLbl>
              <c:idx val="3"/>
              <c:layout>
                <c:manualLayout>
                  <c:x val="-9.951471893351372e-003"/>
                  <c:y val="1.5819513482602385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Sheet1!$A$2:$A$4</c:f>
              <c:strCache>
                <c:ptCount val="3"/>
                <c:pt idx="0">
                  <c:v>沿岸部</c:v>
                </c:pt>
                <c:pt idx="1">
                  <c:v>非沿岸部</c:v>
                </c:pt>
                <c:pt idx="2">
                  <c:v>無回答</c:v>
                </c:pt>
              </c:strCache>
            </c:strRef>
          </c:cat>
          <c:val>
            <c:numRef>
              <c:f>Sheet1!$B$2:$B$4</c:f>
              <c:numCache>
                <c:formatCode>0.0_);[Red]\(0.0\)</c:formatCode>
                <c:ptCount val="3"/>
                <c:pt idx="0">
                  <c:v>31.3</c:v>
                </c:pt>
                <c:pt idx="1">
                  <c:v>66.599999999999994</c:v>
                </c:pt>
                <c:pt idx="2">
                  <c:v>2</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48812390186764"/>
          <c:y val="0.15484771950675991"/>
          <c:w val="0.7466789363567744"/>
          <c:h val="0.83998486235732173"/>
        </c:manualLayout>
      </c:layout>
      <c:doughnutChart>
        <c:varyColors val="1"/>
        <c:ser>
          <c:idx val="2"/>
          <c:order val="0"/>
          <c:tx>
            <c:strRef>
              <c:f>Sheet1!$B$1</c:f>
              <c:strCache>
                <c:ptCount val="1"/>
                <c:pt idx="0">
                  <c:v>売上高</c:v>
                </c:pt>
              </c:strCache>
            </c:strRef>
          </c:tx>
          <c:spPr>
            <a:ln w="6350">
              <a:solidFill>
                <a:sysClr val="windowText" lastClr="000000"/>
              </a:solidFill>
            </a:ln>
          </c:spPr>
          <c:dPt>
            <c:idx val="0"/>
            <c:invertIfNegative val="0"/>
            <c:bubble3D val="0"/>
            <c:spPr>
              <a:solidFill>
                <a:srgbClr val="00B0F0"/>
              </a:solidFill>
              <a:ln w="6350">
                <a:solidFill>
                  <a:sysClr val="windowText" lastClr="000000"/>
                </a:solidFill>
              </a:ln>
            </c:spPr>
          </c:dPt>
          <c:dPt>
            <c:idx val="1"/>
            <c:invertIfNegative val="0"/>
            <c:bubble3D val="0"/>
            <c:spPr>
              <a:pattFill prst="pct60">
                <a:fgClr>
                  <a:sysClr val="windowText" lastClr="000000"/>
                </a:fgClr>
                <a:bgClr>
                  <a:sysClr val="window" lastClr="FFFFFF"/>
                </a:bgClr>
              </a:pattFill>
              <a:ln w="6350">
                <a:solidFill>
                  <a:sysClr val="windowText" lastClr="000000"/>
                </a:solidFill>
              </a:ln>
            </c:spPr>
          </c:dPt>
          <c:dPt>
            <c:idx val="2"/>
            <c:invertIfNegative val="0"/>
            <c:bubble3D val="0"/>
            <c:spPr>
              <a:pattFill prst="ltDnDiag">
                <a:fgClr>
                  <a:sysClr val="windowText" lastClr="000000"/>
                </a:fgClr>
                <a:bgClr>
                  <a:sysClr val="window" lastClr="FFFFFF"/>
                </a:bgClr>
              </a:pattFill>
              <a:ln w="6350">
                <a:solidFill>
                  <a:sysClr val="windowText" lastClr="000000"/>
                </a:solidFill>
              </a:ln>
            </c:spPr>
          </c:dPt>
          <c:dPt>
            <c:idx val="3"/>
            <c:invertIfNegative val="0"/>
            <c:bubble3D val="0"/>
            <c:spPr>
              <a:pattFill prst="dkHorz">
                <a:fgClr>
                  <a:srgbClr val="F79646"/>
                </a:fgClr>
                <a:bgClr>
                  <a:sysClr val="window" lastClr="FFFFFF"/>
                </a:bgClr>
              </a:pattFill>
              <a:ln w="6350">
                <a:solidFill>
                  <a:sysClr val="windowText" lastClr="000000"/>
                </a:solidFill>
              </a:ln>
            </c:spPr>
          </c:dPt>
          <c:dPt>
            <c:idx val="4"/>
            <c:invertIfNegative val="0"/>
            <c:bubble3D val="0"/>
            <c:spPr>
              <a:pattFill prst="dotGrid">
                <a:fgClr>
                  <a:sysClr val="windowText" lastClr="000000"/>
                </a:fgClr>
                <a:bgClr>
                  <a:sysClr val="window" lastClr="FFFFFF"/>
                </a:bgClr>
              </a:pattFill>
              <a:ln w="6350">
                <a:solidFill>
                  <a:sysClr val="windowText" lastClr="000000"/>
                </a:solidFill>
              </a:ln>
            </c:spPr>
          </c:dPt>
          <c:dPt>
            <c:idx val="5"/>
            <c:invertIfNegative val="0"/>
            <c:bubble3D val="0"/>
            <c:spPr>
              <a:pattFill prst="pct40">
                <a:fgClr>
                  <a:sysClr val="windowText" lastClr="000000"/>
                </a:fgClr>
                <a:bgClr>
                  <a:sysClr val="window" lastClr="FFFFFF"/>
                </a:bgClr>
              </a:pattFill>
              <a:ln w="6350">
                <a:solidFill>
                  <a:sysClr val="windowText" lastClr="000000"/>
                </a:solidFill>
              </a:ln>
            </c:spPr>
          </c:dPt>
          <c:dPt>
            <c:idx val="6"/>
            <c:invertIfNegative val="0"/>
            <c:bubble3D val="0"/>
            <c:spPr>
              <a:pattFill prst="cross">
                <a:fgClr>
                  <a:sysClr val="windowText" lastClr="000000"/>
                </a:fgClr>
                <a:bgClr>
                  <a:sysClr val="window" lastClr="FFFFFF"/>
                </a:bgClr>
              </a:pattFill>
              <a:ln w="6350">
                <a:solidFill>
                  <a:sysClr val="windowText" lastClr="000000"/>
                </a:solidFill>
              </a:ln>
            </c:spPr>
          </c:dPt>
          <c:dPt>
            <c:idx val="7"/>
            <c:invertIfNegative val="0"/>
            <c:bubble3D val="0"/>
            <c:spPr>
              <a:pattFill prst="wdDnDiag">
                <a:fgClr>
                  <a:sysClr val="windowText" lastClr="000000"/>
                </a:fgClr>
                <a:bgClr>
                  <a:sysClr val="window" lastClr="FFFFFF"/>
                </a:bgClr>
              </a:pattFill>
              <a:ln w="6350">
                <a:solidFill>
                  <a:sysClr val="windowText" lastClr="000000"/>
                </a:solidFill>
              </a:ln>
            </c:spPr>
          </c:dPt>
          <c:dPt>
            <c:idx val="8"/>
            <c:invertIfNegative val="0"/>
            <c:bubble3D val="0"/>
            <c:spPr>
              <a:pattFill prst="pct70">
                <a:fgClr>
                  <a:sysClr val="windowText" lastClr="000000"/>
                </a:fgClr>
                <a:bgClr>
                  <a:sysClr val="window" lastClr="FFFFFF"/>
                </a:bgClr>
              </a:pattFill>
              <a:ln w="6350">
                <a:solidFill>
                  <a:sysClr val="windowText" lastClr="000000"/>
                </a:solidFill>
              </a:ln>
            </c:spPr>
          </c:dPt>
          <c:dLbls>
            <c:dLbl>
              <c:idx val="0"/>
              <c:layout>
                <c:manualLayout>
                  <c:x val="0.19283746556473816"/>
                  <c:y val="-0.21383647798742139"/>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1.1019283746556474e-002"/>
                  <c:y val="-2.5157232704402486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2"/>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3"/>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4"/>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5"/>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6"/>
              <c:layout>
                <c:manualLayout>
                  <c:x val="-0.27823691460055094"/>
                  <c:y val="-0.15723295201307383"/>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2589531680440769"/>
                      <c:h val="0.1773584905660377"/>
                    </c:manualLayout>
                  </c15:layout>
                </c:ext>
              </c:extLst>
            </c:dLbl>
            <c:dLbl>
              <c:idx val="7"/>
              <c:layout>
                <c:manualLayout>
                  <c:x val="-9.3663911845730072e-002"/>
                  <c:y val="-0.21383647798742139"/>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8"/>
              <c:layout/>
              <c:numFmt formatCode="0.0%" sourceLinked="0"/>
              <c:spPr>
                <a:no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Sheet1!$A$2:$A$9</c:f>
              <c:strCache>
                <c:ptCount val="8"/>
                <c:pt idx="0">
                  <c:v>10歳代</c:v>
                </c:pt>
                <c:pt idx="1">
                  <c:v>20歳代</c:v>
                </c:pt>
                <c:pt idx="2">
                  <c:v>30歳代</c:v>
                </c:pt>
                <c:pt idx="3">
                  <c:v>40歳代</c:v>
                </c:pt>
                <c:pt idx="4">
                  <c:v>50歳代</c:v>
                </c:pt>
                <c:pt idx="5">
                  <c:v>60歳代</c:v>
                </c:pt>
                <c:pt idx="6">
                  <c:v>70歳以上</c:v>
                </c:pt>
                <c:pt idx="7">
                  <c:v>無回答</c:v>
                </c:pt>
              </c:strCache>
            </c:strRef>
          </c:cat>
          <c:val>
            <c:numRef>
              <c:f>Sheet1!$B$2:$B$9</c:f>
              <c:numCache>
                <c:formatCode>0.0_);[Red]\(0.0\)</c:formatCode>
                <c:ptCount val="8"/>
                <c:pt idx="0">
                  <c:v>3.1</c:v>
                </c:pt>
                <c:pt idx="1">
                  <c:v>11.3</c:v>
                </c:pt>
                <c:pt idx="2">
                  <c:v>15.6</c:v>
                </c:pt>
                <c:pt idx="3">
                  <c:v>21</c:v>
                </c:pt>
                <c:pt idx="4">
                  <c:v>19.399999999999999</c:v>
                </c:pt>
                <c:pt idx="5">
                  <c:v>19.2</c:v>
                </c:pt>
                <c:pt idx="6">
                  <c:v>10.3</c:v>
                </c:pt>
                <c:pt idx="7">
                  <c:v>0.2</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77720500764745"/>
          <c:y val="0.18543815991526752"/>
          <c:w val="0.6481176004078627"/>
          <c:h val="0.62910856464171061"/>
        </c:manualLayout>
      </c:layout>
      <c:doughnutChart>
        <c:varyColors val="1"/>
        <c:ser>
          <c:idx val="2"/>
          <c:order val="0"/>
          <c:tx>
            <c:strRef>
              <c:f>Sheet1!$B$1</c:f>
              <c:strCache>
                <c:ptCount val="1"/>
                <c:pt idx="0">
                  <c:v>売上高</c:v>
                </c:pt>
              </c:strCache>
            </c:strRef>
          </c:tx>
          <c:spPr>
            <a:ln>
              <a:solidFill>
                <a:schemeClr val="tx1"/>
              </a:solidFill>
            </a:ln>
          </c:spPr>
          <c:dPt>
            <c:idx val="0"/>
            <c:invertIfNegative val="0"/>
            <c:bubble3D val="0"/>
            <c:spPr>
              <a:solidFill>
                <a:srgbClr val="00B0F0"/>
              </a:solidFill>
              <a:ln>
                <a:solidFill>
                  <a:schemeClr val="tx1"/>
                </a:solidFill>
              </a:ln>
            </c:spPr>
          </c:dPt>
          <c:dPt>
            <c:idx val="1"/>
            <c:invertIfNegative val="0"/>
            <c:bubble3D val="0"/>
            <c:spPr>
              <a:pattFill prst="pct60">
                <a:fgClr>
                  <a:sysClr val="windowText" lastClr="000000"/>
                </a:fgClr>
                <a:bgClr>
                  <a:sysClr val="window" lastClr="FFFFFF"/>
                </a:bgClr>
              </a:pattFill>
              <a:ln>
                <a:solidFill>
                  <a:schemeClr val="tx1"/>
                </a:solidFill>
              </a:ln>
            </c:spPr>
          </c:dPt>
          <c:dPt>
            <c:idx val="2"/>
            <c:invertIfNegative val="0"/>
            <c:bubble3D val="0"/>
            <c:spPr>
              <a:pattFill prst="ltDnDiag">
                <a:fgClr>
                  <a:sysClr val="windowText" lastClr="000000"/>
                </a:fgClr>
                <a:bgClr>
                  <a:sysClr val="window" lastClr="FFFFFF"/>
                </a:bgClr>
              </a:pattFill>
              <a:ln>
                <a:solidFill>
                  <a:schemeClr val="tx1"/>
                </a:solidFill>
              </a:ln>
            </c:spPr>
          </c:dPt>
          <c:dPt>
            <c:idx val="3"/>
            <c:invertIfNegative val="0"/>
            <c:bubble3D val="0"/>
            <c:spPr>
              <a:pattFill prst="dkHorz">
                <a:fgClr>
                  <a:srgbClr val="F79646"/>
                </a:fgClr>
                <a:bgClr>
                  <a:sysClr val="window" lastClr="FFFFFF"/>
                </a:bgClr>
              </a:pattFill>
              <a:ln>
                <a:solidFill>
                  <a:schemeClr val="tx1"/>
                </a:solidFill>
              </a:ln>
            </c:spPr>
          </c:dPt>
          <c:dPt>
            <c:idx val="4"/>
            <c:invertIfNegative val="0"/>
            <c:bubble3D val="0"/>
            <c:spPr>
              <a:pattFill prst="dotGrid">
                <a:fgClr>
                  <a:sysClr val="windowText" lastClr="000000"/>
                </a:fgClr>
                <a:bgClr>
                  <a:sysClr val="window" lastClr="FFFFFF"/>
                </a:bgClr>
              </a:pattFill>
              <a:ln>
                <a:solidFill>
                  <a:schemeClr val="tx1"/>
                </a:solidFill>
              </a:ln>
            </c:spPr>
          </c:dPt>
          <c:dPt>
            <c:idx val="5"/>
            <c:invertIfNegative val="0"/>
            <c:bubble3D val="0"/>
            <c:spPr>
              <a:pattFill prst="pct40">
                <a:fgClr>
                  <a:sysClr val="windowText" lastClr="000000"/>
                </a:fgClr>
                <a:bgClr>
                  <a:sysClr val="window" lastClr="FFFFFF"/>
                </a:bgClr>
              </a:pattFill>
              <a:ln>
                <a:solidFill>
                  <a:schemeClr val="tx1"/>
                </a:solidFill>
              </a:ln>
            </c:spPr>
          </c:dPt>
          <c:dPt>
            <c:idx val="6"/>
            <c:invertIfNegative val="0"/>
            <c:bubble3D val="0"/>
            <c:spPr>
              <a:pattFill prst="cross">
                <a:fgClr>
                  <a:sysClr val="windowText" lastClr="000000"/>
                </a:fgClr>
                <a:bgClr>
                  <a:sysClr val="window" lastClr="FFFFFF"/>
                </a:bgClr>
              </a:pattFill>
              <a:ln>
                <a:solidFill>
                  <a:schemeClr val="tx1"/>
                </a:solidFill>
              </a:ln>
            </c:spPr>
          </c:dPt>
          <c:dPt>
            <c:idx val="7"/>
            <c:invertIfNegative val="0"/>
            <c:bubble3D val="0"/>
            <c:spPr>
              <a:pattFill prst="zigZag">
                <a:fgClr>
                  <a:sysClr val="windowText" lastClr="000000"/>
                </a:fgClr>
                <a:bgClr>
                  <a:sysClr val="window" lastClr="FFFFFF"/>
                </a:bgClr>
              </a:pattFill>
              <a:ln>
                <a:solidFill>
                  <a:schemeClr val="tx1"/>
                </a:solidFill>
              </a:ln>
            </c:spPr>
          </c:dPt>
          <c:dPt>
            <c:idx val="8"/>
            <c:invertIfNegative val="0"/>
            <c:bubble3D val="0"/>
            <c:spPr>
              <a:solidFill>
                <a:sysClr val="window" lastClr="FFFFFF"/>
              </a:solidFill>
              <a:ln>
                <a:solidFill>
                  <a:schemeClr val="tx1"/>
                </a:solidFill>
              </a:ln>
            </c:spPr>
          </c:dPt>
          <c:dPt>
            <c:idx val="9"/>
            <c:invertIfNegative val="0"/>
            <c:bubble3D val="0"/>
            <c:spPr>
              <a:pattFill prst="wdUpDiag">
                <a:fgClr>
                  <a:srgbClr val="00B0F0"/>
                </a:fgClr>
                <a:bgClr>
                  <a:sysClr val="window" lastClr="FFFFFF"/>
                </a:bgClr>
              </a:pattFill>
              <a:ln>
                <a:solidFill>
                  <a:schemeClr val="tx1"/>
                </a:solidFill>
              </a:ln>
            </c:spPr>
          </c:dPt>
          <c:dPt>
            <c:idx val="10"/>
            <c:invertIfNegative val="0"/>
            <c:bubble3D val="0"/>
            <c:spPr>
              <a:solidFill>
                <a:srgbClr val="FFC000"/>
              </a:solidFill>
              <a:ln>
                <a:solidFill>
                  <a:schemeClr val="tx1"/>
                </a:solidFill>
              </a:ln>
            </c:spPr>
          </c:dPt>
          <c:dPt>
            <c:idx val="11"/>
            <c:invertIfNegative val="0"/>
            <c:bubble3D val="0"/>
            <c:spPr>
              <a:pattFill prst="pct25">
                <a:fgClr>
                  <a:sysClr val="windowText" lastClr="000000"/>
                </a:fgClr>
                <a:bgClr>
                  <a:sysClr val="window" lastClr="FFFFFF"/>
                </a:bgClr>
              </a:pattFill>
              <a:ln>
                <a:solidFill>
                  <a:schemeClr val="tx1"/>
                </a:solidFill>
              </a:ln>
            </c:spPr>
          </c:dPt>
          <c:dPt>
            <c:idx val="12"/>
            <c:invertIfNegative val="0"/>
            <c:bubble3D val="0"/>
            <c:spPr>
              <a:pattFill prst="smCheck">
                <a:fgClr>
                  <a:srgbClr val="FF0000"/>
                </a:fgClr>
                <a:bgClr>
                  <a:sysClr val="window" lastClr="FFFFFF"/>
                </a:bgClr>
              </a:pattFill>
              <a:ln>
                <a:solidFill>
                  <a:schemeClr val="tx1"/>
                </a:solidFill>
              </a:ln>
            </c:spPr>
          </c:dPt>
          <c:dLbls>
            <c:dLbl>
              <c:idx val="0"/>
              <c:layout>
                <c:manualLayout>
                  <c:x val="-4.2573689080231875e-002"/>
                  <c:y val="-0.18361962785378086"/>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7.4562586151551202e-002"/>
                  <c:y val="-0.18389125940263054"/>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2"/>
              <c:layout>
                <c:manualLayout>
                  <c:x val="0.222708888007704"/>
                  <c:y val="-0.13600181087699234"/>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4400460733775184"/>
                      <c:h val="0.16108007448789569"/>
                    </c:manualLayout>
                  </c15:layout>
                </c:ext>
              </c:extLst>
            </c:dLbl>
            <c:dLbl>
              <c:idx val="3"/>
              <c:layout>
                <c:manualLayout>
                  <c:x val="-9.951471893351372e-003"/>
                  <c:y val="1.5819513482602385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4"/>
              <c:layout>
                <c:manualLayout>
                  <c:x val="2.2919617062255706e-003"/>
                  <c:y val="-1.7016378539274769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5"/>
              <c:layout>
                <c:manualLayout>
                  <c:x val="-3.532166392870044e-003"/>
                  <c:y val="-1.1583747562281825e-003"/>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6"/>
              <c:layout>
                <c:manualLayout>
                  <c:x val="-2.4985366037878799e-003"/>
                  <c:y val="0.18441766008299243"/>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7"/>
              <c:layout>
                <c:manualLayout>
                  <c:x val="-0.16067297343227782"/>
                  <c:y val="0.2003728060528745"/>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8"/>
              <c:layout>
                <c:manualLayout>
                  <c:x val="-0.20623501199040767"/>
                  <c:y val="0.1471388876669745"/>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6738609112709832"/>
                      <c:h val="0.1233705772811918"/>
                    </c:manualLayout>
                  </c15:layout>
                </c:ext>
              </c:extLst>
            </c:dLbl>
            <c:dLbl>
              <c:idx val="9"/>
              <c:layout>
                <c:manualLayout>
                  <c:x val="-0.21160671462829736"/>
                  <c:y val="6.6533233625117939e-004"/>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0"/>
              <c:layout>
                <c:manualLayout>
                  <c:x val="-1.5099227704450612e-002"/>
                  <c:y val="2.5883810613059268e-003"/>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1"/>
              <c:layout>
                <c:manualLayout>
                  <c:x val="-0.16832455295606036"/>
                  <c:y val="-0.12251975835422807"/>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2"/>
              <c:layout>
                <c:manualLayout>
                  <c:x val="-0.13726694235163056"/>
                  <c:y val="-0.20301507353480255"/>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Sheet1!$A$2:$A$14</c:f>
              <c:strCache>
                <c:ptCount val="13"/>
                <c:pt idx="0">
                  <c:v>農林業</c:v>
                </c:pt>
                <c:pt idx="1">
                  <c:v>漁業</c:v>
                </c:pt>
                <c:pt idx="2">
                  <c:v>商工サービス業自営</c:v>
                </c:pt>
                <c:pt idx="3">
                  <c:v>事務職</c:v>
                </c:pt>
                <c:pt idx="4">
                  <c:v>技術職</c:v>
                </c:pt>
                <c:pt idx="5">
                  <c:v>労務職</c:v>
                </c:pt>
                <c:pt idx="6">
                  <c:v>管理職</c:v>
                </c:pt>
                <c:pt idx="7">
                  <c:v>自由業</c:v>
                </c:pt>
                <c:pt idx="8">
                  <c:v>主婦・主夫</c:v>
                </c:pt>
                <c:pt idx="9">
                  <c:v>学生</c:v>
                </c:pt>
                <c:pt idx="10">
                  <c:v>無職</c:v>
                </c:pt>
                <c:pt idx="11">
                  <c:v>その他</c:v>
                </c:pt>
                <c:pt idx="12">
                  <c:v>無回答</c:v>
                </c:pt>
              </c:strCache>
            </c:strRef>
          </c:cat>
          <c:val>
            <c:numRef>
              <c:f>Sheet1!$B$2:$B$14</c:f>
              <c:numCache>
                <c:formatCode>General</c:formatCode>
                <c:ptCount val="13"/>
                <c:pt idx="0">
                  <c:v>4.2</c:v>
                </c:pt>
                <c:pt idx="1">
                  <c:v>0.8</c:v>
                </c:pt>
                <c:pt idx="2">
                  <c:v>5.5</c:v>
                </c:pt>
                <c:pt idx="3">
                  <c:v>14.3</c:v>
                </c:pt>
                <c:pt idx="4">
                  <c:v>14.8</c:v>
                </c:pt>
                <c:pt idx="5">
                  <c:v>14.3</c:v>
                </c:pt>
                <c:pt idx="6">
                  <c:v>4.8</c:v>
                </c:pt>
                <c:pt idx="7">
                  <c:v>2.7</c:v>
                </c:pt>
                <c:pt idx="8">
                  <c:v>9.4</c:v>
                </c:pt>
                <c:pt idx="9">
                  <c:v>5.4</c:v>
                </c:pt>
                <c:pt idx="10">
                  <c:v>13.5</c:v>
                </c:pt>
                <c:pt idx="11">
                  <c:v>9.3000000000000007</c:v>
                </c:pt>
                <c:pt idx="12">
                  <c:v>0.9</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77720500764745"/>
          <c:y val="0.18543815991526752"/>
          <c:w val="0.6481176004078627"/>
          <c:h val="0.62910856464171061"/>
        </c:manualLayout>
      </c:layout>
      <c:doughnutChart>
        <c:varyColors val="1"/>
        <c:ser>
          <c:idx val="2"/>
          <c:order val="0"/>
          <c:tx>
            <c:strRef>
              <c:f>Sheet1!$B$1</c:f>
              <c:strCache>
                <c:ptCount val="1"/>
                <c:pt idx="0">
                  <c:v>売上高</c:v>
                </c:pt>
              </c:strCache>
            </c:strRef>
          </c:tx>
          <c:spPr>
            <a:ln>
              <a:solidFill>
                <a:schemeClr val="tx1"/>
              </a:solidFill>
            </a:ln>
          </c:spPr>
          <c:dPt>
            <c:idx val="0"/>
            <c:invertIfNegative val="0"/>
            <c:bubble3D val="0"/>
            <c:spPr>
              <a:solidFill>
                <a:srgbClr val="00B0F0"/>
              </a:solidFill>
              <a:ln>
                <a:solidFill>
                  <a:schemeClr val="tx1"/>
                </a:solidFill>
              </a:ln>
            </c:spPr>
          </c:dPt>
          <c:dPt>
            <c:idx val="1"/>
            <c:invertIfNegative val="0"/>
            <c:bubble3D val="0"/>
            <c:spPr>
              <a:pattFill prst="pct60">
                <a:fgClr>
                  <a:sysClr val="windowText" lastClr="000000"/>
                </a:fgClr>
                <a:bgClr>
                  <a:sysClr val="window" lastClr="FFFFFF"/>
                </a:bgClr>
              </a:pattFill>
              <a:ln>
                <a:solidFill>
                  <a:schemeClr val="tx1"/>
                </a:solidFill>
              </a:ln>
            </c:spPr>
          </c:dPt>
          <c:dPt>
            <c:idx val="2"/>
            <c:invertIfNegative val="0"/>
            <c:bubble3D val="0"/>
            <c:spPr>
              <a:pattFill prst="ltDnDiag">
                <a:fgClr>
                  <a:sysClr val="windowText" lastClr="000000"/>
                </a:fgClr>
                <a:bgClr>
                  <a:sysClr val="window" lastClr="FFFFFF"/>
                </a:bgClr>
              </a:pattFill>
              <a:ln>
                <a:solidFill>
                  <a:schemeClr val="tx1"/>
                </a:solidFill>
              </a:ln>
            </c:spPr>
          </c:dPt>
          <c:dPt>
            <c:idx val="3"/>
            <c:invertIfNegative val="0"/>
            <c:bubble3D val="0"/>
            <c:spPr>
              <a:pattFill prst="dkHorz">
                <a:fgClr>
                  <a:srgbClr val="F79646"/>
                </a:fgClr>
                <a:bgClr>
                  <a:sysClr val="window" lastClr="FFFFFF"/>
                </a:bgClr>
              </a:pattFill>
              <a:ln>
                <a:solidFill>
                  <a:schemeClr val="tx1"/>
                </a:solidFill>
              </a:ln>
            </c:spPr>
          </c:dPt>
          <c:dLbls>
            <c:dLbl>
              <c:idx val="0"/>
              <c:layout>
                <c:manualLayout>
                  <c:x val="5.9177854566749106e-004"/>
                  <c:y val="1.1911098403202394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7.4163031779300968e-003"/>
                  <c:y val="-3.4915467968738546e-002"/>
                </c:manualLayout>
              </c:layout>
              <c:tx>
                <c:rich>
                  <a:bodyPr wrap="square" lIns="38100" tIns="19050" rIns="38100" bIns="19050">
                    <a:spAutoFit/>
                  </a:bodyPr>
                  <a:lstStyle/>
                  <a:p>
                    <a:pPr>
                      <a:defRPr sz="800">
                        <a:solidFill>
                          <a:schemeClr val="tx1"/>
                        </a:solidFill>
                        <a:latin typeface="ＭＳ ゴシック"/>
                        <a:ea typeface="ＭＳ ゴシック"/>
                      </a:defRPr>
                    </a:pPr>
                    <a:r>
                      <a:rPr lang="ja-JP" altLang="en-US" sz="800">
                        <a:solidFill>
                          <a:schemeClr val="tx1"/>
                        </a:solidFill>
                        <a:latin typeface="ＭＳ ゴシック"/>
                        <a:ea typeface="ＭＳ ゴシック"/>
                      </a:rPr>
                      <a:t>世帯主ではない</a:t>
                    </a:r>
                    <a:endParaRPr lang="ja-JP" altLang="en-US" sz="800">
                      <a:solidFill>
                        <a:schemeClr val="tx1"/>
                      </a:solidFill>
                      <a:latin typeface="ＭＳ ゴシック"/>
                      <a:ea typeface="ＭＳ ゴシック"/>
                    </a:endParaRPr>
                  </a:p>
                  <a:p>
                    <a:pPr>
                      <a:defRPr sz="800">
                        <a:solidFill>
                          <a:schemeClr val="tx1"/>
                        </a:solidFill>
                        <a:latin typeface="ＭＳ ゴシック"/>
                        <a:ea typeface="ＭＳ ゴシック"/>
                      </a:defRPr>
                    </a:pPr>
                    <a:r>
                      <a:rPr lang="en-US" altLang="ja-JP" sz="800">
                        <a:solidFill>
                          <a:schemeClr val="tx1"/>
                        </a:solidFill>
                        <a:latin typeface="ＭＳ ゴシック"/>
                        <a:ea typeface="ＭＳ ゴシック"/>
                      </a:rPr>
                      <a:t>55.4%</a:t>
                    </a:r>
                    <a:endParaRPr lang="ja-JP" altLang="en-US" sz="800">
                      <a:solidFill>
                        <a:schemeClr val="tx1"/>
                      </a:solidFill>
                      <a:latin typeface="ＭＳ ゴシック"/>
                      <a:ea typeface="ＭＳ ゴシック"/>
                    </a:endParaRPr>
                  </a:p>
                </c:rich>
              </c:tx>
              <c:numFmt formatCode="0.0%" sourceLinked="0"/>
              <c:spPr>
                <a:solidFill>
                  <a:sysClr val="window" lastClr="FFFFFF"/>
                </a:solidFill>
                <a:ln>
                  <a:noFill/>
                </a:ln>
                <a:effectLst/>
              </c:spPr>
              <c:showLegendKey val="0"/>
              <c:showVal val="0"/>
              <c:showCatName val="1"/>
              <c:showSerName val="0"/>
              <c:showPercent val="1"/>
              <c:showBubbleSize val="0"/>
            </c:dLbl>
            <c:dLbl>
              <c:idx val="2"/>
              <c:layout>
                <c:manualLayout>
                  <c:x val="-0.14179950527766777"/>
                  <c:y val="-0.20583421311162919"/>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4400460733775184"/>
                      <c:h val="0.16108007448789569"/>
                    </c:manualLayout>
                  </c15:layout>
                </c:ext>
              </c:extLst>
            </c:dLbl>
            <c:dLbl>
              <c:idx val="3"/>
              <c:layout>
                <c:manualLayout>
                  <c:x val="-9.951471893351372e-003"/>
                  <c:y val="1.5819513482602385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Sheet1!$A$2:$A$4</c:f>
              <c:strCache>
                <c:ptCount val="3"/>
                <c:pt idx="0">
                  <c:v>世帯主</c:v>
                </c:pt>
                <c:pt idx="1">
                  <c:v>世帯主でない</c:v>
                </c:pt>
                <c:pt idx="2">
                  <c:v>無回答</c:v>
                </c:pt>
              </c:strCache>
            </c:strRef>
          </c:cat>
          <c:val>
            <c:numRef>
              <c:f>Sheet1!$B$2:$B$4</c:f>
              <c:numCache>
                <c:formatCode>General</c:formatCode>
                <c:ptCount val="3"/>
                <c:pt idx="0">
                  <c:v>44.1</c:v>
                </c:pt>
                <c:pt idx="1">
                  <c:v>55.4</c:v>
                </c:pt>
                <c:pt idx="2">
                  <c:v>0.5</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77720500764745"/>
          <c:y val="0.15539934197921865"/>
          <c:w val="0.64611567438962236"/>
          <c:h val="0.80934285437210096"/>
        </c:manualLayout>
      </c:layout>
      <c:doughnutChart>
        <c:varyColors val="1"/>
        <c:ser>
          <c:idx val="2"/>
          <c:order val="0"/>
          <c:tx>
            <c:strRef>
              <c:f>Sheet1!$B$1</c:f>
              <c:strCache>
                <c:ptCount val="1"/>
                <c:pt idx="0">
                  <c:v>売上高</c:v>
                </c:pt>
              </c:strCache>
            </c:strRef>
          </c:tx>
          <c:spPr>
            <a:ln>
              <a:solidFill>
                <a:schemeClr val="tx1"/>
              </a:solidFill>
            </a:ln>
          </c:spPr>
          <c:dPt>
            <c:idx val="0"/>
            <c:invertIfNegative val="0"/>
            <c:bubble3D val="0"/>
            <c:spPr>
              <a:solidFill>
                <a:srgbClr val="00B0F0"/>
              </a:solidFill>
              <a:ln>
                <a:solidFill>
                  <a:schemeClr val="tx1"/>
                </a:solidFill>
              </a:ln>
            </c:spPr>
          </c:dPt>
          <c:dPt>
            <c:idx val="1"/>
            <c:invertIfNegative val="0"/>
            <c:bubble3D val="0"/>
            <c:spPr>
              <a:pattFill prst="pct60">
                <a:fgClr>
                  <a:sysClr val="windowText" lastClr="000000"/>
                </a:fgClr>
                <a:bgClr>
                  <a:sysClr val="window" lastClr="FFFFFF"/>
                </a:bgClr>
              </a:pattFill>
              <a:ln>
                <a:solidFill>
                  <a:schemeClr val="tx1"/>
                </a:solidFill>
              </a:ln>
            </c:spPr>
          </c:dPt>
          <c:dPt>
            <c:idx val="2"/>
            <c:invertIfNegative val="0"/>
            <c:bubble3D val="0"/>
            <c:spPr>
              <a:pattFill prst="ltDnDiag">
                <a:fgClr>
                  <a:sysClr val="windowText" lastClr="000000"/>
                </a:fgClr>
                <a:bgClr>
                  <a:sysClr val="window" lastClr="FFFFFF"/>
                </a:bgClr>
              </a:pattFill>
              <a:ln>
                <a:solidFill>
                  <a:schemeClr val="tx1"/>
                </a:solidFill>
              </a:ln>
            </c:spPr>
          </c:dPt>
          <c:dPt>
            <c:idx val="3"/>
            <c:invertIfNegative val="0"/>
            <c:bubble3D val="0"/>
            <c:spPr>
              <a:pattFill prst="dkHorz">
                <a:fgClr>
                  <a:srgbClr val="F79646"/>
                </a:fgClr>
                <a:bgClr>
                  <a:sysClr val="window" lastClr="FFFFFF"/>
                </a:bgClr>
              </a:pattFill>
              <a:ln>
                <a:solidFill>
                  <a:schemeClr val="tx1"/>
                </a:solidFill>
              </a:ln>
            </c:spPr>
          </c:dPt>
          <c:dPt>
            <c:idx val="4"/>
            <c:invertIfNegative val="0"/>
            <c:bubble3D val="0"/>
            <c:spPr>
              <a:pattFill prst="dotGrid">
                <a:fgClr>
                  <a:sysClr val="windowText" lastClr="000000"/>
                </a:fgClr>
                <a:bgClr>
                  <a:sysClr val="window" lastClr="FFFFFF"/>
                </a:bgClr>
              </a:pattFill>
              <a:ln>
                <a:solidFill>
                  <a:schemeClr val="tx1"/>
                </a:solidFill>
              </a:ln>
            </c:spPr>
          </c:dPt>
          <c:dLbls>
            <c:dLbl>
              <c:idx val="0"/>
              <c:layout>
                <c:manualLayout>
                  <c:x val="5.3879416152117672e-003"/>
                  <c:y val="-9.3929982993640315e-003"/>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2.176022961158632e-003"/>
                  <c:y val="-1.5672342549251143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2"/>
              <c:layout>
                <c:manualLayout>
                  <c:x val="-0.16098415755584511"/>
                  <c:y val="-0.20809564244541526"/>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4400460733775184"/>
                      <c:h val="0.16108007448789569"/>
                    </c:manualLayout>
                  </c15:layout>
                </c:ext>
              </c:extLst>
            </c:dLbl>
            <c:dLbl>
              <c:idx val="3"/>
              <c:layout>
                <c:manualLayout>
                  <c:x val="7.63794633584471e-002"/>
                  <c:y val="-0.21247732288195129"/>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4"/>
              <c:layout>
                <c:manualLayout>
                  <c:x val="2.2919617062255706e-003"/>
                  <c:y val="-1.7016378539274769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Sheet1!$A$2:$A$5</c:f>
              <c:strCache>
                <c:ptCount val="4"/>
                <c:pt idx="0">
                  <c:v>未婚</c:v>
                </c:pt>
                <c:pt idx="1">
                  <c:v>既婚</c:v>
                </c:pt>
                <c:pt idx="2">
                  <c:v>その他</c:v>
                </c:pt>
                <c:pt idx="3">
                  <c:v>無回答</c:v>
                </c:pt>
              </c:strCache>
            </c:strRef>
          </c:cat>
          <c:val>
            <c:numRef>
              <c:f>Sheet1!$B$2:$B$5</c:f>
              <c:numCache>
                <c:formatCode>General</c:formatCode>
                <c:ptCount val="4"/>
                <c:pt idx="0">
                  <c:v>30.4</c:v>
                </c:pt>
                <c:pt idx="1">
                  <c:v>57.9</c:v>
                </c:pt>
                <c:pt idx="2">
                  <c:v>11.1</c:v>
                </c:pt>
                <c:pt idx="3">
                  <c:v>0.6</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592549065695145"/>
          <c:y val="4.5945260968926413e-002"/>
          <c:w val="0.49755043679241578"/>
          <c:h val="0.91636312557064925"/>
        </c:manualLayout>
      </c:layout>
      <c:barChart>
        <c:barDir val="bar"/>
        <c:grouping val="clustered"/>
        <c:varyColors val="0"/>
        <c:ser>
          <c:idx val="2"/>
          <c:order val="0"/>
          <c:tx>
            <c:strRef>
              <c:f>Sheet1!$B$1</c:f>
              <c:strCache>
                <c:ptCount val="1"/>
                <c:pt idx="0">
                  <c:v>系列 1</c:v>
                </c:pt>
              </c:strCache>
            </c:strRef>
          </c:tx>
          <c:spPr>
            <a:solidFill>
              <a:srgbClr val="00B0F0"/>
            </a:solidFill>
            <a:ln>
              <a:solidFill>
                <a:sysClr val="windowText" lastClr="000000"/>
              </a:solidFill>
            </a:ln>
          </c:spPr>
          <c:invertIfNegative val="0"/>
          <c:dLbls>
            <c:spPr>
              <a:noFill/>
              <a:ln>
                <a:noFill/>
              </a:ln>
              <a:effectLst/>
            </c:spPr>
            <c:txPr>
              <a:bodyPr rot="0" horzOverflow="overflow" anchor="ctr" anchorCtr="1"/>
              <a:lstStyle/>
              <a:p>
                <a:pPr algn="ctr" rtl="0">
                  <a:defRPr sz="900">
                    <a:solidFill>
                      <a:schemeClr val="tx1"/>
                    </a:solidFill>
                    <a:latin typeface="ＭＳ ゴシック"/>
                    <a:ea typeface="ＭＳ ゴシック"/>
                  </a:defRPr>
                </a:pPr>
                <a:endParaRPr lang="ja-JP" altLang="en-US"/>
              </a:p>
            </c:txPr>
            <c:showLegendKey val="0"/>
            <c:showVal val="1"/>
            <c:showCatName val="0"/>
            <c:showSerName val="0"/>
            <c:showPercent val="0"/>
            <c:showBubbleSize val="0"/>
          </c:dLbls>
          <c:cat>
            <c:strRef>
              <c:f>Sheet1!$A$2:$A$8</c:f>
              <c:strCache>
                <c:ptCount val="7"/>
                <c:pt idx="0">
                  <c:v>就学前の子どもがいる</c:v>
                </c:pt>
                <c:pt idx="1">
                  <c:v>小・中学生の子どもが
いる</c:v>
                </c:pt>
                <c:pt idx="2">
                  <c:v>高校生の子どもがいる</c:v>
                </c:pt>
                <c:pt idx="3">
                  <c:v>大学生、専門学校生等
の子どもがいる</c:v>
                </c:pt>
                <c:pt idx="4">
                  <c:v>子どもは成人している
又は独立している</c:v>
                </c:pt>
                <c:pt idx="5">
                  <c:v xml:space="preserve">子どもはいない      </c:v>
                </c:pt>
                <c:pt idx="6">
                  <c:v xml:space="preserve">無回答              </c:v>
                </c:pt>
              </c:strCache>
            </c:strRef>
          </c:cat>
          <c:val>
            <c:numRef>
              <c:f>Sheet1!$B$2:$B$8</c:f>
              <c:numCache>
                <c:formatCode>0.0</c:formatCode>
                <c:ptCount val="7"/>
                <c:pt idx="0">
                  <c:v>8.9</c:v>
                </c:pt>
                <c:pt idx="1">
                  <c:v>13.4</c:v>
                </c:pt>
                <c:pt idx="2">
                  <c:v>7.6</c:v>
                </c:pt>
                <c:pt idx="3">
                  <c:v>7</c:v>
                </c:pt>
                <c:pt idx="4">
                  <c:v>37.6</c:v>
                </c:pt>
                <c:pt idx="5">
                  <c:v>37.200000000000003</c:v>
                </c:pt>
                <c:pt idx="6">
                  <c:v>1.6</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dLbls>
        <c:gapWidth val="75"/>
        <c:overlap val="0"/>
        <c:axId val="1"/>
        <c:axId val="2"/>
      </c:barChart>
      <c:catAx>
        <c:axId val="1"/>
        <c:scaling>
          <c:orientation val="maxMin"/>
        </c:scaling>
        <c:delete val="0"/>
        <c:axPos val="l"/>
        <c:numFmt formatCode="0.0" sourceLinked="1"/>
        <c:majorTickMark val="in"/>
        <c:minorTickMark val="none"/>
        <c:tickLblPos val="nextTo"/>
        <c:spPr>
          <a:ln>
            <a:solidFill>
              <a:schemeClr val="tx1"/>
            </a:solidFill>
          </a:ln>
        </c:spPr>
        <c:txPr>
          <a:bodyPr horzOverflow="overflow" anchor="ctr" anchorCtr="1"/>
          <a:lstStyle/>
          <a:p>
            <a:pPr algn="just" rtl="0">
              <a:defRPr sz="800">
                <a:solidFill>
                  <a:schemeClr val="tx1"/>
                </a:solidFill>
                <a:latin typeface="ＭＳ ゴシック"/>
                <a:ea typeface="ＭＳ ゴシック"/>
              </a:defRPr>
            </a:pPr>
            <a:endParaRPr lang="ja-JP" altLang="en-US"/>
          </a:p>
        </c:txPr>
        <c:crossAx val="2"/>
        <c:crosses val="autoZero"/>
        <c:auto val="1"/>
        <c:lblAlgn val="ctr"/>
        <c:lblOffset val="100"/>
        <c:noMultiLvlLbl val="0"/>
      </c:catAx>
      <c:valAx>
        <c:axId val="2"/>
        <c:scaling>
          <c:orientation val="minMax"/>
          <c:max val="50"/>
        </c:scaling>
        <c:delete val="0"/>
        <c:axPos val="t"/>
        <c:numFmt formatCode="#&quot;%&quot;;;&quot;0%&quot;;" sourceLinked="0"/>
        <c:majorTickMark val="in"/>
        <c:minorTickMark val="none"/>
        <c:tickLblPos val="nextTo"/>
        <c:spPr>
          <a:ln>
            <a:solidFill>
              <a:schemeClr val="tx1"/>
            </a:solidFill>
          </a:ln>
        </c:spPr>
        <c:txPr>
          <a:bodyPr horzOverflow="overflow" anchor="ctr" anchorCtr="1"/>
          <a:lstStyle/>
          <a:p>
            <a:pPr algn="ctr" rtl="0">
              <a:defRPr sz="800">
                <a:solidFill>
                  <a:schemeClr val="tx1"/>
                </a:solidFill>
                <a:latin typeface="ＭＳ ゴシック"/>
                <a:ea typeface="ＭＳ ゴシック"/>
              </a:defRPr>
            </a:pPr>
            <a:endParaRPr lang="ja-JP" altLang="en-US"/>
          </a:p>
        </c:txPr>
        <c:crossAx val="1"/>
        <c:crosses val="autoZero"/>
        <c:crossBetween val="between"/>
        <c:majorUnit val="10"/>
      </c:valAx>
      <c:spPr>
        <a:ln>
          <a:noFill/>
        </a:ln>
      </c:spPr>
    </c:plotArea>
    <c:plotVisOnly val="1"/>
    <c:dispBlanksAs val="gap"/>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71829603602117"/>
          <c:y val="0.22727901690113003"/>
          <c:w val="0.63884676760790249"/>
          <c:h val="0.70233049451454554"/>
        </c:manualLayout>
      </c:layout>
      <c:doughnutChart>
        <c:varyColors val="1"/>
        <c:ser>
          <c:idx val="2"/>
          <c:order val="0"/>
          <c:tx>
            <c:strRef>
              <c:f>Sheet1!$B$1</c:f>
              <c:strCache>
                <c:ptCount val="1"/>
                <c:pt idx="0">
                  <c:v>(除不)%</c:v>
                </c:pt>
              </c:strCache>
            </c:strRef>
          </c:tx>
          <c:spPr>
            <a:ln>
              <a:solidFill>
                <a:schemeClr val="tx1"/>
              </a:solidFill>
            </a:ln>
          </c:spPr>
          <c:dPt>
            <c:idx val="0"/>
            <c:invertIfNegative val="0"/>
            <c:bubble3D val="0"/>
            <c:spPr>
              <a:solidFill>
                <a:srgbClr val="00B0F0"/>
              </a:solidFill>
              <a:ln>
                <a:solidFill>
                  <a:schemeClr val="tx1"/>
                </a:solidFill>
              </a:ln>
            </c:spPr>
          </c:dPt>
          <c:dPt>
            <c:idx val="1"/>
            <c:invertIfNegative val="0"/>
            <c:bubble3D val="0"/>
            <c:spPr>
              <a:pattFill prst="pct60">
                <a:fgClr>
                  <a:sysClr val="windowText" lastClr="000000"/>
                </a:fgClr>
                <a:bgClr>
                  <a:sysClr val="window" lastClr="FFFFFF"/>
                </a:bgClr>
              </a:pattFill>
              <a:ln>
                <a:solidFill>
                  <a:schemeClr val="tx1"/>
                </a:solidFill>
              </a:ln>
            </c:spPr>
          </c:dPt>
          <c:dPt>
            <c:idx val="2"/>
            <c:invertIfNegative val="0"/>
            <c:bubble3D val="0"/>
            <c:spPr>
              <a:pattFill prst="ltDnDiag">
                <a:fgClr>
                  <a:sysClr val="windowText" lastClr="000000"/>
                </a:fgClr>
                <a:bgClr>
                  <a:sysClr val="window" lastClr="FFFFFF"/>
                </a:bgClr>
              </a:pattFill>
              <a:ln>
                <a:solidFill>
                  <a:schemeClr val="tx1"/>
                </a:solidFill>
              </a:ln>
            </c:spPr>
          </c:dPt>
          <c:dPt>
            <c:idx val="3"/>
            <c:invertIfNegative val="0"/>
            <c:bubble3D val="0"/>
            <c:spPr>
              <a:pattFill prst="dkHorz">
                <a:fgClr>
                  <a:srgbClr val="F79646"/>
                </a:fgClr>
                <a:bgClr>
                  <a:sysClr val="window" lastClr="FFFFFF"/>
                </a:bgClr>
              </a:pattFill>
              <a:ln>
                <a:solidFill>
                  <a:schemeClr val="tx1"/>
                </a:solidFill>
              </a:ln>
            </c:spPr>
          </c:dPt>
          <c:dPt>
            <c:idx val="4"/>
            <c:invertIfNegative val="0"/>
            <c:bubble3D val="0"/>
            <c:spPr>
              <a:pattFill prst="dotGrid">
                <a:fgClr>
                  <a:sysClr val="windowText" lastClr="000000"/>
                </a:fgClr>
                <a:bgClr>
                  <a:sysClr val="window" lastClr="FFFFFF"/>
                </a:bgClr>
              </a:pattFill>
              <a:ln>
                <a:solidFill>
                  <a:schemeClr val="tx1"/>
                </a:solidFill>
              </a:ln>
            </c:spPr>
          </c:dPt>
          <c:dPt>
            <c:idx val="5"/>
            <c:invertIfNegative val="0"/>
            <c:bubble3D val="0"/>
            <c:spPr>
              <a:pattFill prst="pct40">
                <a:fgClr>
                  <a:sysClr val="windowText" lastClr="000000"/>
                </a:fgClr>
                <a:bgClr>
                  <a:sysClr val="window" lastClr="FFFFFF"/>
                </a:bgClr>
              </a:pattFill>
              <a:ln>
                <a:solidFill>
                  <a:schemeClr val="tx1"/>
                </a:solidFill>
              </a:ln>
            </c:spPr>
          </c:dPt>
          <c:dPt>
            <c:idx val="6"/>
            <c:invertIfNegative val="0"/>
            <c:bubble3D val="0"/>
            <c:spPr>
              <a:pattFill prst="cross">
                <a:fgClr>
                  <a:sysClr val="windowText" lastClr="000000"/>
                </a:fgClr>
                <a:bgClr>
                  <a:sysClr val="window" lastClr="FFFFFF"/>
                </a:bgClr>
              </a:pattFill>
              <a:ln>
                <a:solidFill>
                  <a:schemeClr val="tx1"/>
                </a:solidFill>
              </a:ln>
            </c:spPr>
          </c:dPt>
          <c:dPt>
            <c:idx val="7"/>
            <c:invertIfNegative val="0"/>
            <c:bubble3D val="0"/>
            <c:spPr>
              <a:pattFill prst="zigZag">
                <a:fgClr>
                  <a:sysClr val="windowText" lastClr="000000"/>
                </a:fgClr>
                <a:bgClr>
                  <a:sysClr val="window" lastClr="FFFFFF"/>
                </a:bgClr>
              </a:pattFill>
              <a:ln>
                <a:solidFill>
                  <a:schemeClr val="tx1"/>
                </a:solidFill>
              </a:ln>
            </c:spPr>
          </c:dPt>
          <c:dPt>
            <c:idx val="8"/>
            <c:invertIfNegative val="0"/>
            <c:bubble3D val="0"/>
            <c:spPr>
              <a:solidFill>
                <a:sysClr val="window" lastClr="FFFFFF"/>
              </a:solidFill>
              <a:ln>
                <a:solidFill>
                  <a:schemeClr val="tx1"/>
                </a:solidFill>
              </a:ln>
            </c:spPr>
          </c:dPt>
          <c:dPt>
            <c:idx val="9"/>
            <c:invertIfNegative val="0"/>
            <c:bubble3D val="0"/>
            <c:spPr>
              <a:pattFill prst="wdUpDiag">
                <a:fgClr>
                  <a:srgbClr val="00B0F0"/>
                </a:fgClr>
                <a:bgClr>
                  <a:sysClr val="window" lastClr="FFFFFF"/>
                </a:bgClr>
              </a:pattFill>
              <a:ln>
                <a:solidFill>
                  <a:schemeClr val="tx1"/>
                </a:solidFill>
              </a:ln>
            </c:spPr>
          </c:dPt>
          <c:dLbls>
            <c:dLbl>
              <c:idx val="0"/>
              <c:layout>
                <c:manualLayout>
                  <c:x val="0.10490496490031992"/>
                  <c:y val="-0.25684158073337066"/>
                </c:manualLayout>
              </c:layout>
              <c:numFmt formatCode="0.0%" sourceLinked="0"/>
              <c:spPr>
                <a:noFill/>
                <a:ln>
                  <a:noFill/>
                </a:ln>
                <a:effectLst/>
              </c:spPr>
              <c:txPr>
                <a:bodyPr>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ext>
              </c:extLst>
            </c:dLbl>
            <c:dLbl>
              <c:idx val="1"/>
              <c:layout>
                <c:manualLayout>
                  <c:x val="0.20301175483416628"/>
                  <c:y val="-0.15251046025104606"/>
                </c:manualLayout>
              </c:layout>
              <c:numFmt formatCode="0.0%" sourceLinked="0"/>
              <c:spPr>
                <a:noFill/>
                <a:ln>
                  <a:noFill/>
                </a:ln>
                <a:effectLst/>
              </c:spPr>
              <c:txPr>
                <a:bodyPr>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ext>
              </c:extLst>
            </c:dLbl>
            <c:dLbl>
              <c:idx val="2"/>
              <c:layout>
                <c:manualLayout>
                  <c:x val="8.7303430553578518e-003"/>
                  <c:y val="-1.0478782986854772e-002"/>
                </c:manualLayout>
              </c:layout>
              <c:numFmt formatCode="0.0%" sourceLinked="0"/>
              <c:spPr>
                <a:solidFill>
                  <a:sysClr val="window" lastClr="FFFFFF"/>
                </a:solidFill>
                <a:ln>
                  <a:noFill/>
                </a:ln>
                <a:effectLst/>
              </c:spPr>
              <c:txPr>
                <a:bodyPr wrap="square" lIns="0" tIns="0" rIns="0" bIns="0">
                  <a:no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15:layout>
                    <c:manualLayout>
                      <c:w val="0.20594559362287129"/>
                      <c:h val="0.16108004151154745"/>
                    </c:manualLayout>
                  </c15:layout>
                </c:ext>
              </c:extLst>
            </c:dLbl>
            <c:dLbl>
              <c:idx val="3"/>
              <c:layout>
                <c:manualLayout>
                  <c:x val="-5.1941532998194444e-003"/>
                  <c:y val="1.0589562810924689e-002"/>
                </c:manualLayout>
              </c:layout>
              <c:numFmt formatCode="0.0%" sourceLinked="0"/>
              <c:spPr>
                <a:solidFill>
                  <a:sysClr val="window" lastClr="FFFFFF"/>
                </a:solidFill>
                <a:ln>
                  <a:noFill/>
                </a:ln>
                <a:effectLst/>
              </c:spPr>
              <c:txPr>
                <a:bodyPr wrap="square" lIns="0" tIns="0" rIns="0" bIns="0">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ext>
              </c:extLst>
            </c:dLbl>
            <c:dLbl>
              <c:idx val="4"/>
              <c:layout>
                <c:manualLayout>
                  <c:x val="-3.0593285734620945e-002"/>
                  <c:y val="-6.5559829341416964e-003"/>
                </c:manualLayout>
              </c:layout>
              <c:numFmt formatCode="0.0%" sourceLinked="0"/>
              <c:spPr>
                <a:solidFill>
                  <a:sysClr val="window" lastClr="FFFFFF"/>
                </a:solidFill>
                <a:ln>
                  <a:noFill/>
                </a:ln>
                <a:effectLst/>
              </c:spPr>
              <c:txPr>
                <a:bodyPr wrap="square" lIns="0" tIns="0" rIns="0" bIns="0">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15:layout>
                    <c:manualLayout>
                      <c:w val="0.19505233111322551"/>
                      <c:h val="0.15847280334728031"/>
                    </c:manualLayout>
                  </c15:layout>
                </c:ext>
              </c:extLst>
            </c:dLbl>
            <c:dLbl>
              <c:idx val="5"/>
              <c:layout>
                <c:manualLayout>
                  <c:x val="-0.20736269169969357"/>
                  <c:y val="-1.6848828781339573e-002"/>
                </c:manualLayout>
              </c:layout>
              <c:numFmt formatCode="0.0%" sourceLinked="0"/>
              <c:spPr>
                <a:solidFill>
                  <a:sysClr val="window" lastClr="FFFFFF"/>
                </a:solidFill>
                <a:ln>
                  <a:noFill/>
                </a:ln>
                <a:effectLst/>
              </c:spPr>
              <c:txPr>
                <a:bodyPr wrap="square" lIns="0" tIns="0" rIns="0" bIns="0">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ext>
              </c:extLst>
            </c:dLbl>
            <c:dLbl>
              <c:idx val="6"/>
              <c:layout>
                <c:manualLayout>
                  <c:x val="-0.22609513249473692"/>
                  <c:y val="-0.19738164267123515"/>
                </c:manualLayout>
              </c:layout>
              <c:numFmt formatCode="0.0%" sourceLinked="0"/>
              <c:spPr>
                <a:noFill/>
                <a:ln>
                  <a:noFill/>
                </a:ln>
                <a:effectLst/>
              </c:spPr>
              <c:txPr>
                <a:bodyPr>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ext>
              </c:extLst>
            </c:dLbl>
            <c:dLbl>
              <c:idx val="7"/>
              <c:layout>
                <c:manualLayout>
                  <c:x val="-0.1582943128778741"/>
                  <c:y val="-0.2964892267650644"/>
                </c:manualLayout>
              </c:layout>
              <c:numFmt formatCode="0.0%" sourceLinked="0"/>
              <c:spPr>
                <a:noFill/>
                <a:ln>
                  <a:noFill/>
                </a:ln>
                <a:effectLst/>
              </c:spPr>
              <c:txPr>
                <a:bodyPr>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15:layout>
                    <c:manualLayout>
                      <c:w val="0.24679345505218128"/>
                      <c:h val="0.14417685237044114"/>
                    </c:manualLayout>
                  </c15:layout>
                </c:ext>
              </c:extLst>
            </c:dLbl>
            <c:dLbl>
              <c:idx val="8"/>
              <c:layout>
                <c:manualLayout>
                  <c:x val="-4.4484255714467708e-002"/>
                  <c:y val="-0.27650108720719535"/>
                </c:manualLayout>
              </c:layout>
              <c:numFmt formatCode="0.0%" sourceLinked="0"/>
              <c:spPr>
                <a:noFill/>
                <a:ln>
                  <a:noFill/>
                </a:ln>
                <a:effectLst/>
              </c:spPr>
              <c:txPr>
                <a:bodyPr wrap="square" lIns="0" tIns="0" rIns="0" bIns="0">
                  <a:no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15:layout>
                    <c:manualLayout>
                      <c:w val="0.26738609112709832"/>
                      <c:h val="0.1233705772811918"/>
                    </c:manualLayout>
                  </c15:layout>
                </c:ext>
              </c:extLst>
            </c:dLbl>
            <c:dLbl>
              <c:idx val="9"/>
              <c:layout>
                <c:manualLayout>
                  <c:x val="-0.21160671462829736"/>
                  <c:y val="6.6533233625117939e-004"/>
                </c:manualLayout>
              </c:layout>
              <c:numFmt formatCode="0.0%" sourceLinked="0"/>
              <c:spPr>
                <a:noFill/>
                <a:ln>
                  <a:noFill/>
                </a:ln>
                <a:effectLst/>
              </c:spPr>
              <c:txPr>
                <a:bodyPr>
                  <a:spAutoFit/>
                </a:bodyPr>
                <a:lstStyle/>
                <a:p>
                  <a:pPr>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spPr>
                    <a:prstGeom prst="rect">
                      <a:avLst/>
                    </a:prstGeom>
                  </c15:spPr>
                </c:ext>
              </c:extLst>
            </c:dLbl>
            <c:numFmt formatCode="0.0%" sourceLinked="0"/>
            <c:spPr>
              <a:noFill/>
              <a:ln>
                <a:noFill/>
              </a:ln>
              <a:effectLst/>
            </c:spPr>
            <c:txPr>
              <a:bodyPr rot="0" horzOverflow="overflow" wrap="square" lIns="0" tIns="0" rIns="0" bIns="0" anchor="ctr" anchorCtr="1">
                <a:spAutoFit/>
              </a:bodyPr>
              <a:lstStyle/>
              <a:p>
                <a:pPr algn="ctr" rtl="0">
                  <a:defRPr sz="7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extLst>
              <c:ext xmlns:c15="http://schemas.microsoft.com/office/drawing/2012/chart" uri="{CE6537A1-D6FC-4f65-9D91-7224C49458BB}">
                <c15:spPr>
                  <a:prstGeom prst="rect">
                    <a:avLst/>
                  </a:prstGeom>
                </c15:spPr>
              </c:ext>
            </c:extLst>
          </c:dLbls>
          <c:cat>
            <c:strRef>
              <c:f>Sheet1!$A$2:$A$10</c:f>
              <c:strCache>
                <c:ptCount val="9"/>
                <c:pt idx="0">
                  <c:v>0～100万円未満</c:v>
                </c:pt>
                <c:pt idx="1">
                  <c:v>100～200
万円未満</c:v>
                </c:pt>
                <c:pt idx="2">
                  <c:v>200～300万円未満</c:v>
                </c:pt>
                <c:pt idx="3">
                  <c:v>300～400
万円未満</c:v>
                </c:pt>
                <c:pt idx="4">
                  <c:v>400～600万円未満</c:v>
                </c:pt>
                <c:pt idx="5">
                  <c:v>600～800
万円未満</c:v>
                </c:pt>
                <c:pt idx="6">
                  <c:v>800～1,000
万円未満</c:v>
                </c:pt>
                <c:pt idx="7">
                  <c:v>1,000万円以上</c:v>
                </c:pt>
                <c:pt idx="8">
                  <c:v>無回答</c:v>
                </c:pt>
              </c:strCache>
            </c:strRef>
          </c:cat>
          <c:val>
            <c:numRef>
              <c:f>Sheet1!$B$2:$B$10</c:f>
              <c:numCache>
                <c:formatCode>0.0_);[Red]\(0.0\)</c:formatCode>
                <c:ptCount val="9"/>
                <c:pt idx="0">
                  <c:v>7.5</c:v>
                </c:pt>
                <c:pt idx="1">
                  <c:v>11</c:v>
                </c:pt>
                <c:pt idx="2">
                  <c:v>18.2</c:v>
                </c:pt>
                <c:pt idx="3">
                  <c:v>17.100000000000001</c:v>
                </c:pt>
                <c:pt idx="4">
                  <c:v>20</c:v>
                </c:pt>
                <c:pt idx="5">
                  <c:v>10.1</c:v>
                </c:pt>
                <c:pt idx="6">
                  <c:v>5.2</c:v>
                </c:pt>
                <c:pt idx="7">
                  <c:v>6.3</c:v>
                </c:pt>
                <c:pt idx="8">
                  <c:v>4.5</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20726336952802"/>
          <c:y val="0.1187716535433071"/>
          <c:w val="0.69325231877514415"/>
          <c:h val="0.81698735385349563"/>
        </c:manualLayout>
      </c:layout>
      <c:doughnutChart>
        <c:varyColors val="1"/>
        <c:ser>
          <c:idx val="2"/>
          <c:order val="0"/>
          <c:tx>
            <c:strRef>
              <c:f>Sheet1!$B$1</c:f>
              <c:strCache>
                <c:ptCount val="1"/>
                <c:pt idx="0">
                  <c:v>売上高</c:v>
                </c:pt>
              </c:strCache>
            </c:strRef>
          </c:tx>
          <c:spPr>
            <a:ln>
              <a:solidFill>
                <a:schemeClr val="tx1"/>
              </a:solidFill>
            </a:ln>
          </c:spPr>
          <c:dPt>
            <c:idx val="0"/>
            <c:invertIfNegative val="0"/>
            <c:bubble3D val="0"/>
            <c:spPr>
              <a:solidFill>
                <a:srgbClr val="00B0F0"/>
              </a:solidFill>
              <a:ln>
                <a:solidFill>
                  <a:schemeClr val="tx1"/>
                </a:solidFill>
              </a:ln>
            </c:spPr>
          </c:dPt>
          <c:dPt>
            <c:idx val="1"/>
            <c:invertIfNegative val="0"/>
            <c:bubble3D val="0"/>
            <c:spPr>
              <a:pattFill prst="pct60">
                <a:fgClr>
                  <a:sysClr val="windowText" lastClr="000000"/>
                </a:fgClr>
                <a:bgClr>
                  <a:sysClr val="window" lastClr="FFFFFF"/>
                </a:bgClr>
              </a:pattFill>
              <a:ln>
                <a:solidFill>
                  <a:schemeClr val="tx1"/>
                </a:solidFill>
              </a:ln>
            </c:spPr>
          </c:dPt>
          <c:dPt>
            <c:idx val="2"/>
            <c:invertIfNegative val="0"/>
            <c:bubble3D val="0"/>
            <c:spPr>
              <a:pattFill prst="ltDnDiag">
                <a:fgClr>
                  <a:sysClr val="windowText" lastClr="000000"/>
                </a:fgClr>
                <a:bgClr>
                  <a:sysClr val="window" lastClr="FFFFFF"/>
                </a:bgClr>
              </a:pattFill>
              <a:ln>
                <a:solidFill>
                  <a:schemeClr val="tx1"/>
                </a:solidFill>
              </a:ln>
            </c:spPr>
          </c:dPt>
          <c:dPt>
            <c:idx val="3"/>
            <c:invertIfNegative val="0"/>
            <c:bubble3D val="0"/>
            <c:spPr>
              <a:pattFill prst="dkHorz">
                <a:fgClr>
                  <a:srgbClr val="F79646"/>
                </a:fgClr>
                <a:bgClr>
                  <a:sysClr val="window" lastClr="FFFFFF"/>
                </a:bgClr>
              </a:pattFill>
              <a:ln>
                <a:solidFill>
                  <a:schemeClr val="tx1"/>
                </a:solidFill>
              </a:ln>
            </c:spPr>
          </c:dPt>
          <c:dLbls>
            <c:dLbl>
              <c:idx val="0"/>
              <c:layout>
                <c:manualLayout>
                  <c:x val="7.5708793022111628e-002"/>
                  <c:y val="-0.18361966117871631"/>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1.2863659463497894e-002"/>
                  <c:y val="1.6108804581245525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2"/>
              <c:layout>
                <c:manualLayout>
                  <c:x val="-0.16299435314221622"/>
                  <c:y val="-0.17236554521593891"/>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4400460733775184"/>
                      <c:h val="0.16108007448789569"/>
                    </c:manualLayout>
                  </c15:layout>
                </c:ext>
              </c:extLst>
            </c:dLbl>
            <c:dLbl>
              <c:idx val="3"/>
              <c:layout>
                <c:manualLayout>
                  <c:x val="-9.951471893351372e-003"/>
                  <c:y val="1.5819513482602385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Sheet1!$A$2:$A$4</c:f>
              <c:strCache>
                <c:ptCount val="3"/>
                <c:pt idx="0">
                  <c:v>持家</c:v>
                </c:pt>
                <c:pt idx="1">
                  <c:v>借家</c:v>
                </c:pt>
                <c:pt idx="2">
                  <c:v>無回答</c:v>
                </c:pt>
              </c:strCache>
            </c:strRef>
          </c:cat>
          <c:val>
            <c:numRef>
              <c:f>Sheet1!$B$2:$B$4</c:f>
              <c:numCache>
                <c:formatCode>General</c:formatCode>
                <c:ptCount val="3"/>
                <c:pt idx="0">
                  <c:v>76.3</c:v>
                </c:pt>
                <c:pt idx="1">
                  <c:v>22.2</c:v>
                </c:pt>
                <c:pt idx="2">
                  <c:v>1.5</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77720500764745"/>
          <c:y val="0.15634007194299548"/>
          <c:w val="0.67523484937517131"/>
          <c:h val="0.65820661845009421"/>
        </c:manualLayout>
      </c:layout>
      <c:doughnutChart>
        <c:varyColors val="1"/>
        <c:ser>
          <c:idx val="2"/>
          <c:order val="0"/>
          <c:tx>
            <c:strRef>
              <c:f>Sheet1!$B$1</c:f>
              <c:strCache>
                <c:ptCount val="1"/>
                <c:pt idx="0">
                  <c:v>(除不)%</c:v>
                </c:pt>
              </c:strCache>
            </c:strRef>
          </c:tx>
          <c:spPr>
            <a:ln>
              <a:solidFill>
                <a:schemeClr val="tx1"/>
              </a:solidFill>
            </a:ln>
          </c:spPr>
          <c:dPt>
            <c:idx val="0"/>
            <c:invertIfNegative val="0"/>
            <c:bubble3D val="0"/>
            <c:spPr>
              <a:solidFill>
                <a:srgbClr val="00B0F0"/>
              </a:solidFill>
              <a:ln>
                <a:solidFill>
                  <a:schemeClr val="tx1"/>
                </a:solidFill>
              </a:ln>
            </c:spPr>
          </c:dPt>
          <c:dPt>
            <c:idx val="1"/>
            <c:invertIfNegative val="0"/>
            <c:bubble3D val="0"/>
            <c:spPr>
              <a:pattFill prst="pct60">
                <a:fgClr>
                  <a:sysClr val="windowText" lastClr="000000"/>
                </a:fgClr>
                <a:bgClr>
                  <a:sysClr val="window" lastClr="FFFFFF"/>
                </a:bgClr>
              </a:pattFill>
              <a:ln>
                <a:solidFill>
                  <a:schemeClr val="tx1"/>
                </a:solidFill>
              </a:ln>
            </c:spPr>
          </c:dPt>
          <c:dPt>
            <c:idx val="2"/>
            <c:invertIfNegative val="0"/>
            <c:bubble3D val="0"/>
            <c:spPr>
              <a:pattFill prst="ltDnDiag">
                <a:fgClr>
                  <a:sysClr val="windowText" lastClr="000000"/>
                </a:fgClr>
                <a:bgClr>
                  <a:sysClr val="window" lastClr="FFFFFF"/>
                </a:bgClr>
              </a:pattFill>
              <a:ln>
                <a:solidFill>
                  <a:schemeClr val="tx1"/>
                </a:solidFill>
              </a:ln>
            </c:spPr>
          </c:dPt>
          <c:dPt>
            <c:idx val="3"/>
            <c:invertIfNegative val="0"/>
            <c:bubble3D val="0"/>
            <c:spPr>
              <a:pattFill prst="dkHorz">
                <a:fgClr>
                  <a:srgbClr val="F79646"/>
                </a:fgClr>
                <a:bgClr>
                  <a:sysClr val="window" lastClr="FFFFFF"/>
                </a:bgClr>
              </a:pattFill>
              <a:ln>
                <a:solidFill>
                  <a:schemeClr val="tx1"/>
                </a:solidFill>
              </a:ln>
            </c:spPr>
          </c:dPt>
          <c:dPt>
            <c:idx val="4"/>
            <c:invertIfNegative val="0"/>
            <c:bubble3D val="0"/>
            <c:spPr>
              <a:pattFill prst="dotGrid">
                <a:fgClr>
                  <a:sysClr val="windowText" lastClr="000000"/>
                </a:fgClr>
                <a:bgClr>
                  <a:sysClr val="window" lastClr="FFFFFF"/>
                </a:bgClr>
              </a:pattFill>
              <a:ln>
                <a:solidFill>
                  <a:schemeClr val="tx1"/>
                </a:solidFill>
              </a:ln>
            </c:spPr>
          </c:dPt>
          <c:dPt>
            <c:idx val="5"/>
            <c:invertIfNegative val="0"/>
            <c:bubble3D val="0"/>
            <c:spPr>
              <a:pattFill prst="pct40">
                <a:fgClr>
                  <a:sysClr val="windowText" lastClr="000000"/>
                </a:fgClr>
                <a:bgClr>
                  <a:sysClr val="window" lastClr="FFFFFF"/>
                </a:bgClr>
              </a:pattFill>
              <a:ln>
                <a:solidFill>
                  <a:schemeClr val="tx1"/>
                </a:solidFill>
              </a:ln>
            </c:spPr>
          </c:dPt>
          <c:dPt>
            <c:idx val="6"/>
            <c:invertIfNegative val="0"/>
            <c:bubble3D val="0"/>
            <c:spPr>
              <a:pattFill prst="cross">
                <a:fgClr>
                  <a:sysClr val="windowText" lastClr="000000"/>
                </a:fgClr>
                <a:bgClr>
                  <a:sysClr val="window" lastClr="FFFFFF"/>
                </a:bgClr>
              </a:pattFill>
              <a:ln>
                <a:solidFill>
                  <a:schemeClr val="tx1"/>
                </a:solidFill>
              </a:ln>
            </c:spPr>
          </c:dPt>
          <c:dPt>
            <c:idx val="7"/>
            <c:invertIfNegative val="0"/>
            <c:bubble3D val="0"/>
            <c:spPr>
              <a:pattFill prst="zigZag">
                <a:fgClr>
                  <a:sysClr val="windowText" lastClr="000000"/>
                </a:fgClr>
                <a:bgClr>
                  <a:sysClr val="window" lastClr="FFFFFF"/>
                </a:bgClr>
              </a:pattFill>
              <a:ln>
                <a:solidFill>
                  <a:schemeClr val="tx1"/>
                </a:solidFill>
              </a:ln>
            </c:spPr>
          </c:dPt>
          <c:dPt>
            <c:idx val="8"/>
            <c:invertIfNegative val="0"/>
            <c:bubble3D val="0"/>
            <c:spPr>
              <a:solidFill>
                <a:sysClr val="window" lastClr="FFFFFF"/>
              </a:solidFill>
              <a:ln>
                <a:solidFill>
                  <a:schemeClr val="tx1"/>
                </a:solidFill>
              </a:ln>
            </c:spPr>
          </c:dPt>
          <c:dPt>
            <c:idx val="9"/>
            <c:invertIfNegative val="0"/>
            <c:bubble3D val="0"/>
            <c:spPr>
              <a:pattFill prst="wdUpDiag">
                <a:fgClr>
                  <a:srgbClr val="00B0F0"/>
                </a:fgClr>
                <a:bgClr>
                  <a:sysClr val="window" lastClr="FFFFFF"/>
                </a:bgClr>
              </a:pattFill>
              <a:ln>
                <a:solidFill>
                  <a:schemeClr val="tx1"/>
                </a:solidFill>
              </a:ln>
            </c:spPr>
          </c:dPt>
          <c:dLbls>
            <c:dLbl>
              <c:idx val="0"/>
              <c:layout>
                <c:manualLayout>
                  <c:x val="-2.2673247933560545e-002"/>
                  <c:y val="-3.8129787607780796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dLbl>
              <c:idx val="1"/>
              <c:layout>
                <c:manualLayout>
                  <c:x val="2.7298938378971287e-002"/>
                  <c:y val="0.22833022751399509"/>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6368159203980102"/>
                      <c:h val="0.1270611057225994"/>
                    </c:manualLayout>
                  </c15:layout>
                </c:ext>
              </c:extLst>
            </c:dLbl>
            <c:dLbl>
              <c:idx val="2"/>
              <c:layout>
                <c:manualLayout>
                  <c:x val="-0.13052493438320209"/>
                  <c:y val="0.27376161818279021"/>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3405453049712069"/>
                      <c:h val="0.16586373599517323"/>
                    </c:manualLayout>
                  </c15:layout>
                </c:ext>
              </c:extLst>
            </c:dLbl>
            <c:dLbl>
              <c:idx val="3"/>
              <c:layout>
                <c:manualLayout>
                  <c:x val="-0.2039812747287186"/>
                  <c:y val="0.20495639124158943"/>
                </c:manualLayout>
              </c:layout>
              <c:numFmt formatCode="0.0%" sourceLinked="0"/>
              <c:spPr>
                <a:solidFill>
                  <a:sysClr val="window" lastClr="FFFFFF"/>
                </a:solid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2885572139303484"/>
                      <c:h val="0.1270611057225994"/>
                    </c:manualLayout>
                  </c15:layout>
                </c:ext>
              </c:extLst>
            </c:dLbl>
            <c:dLbl>
              <c:idx val="4"/>
              <c:layout>
                <c:manualLayout>
                  <c:x val="-0.22407607631135659"/>
                  <c:y val="1.2081764512704584e-002"/>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17412935323383086"/>
                      <c:h val="0.1658583899127061"/>
                    </c:manualLayout>
                  </c15:layout>
                </c:ext>
              </c:extLst>
            </c:dLbl>
            <c:dLbl>
              <c:idx val="5"/>
              <c:layout>
                <c:manualLayout>
                  <c:x val="-0.23487562189054725"/>
                  <c:y val="-0.11755004315052277"/>
                </c:manualLayout>
              </c:layout>
              <c:numFmt formatCode="0.0%" sourceLinked="0"/>
              <c:spPr>
                <a:solidFill>
                  <a:sysClr val="window" lastClr="FFFFFF"/>
                </a:solidFill>
                <a:ln>
                  <a:noFill/>
                </a:ln>
                <a:effectLst/>
              </c:spPr>
              <c:txPr>
                <a:bodyPr wrap="square" lIns="38100" tIns="19050" rIns="38100" bIns="19050">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16417910447761194"/>
                      <c:h val="0.1658583899127061"/>
                    </c:manualLayout>
                  </c15:layout>
                </c:ext>
              </c:extLst>
            </c:dLbl>
            <c:dLbl>
              <c:idx val="6"/>
              <c:layout>
                <c:manualLayout>
                  <c:x val="-0.22886669017119132"/>
                  <c:y val="-0.23992759876887357"/>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17412935323383086"/>
                      <c:h val="0.20950533462657608"/>
                    </c:manualLayout>
                  </c15:layout>
                </c:ext>
              </c:extLst>
            </c:dLbl>
            <c:dLbl>
              <c:idx val="7"/>
              <c:layout>
                <c:manualLayout>
                  <c:x val="-0.12584714224154814"/>
                  <c:y val="-0.2166981067230806"/>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2885572139303484"/>
                      <c:h val="0.1270611057225994"/>
                    </c:manualLayout>
                  </c15:layout>
                </c:ext>
              </c:extLst>
            </c:dLbl>
            <c:dLbl>
              <c:idx val="8"/>
              <c:layout>
                <c:manualLayout>
                  <c:x val="-2.2548673953068843e-003"/>
                  <c:y val="-0.20203685741998059"/>
                </c:manualLayout>
              </c:layout>
              <c:numFmt formatCode="0.0%" sourceLinked="0"/>
              <c:spPr>
                <a:noFill/>
                <a:ln>
                  <a:noFill/>
                </a:ln>
                <a:effectLst/>
              </c:spPr>
              <c:txPr>
                <a:bodyPr wrap="square" lIns="38100" tIns="19050" rIns="38100" bIns="19050">
                  <a:no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extLst>
                <c:ext xmlns:c15="http://schemas.microsoft.com/office/drawing/2012/chart" uri="{CE6537A1-D6FC-4f65-9D91-7224C49458BB}">
                  <c15:layout>
                    <c:manualLayout>
                      <c:w val="0.26738609112709832"/>
                      <c:h val="0.1233705772811918"/>
                    </c:manualLayout>
                  </c15:layout>
                </c:ext>
              </c:extLst>
            </c:dLbl>
            <c:dLbl>
              <c:idx val="9"/>
              <c:layout>
                <c:manualLayout>
                  <c:x val="-0.21160671462829736"/>
                  <c:y val="6.6533233625117939e-004"/>
                </c:manualLayout>
              </c:layout>
              <c:numFmt formatCode="0.0%" sourceLinked="0"/>
              <c:spPr>
                <a:noFill/>
                <a:ln>
                  <a:noFill/>
                </a:ln>
                <a:effectLst/>
              </c:spPr>
              <c:txPr>
                <a:bodyPr>
                  <a:spAutoFit/>
                </a:bodyPr>
                <a:lstStyle/>
                <a:p>
                  <a:pPr>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dLbl>
            <c:numFmt formatCode="0.0%" sourceLinked="0"/>
            <c:spPr>
              <a:noFill/>
              <a:ln>
                <a:noFill/>
              </a:ln>
              <a:effectLst/>
            </c:spPr>
            <c:txPr>
              <a:bodyPr rot="0" horzOverflow="overflow" wrap="square" lIns="38100" tIns="19050" rIns="38100" bIns="19050" anchor="ctr" anchorCtr="1">
                <a:spAutoFit/>
              </a:bodyPr>
              <a:lstStyle/>
              <a:p>
                <a:pPr algn="ctr" rtl="0">
                  <a:defRPr sz="800">
                    <a:solidFill>
                      <a:schemeClr val="tx1"/>
                    </a:solidFill>
                    <a:latin typeface="ＭＳ ゴシック"/>
                    <a:ea typeface="ＭＳ ゴシック"/>
                  </a:defRPr>
                </a:pPr>
                <a:endParaRPr lang="ja-JP" altLang="en-US"/>
              </a:p>
            </c:txPr>
            <c:showLegendKey val="0"/>
            <c:showVal val="0"/>
            <c:showCatName val="1"/>
            <c:showSerName val="0"/>
            <c:showPercent val="1"/>
            <c:showBubbleSize val="0"/>
            <c:showLeaderLines val="0"/>
          </c:dLbls>
          <c:cat>
            <c:strRef>
              <c:f>Sheet1!$A$2:$A$10</c:f>
              <c:strCache>
                <c:ptCount val="9"/>
                <c:pt idx="0">
                  <c:v>高知市</c:v>
                </c:pt>
                <c:pt idx="1">
                  <c:v>安芸広域圏</c:v>
                </c:pt>
                <c:pt idx="2">
                  <c:v>南国・香美
広域圏</c:v>
                </c:pt>
                <c:pt idx="3">
                  <c:v>嶺北広域圏</c:v>
                </c:pt>
                <c:pt idx="4">
                  <c:v>仁淀川広域圏</c:v>
                </c:pt>
                <c:pt idx="5">
                  <c:v>高吾北広域圏</c:v>
                </c:pt>
                <c:pt idx="6">
                  <c:v>高幡広域圏</c:v>
                </c:pt>
                <c:pt idx="7">
                  <c:v>幡多広域圏</c:v>
                </c:pt>
                <c:pt idx="8">
                  <c:v>無回答</c:v>
                </c:pt>
              </c:strCache>
            </c:strRef>
          </c:cat>
          <c:val>
            <c:numRef>
              <c:f>Sheet1!$B$2:$B$10</c:f>
              <c:numCache>
                <c:formatCode>0.0_);[Red]\(0.0\)</c:formatCode>
                <c:ptCount val="9"/>
                <c:pt idx="0">
                  <c:v>49</c:v>
                </c:pt>
                <c:pt idx="1">
                  <c:v>6.2</c:v>
                </c:pt>
                <c:pt idx="2">
                  <c:v>14.2</c:v>
                </c:pt>
                <c:pt idx="3">
                  <c:v>1.5</c:v>
                </c:pt>
                <c:pt idx="4">
                  <c:v>5.9</c:v>
                </c:pt>
                <c:pt idx="5">
                  <c:v>3.4</c:v>
                </c:pt>
                <c:pt idx="6">
                  <c:v>7.8</c:v>
                </c:pt>
                <c:pt idx="7">
                  <c:v>11</c:v>
                </c:pt>
                <c:pt idx="8">
                  <c:v>1</c:v>
                </c:pt>
              </c:numCache>
            </c:numRef>
          </c:val>
        </c:ser>
        <c:dLbls>
          <c:txPr>
            <a:bodyPr rot="0" horzOverflow="overflow" anchor="ctr" anchorCtr="1">
              <a:spAutoFit/>
            </a:bodyPr>
            <a:lstStyle/>
            <a:p>
              <a:pPr algn="ctr" rtl="0">
                <a:defRPr sz="900">
                  <a:solidFill>
                    <a:schemeClr val="tx1"/>
                  </a:solidFill>
                </a:defRPr>
              </a:pPr>
              <a:endParaRPr lang="ja-JP" altLang="en-US"/>
            </a:p>
          </c:txPr>
          <c:showLegendKey val="0"/>
          <c:showVal val="1"/>
          <c:showCatName val="0"/>
          <c:showSerName val="0"/>
          <c:showPercent val="0"/>
          <c:showBubbleSize val="0"/>
          <c:showLeaderLines val="0"/>
        </c:dLbls>
        <c:firstSliceAng val="0"/>
        <c:holeSize val="34"/>
      </c:doughnutChart>
    </c:plotArea>
    <c:plotVisOnly val="1"/>
    <c:dispBlanksAs val="zero"/>
    <c:showDLblsOverMax val="0"/>
  </c:chart>
  <c:spPr>
    <a:ln>
      <a:noFill/>
    </a:ln>
  </c:spPr>
  <c:txPr>
    <a:bodyPr horzOverflow="overflow" anchor="ctr" anchorCtr="1"/>
    <a:lstStyle/>
    <a:p>
      <a:pPr algn="ctr" rtl="0">
        <a:defRPr lang="ja-JP" altLang="en-US" sz="900">
          <a:solidFill>
            <a:schemeClr val="tx1"/>
          </a:solidFill>
          <a:latin typeface="ＭＳ 明朝"/>
          <a:ea typeface="ＭＳ 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0.52149999999999996</cdr:x>
      <cdr:y>9.325e-002</cdr:y>
    </cdr:from>
    <cdr:to>
      <cdr:x>0.61524999999999996</cdr:x>
      <cdr:y>0.1535</cdr:y>
    </cdr:to>
    <cdr:sp macro="" textlink="">
      <cdr:nvSpPr>
        <cdr:cNvPr id="5" name="直線コネクタ 4"/>
        <cdr:cNvSpPr/>
      </cdr:nvSpPr>
      <cdr:spPr>
        <a:xfrm xmlns:a="http://schemas.openxmlformats.org/drawingml/2006/main" flipV="1">
          <a:off x="1199765" y="193984"/>
          <a:ext cx="215681" cy="12533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0.45150000000000001</cdr:x>
      <cdr:y>0.11175</cdr:y>
    </cdr:from>
    <cdr:to>
      <cdr:x>0.48525000000000001</cdr:x>
      <cdr:y>0.15575</cdr:y>
    </cdr:to>
    <cdr:sp macro="" textlink="">
      <cdr:nvSpPr>
        <cdr:cNvPr id="8" name="直線コネクタ 7"/>
        <cdr:cNvSpPr/>
      </cdr:nvSpPr>
      <cdr:spPr>
        <a:xfrm xmlns:a="http://schemas.openxmlformats.org/drawingml/2006/main" flipH="1" flipV="1">
          <a:off x="1038723" y="232469"/>
          <a:ext cx="77645" cy="9153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0.22325</cdr:x>
      <cdr:y>0.14349999999999999</cdr:y>
    </cdr:from>
    <cdr:to>
      <cdr:x>0.35049999999999998</cdr:x>
      <cdr:y>0.18475</cdr:y>
    </cdr:to>
    <cdr:sp macro="" textlink="">
      <cdr:nvSpPr>
        <cdr:cNvPr id="11" name="直線コネクタ 10"/>
        <cdr:cNvSpPr/>
      </cdr:nvSpPr>
      <cdr:spPr>
        <a:xfrm xmlns:a="http://schemas.openxmlformats.org/drawingml/2006/main" flipH="1" flipV="1">
          <a:off x="513610" y="298517"/>
          <a:ext cx="292751" cy="8581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0.37524999999999997</cdr:x>
      <cdr:y>0.47249999999999998</cdr:y>
    </cdr:from>
    <cdr:to>
      <cdr:x>0.65900000000000003</cdr:x>
      <cdr:y>0.70025000000000004</cdr:y>
    </cdr:to>
    <cdr:sp macro="" textlink="">
      <cdr:nvSpPr>
        <cdr:cNvPr id="12" name="テキスト ボックス 1"/>
        <cdr:cNvSpPr txBox="1"/>
      </cdr:nvSpPr>
      <cdr:spPr>
        <a:xfrm xmlns:a="http://schemas.openxmlformats.org/drawingml/2006/main">
          <a:off x="863302" y="982922"/>
          <a:ext cx="652796" cy="473779"/>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0.40150000000000002</cdr:x>
      <cdr:y>0.44674999999999998</cdr:y>
    </cdr:from>
    <cdr:to>
      <cdr:x>0.66649999999999998</cdr:x>
      <cdr:y>0.66625000000000001</cdr:y>
    </cdr:to>
    <cdr:sp macro="" textlink="">
      <cdr:nvSpPr>
        <cdr:cNvPr id="2" name="テキスト ボックス 1"/>
        <cdr:cNvSpPr txBox="1"/>
      </cdr:nvSpPr>
      <cdr:spPr>
        <a:xfrm xmlns:a="http://schemas.openxmlformats.org/drawingml/2006/main">
          <a:off x="990490" y="965100"/>
          <a:ext cx="653748" cy="474179"/>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dr:relSizeAnchor xmlns:cdr="http://schemas.openxmlformats.org/drawingml/2006/chartDrawing">
    <cdr:from>
      <cdr:x>0.50475000000000003</cdr:x>
      <cdr:y>7.1249999999999994e-002</cdr:y>
    </cdr:from>
    <cdr:to>
      <cdr:x>0.63949999999999996</cdr:x>
      <cdr:y>0.13475000000000001</cdr:y>
    </cdr:to>
    <cdr:sp macro="" textlink="">
      <cdr:nvSpPr>
        <cdr:cNvPr id="5" name="直線コネクタ 4"/>
        <cdr:cNvSpPr/>
      </cdr:nvSpPr>
      <cdr:spPr>
        <a:xfrm xmlns:a="http://schemas.openxmlformats.org/drawingml/2006/main" flipV="1">
          <a:off x="1245205" y="153919"/>
          <a:ext cx="332424" cy="13717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0.30499999999999999</cdr:x>
      <cdr:y>9.2499999999999999e-002</cdr:y>
    </cdr:from>
    <cdr:to>
      <cdr:x>0.50024999999999997</cdr:x>
      <cdr:y>0.13475000000000001</cdr:y>
    </cdr:to>
    <cdr:sp macro="" textlink="">
      <cdr:nvSpPr>
        <cdr:cNvPr id="8" name="直線コネクタ 7"/>
        <cdr:cNvSpPr/>
      </cdr:nvSpPr>
      <cdr:spPr>
        <a:xfrm xmlns:a="http://schemas.openxmlformats.org/drawingml/2006/main" flipH="1" flipV="1">
          <a:off x="752427" y="199824"/>
          <a:ext cx="481676" cy="9127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userShapes>
</file>

<file path=word/drawings/drawing3.xml><?xml version="1.0" encoding="utf-8"?>
<c:userShapes xmlns:c="http://schemas.openxmlformats.org/drawingml/2006/chart">
  <cdr:relSizeAnchor xmlns:cdr="http://schemas.openxmlformats.org/drawingml/2006/chartDrawing">
    <cdr:from>
      <cdr:x>0.51675000000000004</cdr:x>
      <cdr:y>0.15425</cdr:y>
    </cdr:from>
    <cdr:to>
      <cdr:x>0.56274999999999997</cdr:x>
      <cdr:y>0.19075</cdr:y>
    </cdr:to>
    <cdr:sp macro="" textlink="">
      <cdr:nvSpPr>
        <cdr:cNvPr id="4" name="直線コネクタ 3"/>
        <cdr:cNvSpPr/>
      </cdr:nvSpPr>
      <cdr:spPr>
        <a:xfrm xmlns:a="http://schemas.openxmlformats.org/drawingml/2006/main" flipH="1" flipV="1">
          <a:off x="1366359" y="433717"/>
          <a:ext cx="121630" cy="10262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0.61299999999999999</cdr:x>
      <cdr:y>0.15425</cdr:y>
    </cdr:from>
    <cdr:to>
      <cdr:x>0.64249999999999996</cdr:x>
      <cdr:y>0.20100000000000001</cdr:y>
    </cdr:to>
    <cdr:sp macro="" textlink="">
      <cdr:nvSpPr>
        <cdr:cNvPr id="8" name="直線コネクタ 7"/>
        <cdr:cNvSpPr/>
      </cdr:nvSpPr>
      <cdr:spPr>
        <a:xfrm xmlns:a="http://schemas.openxmlformats.org/drawingml/2006/main" flipV="1">
          <a:off x="1620857" y="433717"/>
          <a:ext cx="78002" cy="13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0.67174999999999996</cdr:x>
      <cdr:y>0.16850000000000001</cdr:y>
    </cdr:from>
    <cdr:to>
      <cdr:x>0.74924999999999997</cdr:x>
      <cdr:y>0.22125</cdr:y>
    </cdr:to>
    <cdr:sp macro="" textlink="">
      <cdr:nvSpPr>
        <cdr:cNvPr id="11" name="直線コネクタ 10"/>
        <cdr:cNvSpPr/>
      </cdr:nvSpPr>
      <cdr:spPr>
        <a:xfrm xmlns:a="http://schemas.openxmlformats.org/drawingml/2006/main" flipV="1">
          <a:off x="1776201" y="473784"/>
          <a:ext cx="204920" cy="14832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0.39550000000000002</cdr:x>
      <cdr:y>0.79025000000000001</cdr:y>
    </cdr:from>
    <cdr:to>
      <cdr:x>0.39950000000000002</cdr:x>
      <cdr:y>0.83074999999999999</cdr:y>
    </cdr:to>
    <cdr:sp macro="" textlink="">
      <cdr:nvSpPr>
        <cdr:cNvPr id="14" name="直線コネクタ 13"/>
        <cdr:cNvSpPr/>
      </cdr:nvSpPr>
      <cdr:spPr>
        <a:xfrm xmlns:a="http://schemas.openxmlformats.org/drawingml/2006/main">
          <a:off x="1045757" y="2222009"/>
          <a:ext cx="10576" cy="11387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0.249</cdr:x>
      <cdr:y>0.75749999999999995</cdr:y>
    </cdr:from>
    <cdr:to>
      <cdr:x>0.32850000000000001</cdr:x>
      <cdr:y>0.82274999999999998</cdr:y>
    </cdr:to>
    <cdr:sp macro="" textlink="">
      <cdr:nvSpPr>
        <cdr:cNvPr id="17" name="直線コネクタ 16"/>
        <cdr:cNvSpPr/>
      </cdr:nvSpPr>
      <cdr:spPr>
        <a:xfrm xmlns:a="http://schemas.openxmlformats.org/drawingml/2006/main" flipH="1">
          <a:off x="658390" y="2129923"/>
          <a:ext cx="210209" cy="18346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0.14424999999999999</cdr:x>
      <cdr:y>0.66425000000000001</cdr:y>
    </cdr:from>
    <cdr:to>
      <cdr:x>0.24675</cdr:x>
      <cdr:y>0.71099999999999997</cdr:y>
    </cdr:to>
    <cdr:sp macro="" textlink="">
      <cdr:nvSpPr>
        <cdr:cNvPr id="20" name="直線コネクタ 19"/>
        <cdr:cNvSpPr/>
      </cdr:nvSpPr>
      <cdr:spPr>
        <a:xfrm xmlns:a="http://schemas.openxmlformats.org/drawingml/2006/main" flipH="1">
          <a:off x="381417" y="1867724"/>
          <a:ext cx="271024" cy="13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0.15049999999999999</cdr:x>
      <cdr:y>0.51800000000000002</cdr:y>
    </cdr:from>
    <cdr:to>
      <cdr:x>0.19875000000000001</cdr:x>
      <cdr:y>0.51800000000000002</cdr:y>
    </cdr:to>
    <cdr:sp macro="" textlink="">
      <cdr:nvSpPr>
        <cdr:cNvPr id="24" name="直線コネクタ 23"/>
        <cdr:cNvSpPr/>
      </cdr:nvSpPr>
      <cdr:spPr>
        <a:xfrm xmlns:a="http://schemas.openxmlformats.org/drawingml/2006/main" flipH="1">
          <a:off x="397943" y="1456502"/>
          <a:ext cx="127579"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0.39550000000000002</cdr:x>
      <cdr:y>0.13200000000000001</cdr:y>
    </cdr:from>
    <cdr:to>
      <cdr:x>0.51475000000000004</cdr:x>
      <cdr:y>0.18875</cdr:y>
    </cdr:to>
    <cdr:sp macro="" textlink="">
      <cdr:nvSpPr>
        <cdr:cNvPr id="27" name="直線コネクタ 26"/>
        <cdr:cNvSpPr/>
      </cdr:nvSpPr>
      <cdr:spPr>
        <a:xfrm xmlns:a="http://schemas.openxmlformats.org/drawingml/2006/main" flipH="1" flipV="1">
          <a:off x="1045757" y="371154"/>
          <a:ext cx="315313" cy="15956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0.33674999999999999</cdr:x>
      <cdr:y>0.18875</cdr:y>
    </cdr:from>
    <cdr:to>
      <cdr:x>0.39324999999999999</cdr:x>
      <cdr:y>0.21325</cdr:y>
    </cdr:to>
    <cdr:sp macro="" textlink="">
      <cdr:nvSpPr>
        <cdr:cNvPr id="30" name="直線コネクタ 29"/>
        <cdr:cNvSpPr/>
      </cdr:nvSpPr>
      <cdr:spPr>
        <a:xfrm xmlns:a="http://schemas.openxmlformats.org/drawingml/2006/main" flipH="1" flipV="1">
          <a:off x="890414" y="530723"/>
          <a:ext cx="149393" cy="6888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0.42549999999999999</cdr:x>
      <cdr:y>0.42299999999999999</cdr:y>
    </cdr:from>
    <cdr:to>
      <cdr:x>0.67249999999999999</cdr:x>
      <cdr:y>0.59175</cdr:y>
    </cdr:to>
    <cdr:sp macro="" textlink="">
      <cdr:nvSpPr>
        <cdr:cNvPr id="31" name="テキスト ボックス 1"/>
        <cdr:cNvSpPr txBox="1"/>
      </cdr:nvSpPr>
      <cdr:spPr>
        <a:xfrm xmlns:a="http://schemas.openxmlformats.org/drawingml/2006/main">
          <a:off x="1125081" y="1189382"/>
          <a:ext cx="653102" cy="474487"/>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userShapes>
</file>

<file path=word/drawings/drawing4.xml><?xml version="1.0" encoding="utf-8"?>
<c:userShapes xmlns:c="http://schemas.openxmlformats.org/drawingml/2006/chart">
  <cdr:relSizeAnchor xmlns:cdr="http://schemas.openxmlformats.org/drawingml/2006/chartDrawing">
    <cdr:from>
      <cdr:x>0.40600000000000003</cdr:x>
      <cdr:y>0.13</cdr:y>
    </cdr:from>
    <cdr:to>
      <cdr:x>0.52524999999999999</cdr:x>
      <cdr:y>0.18675</cdr:y>
    </cdr:to>
    <cdr:sp macro="" textlink="">
      <cdr:nvSpPr>
        <cdr:cNvPr id="27" name="直線コネクタ 26"/>
        <cdr:cNvSpPr/>
      </cdr:nvSpPr>
      <cdr:spPr>
        <a:xfrm xmlns:a="http://schemas.openxmlformats.org/drawingml/2006/main" flipH="1" flipV="1">
          <a:off x="1073520" y="365531"/>
          <a:ext cx="315313" cy="15956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0.42549999999999999</cdr:x>
      <cdr:y>0.42299999999999999</cdr:y>
    </cdr:from>
    <cdr:to>
      <cdr:x>0.67249999999999999</cdr:x>
      <cdr:y>0.59175</cdr:y>
    </cdr:to>
    <cdr:sp macro="" textlink="">
      <cdr:nvSpPr>
        <cdr:cNvPr id="31" name="テキスト ボックス 1"/>
        <cdr:cNvSpPr txBox="1"/>
      </cdr:nvSpPr>
      <cdr:spPr>
        <a:xfrm xmlns:a="http://schemas.openxmlformats.org/drawingml/2006/main">
          <a:off x="1125081" y="1189382"/>
          <a:ext cx="653102" cy="474487"/>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userShapes>
</file>

<file path=word/drawings/drawing5.xml><?xml version="1.0" encoding="utf-8"?>
<c:userShapes xmlns:c="http://schemas.openxmlformats.org/drawingml/2006/chart">
  <cdr:relSizeAnchor xmlns:cdr="http://schemas.openxmlformats.org/drawingml/2006/chartDrawing">
    <cdr:from>
      <cdr:x>0.51900000000000002</cdr:x>
      <cdr:y>0.10475</cdr:y>
    </cdr:from>
    <cdr:to>
      <cdr:x>0.53349999999999997</cdr:x>
      <cdr:y>0.152</cdr:y>
    </cdr:to>
    <cdr:sp macro="" textlink="">
      <cdr:nvSpPr>
        <cdr:cNvPr id="27" name="直線コネクタ 26"/>
        <cdr:cNvSpPr/>
      </cdr:nvSpPr>
      <cdr:spPr>
        <a:xfrm xmlns:a="http://schemas.openxmlformats.org/drawingml/2006/main" flipV="1">
          <a:off x="1372308" y="227485"/>
          <a:ext cx="38340" cy="10261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0.42549999999999999</cdr:x>
      <cdr:y>0.46500000000000002</cdr:y>
    </cdr:from>
    <cdr:to>
      <cdr:x>0.67249999999999999</cdr:x>
      <cdr:y>0.63375000000000004</cdr:y>
    </cdr:to>
    <cdr:sp macro="" textlink="">
      <cdr:nvSpPr>
        <cdr:cNvPr id="31" name="テキスト ボックス 1"/>
        <cdr:cNvSpPr txBox="1"/>
      </cdr:nvSpPr>
      <cdr:spPr>
        <a:xfrm xmlns:a="http://schemas.openxmlformats.org/drawingml/2006/main">
          <a:off x="1125081" y="1009840"/>
          <a:ext cx="653102" cy="366474"/>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dr:relSizeAnchor xmlns:cdr="http://schemas.openxmlformats.org/drawingml/2006/chartDrawing">
    <cdr:from>
      <cdr:x>0.34949999999999998</cdr:x>
      <cdr:y>0.123</cdr:y>
    </cdr:from>
    <cdr:to>
      <cdr:x>0.39750000000000002</cdr:x>
      <cdr:y>0.186</cdr:y>
    </cdr:to>
    <cdr:sp macro="" textlink="">
      <cdr:nvSpPr>
        <cdr:cNvPr id="7" name="直線コネクタ 6"/>
        <cdr:cNvSpPr/>
      </cdr:nvSpPr>
      <cdr:spPr>
        <a:xfrm xmlns:a="http://schemas.openxmlformats.org/drawingml/2006/main" flipH="1" flipV="1">
          <a:off x="924126" y="267119"/>
          <a:ext cx="126918" cy="13681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userShapes>
</file>

<file path=word/drawings/drawing6.xml><?xml version="1.0" encoding="utf-8"?>
<c:userShapes xmlns:c="http://schemas.openxmlformats.org/drawingml/2006/chart">
  <cdr:relSizeAnchor xmlns:cdr="http://schemas.openxmlformats.org/drawingml/2006/chartDrawing">
    <cdr:from>
      <cdr:x>0.15975</cdr:x>
      <cdr:y>0.26924999999999999</cdr:y>
    </cdr:from>
    <cdr:to>
      <cdr:x>0.23849999999999999</cdr:x>
      <cdr:y>0.34899999999999998</cdr:y>
    </cdr:to>
    <cdr:sp macro="" textlink="">
      <cdr:nvSpPr>
        <cdr:cNvPr id="4" name="直線コネクタ 3"/>
        <cdr:cNvSpPr/>
      </cdr:nvSpPr>
      <cdr:spPr>
        <a:xfrm xmlns:a="http://schemas.openxmlformats.org/drawingml/2006/main" flipH="1" flipV="1">
          <a:off x="425951" y="670900"/>
          <a:ext cx="209976" cy="19871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0.5675</cdr:x>
      <cdr:y>0.16875000000000001</cdr:y>
    </cdr:from>
    <cdr:to>
      <cdr:x>0.60824999999999996</cdr:x>
      <cdr:y>0.23524999999999999</cdr:y>
    </cdr:to>
    <cdr:sp macro="" textlink="">
      <cdr:nvSpPr>
        <cdr:cNvPr id="8" name="直線コネクタ 7"/>
        <cdr:cNvSpPr/>
      </cdr:nvSpPr>
      <cdr:spPr>
        <a:xfrm xmlns:a="http://schemas.openxmlformats.org/drawingml/2006/main" flipV="1">
          <a:off x="1513162" y="420481"/>
          <a:ext cx="108654" cy="1657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0.69025000000000003</cdr:x>
      <cdr:y>0.25750000000000001</cdr:y>
    </cdr:from>
    <cdr:to>
      <cdr:x>0.76775000000000004</cdr:x>
      <cdr:y>0.31025000000000003</cdr:y>
    </cdr:to>
    <cdr:sp macro="" textlink="">
      <cdr:nvSpPr>
        <cdr:cNvPr id="11" name="直線コネクタ 10"/>
        <cdr:cNvSpPr/>
      </cdr:nvSpPr>
      <cdr:spPr>
        <a:xfrm xmlns:a="http://schemas.openxmlformats.org/drawingml/2006/main" flipV="1">
          <a:off x="1840458" y="641623"/>
          <a:ext cx="206643" cy="13143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0.13900000000000001</cdr:x>
      <cdr:y>0.42425000000000002</cdr:y>
    </cdr:from>
    <cdr:to>
      <cdr:x>0.1925</cdr:x>
      <cdr:y>0.44500000000000001</cdr:y>
    </cdr:to>
    <cdr:sp macro="" textlink="">
      <cdr:nvSpPr>
        <cdr:cNvPr id="24" name="直線コネクタ 23"/>
        <cdr:cNvSpPr/>
      </cdr:nvSpPr>
      <cdr:spPr>
        <a:xfrm xmlns:a="http://schemas.openxmlformats.org/drawingml/2006/main" flipH="1">
          <a:off x="370624" y="1057120"/>
          <a:ext cx="142650" cy="5170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0.39550000000000002</cdr:x>
      <cdr:y>0.13200000000000001</cdr:y>
    </cdr:from>
    <cdr:to>
      <cdr:x>0.43375000000000002</cdr:x>
      <cdr:y>0.22800000000000001</cdr:y>
    </cdr:to>
    <cdr:sp macro="" textlink="">
      <cdr:nvSpPr>
        <cdr:cNvPr id="27" name="直線コネクタ 26"/>
        <cdr:cNvSpPr/>
      </cdr:nvSpPr>
      <cdr:spPr>
        <a:xfrm xmlns:a="http://schemas.openxmlformats.org/drawingml/2006/main" flipH="1" flipV="1">
          <a:off x="1054547" y="328909"/>
          <a:ext cx="101988" cy="23920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0.25924999999999998</cdr:x>
      <cdr:y>0.13225000000000001</cdr:y>
    </cdr:from>
    <cdr:to>
      <cdr:x>0.33524999999999999</cdr:x>
      <cdr:y>0.26574999999999999</cdr:y>
    </cdr:to>
    <cdr:sp macro="" textlink="">
      <cdr:nvSpPr>
        <cdr:cNvPr id="30" name="直線コネクタ 29"/>
        <cdr:cNvSpPr/>
      </cdr:nvSpPr>
      <cdr:spPr>
        <a:xfrm xmlns:a="http://schemas.openxmlformats.org/drawingml/2006/main" flipH="1" flipV="1">
          <a:off x="691255" y="329532"/>
          <a:ext cx="202643" cy="33264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0.38400000000000001</cdr:x>
      <cdr:y>0.48699999999999999</cdr:y>
    </cdr:from>
    <cdr:to>
      <cdr:x>0.63075000000000003</cdr:x>
      <cdr:y>0.65549999999999997</cdr:y>
    </cdr:to>
    <cdr:sp macro="" textlink="">
      <cdr:nvSpPr>
        <cdr:cNvPr id="31" name="テキスト ボックス 1"/>
        <cdr:cNvSpPr txBox="1"/>
      </cdr:nvSpPr>
      <cdr:spPr>
        <a:xfrm xmlns:a="http://schemas.openxmlformats.org/drawingml/2006/main">
          <a:off x="1023884" y="1213477"/>
          <a:ext cx="657925" cy="419858"/>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userShapes>
</file>

<file path=word/drawings/drawing7.xml><?xml version="1.0" encoding="utf-8"?>
<c:userShapes xmlns:c="http://schemas.openxmlformats.org/drawingml/2006/chart">
  <cdr:relSizeAnchor xmlns:cdr="http://schemas.openxmlformats.org/drawingml/2006/chartDrawing">
    <cdr:from>
      <cdr:x>0.38350000000000001</cdr:x>
      <cdr:y>7.3999999999999996e-002</cdr:y>
    </cdr:from>
    <cdr:to>
      <cdr:x>0.48099999999999998</cdr:x>
      <cdr:y>0.12275</cdr:y>
    </cdr:to>
    <cdr:sp macro="" textlink="">
      <cdr:nvSpPr>
        <cdr:cNvPr id="27" name="直線コネクタ 26"/>
        <cdr:cNvSpPr/>
      </cdr:nvSpPr>
      <cdr:spPr>
        <a:xfrm xmlns:a="http://schemas.openxmlformats.org/drawingml/2006/main" flipH="1" flipV="1">
          <a:off x="946084" y="159859"/>
          <a:ext cx="240530" cy="10531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0.38724999999999998</cdr:x>
      <cdr:y>0.439</cdr:y>
    </cdr:from>
    <cdr:to>
      <cdr:x>0.63424999999999998</cdr:x>
      <cdr:y>0.60750000000000004</cdr:y>
    </cdr:to>
    <cdr:sp macro="" textlink="">
      <cdr:nvSpPr>
        <cdr:cNvPr id="31" name="テキスト ボックス 1"/>
        <cdr:cNvSpPr txBox="1"/>
      </cdr:nvSpPr>
      <cdr:spPr>
        <a:xfrm xmlns:a="http://schemas.openxmlformats.org/drawingml/2006/main">
          <a:off x="955336" y="948358"/>
          <a:ext cx="609342" cy="364005"/>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userShapes>
</file>

<file path=word/drawings/drawing8.xml><?xml version="1.0" encoding="utf-8"?>
<c:userShapes xmlns:c="http://schemas.openxmlformats.org/drawingml/2006/chart">
  <cdr:relSizeAnchor xmlns:cdr="http://schemas.openxmlformats.org/drawingml/2006/chartDrawing">
    <cdr:from>
      <cdr:x>0.16925000000000001</cdr:x>
      <cdr:y>0.19875000000000001</cdr:y>
    </cdr:from>
    <cdr:to>
      <cdr:x>0.26424999999999998</cdr:x>
      <cdr:y>0.30249999999999999</cdr:y>
    </cdr:to>
    <cdr:sp macro="" textlink="">
      <cdr:nvSpPr>
        <cdr:cNvPr id="5" name="直線コネクタ 4"/>
        <cdr:cNvSpPr/>
      </cdr:nvSpPr>
      <cdr:spPr>
        <a:xfrm xmlns:a="http://schemas.openxmlformats.org/drawingml/2006/main">
          <a:off x="430539" y="536124"/>
          <a:ext cx="241661" cy="27986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0.53049999999999997</cdr:x>
      <cdr:y>0.11849999999999999</cdr:y>
    </cdr:from>
    <cdr:to>
      <cdr:x>0.53400000000000003</cdr:x>
      <cdr:y>0.1565</cdr:y>
    </cdr:to>
    <cdr:sp macro="" textlink="">
      <cdr:nvSpPr>
        <cdr:cNvPr id="8" name="直線コネクタ 7"/>
        <cdr:cNvSpPr/>
      </cdr:nvSpPr>
      <cdr:spPr>
        <a:xfrm xmlns:a="http://schemas.openxmlformats.org/drawingml/2006/main" flipV="1">
          <a:off x="1349491" y="319651"/>
          <a:ext cx="8903" cy="10250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0.51475000000000004</cdr:x>
      <cdr:y>0.8075</cdr:y>
    </cdr:from>
    <cdr:to>
      <cdr:x>0.54049999999999998</cdr:x>
      <cdr:y>0.88024999999999998</cdr:y>
    </cdr:to>
    <cdr:sp macro="" textlink="">
      <cdr:nvSpPr>
        <cdr:cNvPr id="11" name="直線コネクタ 10"/>
        <cdr:cNvSpPr/>
      </cdr:nvSpPr>
      <cdr:spPr>
        <a:xfrm xmlns:a="http://schemas.openxmlformats.org/drawingml/2006/main" flipH="1" flipV="1">
          <a:off x="1309426" y="2178215"/>
          <a:ext cx="65503" cy="19624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0.26700000000000002</cdr:x>
      <cdr:y>0.74924999999999997</cdr:y>
    </cdr:from>
    <cdr:to>
      <cdr:x>0.32850000000000001</cdr:x>
      <cdr:y>0.82725000000000004</cdr:y>
    </cdr:to>
    <cdr:sp macro="" textlink="">
      <cdr:nvSpPr>
        <cdr:cNvPr id="17" name="直線コネクタ 16"/>
        <cdr:cNvSpPr/>
      </cdr:nvSpPr>
      <cdr:spPr>
        <a:xfrm xmlns:a="http://schemas.openxmlformats.org/drawingml/2006/main" flipH="1">
          <a:off x="679197" y="2021086"/>
          <a:ext cx="156444" cy="21040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0.13075000000000001</cdr:x>
      <cdr:y>0.58599999999999997</cdr:y>
    </cdr:from>
    <cdr:to>
      <cdr:x>0.21274999999999999</cdr:x>
      <cdr:y>0.67700000000000005</cdr:y>
    </cdr:to>
    <cdr:sp macro="" textlink="">
      <cdr:nvSpPr>
        <cdr:cNvPr id="20" name="直線コネクタ 19"/>
        <cdr:cNvSpPr/>
      </cdr:nvSpPr>
      <cdr:spPr>
        <a:xfrm xmlns:a="http://schemas.openxmlformats.org/drawingml/2006/main" flipH="1">
          <a:off x="332603" y="1580723"/>
          <a:ext cx="208592" cy="24547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0.15049999999999999</cdr:x>
      <cdr:y>0.51800000000000002</cdr:y>
    </cdr:from>
    <cdr:to>
      <cdr:x>0.19875000000000001</cdr:x>
      <cdr:y>0.51800000000000002</cdr:y>
    </cdr:to>
    <cdr:sp macro="" textlink="">
      <cdr:nvSpPr>
        <cdr:cNvPr id="24" name="直線コネクタ 23"/>
        <cdr:cNvSpPr/>
      </cdr:nvSpPr>
      <cdr:spPr>
        <a:xfrm xmlns:a="http://schemas.openxmlformats.org/drawingml/2006/main" flipH="1">
          <a:off x="382843" y="1397294"/>
          <a:ext cx="122738"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0.36899999999999999</cdr:x>
      <cdr:y>0.1205</cdr:y>
    </cdr:from>
    <cdr:to>
      <cdr:x>0.41275000000000001</cdr:x>
      <cdr:y>0.1825</cdr:y>
    </cdr:to>
    <cdr:sp macro="" textlink="">
      <cdr:nvSpPr>
        <cdr:cNvPr id="27" name="直線コネクタ 26"/>
        <cdr:cNvSpPr/>
      </cdr:nvSpPr>
      <cdr:spPr>
        <a:xfrm xmlns:a="http://schemas.openxmlformats.org/drawingml/2006/main" flipH="1" flipV="1">
          <a:off x="938665" y="325046"/>
          <a:ext cx="111291" cy="16724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0.16700000000000001</cdr:x>
      <cdr:y>0.33624999999999999</cdr:y>
    </cdr:from>
    <cdr:to>
      <cdr:x>0.20874999999999999</cdr:x>
      <cdr:y>0.42475000000000002</cdr:y>
    </cdr:to>
    <cdr:sp macro="" textlink="">
      <cdr:nvSpPr>
        <cdr:cNvPr id="30" name="直線コネクタ 29"/>
        <cdr:cNvSpPr/>
      </cdr:nvSpPr>
      <cdr:spPr>
        <a:xfrm xmlns:a="http://schemas.openxmlformats.org/drawingml/2006/main" flipH="1" flipV="1">
          <a:off x="424816" y="907027"/>
          <a:ext cx="106204" cy="23872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0.432</cdr:x>
      <cdr:y>0.40400000000000003</cdr:y>
    </cdr:from>
    <cdr:to>
      <cdr:x>0.67900000000000005</cdr:x>
      <cdr:y>0.57274999999999998</cdr:y>
    </cdr:to>
    <cdr:sp macro="" textlink="">
      <cdr:nvSpPr>
        <cdr:cNvPr id="31" name="テキスト ボックス 1"/>
        <cdr:cNvSpPr txBox="1"/>
      </cdr:nvSpPr>
      <cdr:spPr>
        <a:xfrm xmlns:a="http://schemas.openxmlformats.org/drawingml/2006/main">
          <a:off x="1098925" y="1089781"/>
          <a:ext cx="628321" cy="455199"/>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userShapes>
</file>

<file path=word/drawings/drawing9.xml><?xml version="1.0" encoding="utf-8"?>
<c:userShapes xmlns:c="http://schemas.openxmlformats.org/drawingml/2006/chart">
  <cdr:relSizeAnchor xmlns:cdr="http://schemas.openxmlformats.org/drawingml/2006/chartDrawing">
    <cdr:from>
      <cdr:x>0.46875</cdr:x>
      <cdr:y>0.10975</cdr:y>
    </cdr:from>
    <cdr:to>
      <cdr:x>0.50900000000000001</cdr:x>
      <cdr:y>0.1855</cdr:y>
    </cdr:to>
    <cdr:sp macro="" textlink="">
      <cdr:nvSpPr>
        <cdr:cNvPr id="9" name="直線コネクタ 19"/>
        <cdr:cNvSpPr/>
      </cdr:nvSpPr>
      <cdr:spPr>
        <a:xfrm xmlns:a="http://schemas.openxmlformats.org/drawingml/2006/main">
          <a:off x="1192410" y="257160"/>
          <a:ext cx="102388" cy="17749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0.434</cdr:x>
      <cdr:y>0.47199999999999998</cdr:y>
    </cdr:from>
    <cdr:to>
      <cdr:x>0.68100000000000005</cdr:x>
      <cdr:y>0.64049999999999996</cdr:y>
    </cdr:to>
    <cdr:sp macro="" textlink="">
      <cdr:nvSpPr>
        <cdr:cNvPr id="15" name="テキスト ボックス 1"/>
        <cdr:cNvSpPr txBox="1"/>
      </cdr:nvSpPr>
      <cdr:spPr>
        <a:xfrm xmlns:a="http://schemas.openxmlformats.org/drawingml/2006/main">
          <a:off x="1104013" y="1105966"/>
          <a:ext cx="628321" cy="394820"/>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latin typeface="+mj-ea"/>
              <a:ea typeface="+mj-ea"/>
            </a:rPr>
            <a:t>回答数</a:t>
          </a:r>
          <a:endParaRPr lang="en-US" altLang="ja-JP" sz="900">
            <a:latin typeface="+mj-ea"/>
            <a:ea typeface="+mj-ea"/>
          </a:endParaRPr>
        </a:p>
        <a:p xmlns:a="http://schemas.openxmlformats.org/drawingml/2006/main">
          <a:r>
            <a:rPr lang="en-US" altLang="ja-JP" sz="900">
              <a:latin typeface="+mj-ea"/>
              <a:ea typeface="+mj-ea"/>
            </a:rPr>
            <a:t>1,718</a:t>
          </a:r>
          <a:r>
            <a:rPr lang="ja-JP" altLang="en-US" sz="900">
              <a:latin typeface="+mj-ea"/>
              <a:ea typeface="+mj-ea"/>
            </a:rPr>
            <a:t>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2</TotalTime>
  <Pages>1</Pages>
  <Words>19</Words>
  <Characters>113</Characters>
  <Application>Microsoft Office Word</Application>
  <Lines>1</Lines>
  <Paragraphs>1</Paragraphs>
  <CharactersWithSpaces>131</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西村和也</dc:creator>
  <cp:lastModifiedBy>490012</cp:lastModifiedBy>
  <cp:lastPrinted>2015-12-01T23:55:00Z</cp:lastPrinted>
  <dcterms:created xsi:type="dcterms:W3CDTF">2019-10-21T05:12:00Z</dcterms:created>
  <dcterms:modified xsi:type="dcterms:W3CDTF">2019-12-16T23:29:50Z</dcterms:modified>
  <cp:revision>2</cp:revision>
</cp:coreProperties>
</file>