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385445</wp:posOffset>
                </wp:positionH>
                <wp:positionV relativeFrom="paragraph">
                  <wp:posOffset>-713740</wp:posOffset>
                </wp:positionV>
                <wp:extent cx="4650105" cy="493395"/>
                <wp:effectExtent l="36830" t="41910" r="59690" b="71120"/>
                <wp:wrapNone/>
                <wp:docPr id="1026" name="Rectangle 12"/>
                <a:graphic xmlns:a="http://schemas.openxmlformats.org/drawingml/2006/main">
                  <a:graphicData uri="http://schemas.microsoft.com/office/word/2010/wordprocessingShape">
                    <wps:wsp>
                      <wps:cNvPr id="1026" name="Rectangle 12"/>
                      <wps:cNvSpPr>
                        <a:spLocks noChangeArrowheads="1"/>
                      </wps:cNvSpPr>
                      <wps:spPr>
                        <a:xfrm>
                          <a:off x="0" y="0"/>
                          <a:ext cx="4650105" cy="493395"/>
                        </a:xfrm>
                        <a:prstGeom prst="rect">
                          <a:avLst/>
                        </a:prstGeom>
                        <a:solidFill>
                          <a:schemeClr val="accent1"/>
                        </a:solidFill>
                        <a:ln w="38100">
                          <a:solidFill>
                            <a:schemeClr val="lt1">
                              <a:lumMod val="95000"/>
                            </a:schemeClr>
                          </a:solidFill>
                          <a:miter lim="800000"/>
                          <a:headEnd/>
                          <a:tailEnd/>
                        </a:ln>
                        <a:effectLst>
                          <a:outerShdw dist="28398" dir="3806097" algn="ctr" rotWithShape="0">
                            <a:schemeClr val="accent1">
                              <a:lumMod val="50000"/>
                              <a:alpha val="50000"/>
                            </a:schemeClr>
                          </a:outerShdw>
                        </a:effectLst>
                      </wps:spPr>
                      <wps:txbx>
                        <w:txbxContent>
                          <w:p>
                            <w:pPr>
                              <w:pStyle w:val="0"/>
                              <w:jc w:val="left"/>
                              <w:rPr>
                                <w:rFonts w:hint="default"/>
                                <w:b w:val="1"/>
                                <w:color w:val="FFFFFF" w:themeColor="background1"/>
                                <w:sz w:val="24"/>
                              </w:rPr>
                            </w:pPr>
                            <w:r>
                              <w:rPr>
                                <w:rFonts w:hint="eastAsia"/>
                                <w:b w:val="1"/>
                                <w:color w:val="FFFFFF" w:themeColor="background1"/>
                                <w:sz w:val="24"/>
                              </w:rPr>
                              <w:t>役員以外の従業員がいる事業者（従業員数</w:t>
                            </w:r>
                            <w:r>
                              <w:rPr>
                                <w:rFonts w:hint="eastAsia"/>
                                <w:b w:val="1"/>
                                <w:color w:val="FFFFFF" w:themeColor="background1"/>
                                <w:sz w:val="24"/>
                              </w:rPr>
                              <w:t>10</w:t>
                            </w:r>
                            <w:r>
                              <w:rPr>
                                <w:rFonts w:hint="eastAsia"/>
                                <w:b w:val="1"/>
                                <w:color w:val="FFFFFF" w:themeColor="background1"/>
                                <w:sz w:val="24"/>
                              </w:rPr>
                              <w:t>人以上の事業者を除く）の例（必ず必要な項目）</w:t>
                            </w:r>
                          </w:p>
                        </w:txbxContent>
                      </wps:txbx>
                      <wps:bodyPr rot="0" vertOverflow="overflow" horzOverflow="overflow" wrap="square" lIns="74295" tIns="8890" rIns="74295" bIns="8890" anchor="t" anchorCtr="0" upright="1"/>
                    </wps:wsp>
                  </a:graphicData>
                </a:graphic>
              </wp:anchor>
            </w:drawing>
          </mc:Choice>
          <mc:Fallback>
            <w:pict>
              <v:rect id="Rectangle 12" style="mso-wrap-distance-right:9pt;mso-wrap-distance-bottom:0pt;margin-top:-56.2pt;mso-position-vertical-relative:text;mso-position-horizontal-relative:text;v-text-anchor:top;position:absolute;height:38.85pt;mso-wrap-distance-top:0pt;width:366.15pt;mso-wrap-distance-left:9pt;margin-left:30.35pt;z-index:8;" o:spid="_x0000_s1026" o:allowincell="t" o:allowoverlap="t" filled="t" fillcolor="#4f81bd [3204]" stroked="t" strokecolor="#f2f2f2 [3041]" strokeweight="3pt" o:spt="1">
                <v:fill/>
                <v:stroke miterlimit="8" filltype="solid"/>
                <v:shadow on="t" color="#244062" opacity="32768f" offset="1pt,2pt" matrix="65536f,,,65536f,,"/>
                <v:textbox style="layout-flow:horizontal;" inset="2.0637499999999998mm,0.24694444444444438mm,2.0637499999999998mm,0.24694444444444438mm">
                  <w:txbxContent>
                    <w:p>
                      <w:pPr>
                        <w:pStyle w:val="0"/>
                        <w:jc w:val="left"/>
                        <w:rPr>
                          <w:rFonts w:hint="default"/>
                          <w:b w:val="1"/>
                          <w:color w:val="FFFFFF" w:themeColor="background1"/>
                          <w:sz w:val="24"/>
                        </w:rPr>
                      </w:pPr>
                      <w:r>
                        <w:rPr>
                          <w:rFonts w:hint="eastAsia"/>
                          <w:b w:val="1"/>
                          <w:color w:val="FFFFFF" w:themeColor="background1"/>
                          <w:sz w:val="24"/>
                        </w:rPr>
                        <w:t>役員以外の従業員がいる事業者（従業員数</w:t>
                      </w:r>
                      <w:r>
                        <w:rPr>
                          <w:rFonts w:hint="eastAsia"/>
                          <w:b w:val="1"/>
                          <w:color w:val="FFFFFF" w:themeColor="background1"/>
                          <w:sz w:val="24"/>
                        </w:rPr>
                        <w:t>10</w:t>
                      </w:r>
                      <w:r>
                        <w:rPr>
                          <w:rFonts w:hint="eastAsia"/>
                          <w:b w:val="1"/>
                          <w:color w:val="FFFFFF" w:themeColor="background1"/>
                          <w:sz w:val="24"/>
                        </w:rPr>
                        <w:t>人以上の事業者を除く）の例（必ず必要な項目）</w:t>
                      </w:r>
                    </w:p>
                  </w:txbxContent>
                </v:textbox>
                <v:imagedata o:title=""/>
                <w10:wrap type="none" anchorx="text" anchory="text"/>
              </v:rect>
            </w:pict>
          </mc:Fallback>
        </mc:AlternateContent>
      </w:r>
      <w:r>
        <w:rPr>
          <w:rFonts w:hint="default"/>
        </w:rPr>
        <mc:AlternateContent>
          <mc:Choice Requires="wps">
            <w:drawing>
              <wp:anchor distT="0" distB="0" distL="114300" distR="114300" simplePos="0" relativeHeight="2" behindDoc="0" locked="0" layoutInCell="1" hidden="0" allowOverlap="1">
                <wp:simplePos x="0" y="0"/>
                <wp:positionH relativeFrom="column">
                  <wp:posOffset>2553335</wp:posOffset>
                </wp:positionH>
                <wp:positionV relativeFrom="paragraph">
                  <wp:posOffset>97155</wp:posOffset>
                </wp:positionV>
                <wp:extent cx="2672080" cy="270510"/>
                <wp:effectExtent l="42545" t="33655" r="60325" b="73660"/>
                <wp:wrapNone/>
                <wp:docPr id="1027" name="Rectangle 3"/>
                <a:graphic xmlns:a="http://schemas.openxmlformats.org/drawingml/2006/main">
                  <a:graphicData uri="http://schemas.microsoft.com/office/word/2010/wordprocessingShape">
                    <wps:wsp>
                      <wps:cNvPr id="1027" name="Rectangle 3"/>
                      <wps:cNvSpPr>
                        <a:spLocks noChangeArrowheads="1"/>
                      </wps:cNvSpPr>
                      <wps:spPr>
                        <a:xfrm>
                          <a:off x="0" y="0"/>
                          <a:ext cx="2672080" cy="270510"/>
                        </a:xfrm>
                        <a:prstGeom prst="rect">
                          <a:avLst/>
                        </a:prstGeom>
                        <a:solidFill>
                          <a:schemeClr val="accent1"/>
                        </a:solidFill>
                        <a:ln w="38100">
                          <a:solidFill>
                            <a:schemeClr val="lt1">
                              <a:lumMod val="95000"/>
                            </a:schemeClr>
                          </a:solidFill>
                          <a:miter lim="800000"/>
                          <a:headEnd/>
                          <a:tailEnd/>
                        </a:ln>
                        <a:effectLst>
                          <a:outerShdw dist="28398" dir="3806097" algn="ctr" rotWithShape="0">
                            <a:schemeClr val="accent1">
                              <a:lumMod val="50000"/>
                              <a:alpha val="50000"/>
                            </a:schemeClr>
                          </a:outerShdw>
                        </a:effectLst>
                      </wps:spPr>
                      <wps:txbx>
                        <w:txbxContent>
                          <w:p>
                            <w:pPr>
                              <w:pStyle w:val="0"/>
                              <w:jc w:val="left"/>
                              <w:rPr>
                                <w:rFonts w:hint="default"/>
                                <w:b w:val="1"/>
                                <w:color w:val="FFFFFF" w:themeColor="background1"/>
                                <w:sz w:val="24"/>
                              </w:rPr>
                            </w:pPr>
                            <w:r>
                              <w:rPr>
                                <w:rFonts w:hint="eastAsia"/>
                                <w:b w:val="1"/>
                                <w:color w:val="FFFFFF" w:themeColor="background1"/>
                                <w:sz w:val="24"/>
                              </w:rPr>
                              <w:t>①経営トップによる基本方針の表明</w:t>
                            </w:r>
                          </w:p>
                        </w:txbxContent>
                      </wps:txbx>
                      <wps:bodyPr rot="0" vertOverflow="overflow" horzOverflow="overflow" wrap="square" lIns="74295" tIns="8890" rIns="74295" bIns="8890" anchor="t" anchorCtr="0" upright="1"/>
                    </wps:wsp>
                  </a:graphicData>
                </a:graphic>
              </wp:anchor>
            </w:drawing>
          </mc:Choice>
          <mc:Fallback>
            <w:pict>
              <v:rect id="Rectangle 3" style="mso-wrap-distance-right:9pt;mso-wrap-distance-bottom:0pt;margin-top:7.65pt;mso-position-vertical-relative:text;mso-position-horizontal-relative:text;v-text-anchor:top;position:absolute;height:21.3pt;mso-wrap-distance-top:0pt;width:210.4pt;mso-wrap-distance-left:9pt;margin-left:201.05pt;z-index:2;" o:spid="_x0000_s1027" o:allowincell="t" o:allowoverlap="t" filled="t" fillcolor="#4f81bd [3204]" stroked="t" strokecolor="#f2f2f2 [3041]" strokeweight="3pt" o:spt="1">
                <v:fill/>
                <v:stroke miterlimit="8" filltype="solid"/>
                <v:shadow on="t" color="#244062" opacity="32768f" offset="1pt,2pt" matrix="65536f,,,65536f,,"/>
                <v:textbox style="layout-flow:horizontal;" inset="2.0637499999999998mm,0.24694444444444438mm,2.0637499999999998mm,0.24694444444444438mm">
                  <w:txbxContent>
                    <w:p>
                      <w:pPr>
                        <w:pStyle w:val="0"/>
                        <w:jc w:val="left"/>
                        <w:rPr>
                          <w:rFonts w:hint="default"/>
                          <w:b w:val="1"/>
                          <w:color w:val="FFFFFF" w:themeColor="background1"/>
                          <w:sz w:val="24"/>
                        </w:rPr>
                      </w:pPr>
                      <w:r>
                        <w:rPr>
                          <w:rFonts w:hint="eastAsia"/>
                          <w:b w:val="1"/>
                          <w:color w:val="FFFFFF" w:themeColor="background1"/>
                          <w:sz w:val="24"/>
                        </w:rPr>
                        <w:t>①経営トップによる基本方針の表明</w:t>
                      </w:r>
                    </w:p>
                  </w:txbxContent>
                </v:textbox>
                <v:imagedata o:title=""/>
                <w10:wrap type="none" anchorx="text" anchory="text"/>
              </v:rect>
            </w:pict>
          </mc:Fallback>
        </mc:AlternateContent>
      </w:r>
      <w:bookmarkStart w:id="0" w:name="_GoBack"/>
      <w:bookmarkEnd w:id="0"/>
    </w:p>
    <w:p>
      <w:pPr>
        <w:pStyle w:val="0"/>
        <w:rPr>
          <w:rFonts w:hint="default"/>
        </w:rPr>
      </w:pPr>
      <w:r>
        <w:rPr>
          <w:rFonts w:hint="eastAsia"/>
        </w:rPr>
        <w:t>○○○株式会社</w:t>
      </w:r>
    </w:p>
    <w:p>
      <w:pPr>
        <w:pStyle w:val="0"/>
        <w:rPr>
          <w:rFonts w:hint="default"/>
        </w:rPr>
      </w:pPr>
    </w:p>
    <w:p>
      <w:pPr>
        <w:pStyle w:val="0"/>
        <w:jc w:val="center"/>
        <w:rPr>
          <w:rFonts w:hint="default"/>
        </w:rPr>
      </w:pPr>
      <w:r>
        <w:rPr>
          <w:rFonts w:hint="eastAsia"/>
        </w:rPr>
        <w:t>コンプライアンス基本方針</w:t>
      </w:r>
    </w:p>
    <w:p>
      <w:pPr>
        <w:pStyle w:val="0"/>
        <w:rPr>
          <w:rFonts w:hint="default"/>
        </w:rPr>
      </w:pPr>
    </w:p>
    <w:p>
      <w:pPr>
        <w:pStyle w:val="0"/>
        <w:rPr>
          <w:rFonts w:hint="default"/>
        </w:rPr>
      </w:pPr>
      <w:r>
        <w:rPr>
          <w:rFonts w:hint="eastAsia"/>
        </w:rPr>
        <w:t>はじめに</w:t>
      </w:r>
    </w:p>
    <w:p>
      <w:pPr>
        <w:pStyle w:val="0"/>
        <w:rPr>
          <w:rFonts w:hint="default"/>
        </w:rPr>
      </w:pPr>
    </w:p>
    <w:p>
      <w:pPr>
        <w:pStyle w:val="0"/>
        <w:ind w:firstLine="220" w:firstLineChars="100"/>
        <w:rPr>
          <w:rFonts w:hint="default"/>
        </w:rPr>
      </w:pPr>
      <w:r>
        <w:rPr>
          <w:rFonts w:hint="eastAsia"/>
        </w:rPr>
        <w:t>今日、企業に対する社会的責任や公共的使命を要請する機運が高まっています。それに応えるためには、私たち企業と社員一人一人が、法令や社会的規範を遵守して、事業活動を行うことが重要であるとの認識が必要です。</w:t>
      </w:r>
    </w:p>
    <w:p>
      <w:pPr>
        <w:pStyle w:val="0"/>
        <w:rPr>
          <w:rFonts w:hint="default"/>
        </w:rPr>
      </w:pPr>
    </w:p>
    <w:p>
      <w:pPr>
        <w:pStyle w:val="0"/>
        <w:ind w:firstLine="220" w:firstLineChars="100"/>
        <w:rPr>
          <w:rFonts w:hint="default"/>
        </w:rPr>
      </w:pPr>
      <w:r>
        <w:rPr>
          <w:rFonts w:hint="eastAsia"/>
        </w:rPr>
        <w:t>また、そのような経営姿勢こそが、明るい職場と健全な取引関係を築き、仕事を通して社会の発展に貢献していくことにもつながり、社会から高い信頼と評価を得ることができると考えています。</w:t>
      </w:r>
    </w:p>
    <w:p>
      <w:pPr>
        <w:pStyle w:val="0"/>
        <w:rPr>
          <w:rFonts w:hint="default"/>
        </w:rPr>
      </w:pPr>
    </w:p>
    <w:p>
      <w:pPr>
        <w:pStyle w:val="0"/>
        <w:ind w:firstLine="220" w:firstLineChars="100"/>
        <w:rPr>
          <w:rFonts w:hint="default"/>
        </w:rPr>
      </w:pPr>
      <w:r>
        <w:rPr>
          <w:rFonts w:hint="eastAsia"/>
        </w:rPr>
        <w:t>ここに掲げるコンプライアンス基本方針は、すべての役職員が守らなければならない基本原則です。私の目指すところは、公正かつ適切な経営を実現し、企業に与えられた社会的責任を果たしていくことです。</w:t>
      </w:r>
    </w:p>
    <w:p>
      <w:pPr>
        <w:pStyle w:val="0"/>
        <w:rPr>
          <w:rFonts w:hint="default"/>
        </w:rPr>
      </w:pPr>
    </w:p>
    <w:p>
      <w:pPr>
        <w:pStyle w:val="0"/>
        <w:ind w:firstLine="220" w:firstLineChars="100"/>
        <w:rPr>
          <w:rFonts w:hint="default"/>
        </w:rPr>
      </w:pPr>
      <w:r>
        <w:rPr>
          <w:rFonts w:hint="eastAsia"/>
        </w:rPr>
        <w:t>私たちの主力事業である</w:t>
      </w:r>
      <w:r>
        <w:rPr>
          <w:rFonts w:hint="eastAsia"/>
          <w:shd w:val="clear" w:color="auto" w:fill="FFFF00"/>
        </w:rPr>
        <w:t>〇〇業</w:t>
      </w:r>
      <w:r>
        <w:rPr>
          <w:rFonts w:hint="eastAsia"/>
        </w:rPr>
        <w:t>は、公共性が高く、</w:t>
      </w:r>
      <w:r>
        <w:rPr>
          <w:rFonts w:hint="eastAsia"/>
          <w:shd w:val="clear" w:color="auto" w:fill="FFFF00"/>
        </w:rPr>
        <w:t>安全・安心な生活基盤の実現のために不可欠なものであり、</w:t>
      </w:r>
      <w:r>
        <w:rPr>
          <w:rFonts w:hint="eastAsia"/>
        </w:rPr>
        <w:t>高品質で安全性の高いものを提供する責任は非常に重要です。</w:t>
      </w:r>
    </w:p>
    <w:p>
      <w:pPr>
        <w:pStyle w:val="0"/>
        <w:ind w:firstLine="220" w:firstLineChars="100"/>
        <w:rPr>
          <w:rFonts w:hint="default"/>
        </w:rPr>
      </w:pPr>
    </w:p>
    <w:p>
      <w:pPr>
        <w:pStyle w:val="0"/>
        <w:ind w:firstLine="220" w:firstLineChars="100"/>
        <w:rPr>
          <w:rFonts w:hint="default"/>
        </w:rPr>
      </w:pPr>
      <w:r>
        <w:rPr>
          <w:rFonts w:hint="eastAsia"/>
        </w:rPr>
        <w:t>今回、ここに、当社のコンプライアンス基本方針を作成するにあたり、私たち、</w:t>
      </w:r>
    </w:p>
    <w:p>
      <w:pPr>
        <w:pStyle w:val="0"/>
        <w:rPr>
          <w:rFonts w:hint="default"/>
        </w:rPr>
      </w:pPr>
      <w:r>
        <w:rPr>
          <w:rFonts w:hint="eastAsia"/>
        </w:rPr>
        <w:t>○○株式会社の役職員は、等しく誠心誠意、基本方針及び業務に関する法令・ルールを遵守し、より一層倫理的な組織文化を構築していくことを宣言します。</w:t>
      </w:r>
    </w:p>
    <w:p>
      <w:pPr>
        <w:pStyle w:val="0"/>
        <w:ind w:firstLine="220" w:firstLineChars="100"/>
        <w:rPr>
          <w:rFonts w:hint="default"/>
        </w:rPr>
      </w:pPr>
    </w:p>
    <w:p>
      <w:pPr>
        <w:pStyle w:val="0"/>
        <w:ind w:left="3360"/>
        <w:rPr>
          <w:rFonts w:hint="default"/>
        </w:rPr>
      </w:pPr>
      <w:r>
        <w:rPr>
          <w:rFonts w:hint="eastAsia"/>
        </w:rPr>
        <w:t>令和　　年　　月　　日</w:t>
      </w:r>
    </w:p>
    <w:p>
      <w:pPr>
        <w:pStyle w:val="0"/>
        <w:ind w:left="2520" w:firstLine="840"/>
        <w:rPr>
          <w:rFonts w:hint="default"/>
        </w:rPr>
      </w:pPr>
      <w:r>
        <w:rPr>
          <w:rFonts w:hint="eastAsia"/>
        </w:rPr>
        <w:t>○○株式会社</w:t>
      </w:r>
    </w:p>
    <w:p>
      <w:pPr>
        <w:pStyle w:val="0"/>
        <w:ind w:left="3360"/>
        <w:rPr>
          <w:rFonts w:hint="default"/>
        </w:rPr>
      </w:pPr>
      <w:r>
        <w:rPr>
          <w:rFonts w:hint="eastAsia"/>
        </w:rPr>
        <w:t>代表取締役社長</w:t>
      </w:r>
      <w:r>
        <w:rPr>
          <w:rFonts w:hint="default"/>
        </w:rPr>
        <w:t xml:space="preserve"> </w:t>
      </w:r>
      <w:r>
        <w:rPr>
          <w:rFonts w:hint="eastAsia"/>
        </w:rPr>
        <w:t>○○</w:t>
      </w:r>
      <w:r>
        <w:rPr>
          <w:rFonts w:hint="default"/>
        </w:rPr>
        <w:t xml:space="preserve"> </w:t>
      </w:r>
      <w:r>
        <w:rPr>
          <w:rFonts w:hint="eastAsia"/>
        </w:rPr>
        <w:t>○○</w:t>
      </w:r>
    </w:p>
    <w:p>
      <w:pPr>
        <w:pStyle w:val="0"/>
        <w:rPr>
          <w:rFonts w:hint="default"/>
        </w:rPr>
      </w:pPr>
    </w:p>
    <w:p>
      <w:pPr>
        <w:pStyle w:val="0"/>
        <w:rPr>
          <w:rFonts w:hint="default"/>
        </w:rPr>
      </w:pPr>
      <w:r>
        <w:rPr>
          <w:rFonts w:hint="default"/>
        </w:rPr>
        <w:br w:type="page"/>
      </w:r>
    </w:p>
    <w:p>
      <w:pPr>
        <w:pStyle w:val="0"/>
        <w:rPr>
          <w:rFonts w:hint="default"/>
        </w:rPr>
      </w:pPr>
    </w:p>
    <w:p>
      <w:pPr>
        <w:pStyle w:val="0"/>
        <w:rPr>
          <w:rFonts w:hint="default"/>
        </w:rPr>
      </w:pPr>
      <w:r>
        <w:rPr>
          <w:rFonts w:hint="eastAsia"/>
        </w:rPr>
        <w:t>１　目的と基本姿勢</w:t>
      </w:r>
    </w:p>
    <w:p>
      <w:pPr>
        <w:pStyle w:val="0"/>
        <w:ind w:firstLine="220" w:firstLineChars="100"/>
        <w:rPr>
          <w:rFonts w:hint="default"/>
        </w:rPr>
      </w:pPr>
      <w:r>
        <w:rPr>
          <w:rFonts w:hint="eastAsia"/>
        </w:rPr>
        <w:t>このコンプライアンス基本方針は、当社の業務を遂行する上で、特に重要と思われる問題に関して注意を要する事項をまとめたものです。したがって、これは、すべてを網羅するものではありません。あくまでも基本的な考え方を示したものです。</w:t>
      </w:r>
    </w:p>
    <w:p>
      <w:pPr>
        <w:pStyle w:val="0"/>
        <w:rPr>
          <w:rFonts w:hint="default"/>
        </w:rPr>
      </w:pPr>
    </w:p>
    <w:p>
      <w:pPr>
        <w:pStyle w:val="0"/>
        <w:ind w:firstLine="220" w:firstLineChars="100"/>
        <w:rPr>
          <w:rFonts w:hint="default"/>
        </w:rPr>
      </w:pPr>
      <w:r>
        <w:rPr>
          <w:rFonts w:hint="eastAsia"/>
        </w:rPr>
        <w:t>ここで、触れられていない問題、または自分だけでは答えを見つけにくい複雑な問題等については、直属の上司、コンプライアンス担当部署等に相談してください。</w:t>
      </w:r>
    </w:p>
    <w:p>
      <w:pPr>
        <w:pStyle w:val="0"/>
        <w:ind w:firstLine="220" w:firstLineChars="100"/>
        <w:rPr>
          <w:rFonts w:hint="default"/>
        </w:rPr>
      </w:pPr>
      <w:r>
        <w:rPr>
          <w:rFonts w:hint="eastAsia"/>
        </w:rPr>
        <w:t>もし、相談や報告に対して何らかの報復が加えられるようなことがあれば、事実関係を調査し、それを正していきます。問題があれば、声に出すように心がけてください。私たちは、公正な職場と健全な取引関係を築き上げ、仕事を通して社会の発展に貢献していくことを目指していきます。</w:t>
      </w:r>
    </w:p>
    <w:p>
      <w:pPr>
        <w:pStyle w:val="0"/>
        <w:rPr>
          <w:rFonts w:hint="default"/>
        </w:rPr>
      </w:pPr>
    </w:p>
    <w:p>
      <w:pPr>
        <w:pStyle w:val="0"/>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3181985</wp:posOffset>
                </wp:positionH>
                <wp:positionV relativeFrom="paragraph">
                  <wp:posOffset>97155</wp:posOffset>
                </wp:positionV>
                <wp:extent cx="2297430" cy="294005"/>
                <wp:effectExtent l="42545" t="33655" r="63500" b="69215"/>
                <wp:wrapNone/>
                <wp:docPr id="1028" name="Rectangle 5"/>
                <a:graphic xmlns:a="http://schemas.openxmlformats.org/drawingml/2006/main">
                  <a:graphicData uri="http://schemas.microsoft.com/office/word/2010/wordprocessingShape">
                    <wps:wsp>
                      <wps:cNvPr id="1028" name="Rectangle 5"/>
                      <wps:cNvSpPr>
                        <a:spLocks noChangeArrowheads="1"/>
                      </wps:cNvSpPr>
                      <wps:spPr>
                        <a:xfrm>
                          <a:off x="0" y="0"/>
                          <a:ext cx="2297430" cy="294005"/>
                        </a:xfrm>
                        <a:prstGeom prst="rect">
                          <a:avLst/>
                        </a:prstGeom>
                        <a:solidFill>
                          <a:schemeClr val="accent1"/>
                        </a:solidFill>
                        <a:ln w="38100">
                          <a:solidFill>
                            <a:schemeClr val="lt1">
                              <a:lumMod val="95000"/>
                            </a:schemeClr>
                          </a:solidFill>
                          <a:miter lim="800000"/>
                          <a:headEnd/>
                          <a:tailEnd/>
                        </a:ln>
                        <a:effectLst>
                          <a:outerShdw dist="28398" dir="3806097" algn="ctr" rotWithShape="0">
                            <a:schemeClr val="accent1">
                              <a:lumMod val="50000"/>
                              <a:alpha val="50000"/>
                            </a:schemeClr>
                          </a:outerShdw>
                        </a:effectLst>
                      </wps:spPr>
                      <wps:txbx>
                        <w:txbxContent>
                          <w:p>
                            <w:pPr>
                              <w:pStyle w:val="0"/>
                              <w:jc w:val="left"/>
                              <w:rPr>
                                <w:rFonts w:hint="default"/>
                                <w:b w:val="1"/>
                                <w:color w:val="FFFFFF" w:themeColor="background1"/>
                                <w:sz w:val="24"/>
                              </w:rPr>
                            </w:pPr>
                            <w:r>
                              <w:rPr>
                                <w:rFonts w:hint="eastAsia"/>
                                <w:b w:val="1"/>
                                <w:color w:val="FFFFFF" w:themeColor="background1"/>
                                <w:sz w:val="24"/>
                              </w:rPr>
                              <w:t>②企業行動指針（倫理方針）</w:t>
                            </w:r>
                          </w:p>
                        </w:txbxContent>
                      </wps:txbx>
                      <wps:bodyPr rot="0" vertOverflow="overflow" horzOverflow="overflow" wrap="square" lIns="74295" tIns="8890" rIns="74295" bIns="8890" anchor="t" anchorCtr="0" upright="1"/>
                    </wps:wsp>
                  </a:graphicData>
                </a:graphic>
              </wp:anchor>
            </w:drawing>
          </mc:Choice>
          <mc:Fallback>
            <w:pict>
              <v:rect id="Rectangle 5" style="mso-wrap-distance-right:9pt;mso-wrap-distance-bottom:0pt;margin-top:7.65pt;mso-position-vertical-relative:text;mso-position-horizontal-relative:text;v-text-anchor:top;position:absolute;height:23.15pt;mso-wrap-distance-top:0pt;width:180.9pt;mso-wrap-distance-left:9pt;margin-left:250.55pt;z-index:3;" o:spid="_x0000_s1028" o:allowincell="t" o:allowoverlap="t" filled="t" fillcolor="#4f81bd [3204]" stroked="t" strokecolor="#f2f2f2 [3041]" strokeweight="3pt" o:spt="1">
                <v:fill/>
                <v:stroke miterlimit="8" filltype="solid"/>
                <v:shadow on="t" color="#244062" opacity="32768f" offset="1pt,2pt" matrix="65536f,,,65536f,,"/>
                <v:textbox style="layout-flow:horizontal;" inset="2.0637499999999998mm,0.24694444444444438mm,2.0637499999999998mm,0.24694444444444438mm">
                  <w:txbxContent>
                    <w:p>
                      <w:pPr>
                        <w:pStyle w:val="0"/>
                        <w:jc w:val="left"/>
                        <w:rPr>
                          <w:rFonts w:hint="default"/>
                          <w:b w:val="1"/>
                          <w:color w:val="FFFFFF" w:themeColor="background1"/>
                          <w:sz w:val="24"/>
                        </w:rPr>
                      </w:pPr>
                      <w:r>
                        <w:rPr>
                          <w:rFonts w:hint="eastAsia"/>
                          <w:b w:val="1"/>
                          <w:color w:val="FFFFFF" w:themeColor="background1"/>
                          <w:sz w:val="24"/>
                        </w:rPr>
                        <w:t>②企業行動指針（倫理方針）</w:t>
                      </w:r>
                    </w:p>
                  </w:txbxContent>
                </v:textbox>
                <v:imagedata o:title=""/>
                <w10:wrap type="none" anchorx="text" anchory="text"/>
              </v:rect>
            </w:pict>
          </mc:Fallback>
        </mc:AlternateContent>
      </w:r>
    </w:p>
    <w:p>
      <w:pPr>
        <w:pStyle w:val="0"/>
        <w:rPr>
          <w:rFonts w:hint="default"/>
        </w:rPr>
      </w:pPr>
    </w:p>
    <w:p>
      <w:pPr>
        <w:pStyle w:val="0"/>
        <w:rPr>
          <w:rFonts w:hint="default"/>
        </w:rPr>
      </w:pPr>
      <w:r>
        <w:rPr>
          <w:rFonts w:hint="eastAsia"/>
        </w:rPr>
        <w:t>２　企業行動指針</w:t>
      </w:r>
    </w:p>
    <w:p>
      <w:pPr>
        <w:pStyle w:val="0"/>
        <w:ind w:firstLine="220" w:firstLineChars="100"/>
        <w:rPr>
          <w:rFonts w:hint="default"/>
        </w:rPr>
      </w:pPr>
      <w:r>
        <w:rPr>
          <w:rFonts w:hint="eastAsia"/>
        </w:rPr>
        <w:t>(</w:t>
      </w:r>
      <w:r>
        <w:rPr>
          <w:rFonts w:hint="eastAsia"/>
        </w:rPr>
        <w:t>１</w:t>
      </w:r>
      <w:r>
        <w:rPr>
          <w:rFonts w:hint="eastAsia"/>
        </w:rPr>
        <w:t xml:space="preserve">)  </w:t>
      </w:r>
      <w:r>
        <w:rPr>
          <w:rFonts w:hint="eastAsia"/>
        </w:rPr>
        <w:t>企業活動のあらゆる場面で、関係法令を厳格に遵守します。</w:t>
      </w:r>
    </w:p>
    <w:p>
      <w:pPr>
        <w:pStyle w:val="0"/>
        <w:ind w:firstLine="220" w:firstLineChars="100"/>
        <w:rPr>
          <w:rFonts w:hint="default"/>
        </w:rPr>
      </w:pPr>
      <w:r>
        <w:rPr>
          <w:rFonts w:hint="default"/>
        </w:rPr>
        <w:t>(</w:t>
      </w:r>
      <w:r>
        <w:rPr>
          <w:rFonts w:hint="eastAsia"/>
        </w:rPr>
        <w:t>２</w:t>
      </w:r>
      <w:r>
        <w:rPr>
          <w:rFonts w:hint="default"/>
        </w:rPr>
        <w:t xml:space="preserve">) </w:t>
      </w:r>
      <w:r>
        <w:rPr>
          <w:rFonts w:hint="eastAsia"/>
        </w:rPr>
        <w:t xml:space="preserve"> </w:t>
      </w:r>
      <w:r>
        <w:rPr>
          <w:rFonts w:hint="eastAsia"/>
        </w:rPr>
        <w:t>技術の研鑽を図り、高品質な社会資本及び関連サービスを提供します。</w:t>
      </w:r>
    </w:p>
    <w:p>
      <w:pPr>
        <w:pStyle w:val="0"/>
        <w:ind w:firstLine="220" w:firstLineChars="100"/>
        <w:rPr>
          <w:rFonts w:hint="default"/>
        </w:rPr>
      </w:pPr>
      <w:r>
        <w:rPr>
          <w:rFonts w:hint="default"/>
        </w:rPr>
        <w:t>(</w:t>
      </w:r>
      <w:r>
        <w:rPr>
          <w:rFonts w:hint="eastAsia"/>
        </w:rPr>
        <w:t>３</w:t>
      </w:r>
      <w:r>
        <w:rPr>
          <w:rFonts w:hint="default"/>
        </w:rPr>
        <w:t xml:space="preserve">) </w:t>
      </w:r>
      <w:r>
        <w:rPr>
          <w:rFonts w:hint="eastAsia"/>
        </w:rPr>
        <w:t xml:space="preserve"> </w:t>
      </w:r>
      <w:r>
        <w:rPr>
          <w:rFonts w:hint="eastAsia"/>
        </w:rPr>
        <w:t>すべての人々が安心を得られるような徹底した安全対策を図ります。</w:t>
      </w:r>
    </w:p>
    <w:p>
      <w:pPr>
        <w:pStyle w:val="0"/>
        <w:ind w:firstLine="220" w:firstLineChars="100"/>
        <w:rPr>
          <w:rFonts w:hint="default"/>
        </w:rPr>
      </w:pPr>
      <w:r>
        <w:rPr>
          <w:rFonts w:hint="default"/>
        </w:rPr>
        <w:t>(</w:t>
      </w:r>
      <w:r>
        <w:rPr>
          <w:rFonts w:hint="eastAsia"/>
        </w:rPr>
        <w:t>４</w:t>
      </w:r>
      <w:r>
        <w:rPr>
          <w:rFonts w:hint="default"/>
        </w:rPr>
        <w:t xml:space="preserve">) </w:t>
      </w:r>
      <w:r>
        <w:rPr>
          <w:rFonts w:hint="eastAsia"/>
        </w:rPr>
        <w:t xml:space="preserve"> </w:t>
      </w:r>
      <w:r>
        <w:rPr>
          <w:rFonts w:hint="eastAsia"/>
        </w:rPr>
        <w:t>社員一人ひとりを公正、公平に評価し、働き甲斐のある職場環境を実現</w:t>
      </w:r>
    </w:p>
    <w:p>
      <w:pPr>
        <w:pStyle w:val="0"/>
        <w:ind w:firstLine="660" w:firstLineChars="300"/>
        <w:rPr>
          <w:rFonts w:hint="default"/>
        </w:rPr>
      </w:pPr>
      <w:r>
        <w:rPr>
          <w:rFonts w:hint="eastAsia"/>
        </w:rPr>
        <w:t>します。</w:t>
      </w:r>
    </w:p>
    <w:p>
      <w:pPr>
        <w:pStyle w:val="0"/>
        <w:ind w:firstLine="220" w:firstLineChars="100"/>
        <w:rPr>
          <w:rFonts w:hint="default"/>
        </w:rPr>
      </w:pPr>
      <w:r>
        <w:rPr>
          <w:rFonts w:hint="default"/>
        </w:rPr>
        <w:t>(</w:t>
      </w:r>
      <w:r>
        <w:rPr>
          <w:rFonts w:hint="eastAsia"/>
        </w:rPr>
        <w:t>５</w:t>
      </w:r>
      <w:r>
        <w:rPr>
          <w:rFonts w:hint="default"/>
        </w:rPr>
        <w:t xml:space="preserve">) </w:t>
      </w:r>
      <w:r>
        <w:rPr>
          <w:rFonts w:hint="eastAsia"/>
        </w:rPr>
        <w:t xml:space="preserve"> </w:t>
      </w:r>
      <w:r>
        <w:rPr>
          <w:rFonts w:hint="eastAsia"/>
        </w:rPr>
        <w:t>循環型社会の形成を目指し、地球環境の保全に努めます。</w:t>
      </w:r>
    </w:p>
    <w:p>
      <w:pPr>
        <w:pStyle w:val="0"/>
        <w:ind w:firstLine="220" w:firstLineChars="100"/>
        <w:rPr>
          <w:rFonts w:hint="default"/>
        </w:rPr>
      </w:pPr>
      <w:r>
        <w:rPr>
          <w:rFonts w:hint="default"/>
        </w:rPr>
        <w:t>(</w:t>
      </w:r>
      <w:r>
        <w:rPr>
          <w:rFonts w:hint="eastAsia"/>
        </w:rPr>
        <w:t>６</w:t>
      </w:r>
      <w:r>
        <w:rPr>
          <w:rFonts w:hint="default"/>
        </w:rPr>
        <w:t xml:space="preserve">) </w:t>
      </w:r>
      <w:r>
        <w:rPr>
          <w:rFonts w:hint="eastAsia"/>
        </w:rPr>
        <w:t xml:space="preserve"> </w:t>
      </w:r>
      <w:r>
        <w:rPr>
          <w:rFonts w:hint="eastAsia"/>
        </w:rPr>
        <w:t>政治、行政等との健全かつ透明性の高い関係を構築します。</w:t>
      </w:r>
    </w:p>
    <w:p>
      <w:pPr>
        <w:pStyle w:val="0"/>
        <w:ind w:firstLine="220" w:firstLineChars="100"/>
        <w:rPr>
          <w:rFonts w:hint="default"/>
        </w:rPr>
      </w:pPr>
      <w:r>
        <w:rPr>
          <w:rFonts w:hint="default"/>
        </w:rPr>
        <w:t>(</w:t>
      </w:r>
      <w:r>
        <w:rPr>
          <w:rFonts w:hint="eastAsia"/>
        </w:rPr>
        <w:t>７</w:t>
      </w:r>
      <w:r>
        <w:rPr>
          <w:rFonts w:hint="default"/>
        </w:rPr>
        <w:t xml:space="preserve">) </w:t>
      </w:r>
      <w:r>
        <w:rPr>
          <w:rFonts w:hint="eastAsia"/>
        </w:rPr>
        <w:t xml:space="preserve"> </w:t>
      </w:r>
      <w:r>
        <w:rPr>
          <w:rFonts w:hint="eastAsia"/>
        </w:rPr>
        <w:t>反社会的勢力を排除し、不法行為及び不当要求行為を断固拒否します。</w:t>
      </w:r>
    </w:p>
    <w:p>
      <w:pPr>
        <w:pStyle w:val="0"/>
        <w:ind w:firstLine="220" w:firstLineChars="100"/>
        <w:rPr>
          <w:rFonts w:hint="default"/>
        </w:rPr>
      </w:pPr>
      <w:r>
        <w:rPr>
          <w:rFonts w:hint="default"/>
        </w:rPr>
        <w:t>(</w:t>
      </w:r>
      <w:r>
        <w:rPr>
          <w:rFonts w:hint="eastAsia"/>
        </w:rPr>
        <w:t>８</w:t>
      </w:r>
      <w:r>
        <w:rPr>
          <w:rFonts w:hint="default"/>
        </w:rPr>
        <w:t xml:space="preserve">) </w:t>
      </w:r>
      <w:r>
        <w:rPr>
          <w:rFonts w:hint="eastAsia"/>
        </w:rPr>
        <w:t xml:space="preserve"> </w:t>
      </w:r>
      <w:r>
        <w:rPr>
          <w:rFonts w:hint="eastAsia"/>
        </w:rPr>
        <w:t>地域社会の一員として、社会貢献活動に積極的に取り組みます。</w:t>
      </w:r>
    </w:p>
    <w:p>
      <w:pPr>
        <w:pStyle w:val="0"/>
        <w:ind w:firstLine="220" w:firstLineChars="100"/>
        <w:rPr>
          <w:rFonts w:hint="default"/>
        </w:rPr>
      </w:pPr>
      <w:r>
        <w:rPr>
          <w:rFonts w:hint="default"/>
        </w:rPr>
        <w:t>(</w:t>
      </w:r>
      <w:r>
        <w:rPr>
          <w:rFonts w:hint="eastAsia"/>
        </w:rPr>
        <w:t>９</w:t>
      </w:r>
      <w:r>
        <w:rPr>
          <w:rFonts w:hint="default"/>
        </w:rPr>
        <w:t xml:space="preserve">) </w:t>
      </w:r>
      <w:r>
        <w:rPr>
          <w:rFonts w:hint="eastAsia"/>
        </w:rPr>
        <w:t xml:space="preserve"> </w:t>
      </w:r>
      <w:r>
        <w:rPr>
          <w:rFonts w:hint="eastAsia"/>
        </w:rPr>
        <w:t>顧客、株主等に対し、適時適切に企業情報を開示します。</w:t>
      </w:r>
    </w:p>
    <w:p>
      <w:pPr>
        <w:pStyle w:val="0"/>
        <w:ind w:firstLine="220" w:firstLineChars="100"/>
        <w:rPr>
          <w:rFonts w:hint="default"/>
        </w:rPr>
      </w:pPr>
      <w:r>
        <w:rPr>
          <w:rFonts w:hint="default"/>
        </w:rPr>
        <w:t xml:space="preserve">(10) </w:t>
      </w:r>
      <w:r>
        <w:rPr>
          <w:rFonts w:hint="eastAsia"/>
        </w:rPr>
        <w:t xml:space="preserve"> </w:t>
      </w:r>
      <w:r>
        <w:rPr>
          <w:rFonts w:hint="eastAsia"/>
        </w:rPr>
        <w:t>本基本方針を尊重して企業活動に取り組むとともに、本基本方針に反す</w:t>
      </w:r>
    </w:p>
    <w:p>
      <w:pPr>
        <w:pStyle w:val="0"/>
        <w:ind w:firstLine="660" w:firstLineChars="300"/>
        <w:rPr>
          <w:rFonts w:hint="default"/>
        </w:rPr>
      </w:pPr>
      <w:r>
        <w:rPr>
          <w:rFonts w:hint="eastAsia"/>
        </w:rPr>
        <w:t>る事態が発生した場合には、原因究明と再発防止に努めます。</w:t>
      </w:r>
    </w:p>
    <w:p>
      <w:pPr>
        <w:pStyle w:val="0"/>
        <w:widowControl w:val="1"/>
        <w:autoSpaceDE w:val="1"/>
        <w:autoSpaceDN w:val="1"/>
        <w:rPr>
          <w:rFonts w:hint="default"/>
        </w:rPr>
      </w:pPr>
    </w:p>
    <w:p>
      <w:pPr>
        <w:pStyle w:val="0"/>
        <w:widowControl w:val="1"/>
        <w:autoSpaceDE w:val="1"/>
        <w:autoSpaceDN w:val="1"/>
        <w:rPr>
          <w:rFonts w:hint="default"/>
        </w:rPr>
      </w:pPr>
      <w:r>
        <w:rPr>
          <w:rFonts w:hint="default"/>
        </w:rPr>
        <w:br w:type="page"/>
      </w:r>
    </w:p>
    <w:p>
      <w:pPr>
        <w:pStyle w:val="0"/>
        <w:widowControl w:val="1"/>
        <w:autoSpaceDE w:val="1"/>
        <w:autoSpaceDN w:val="1"/>
        <w:rPr>
          <w:rFonts w:hint="default"/>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3800475</wp:posOffset>
                </wp:positionH>
                <wp:positionV relativeFrom="paragraph">
                  <wp:posOffset>-90805</wp:posOffset>
                </wp:positionV>
                <wp:extent cx="1506220" cy="310515"/>
                <wp:effectExtent l="41910" t="36195" r="64770" b="69215"/>
                <wp:wrapNone/>
                <wp:docPr id="1029" name="Rectangle 8"/>
                <a:graphic xmlns:a="http://schemas.openxmlformats.org/drawingml/2006/main">
                  <a:graphicData uri="http://schemas.microsoft.com/office/word/2010/wordprocessingShape">
                    <wps:wsp>
                      <wps:cNvPr id="1029" name="Rectangle 8"/>
                      <wps:cNvSpPr>
                        <a:spLocks noChangeArrowheads="1"/>
                      </wps:cNvSpPr>
                      <wps:spPr>
                        <a:xfrm>
                          <a:off x="0" y="0"/>
                          <a:ext cx="1506220" cy="310515"/>
                        </a:xfrm>
                        <a:prstGeom prst="rect">
                          <a:avLst/>
                        </a:prstGeom>
                        <a:solidFill>
                          <a:schemeClr val="accent1"/>
                        </a:solidFill>
                        <a:ln w="38100">
                          <a:solidFill>
                            <a:schemeClr val="lt1">
                              <a:lumMod val="95000"/>
                            </a:schemeClr>
                          </a:solidFill>
                          <a:miter lim="800000"/>
                          <a:headEnd/>
                          <a:tailEnd/>
                        </a:ln>
                        <a:effectLst>
                          <a:outerShdw dist="28398" dir="3806097" algn="ctr" rotWithShape="0">
                            <a:schemeClr val="accent1">
                              <a:lumMod val="50000"/>
                              <a:alpha val="50000"/>
                            </a:schemeClr>
                          </a:outerShdw>
                        </a:effectLst>
                      </wps:spPr>
                      <wps:txbx>
                        <w:txbxContent>
                          <w:p>
                            <w:pPr>
                              <w:pStyle w:val="0"/>
                              <w:jc w:val="center"/>
                              <w:rPr>
                                <w:rFonts w:hint="default"/>
                                <w:b w:val="1"/>
                                <w:color w:val="FFFFFF" w:themeColor="background1"/>
                                <w:sz w:val="24"/>
                              </w:rPr>
                            </w:pPr>
                            <w:r>
                              <w:rPr>
                                <w:rFonts w:hint="eastAsia"/>
                                <w:b w:val="1"/>
                                <w:color w:val="FFFFFF" w:themeColor="background1"/>
                                <w:sz w:val="24"/>
                              </w:rPr>
                              <w:t>④相談窓口の設置</w:t>
                            </w:r>
                          </w:p>
                        </w:txbxContent>
                      </wps:txbx>
                      <wps:bodyPr rot="0" vertOverflow="overflow" horzOverflow="overflow" wrap="square" lIns="74295" tIns="8890" rIns="74295" bIns="8890" anchor="t" anchorCtr="0" upright="1"/>
                    </wps:wsp>
                  </a:graphicData>
                </a:graphic>
              </wp:anchor>
            </w:drawing>
          </mc:Choice>
          <mc:Fallback>
            <w:pict>
              <v:rect id="Rectangle 8" style="mso-wrap-distance-right:9pt;mso-wrap-distance-bottom:0pt;margin-top:-7.15pt;mso-position-vertical-relative:text;mso-position-horizontal-relative:text;v-text-anchor:top;position:absolute;height:24.45pt;mso-wrap-distance-top:0pt;width:118.6pt;mso-wrap-distance-left:9pt;margin-left:299.25pt;z-index:4;" o:spid="_x0000_s1029" o:allowincell="t" o:allowoverlap="t" filled="t" fillcolor="#4f81bd [3204]" stroked="t" strokecolor="#f2f2f2 [3041]" strokeweight="3pt" o:spt="1">
                <v:fill/>
                <v:stroke miterlimit="8" filltype="solid"/>
                <v:shadow on="t" color="#244062" opacity="32768f" offset="1pt,2pt" matrix="65536f,,,65536f,,"/>
                <v:textbox style="layout-flow:horizontal;" inset="2.0637499999999998mm,0.24694444444444438mm,2.0637499999999998mm,0.24694444444444438mm">
                  <w:txbxContent>
                    <w:p>
                      <w:pPr>
                        <w:pStyle w:val="0"/>
                        <w:jc w:val="center"/>
                        <w:rPr>
                          <w:rFonts w:hint="default"/>
                          <w:b w:val="1"/>
                          <w:color w:val="FFFFFF" w:themeColor="background1"/>
                          <w:sz w:val="24"/>
                        </w:rPr>
                      </w:pPr>
                      <w:r>
                        <w:rPr>
                          <w:rFonts w:hint="eastAsia"/>
                          <w:b w:val="1"/>
                          <w:color w:val="FFFFFF" w:themeColor="background1"/>
                          <w:sz w:val="24"/>
                        </w:rPr>
                        <w:t>④相談窓口の設置</w:t>
                      </w:r>
                    </w:p>
                  </w:txbxContent>
                </v:textbox>
                <v:imagedata o:title=""/>
                <w10:wrap type="none" anchorx="text" anchory="text"/>
              </v:rect>
            </w:pict>
          </mc:Fallback>
        </mc:AlternateContent>
      </w:r>
    </w:p>
    <w:p>
      <w:pPr>
        <w:pStyle w:val="0"/>
        <w:widowControl w:val="1"/>
        <w:autoSpaceDE w:val="1"/>
        <w:autoSpaceDN w:val="1"/>
        <w:rPr>
          <w:rFonts w:hint="default"/>
        </w:rPr>
      </w:pPr>
      <w:r>
        <w:rPr>
          <w:rFonts w:hint="eastAsia"/>
        </w:rPr>
        <w:t>３　組織体制</w:t>
      </w:r>
    </w:p>
    <w:p>
      <w:pPr>
        <w:pStyle w:val="0"/>
        <w:ind w:firstLine="220" w:firstLineChars="100"/>
        <w:rPr>
          <w:rFonts w:hint="default"/>
        </w:rPr>
      </w:pPr>
      <w:r>
        <w:rPr>
          <w:rFonts w:hint="default"/>
        </w:rPr>
        <w:t>(</w:t>
      </w:r>
      <w:r>
        <w:rPr>
          <w:rFonts w:hint="eastAsia"/>
        </w:rPr>
        <w:t>１</w:t>
      </w:r>
      <w:r>
        <w:rPr>
          <w:rFonts w:hint="default"/>
        </w:rPr>
        <w:t>)</w:t>
      </w:r>
      <w:r>
        <w:rPr>
          <w:rFonts w:hint="eastAsia"/>
        </w:rPr>
        <w:t>　相談窓口</w:t>
      </w:r>
    </w:p>
    <w:p>
      <w:pPr>
        <w:pStyle w:val="0"/>
        <w:ind w:left="440" w:leftChars="200" w:firstLine="220" w:firstLineChars="100"/>
        <w:rPr>
          <w:rFonts w:hint="default"/>
        </w:rPr>
      </w:pPr>
      <w:r>
        <w:rPr>
          <w:rFonts w:hint="eastAsia"/>
        </w:rPr>
        <w:t>日常の業務において、コンプライアンスの観点から疑問が生じた場合には、下記のとおり相談してください。</w:t>
      </w:r>
    </w:p>
    <w:p>
      <w:pPr>
        <w:pStyle w:val="0"/>
        <w:ind w:left="440" w:leftChars="200" w:firstLine="440" w:firstLineChars="200"/>
        <w:rPr>
          <w:rFonts w:hint="default"/>
        </w:rPr>
      </w:pPr>
    </w:p>
    <w:p>
      <w:pPr>
        <w:pStyle w:val="0"/>
        <w:ind w:left="440" w:leftChars="200" w:firstLine="440" w:firstLineChars="200"/>
        <w:rPr>
          <w:rFonts w:hint="default"/>
        </w:rPr>
      </w:pPr>
      <w:r>
        <w:rPr>
          <w:rFonts w:hint="eastAsia"/>
        </w:rPr>
        <w:t>相談者</w:t>
      </w:r>
    </w:p>
    <w:p>
      <w:pPr>
        <w:pStyle w:val="0"/>
        <w:ind w:firstLine="1100" w:firstLineChars="500"/>
        <w:rPr>
          <w:rFonts w:hint="default"/>
        </w:rPr>
      </w:pPr>
      <w:r>
        <w:rPr>
          <w:rFonts w:hint="eastAsia"/>
        </w:rPr>
        <w:t>↓</w:t>
      </w:r>
    </w:p>
    <w:p>
      <w:pPr>
        <w:pStyle w:val="0"/>
        <w:ind w:firstLine="880" w:firstLineChars="400"/>
        <w:rPr>
          <w:rFonts w:hint="default"/>
        </w:rPr>
      </w:pPr>
      <w:r>
        <w:rPr>
          <w:rFonts w:hint="eastAsia"/>
        </w:rPr>
        <w:t>直属の上司</w:t>
      </w:r>
    </w:p>
    <w:p>
      <w:pPr>
        <w:pStyle w:val="0"/>
        <w:ind w:firstLine="1100" w:firstLineChars="500"/>
        <w:rPr>
          <w:rFonts w:hint="default"/>
        </w:rPr>
      </w:pPr>
      <w:r>
        <w:rPr>
          <w:rFonts w:hint="eastAsia"/>
        </w:rPr>
        <w:t>↓</w:t>
      </w:r>
    </w:p>
    <w:p>
      <w:pPr>
        <w:pStyle w:val="0"/>
        <w:ind w:firstLine="660" w:firstLineChars="300"/>
        <w:rPr>
          <w:rFonts w:hint="default"/>
        </w:rPr>
      </w:pPr>
      <w:r>
        <w:rPr>
          <w:rFonts w:hint="eastAsia"/>
        </w:rPr>
        <w:t>コンプライアンス担当責任者</w:t>
      </w:r>
    </w:p>
    <w:p>
      <w:pPr>
        <w:pStyle w:val="0"/>
        <w:ind w:firstLine="1100" w:firstLineChars="500"/>
        <w:rPr>
          <w:rFonts w:hint="default"/>
        </w:rPr>
      </w:pPr>
      <w:r>
        <w:rPr>
          <w:rFonts w:hint="eastAsia"/>
        </w:rPr>
        <w:t>↓</w:t>
      </w:r>
    </w:p>
    <w:p>
      <w:pPr>
        <w:pStyle w:val="0"/>
        <w:ind w:firstLine="660" w:firstLineChars="300"/>
        <w:rPr>
          <w:rFonts w:hint="default"/>
        </w:rPr>
      </w:pPr>
      <w:r>
        <w:rPr>
          <w:rFonts w:hint="eastAsia"/>
        </w:rPr>
        <w:t>コンプライアンス統括部署</w:t>
      </w:r>
    </w:p>
    <w:p>
      <w:pPr>
        <w:pStyle w:val="0"/>
        <w:ind w:firstLine="660" w:firstLineChars="300"/>
        <w:rPr>
          <w:rFonts w:hint="default"/>
        </w:rPr>
      </w:pPr>
    </w:p>
    <w:p>
      <w:pPr>
        <w:pStyle w:val="0"/>
        <w:ind w:firstLine="660" w:firstLineChars="300"/>
        <w:rPr>
          <w:rFonts w:hint="default"/>
        </w:rPr>
      </w:pPr>
    </w:p>
    <w:p>
      <w:pPr>
        <w:pStyle w:val="0"/>
        <w:ind w:firstLine="660" w:firstLineChars="300"/>
        <w:rPr>
          <w:rFonts w:hint="default"/>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3404870</wp:posOffset>
                </wp:positionH>
                <wp:positionV relativeFrom="paragraph">
                  <wp:posOffset>-187325</wp:posOffset>
                </wp:positionV>
                <wp:extent cx="1996440" cy="310515"/>
                <wp:effectExtent l="36830" t="34925" r="55880" b="70485"/>
                <wp:wrapNone/>
                <wp:docPr id="1030" name="Rectangle 9"/>
                <a:graphic xmlns:a="http://schemas.openxmlformats.org/drawingml/2006/main">
                  <a:graphicData uri="http://schemas.microsoft.com/office/word/2010/wordprocessingShape">
                    <wps:wsp>
                      <wps:cNvPr id="1030" name="Rectangle 9"/>
                      <wps:cNvSpPr>
                        <a:spLocks noChangeArrowheads="1"/>
                      </wps:cNvSpPr>
                      <wps:spPr>
                        <a:xfrm>
                          <a:off x="0" y="0"/>
                          <a:ext cx="1996440" cy="310515"/>
                        </a:xfrm>
                        <a:prstGeom prst="rect">
                          <a:avLst/>
                        </a:prstGeom>
                        <a:solidFill>
                          <a:schemeClr val="accent1"/>
                        </a:solidFill>
                        <a:ln w="38100">
                          <a:solidFill>
                            <a:schemeClr val="lt1">
                              <a:lumMod val="95000"/>
                            </a:schemeClr>
                          </a:solidFill>
                          <a:miter lim="800000"/>
                          <a:headEnd/>
                          <a:tailEnd/>
                        </a:ln>
                        <a:effectLst>
                          <a:outerShdw dist="28398" dir="3806097" algn="ctr" rotWithShape="0">
                            <a:schemeClr val="accent1">
                              <a:lumMod val="50000"/>
                              <a:alpha val="50000"/>
                            </a:schemeClr>
                          </a:outerShdw>
                        </a:effectLst>
                      </wps:spPr>
                      <wps:txbx>
                        <w:txbxContent>
                          <w:p>
                            <w:pPr>
                              <w:pStyle w:val="0"/>
                              <w:jc w:val="center"/>
                              <w:rPr>
                                <w:rFonts w:hint="default"/>
                                <w:b w:val="1"/>
                                <w:color w:val="FFFFFF" w:themeColor="background1"/>
                                <w:sz w:val="24"/>
                              </w:rPr>
                            </w:pPr>
                            <w:r>
                              <w:rPr>
                                <w:rFonts w:hint="eastAsia"/>
                                <w:b w:val="1"/>
                                <w:color w:val="FFFFFF" w:themeColor="background1"/>
                                <w:sz w:val="24"/>
                              </w:rPr>
                              <w:t>⑤内部通報窓口の設置</w:t>
                            </w:r>
                          </w:p>
                        </w:txbxContent>
                      </wps:txbx>
                      <wps:bodyPr rot="0" vertOverflow="overflow" horzOverflow="overflow" wrap="square" lIns="74295" tIns="8890" rIns="74295" bIns="8890" anchor="t" anchorCtr="0" upright="1"/>
                    </wps:wsp>
                  </a:graphicData>
                </a:graphic>
              </wp:anchor>
            </w:drawing>
          </mc:Choice>
          <mc:Fallback>
            <w:pict>
              <v:rect id="Rectangle 9" style="mso-wrap-distance-right:9pt;mso-wrap-distance-bottom:0pt;margin-top:-14.75pt;mso-position-vertical-relative:text;mso-position-horizontal-relative:text;v-text-anchor:top;position:absolute;height:24.45pt;mso-wrap-distance-top:0pt;width:157.19pt;mso-wrap-distance-left:9pt;margin-left:268.10000000000002pt;z-index:5;" o:spid="_x0000_s1030" o:allowincell="t" o:allowoverlap="t" filled="t" fillcolor="#4f81bd [3204]" stroked="t" strokecolor="#f2f2f2 [3041]" strokeweight="3pt" o:spt="1">
                <v:fill/>
                <v:stroke miterlimit="8" filltype="solid"/>
                <v:shadow on="t" color="#244062" opacity="32768f" offset="1pt,2pt" matrix="65536f,,,65536f,,"/>
                <v:textbox style="layout-flow:horizontal;" inset="2.0637499999999998mm,0.24694444444444438mm,2.0637499999999998mm,0.24694444444444438mm">
                  <w:txbxContent>
                    <w:p>
                      <w:pPr>
                        <w:pStyle w:val="0"/>
                        <w:jc w:val="center"/>
                        <w:rPr>
                          <w:rFonts w:hint="default"/>
                          <w:b w:val="1"/>
                          <w:color w:val="FFFFFF" w:themeColor="background1"/>
                          <w:sz w:val="24"/>
                        </w:rPr>
                      </w:pPr>
                      <w:r>
                        <w:rPr>
                          <w:rFonts w:hint="eastAsia"/>
                          <w:b w:val="1"/>
                          <w:color w:val="FFFFFF" w:themeColor="background1"/>
                          <w:sz w:val="24"/>
                        </w:rPr>
                        <w:t>⑤内部通報窓口の設置</w:t>
                      </w:r>
                    </w:p>
                  </w:txbxContent>
                </v:textbox>
                <v:imagedata o:title=""/>
                <w10:wrap type="none" anchorx="text" anchory="text"/>
              </v:rect>
            </w:pict>
          </mc:Fallback>
        </mc:AlternateContent>
      </w:r>
    </w:p>
    <w:p>
      <w:pPr>
        <w:pStyle w:val="0"/>
        <w:ind w:firstLine="220" w:firstLineChars="100"/>
        <w:rPr>
          <w:rFonts w:hint="default"/>
        </w:rPr>
      </w:pPr>
      <w:r>
        <w:rPr>
          <w:rFonts w:hint="default"/>
        </w:rPr>
        <w:t>(</w:t>
      </w:r>
      <w:r>
        <w:rPr>
          <w:rFonts w:hint="eastAsia"/>
        </w:rPr>
        <w:t>２</w:t>
      </w:r>
      <w:r>
        <w:rPr>
          <w:rFonts w:hint="default"/>
        </w:rPr>
        <w:t>)</w:t>
      </w:r>
      <w:r>
        <w:rPr>
          <w:rFonts w:hint="eastAsia"/>
        </w:rPr>
        <w:t>　内部通報窓口</w:t>
      </w:r>
    </w:p>
    <w:p>
      <w:pPr>
        <w:pStyle w:val="0"/>
        <w:ind w:left="440" w:leftChars="200" w:firstLine="220" w:firstLineChars="100"/>
        <w:rPr>
          <w:rFonts w:hint="default"/>
        </w:rPr>
      </w:pPr>
      <w:r>
        <w:rPr>
          <w:rFonts w:hint="eastAsia"/>
        </w:rPr>
        <w:t>社内で違反行為が行われている場合には、次の窓口に通報してください。通報は、匿名でも受け付けるとともに、メール、電話、書面等どのような方法でも構いません。</w:t>
      </w:r>
    </w:p>
    <w:p>
      <w:pPr>
        <w:pStyle w:val="0"/>
        <w:ind w:left="440" w:leftChars="200" w:firstLine="220" w:firstLineChars="100"/>
        <w:rPr>
          <w:rFonts w:hint="default"/>
        </w:rPr>
      </w:pPr>
      <w:r>
        <w:rPr>
          <w:rFonts w:hint="eastAsia"/>
        </w:rPr>
        <w:t>また、通報の事実が漏洩しないようセキュリティに配慮し、通報者の氏名等を上司にも開示しません。通報された内容は、必要に応じてコンプライアンス委員会に報告します。</w:t>
      </w:r>
    </w:p>
    <w:p>
      <w:pPr>
        <w:pStyle w:val="0"/>
        <w:ind w:left="440" w:leftChars="200" w:firstLine="220" w:firstLineChars="100"/>
        <w:rPr>
          <w:rFonts w:hint="default"/>
        </w:rPr>
      </w:pPr>
      <w:r>
        <w:rPr>
          <w:rFonts w:hint="eastAsia"/>
        </w:rPr>
        <w:t>なお、社内で違反行為が行われている旨の通報が外部から寄せられた場合についても本窓口において受け付け、内部通報に準じた処理を行います。</w:t>
      </w:r>
    </w:p>
    <w:p>
      <w:pPr>
        <w:pStyle w:val="0"/>
        <w:rPr>
          <w:rFonts w:hint="default"/>
        </w:rPr>
      </w:pPr>
    </w:p>
    <w:p>
      <w:pPr>
        <w:pStyle w:val="0"/>
        <w:ind w:firstLine="660" w:firstLineChars="300"/>
        <w:rPr>
          <w:rFonts w:hint="default"/>
        </w:rPr>
      </w:pPr>
      <w:r>
        <w:rPr>
          <w:rFonts w:hint="eastAsia"/>
        </w:rPr>
        <w:t>コンプライアンス統括部署</w:t>
      </w:r>
    </w:p>
    <w:p>
      <w:pPr>
        <w:pStyle w:val="0"/>
        <w:ind w:firstLine="1320" w:firstLineChars="600"/>
        <w:rPr>
          <w:rFonts w:hint="default"/>
        </w:rPr>
      </w:pPr>
      <w:r>
        <w:rPr>
          <w:rFonts w:hint="default"/>
        </w:rPr>
        <w:t>TEL</w:t>
      </w:r>
      <w:r>
        <w:rPr>
          <w:rFonts w:hint="eastAsia"/>
        </w:rPr>
        <w:t>：○○○－○○○－○○○○</w:t>
      </w:r>
    </w:p>
    <w:p>
      <w:pPr>
        <w:pStyle w:val="0"/>
        <w:ind w:firstLine="1320" w:firstLineChars="600"/>
        <w:rPr>
          <w:rFonts w:hint="default"/>
        </w:rPr>
      </w:pPr>
      <w:r>
        <w:rPr>
          <w:rFonts w:hint="default"/>
        </w:rPr>
        <w:t>FAX</w:t>
      </w:r>
      <w:r>
        <w:rPr>
          <w:rFonts w:hint="eastAsia"/>
        </w:rPr>
        <w:t>：○○○－○○○－○○○○</w:t>
      </w:r>
    </w:p>
    <w:p>
      <w:pPr>
        <w:pStyle w:val="0"/>
        <w:ind w:firstLine="1320" w:firstLineChars="600"/>
        <w:rPr>
          <w:rFonts w:hint="default"/>
        </w:rPr>
      </w:pPr>
      <w:r>
        <w:rPr>
          <w:rFonts w:hint="eastAsia"/>
        </w:rPr>
        <w:t>メールアドレス：○○＠○○○</w:t>
      </w:r>
      <w:r>
        <w:rPr>
          <w:rFonts w:hint="default"/>
        </w:rPr>
        <w:t>.</w:t>
      </w:r>
      <w:r>
        <w:rPr>
          <w:rFonts w:hint="eastAsia"/>
        </w:rPr>
        <w:t>○○</w:t>
      </w:r>
      <w:r>
        <w:rPr>
          <w:rFonts w:hint="default"/>
        </w:rPr>
        <w:t>.</w:t>
      </w:r>
      <w:r>
        <w:rPr>
          <w:rFonts w:hint="eastAsia"/>
        </w:rPr>
        <w:t>○○</w:t>
      </w:r>
    </w:p>
    <w:p>
      <w:pPr>
        <w:pStyle w:val="0"/>
        <w:ind w:firstLine="880" w:firstLineChars="400"/>
        <w:rPr>
          <w:rFonts w:hint="default"/>
        </w:rPr>
      </w:pPr>
      <w:r>
        <w:rPr>
          <w:rFonts w:hint="eastAsia"/>
        </w:rPr>
        <w:t>↓</w:t>
      </w:r>
    </w:p>
    <w:p>
      <w:pPr>
        <w:pStyle w:val="0"/>
        <w:ind w:firstLine="660" w:firstLineChars="300"/>
        <w:rPr>
          <w:rFonts w:hint="default"/>
        </w:rPr>
      </w:pPr>
      <w:r>
        <w:rPr>
          <w:rFonts w:hint="eastAsia"/>
        </w:rPr>
        <w:t>コンプライアンス委員会</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mc:AlternateContent>
          <mc:Choice Requires="wps">
            <w:drawing>
              <wp:anchor distT="0" distB="0" distL="114300" distR="114300" simplePos="0" relativeHeight="6" behindDoc="0" locked="0" layoutInCell="1" hidden="0" allowOverlap="1">
                <wp:simplePos x="0" y="0"/>
                <wp:positionH relativeFrom="column">
                  <wp:posOffset>2983230</wp:posOffset>
                </wp:positionH>
                <wp:positionV relativeFrom="paragraph">
                  <wp:posOffset>-81915</wp:posOffset>
                </wp:positionV>
                <wp:extent cx="2242820" cy="312420"/>
                <wp:effectExtent l="34290" t="35560" r="59690" b="77470"/>
                <wp:wrapNone/>
                <wp:docPr id="1031" name="Rectangle 10"/>
                <a:graphic xmlns:a="http://schemas.openxmlformats.org/drawingml/2006/main">
                  <a:graphicData uri="http://schemas.microsoft.com/office/word/2010/wordprocessingShape">
                    <wps:wsp>
                      <wps:cNvPr id="1031" name="Rectangle 10"/>
                      <wps:cNvSpPr>
                        <a:spLocks noChangeArrowheads="1"/>
                      </wps:cNvSpPr>
                      <wps:spPr>
                        <a:xfrm>
                          <a:off x="0" y="0"/>
                          <a:ext cx="2242820" cy="312420"/>
                        </a:xfrm>
                        <a:prstGeom prst="rect">
                          <a:avLst/>
                        </a:prstGeom>
                        <a:solidFill>
                          <a:schemeClr val="accent1"/>
                        </a:solidFill>
                        <a:ln w="38100">
                          <a:solidFill>
                            <a:schemeClr val="lt1">
                              <a:lumMod val="95000"/>
                            </a:schemeClr>
                          </a:solidFill>
                          <a:miter lim="800000"/>
                          <a:headEnd/>
                          <a:tailEnd/>
                        </a:ln>
                        <a:effectLst>
                          <a:outerShdw dist="28398" dir="3806097" algn="ctr" rotWithShape="0">
                            <a:schemeClr val="accent1">
                              <a:lumMod val="50000"/>
                              <a:alpha val="50000"/>
                            </a:schemeClr>
                          </a:outerShdw>
                        </a:effectLst>
                      </wps:spPr>
                      <wps:txbx>
                        <w:txbxContent>
                          <w:p>
                            <w:pPr>
                              <w:pStyle w:val="0"/>
                              <w:jc w:val="left"/>
                              <w:rPr>
                                <w:rFonts w:hint="default"/>
                                <w:b w:val="1"/>
                                <w:color w:val="FFFFFF" w:themeColor="background1"/>
                                <w:sz w:val="24"/>
                              </w:rPr>
                            </w:pPr>
                            <w:r>
                              <w:rPr>
                                <w:rFonts w:hint="eastAsia"/>
                                <w:b w:val="1"/>
                                <w:color w:val="FFFFFF" w:themeColor="background1"/>
                                <w:sz w:val="24"/>
                              </w:rPr>
                              <w:t>⑥役職員の具体的な行動基準</w:t>
                            </w:r>
                          </w:p>
                        </w:txbxContent>
                      </wps:txbx>
                      <wps:bodyPr rot="0" vertOverflow="overflow" horzOverflow="overflow" wrap="square" lIns="74295" tIns="8890" rIns="74295" bIns="8890" anchor="t" anchorCtr="0" upright="1"/>
                    </wps:wsp>
                  </a:graphicData>
                </a:graphic>
              </wp:anchor>
            </w:drawing>
          </mc:Choice>
          <mc:Fallback>
            <w:pict>
              <v:rect id="Rectangle 10" style="mso-wrap-distance-right:9pt;mso-wrap-distance-bottom:0pt;margin-top:-6.45pt;mso-position-vertical-relative:text;mso-position-horizontal-relative:text;v-text-anchor:top;position:absolute;height:24.6pt;mso-wrap-distance-top:0pt;width:176.6pt;mso-wrap-distance-left:9pt;margin-left:234.9pt;z-index:6;" o:spid="_x0000_s1031" o:allowincell="t" o:allowoverlap="t" filled="t" fillcolor="#4f81bd [3204]" stroked="t" strokecolor="#f2f2f2 [3041]" strokeweight="3pt" o:spt="1">
                <v:fill/>
                <v:stroke miterlimit="8" filltype="solid"/>
                <v:shadow on="t" color="#244062" opacity="32768f" offset="1pt,2pt" matrix="65536f,,,65536f,,"/>
                <v:textbox style="layout-flow:horizontal;" inset="2.0637499999999998mm,0.24694444444444438mm,2.0637499999999998mm,0.24694444444444438mm">
                  <w:txbxContent>
                    <w:p>
                      <w:pPr>
                        <w:pStyle w:val="0"/>
                        <w:jc w:val="left"/>
                        <w:rPr>
                          <w:rFonts w:hint="default"/>
                          <w:b w:val="1"/>
                          <w:color w:val="FFFFFF" w:themeColor="background1"/>
                          <w:sz w:val="24"/>
                        </w:rPr>
                      </w:pPr>
                      <w:r>
                        <w:rPr>
                          <w:rFonts w:hint="eastAsia"/>
                          <w:b w:val="1"/>
                          <w:color w:val="FFFFFF" w:themeColor="background1"/>
                          <w:sz w:val="24"/>
                        </w:rPr>
                        <w:t>⑥役職員の具体的な行動基準</w:t>
                      </w:r>
                    </w:p>
                  </w:txbxContent>
                </v:textbox>
                <v:imagedata o:title=""/>
                <w10:wrap type="none" anchorx="text" anchory="text"/>
              </v:rect>
            </w:pict>
          </mc:Fallback>
        </mc:AlternateContent>
      </w:r>
      <w:r>
        <w:rPr>
          <w:rFonts w:hint="eastAsia"/>
        </w:rPr>
        <w:t>４　行動基準（守るべきルール）</w:t>
      </w:r>
    </w:p>
    <w:p>
      <w:pPr>
        <w:pStyle w:val="0"/>
        <w:ind w:firstLine="220" w:firstLineChars="100"/>
        <w:rPr>
          <w:rFonts w:hint="default"/>
        </w:rPr>
      </w:pPr>
      <w:r>
        <w:rPr>
          <w:rFonts w:hint="default"/>
        </w:rPr>
        <w:t>(</w:t>
      </w:r>
      <w:r>
        <w:rPr>
          <w:rFonts w:hint="eastAsia"/>
        </w:rPr>
        <w:t>１</w:t>
      </w:r>
      <w:r>
        <w:rPr>
          <w:rFonts w:hint="default"/>
        </w:rPr>
        <w:t>)</w:t>
      </w:r>
      <w:r>
        <w:rPr>
          <w:rFonts w:hint="eastAsia"/>
        </w:rPr>
        <w:t>　顧客・取引先との関係</w:t>
      </w:r>
    </w:p>
    <w:p>
      <w:pPr>
        <w:pStyle w:val="0"/>
        <w:ind w:firstLine="440" w:firstLineChars="200"/>
        <w:rPr>
          <w:rFonts w:hint="default"/>
        </w:rPr>
      </w:pPr>
      <w:r>
        <w:rPr>
          <w:rFonts w:hint="eastAsia"/>
        </w:rPr>
        <w:t>①　独占禁止法の遵守（不当な取引制限の禁止）</w:t>
      </w:r>
    </w:p>
    <w:p>
      <w:pPr>
        <w:pStyle w:val="0"/>
        <w:ind w:firstLine="660" w:firstLineChars="300"/>
        <w:rPr>
          <w:rFonts w:hint="default"/>
        </w:rPr>
      </w:pPr>
      <w:r>
        <w:rPr>
          <w:rFonts w:hint="eastAsia"/>
        </w:rPr>
        <w:t>ア　事業者による入札談合は決して行わない。</w:t>
      </w:r>
    </w:p>
    <w:p>
      <w:pPr>
        <w:pStyle w:val="0"/>
        <w:ind w:left="1320" w:leftChars="400" w:hanging="440" w:hangingChars="200"/>
        <w:rPr>
          <w:rFonts w:hint="default"/>
        </w:rPr>
      </w:pPr>
      <w:r>
        <w:rPr>
          <w:rFonts w:hint="default"/>
        </w:rPr>
        <w:t>(</w:t>
      </w:r>
      <w:r>
        <w:rPr>
          <w:rFonts w:hint="eastAsia"/>
        </w:rPr>
        <w:t>ア</w:t>
      </w:r>
      <w:r>
        <w:rPr>
          <w:rFonts w:hint="default"/>
        </w:rPr>
        <w:t>)</w:t>
      </w:r>
      <w:r>
        <w:rPr>
          <w:rFonts w:hint="eastAsia"/>
        </w:rPr>
        <w:t>　入札談合には様々な形態があり、明示・黙示の別を問わず、入札参加者間で、受注予定者や入札価格について何らかの合意や了解が成立し、互いに「相手はこの合意や了解に従うであろう」として入札すれば該当することに十分注意しなければならない。</w:t>
      </w:r>
    </w:p>
    <w:p>
      <w:pPr>
        <w:pStyle w:val="0"/>
        <w:ind w:left="1320" w:leftChars="400" w:hanging="440" w:hangingChars="200"/>
        <w:rPr>
          <w:rFonts w:hint="default"/>
        </w:rPr>
      </w:pPr>
      <w:r>
        <w:rPr>
          <w:rFonts w:hint="default"/>
        </w:rPr>
        <w:t>(</w:t>
      </w:r>
      <w:r>
        <w:rPr>
          <w:rFonts w:hint="eastAsia"/>
        </w:rPr>
        <w:t>イ</w:t>
      </w:r>
      <w:r>
        <w:rPr>
          <w:rFonts w:hint="default"/>
        </w:rPr>
        <w:t>)</w:t>
      </w:r>
      <w:r>
        <w:rPr>
          <w:rFonts w:hint="eastAsia"/>
        </w:rPr>
        <w:t>　研究会、勉強会等名称の如何を問わず、入札談合に該当する入札参加者間の情報交換等を行う会合には参加してはならない。</w:t>
      </w:r>
    </w:p>
    <w:p>
      <w:pPr>
        <w:pStyle w:val="0"/>
        <w:ind w:left="1320" w:leftChars="400" w:hanging="440" w:hangingChars="200"/>
        <w:rPr>
          <w:rFonts w:hint="default"/>
        </w:rPr>
      </w:pPr>
      <w:r>
        <w:rPr>
          <w:rFonts w:hint="default"/>
        </w:rPr>
        <w:t>(</w:t>
      </w:r>
      <w:r>
        <w:rPr>
          <w:rFonts w:hint="eastAsia"/>
        </w:rPr>
        <w:t>ウ</w:t>
      </w:r>
      <w:r>
        <w:rPr>
          <w:rFonts w:hint="default"/>
        </w:rPr>
        <w:t>)</w:t>
      </w:r>
      <w:r>
        <w:rPr>
          <w:rFonts w:hint="eastAsia"/>
        </w:rPr>
        <w:t>　参加した会合の席上で入札談合に該当する話題が出た場合には、直ちに独占禁止法上問題があるので止めるように発言し、受け入れられない場合は、「当社は参加しない。」旨明確に宣言し退席しなければならない。</w:t>
      </w:r>
    </w:p>
    <w:p>
      <w:pPr>
        <w:pStyle w:val="0"/>
        <w:ind w:left="1320" w:leftChars="400" w:hanging="440" w:hangingChars="200"/>
        <w:rPr>
          <w:rFonts w:hint="default"/>
        </w:rPr>
      </w:pPr>
      <w:r>
        <w:rPr>
          <w:rFonts w:hint="default"/>
        </w:rPr>
        <w:t>(</w:t>
      </w:r>
      <w:r>
        <w:rPr>
          <w:rFonts w:hint="eastAsia"/>
        </w:rPr>
        <w:t>エ</w:t>
      </w:r>
      <w:r>
        <w:rPr>
          <w:rFonts w:hint="default"/>
        </w:rPr>
        <w:t>)</w:t>
      </w:r>
      <w:r>
        <w:rPr>
          <w:rFonts w:hint="eastAsia"/>
        </w:rPr>
        <w:t>　</w:t>
      </w:r>
      <w:r>
        <w:rPr>
          <w:rFonts w:hint="default"/>
        </w:rPr>
        <w:t>(</w:t>
      </w:r>
      <w:r>
        <w:rPr>
          <w:rFonts w:hint="eastAsia"/>
        </w:rPr>
        <w:t>ウ</w:t>
      </w:r>
      <w:r>
        <w:rPr>
          <w:rFonts w:hint="default"/>
        </w:rPr>
        <w:t>)</w:t>
      </w:r>
      <w:r>
        <w:rPr>
          <w:rFonts w:hint="eastAsia"/>
        </w:rPr>
        <w:t>に該当する会合から退席した場合は、帰社後直ちに日時、場所、参集者、状況等を書面に記録し相談窓口（直属の上司）に報告しなければならない。</w:t>
      </w:r>
    </w:p>
    <w:p>
      <w:pPr>
        <w:pStyle w:val="0"/>
        <w:ind w:left="1320" w:leftChars="400" w:hanging="440" w:hangingChars="200"/>
        <w:rPr>
          <w:rFonts w:hint="default"/>
        </w:rPr>
      </w:pPr>
      <w:r>
        <w:rPr>
          <w:rFonts w:hint="default"/>
        </w:rPr>
        <w:t>(</w:t>
      </w:r>
      <w:r>
        <w:rPr>
          <w:rFonts w:hint="eastAsia"/>
        </w:rPr>
        <w:t>オ</w:t>
      </w:r>
      <w:r>
        <w:rPr>
          <w:rFonts w:hint="default"/>
        </w:rPr>
        <w:t>)</w:t>
      </w:r>
      <w:r>
        <w:rPr>
          <w:rFonts w:hint="eastAsia"/>
        </w:rPr>
        <w:t>　電話その他の通信手段により</w:t>
      </w:r>
      <w:r>
        <w:rPr>
          <w:rFonts w:hint="default"/>
        </w:rPr>
        <w:t>(</w:t>
      </w:r>
      <w:r>
        <w:rPr>
          <w:rFonts w:hint="eastAsia"/>
        </w:rPr>
        <w:t>イ</w:t>
      </w:r>
      <w:r>
        <w:rPr>
          <w:rFonts w:hint="default"/>
        </w:rPr>
        <w:t>)</w:t>
      </w:r>
      <w:r>
        <w:rPr>
          <w:rFonts w:hint="eastAsia"/>
        </w:rPr>
        <w:t>に類する勧誘等を受けた場合も</w:t>
      </w:r>
      <w:r>
        <w:rPr>
          <w:rFonts w:hint="default"/>
        </w:rPr>
        <w:t>(</w:t>
      </w:r>
      <w:r>
        <w:rPr>
          <w:rFonts w:hint="eastAsia"/>
        </w:rPr>
        <w:t>ウ</w:t>
      </w:r>
      <w:r>
        <w:rPr>
          <w:rFonts w:hint="default"/>
        </w:rPr>
        <w:t>)</w:t>
      </w:r>
      <w:r>
        <w:rPr>
          <w:rFonts w:hint="eastAsia"/>
        </w:rPr>
        <w:t>及び</w:t>
      </w:r>
      <w:r>
        <w:rPr>
          <w:rFonts w:hint="default"/>
        </w:rPr>
        <w:t>(</w:t>
      </w:r>
      <w:r>
        <w:rPr>
          <w:rFonts w:hint="eastAsia"/>
        </w:rPr>
        <w:t>エ</w:t>
      </w:r>
      <w:r>
        <w:rPr>
          <w:rFonts w:hint="default"/>
        </w:rPr>
        <w:t>)</w:t>
      </w:r>
      <w:r>
        <w:rPr>
          <w:rFonts w:hint="eastAsia"/>
        </w:rPr>
        <w:t>に準じた対応をとらなければならない。</w:t>
      </w:r>
    </w:p>
    <w:p>
      <w:pPr>
        <w:pStyle w:val="0"/>
        <w:ind w:firstLine="660" w:firstLineChars="300"/>
        <w:rPr>
          <w:rFonts w:hint="default"/>
        </w:rPr>
      </w:pPr>
      <w:r>
        <w:rPr>
          <w:rFonts w:hint="eastAsia"/>
        </w:rPr>
        <w:t>イ　事業者団体による入札談合は決して行わない。</w:t>
      </w:r>
    </w:p>
    <w:p>
      <w:pPr>
        <w:pStyle w:val="0"/>
        <w:ind w:left="880" w:leftChars="400" w:firstLine="220" w:firstLineChars="100"/>
        <w:rPr>
          <w:rFonts w:hint="default"/>
        </w:rPr>
      </w:pPr>
      <w:r>
        <w:rPr>
          <w:rFonts w:hint="eastAsia"/>
          <w:shd w:val="clear" w:color="auto" w:fill="FFFF00"/>
        </w:rPr>
        <w:t>県内コンサル業界</w:t>
      </w:r>
      <w:r>
        <w:rPr>
          <w:rFonts w:hint="eastAsia"/>
        </w:rPr>
        <w:t>においても様々な事業者団体が結成されており、調査、研究、陳情、会員の福利厚生等に重要な役割を果たしているが、事業者団体による不当な取引制限も独占禁止法で禁止されていることに留意し、事業者団体会員としての活動においても、アに準じた対応をとらなければならない。</w:t>
      </w:r>
    </w:p>
    <w:p>
      <w:pPr>
        <w:pStyle w:val="0"/>
        <w:rPr>
          <w:rFonts w:hint="default"/>
        </w:rPr>
      </w:pPr>
    </w:p>
    <w:p>
      <w:pPr>
        <w:pStyle w:val="0"/>
        <w:ind w:firstLine="440" w:firstLineChars="200"/>
        <w:rPr>
          <w:rFonts w:hint="default"/>
        </w:rPr>
      </w:pPr>
      <w:r>
        <w:rPr>
          <w:rFonts w:hint="eastAsia"/>
        </w:rPr>
        <w:t>②　独占禁止法の遵守（不当な取引方法の禁止）</w:t>
      </w:r>
    </w:p>
    <w:p>
      <w:pPr>
        <w:pStyle w:val="0"/>
        <w:ind w:firstLine="660" w:firstLineChars="300"/>
        <w:rPr>
          <w:rFonts w:hint="default"/>
        </w:rPr>
      </w:pPr>
      <w:r>
        <w:rPr>
          <w:rFonts w:hint="eastAsia"/>
        </w:rPr>
        <w:t>ア　不当廉売（ダンピング）は決して行わない。</w:t>
      </w:r>
    </w:p>
    <w:p>
      <w:pPr>
        <w:pStyle w:val="0"/>
        <w:ind w:left="880" w:leftChars="400" w:firstLine="220" w:firstLineChars="100"/>
        <w:rPr>
          <w:rFonts w:hint="default"/>
        </w:rPr>
      </w:pPr>
      <w:r>
        <w:rPr>
          <w:rFonts w:hint="eastAsia"/>
        </w:rPr>
        <w:t>公共工事における不当廉売の考え方（平成</w:t>
      </w:r>
      <w:r>
        <w:rPr>
          <w:rFonts w:hint="default"/>
        </w:rPr>
        <w:t>16</w:t>
      </w:r>
      <w:r>
        <w:rPr>
          <w:rFonts w:hint="eastAsia"/>
        </w:rPr>
        <w:t>年９月</w:t>
      </w:r>
      <w:r>
        <w:rPr>
          <w:rFonts w:hint="default"/>
        </w:rPr>
        <w:t>15</w:t>
      </w:r>
      <w:r>
        <w:rPr>
          <w:rFonts w:hint="eastAsia"/>
        </w:rPr>
        <w:t>日</w:t>
      </w:r>
      <w:r>
        <w:rPr>
          <w:rFonts w:hint="default"/>
        </w:rPr>
        <w:t xml:space="preserve"> </w:t>
      </w:r>
      <w:r>
        <w:rPr>
          <w:rFonts w:hint="eastAsia"/>
        </w:rPr>
        <w:t>公正取引委員会）に留意し、総販売原価（工事原価＋一般管理費）を著しく下回り、実行予算上の工事原価（直接工事費＋共通仮設費＋現場管理費）を下回るような受注を継続して行い、他の事業者の事業活動を困難にさせるおそれを惹起させてはならない。</w:t>
      </w:r>
    </w:p>
    <w:p>
      <w:pPr>
        <w:pStyle w:val="0"/>
        <w:ind w:firstLine="660" w:firstLineChars="300"/>
        <w:rPr>
          <w:rFonts w:hint="default"/>
        </w:rPr>
      </w:pPr>
      <w:r>
        <w:rPr>
          <w:rFonts w:hint="eastAsia"/>
        </w:rPr>
        <w:t>イ　優越的地位の濫用は決して行わない。</w:t>
      </w:r>
    </w:p>
    <w:p>
      <w:pPr>
        <w:pStyle w:val="0"/>
        <w:ind w:left="880" w:leftChars="400" w:firstLine="220" w:firstLineChars="100"/>
        <w:rPr>
          <w:rFonts w:hint="default"/>
        </w:rPr>
      </w:pPr>
      <w:r>
        <w:rPr>
          <w:rFonts w:hint="eastAsia"/>
        </w:rPr>
        <w:t>自社が取引において優越的な地位に立つ資材納入業者等に対して、通常必要な原価未満の価格で納品させるなど、通常の商慣習に照らして不当に相手方の利益を害する行為をしてはならない。</w:t>
      </w:r>
    </w:p>
    <w:p>
      <w:pPr>
        <w:pStyle w:val="0"/>
        <w:ind w:firstLine="440" w:firstLineChars="200"/>
        <w:rPr>
          <w:rFonts w:hint="default"/>
        </w:rPr>
      </w:pPr>
      <w:r>
        <w:rPr>
          <w:rFonts w:hint="eastAsia"/>
        </w:rPr>
        <w:t>③　その他の法令の遵守</w:t>
      </w:r>
    </w:p>
    <w:p>
      <w:pPr>
        <w:pStyle w:val="0"/>
        <w:ind w:left="880" w:leftChars="300" w:hanging="220" w:hangingChars="100"/>
        <w:rPr>
          <w:rFonts w:hint="default"/>
        </w:rPr>
      </w:pPr>
      <w:r>
        <w:rPr>
          <w:rFonts w:hint="eastAsia"/>
        </w:rPr>
        <w:t>ア　個人情報は、適切に管理し、本来の目的以外に使用してはならない。（個人情報保護法）</w:t>
      </w:r>
    </w:p>
    <w:p>
      <w:pPr>
        <w:pStyle w:val="0"/>
        <w:ind w:left="880" w:leftChars="300" w:hanging="220" w:hangingChars="100"/>
        <w:rPr>
          <w:rFonts w:hint="default"/>
        </w:rPr>
      </w:pPr>
      <w:r>
        <w:rPr>
          <w:rFonts w:hint="eastAsia"/>
        </w:rPr>
        <w:t>イ　公務員への不正な接待等を行うこと、又は受けることはしてはならない。（刑法）</w:t>
      </w:r>
    </w:p>
    <w:p>
      <w:pPr>
        <w:pStyle w:val="0"/>
        <w:ind w:left="880" w:leftChars="300" w:hanging="220" w:hangingChars="100"/>
        <w:rPr>
          <w:rFonts w:hint="default"/>
        </w:rPr>
      </w:pPr>
      <w:r>
        <w:rPr>
          <w:rFonts w:hint="eastAsia"/>
        </w:rPr>
        <w:t>ウ　広告、表示、説明等を行う場合には、事実と異なる内容（虚偽、誇大等）を示してはならない。（社内規程等）</w:t>
      </w:r>
    </w:p>
    <w:p>
      <w:pPr>
        <w:pStyle w:val="0"/>
        <w:ind w:left="880" w:leftChars="300" w:hanging="220" w:hangingChars="100"/>
        <w:rPr>
          <w:rFonts w:hint="default"/>
        </w:rPr>
      </w:pPr>
      <w:r>
        <w:rPr>
          <w:rFonts w:hint="eastAsia"/>
        </w:rPr>
        <w:t>エ　会計処理にあたっては、企業会計原則、社内規程等に則り、適正に行い、伝票、証憑書類の虚偽、隠蔽は行ってはならない。（企業会計原則、商法、会社法、社内規程等）</w:t>
      </w:r>
    </w:p>
    <w:p>
      <w:pPr>
        <w:pStyle w:val="0"/>
        <w:ind w:firstLine="440" w:firstLineChars="200"/>
        <w:rPr>
          <w:rFonts w:hint="default"/>
        </w:rPr>
      </w:pPr>
    </w:p>
    <w:p>
      <w:pPr>
        <w:pStyle w:val="0"/>
        <w:ind w:firstLine="440" w:firstLineChars="200"/>
        <w:rPr>
          <w:rFonts w:hint="default"/>
        </w:rPr>
      </w:pPr>
      <w:r>
        <w:rPr>
          <w:rFonts w:hint="eastAsia"/>
        </w:rPr>
        <w:t>④　高品質なサービスの提供</w:t>
      </w:r>
    </w:p>
    <w:p>
      <w:pPr>
        <w:pStyle w:val="0"/>
        <w:ind w:left="880" w:leftChars="300" w:hanging="220" w:hangingChars="100"/>
        <w:rPr>
          <w:rFonts w:hint="default"/>
        </w:rPr>
      </w:pPr>
      <w:r>
        <w:rPr>
          <w:rFonts w:hint="eastAsia"/>
        </w:rPr>
        <w:t>ア　顧客の安全・安心を旨とし、優れた技術により高品質な社会資本及びサービスを提供しなければならない。（公共工事品質確保法）</w:t>
      </w:r>
    </w:p>
    <w:p>
      <w:pPr>
        <w:pStyle w:val="0"/>
        <w:ind w:left="880" w:leftChars="300" w:hanging="220" w:hangingChars="100"/>
        <w:rPr>
          <w:rFonts w:hint="default"/>
        </w:rPr>
      </w:pPr>
      <w:r>
        <w:rPr>
          <w:rFonts w:hint="eastAsia"/>
        </w:rPr>
        <w:t>イ　業務の施行にあたっては、関連する法令を遵守し、常に安全に留意して行動しなければならない。（労働安全衛生法、労働基準法等）</w:t>
      </w:r>
    </w:p>
    <w:p>
      <w:pPr>
        <w:pStyle w:val="0"/>
        <w:ind w:left="880" w:leftChars="300" w:hanging="220" w:hangingChars="100"/>
        <w:rPr>
          <w:rFonts w:hint="default"/>
        </w:rPr>
      </w:pPr>
    </w:p>
    <w:p>
      <w:pPr>
        <w:pStyle w:val="0"/>
        <w:ind w:firstLine="220" w:firstLineChars="100"/>
        <w:rPr>
          <w:rFonts w:hint="default"/>
        </w:rPr>
      </w:pPr>
      <w:r>
        <w:rPr>
          <w:rFonts w:hint="default"/>
        </w:rPr>
        <w:t>(</w:t>
      </w:r>
      <w:r>
        <w:rPr>
          <w:rFonts w:hint="eastAsia"/>
        </w:rPr>
        <w:t>２</w:t>
      </w:r>
      <w:r>
        <w:rPr>
          <w:rFonts w:hint="default"/>
        </w:rPr>
        <w:t>)</w:t>
      </w:r>
      <w:r>
        <w:rPr>
          <w:rFonts w:hint="eastAsia"/>
        </w:rPr>
        <w:t>　株主・投資家との関係</w:t>
      </w:r>
    </w:p>
    <w:p>
      <w:pPr>
        <w:pStyle w:val="0"/>
        <w:ind w:firstLine="440" w:firstLineChars="200"/>
        <w:rPr>
          <w:rFonts w:hint="default"/>
        </w:rPr>
      </w:pPr>
      <w:r>
        <w:rPr>
          <w:rFonts w:hint="eastAsia"/>
        </w:rPr>
        <w:t>①　情報の開示</w:t>
      </w:r>
    </w:p>
    <w:p>
      <w:pPr>
        <w:pStyle w:val="0"/>
        <w:ind w:left="660" w:leftChars="300" w:firstLine="220" w:firstLineChars="100"/>
        <w:rPr>
          <w:rFonts w:hint="default"/>
        </w:rPr>
      </w:pPr>
      <w:r>
        <w:rPr>
          <w:rFonts w:hint="eastAsia"/>
        </w:rPr>
        <w:t>事業報告、財務状況など企業活動全般について、適時適切に情報を開示しなければならない。（企業会計原則、商法、会社法、社内規程等）</w:t>
      </w:r>
    </w:p>
    <w:p>
      <w:pPr>
        <w:pStyle w:val="0"/>
        <w:ind w:firstLine="440" w:firstLineChars="200"/>
        <w:rPr>
          <w:rFonts w:hint="default"/>
        </w:rPr>
      </w:pPr>
    </w:p>
    <w:p>
      <w:pPr>
        <w:pStyle w:val="0"/>
        <w:ind w:firstLine="440" w:firstLineChars="200"/>
        <w:rPr>
          <w:rFonts w:hint="default"/>
        </w:rPr>
      </w:pPr>
      <w:r>
        <w:rPr>
          <w:rFonts w:hint="eastAsia"/>
        </w:rPr>
        <w:t>②　正確な記録</w:t>
      </w:r>
    </w:p>
    <w:p>
      <w:pPr>
        <w:pStyle w:val="0"/>
        <w:ind w:left="660" w:leftChars="300" w:firstLine="220" w:firstLineChars="100"/>
        <w:rPr>
          <w:rFonts w:hint="default"/>
        </w:rPr>
      </w:pPr>
      <w:r>
        <w:rPr>
          <w:rFonts w:hint="eastAsia"/>
        </w:rPr>
        <w:t>業務に関する記録は正しく記録し、特に、会計帳簿、伝票、契約書等は関係法令、社内規程に定められた期間保存しなければならない。（社内規程等）</w:t>
      </w:r>
    </w:p>
    <w:p>
      <w:pPr>
        <w:pStyle w:val="0"/>
        <w:rPr>
          <w:rFonts w:hint="default"/>
        </w:rPr>
      </w:pPr>
    </w:p>
    <w:p>
      <w:pPr>
        <w:pStyle w:val="0"/>
        <w:ind w:firstLine="220" w:firstLineChars="100"/>
        <w:rPr>
          <w:rFonts w:hint="default"/>
        </w:rPr>
      </w:pPr>
      <w:r>
        <w:rPr>
          <w:rFonts w:hint="default"/>
        </w:rPr>
        <w:t>(</w:t>
      </w:r>
      <w:r>
        <w:rPr>
          <w:rFonts w:hint="eastAsia"/>
        </w:rPr>
        <w:t>３</w:t>
      </w:r>
      <w:r>
        <w:rPr>
          <w:rFonts w:hint="default"/>
        </w:rPr>
        <w:t>)</w:t>
      </w:r>
      <w:r>
        <w:rPr>
          <w:rFonts w:hint="eastAsia"/>
        </w:rPr>
        <w:t>　社会との関係</w:t>
      </w:r>
    </w:p>
    <w:p>
      <w:pPr>
        <w:pStyle w:val="0"/>
        <w:ind w:firstLine="440" w:firstLineChars="200"/>
        <w:rPr>
          <w:rFonts w:hint="default"/>
        </w:rPr>
      </w:pPr>
      <w:r>
        <w:rPr>
          <w:rFonts w:hint="eastAsia"/>
        </w:rPr>
        <w:t>①　地域社会への貢献</w:t>
      </w:r>
    </w:p>
    <w:p>
      <w:pPr>
        <w:pStyle w:val="0"/>
        <w:ind w:left="660" w:leftChars="300" w:firstLine="220" w:firstLineChars="100"/>
        <w:rPr>
          <w:rFonts w:hint="default"/>
        </w:rPr>
      </w:pPr>
      <w:r>
        <w:rPr>
          <w:rFonts w:hint="eastAsia"/>
        </w:rPr>
        <w:t>社会の健全な発展の担い手として、社会貢献活動に積極的に参加し、また、これらの活動を支援しなければならない。（社内規程等）</w:t>
      </w:r>
    </w:p>
    <w:p>
      <w:pPr>
        <w:pStyle w:val="0"/>
        <w:ind w:firstLine="440" w:firstLineChars="200"/>
        <w:rPr>
          <w:rFonts w:hint="default"/>
        </w:rPr>
      </w:pPr>
    </w:p>
    <w:p>
      <w:pPr>
        <w:pStyle w:val="0"/>
        <w:ind w:firstLine="440" w:firstLineChars="200"/>
        <w:rPr>
          <w:rFonts w:hint="default"/>
        </w:rPr>
      </w:pPr>
      <w:r>
        <w:rPr>
          <w:rFonts w:hint="eastAsia"/>
        </w:rPr>
        <w:t>②　反社会的勢力との対決</w:t>
      </w:r>
    </w:p>
    <w:p>
      <w:pPr>
        <w:pStyle w:val="0"/>
        <w:ind w:left="660" w:leftChars="300" w:firstLine="220" w:firstLineChars="100"/>
        <w:rPr>
          <w:rFonts w:hint="default"/>
        </w:rPr>
      </w:pPr>
      <w:r>
        <w:rPr>
          <w:rFonts w:hint="eastAsia"/>
        </w:rPr>
        <w:t>役職員は、反社会的勢力からの取引や金銭などの要求には毅然として対応し、一切関係を持ってはならない。一方で、会社は自らの利益を得るために反社会的勢力を利用したり、利益供与も行ってはならない。（暴力団対策法、会社法、社内規程等）</w:t>
      </w:r>
    </w:p>
    <w:p>
      <w:pPr>
        <w:pStyle w:val="0"/>
        <w:ind w:firstLine="440" w:firstLineChars="200"/>
        <w:rPr>
          <w:rFonts w:hint="default"/>
        </w:rPr>
      </w:pPr>
    </w:p>
    <w:p>
      <w:pPr>
        <w:pStyle w:val="0"/>
        <w:ind w:firstLine="440" w:firstLineChars="200"/>
        <w:rPr>
          <w:rFonts w:hint="default"/>
        </w:rPr>
      </w:pPr>
      <w:r>
        <w:rPr>
          <w:rFonts w:hint="eastAsia"/>
        </w:rPr>
        <w:t>③　公正透明な政治参加</w:t>
      </w:r>
    </w:p>
    <w:p>
      <w:pPr>
        <w:pStyle w:val="0"/>
        <w:ind w:left="660" w:leftChars="300" w:firstLine="220" w:firstLineChars="100"/>
        <w:rPr>
          <w:rFonts w:hint="default"/>
        </w:rPr>
      </w:pPr>
      <w:r>
        <w:rPr>
          <w:rFonts w:hint="eastAsia"/>
        </w:rPr>
        <w:t>政治献金や各種団体への寄付などを行う場合は、公職選挙法や政治資金規正法等を遵守し、誤解を招くような行動をしてはならない。（公職選挙法、政治資金規正法）</w:t>
      </w:r>
    </w:p>
    <w:p>
      <w:pPr>
        <w:pStyle w:val="0"/>
        <w:ind w:firstLine="440" w:firstLineChars="200"/>
        <w:rPr>
          <w:rFonts w:hint="default"/>
        </w:rPr>
      </w:pPr>
    </w:p>
    <w:p>
      <w:pPr>
        <w:pStyle w:val="0"/>
        <w:ind w:firstLine="440" w:firstLineChars="200"/>
        <w:rPr>
          <w:rFonts w:hint="default"/>
        </w:rPr>
      </w:pPr>
      <w:r>
        <w:rPr>
          <w:rFonts w:hint="eastAsia"/>
        </w:rPr>
        <w:t>④　環境に配慮した経営</w:t>
      </w:r>
    </w:p>
    <w:p>
      <w:pPr>
        <w:pStyle w:val="0"/>
        <w:ind w:left="660" w:leftChars="300" w:firstLine="220" w:firstLineChars="100"/>
        <w:rPr>
          <w:rFonts w:hint="default"/>
        </w:rPr>
      </w:pPr>
      <w:r>
        <w:rPr>
          <w:rFonts w:hint="eastAsia"/>
        </w:rPr>
        <w:t>廃棄物の処理、土壌汚染防止等に関する法令を遵守し、環境保護の意識の向上に努めなければならない。（廃棄物処理法、土壌汚染対策法、建設リサイクル法等）</w:t>
      </w:r>
    </w:p>
    <w:p>
      <w:pPr>
        <w:pStyle w:val="0"/>
        <w:rPr>
          <w:rFonts w:hint="default"/>
        </w:rPr>
      </w:pPr>
    </w:p>
    <w:p>
      <w:pPr>
        <w:pStyle w:val="0"/>
        <w:ind w:firstLine="220" w:firstLineChars="100"/>
        <w:rPr>
          <w:rFonts w:hint="default"/>
        </w:rPr>
      </w:pPr>
      <w:r>
        <w:rPr>
          <w:rFonts w:hint="default"/>
        </w:rPr>
        <w:t>(</w:t>
      </w:r>
      <w:r>
        <w:rPr>
          <w:rFonts w:hint="eastAsia"/>
        </w:rPr>
        <w:t>４</w:t>
      </w:r>
      <w:r>
        <w:rPr>
          <w:rFonts w:hint="default"/>
        </w:rPr>
        <w:t>)</w:t>
      </w:r>
      <w:r>
        <w:rPr>
          <w:rFonts w:hint="eastAsia"/>
        </w:rPr>
        <w:t>　従業員との関係</w:t>
      </w:r>
    </w:p>
    <w:p>
      <w:pPr>
        <w:pStyle w:val="0"/>
        <w:ind w:firstLine="440" w:firstLineChars="200"/>
        <w:rPr>
          <w:rFonts w:hint="default"/>
        </w:rPr>
      </w:pPr>
      <w:r>
        <w:rPr>
          <w:rFonts w:hint="eastAsia"/>
        </w:rPr>
        <w:t>①　人権の尊重</w:t>
      </w:r>
    </w:p>
    <w:p>
      <w:pPr>
        <w:pStyle w:val="0"/>
        <w:ind w:left="660" w:leftChars="300" w:firstLine="220" w:firstLineChars="100"/>
        <w:rPr>
          <w:rFonts w:hint="default"/>
        </w:rPr>
      </w:pPr>
      <w:r>
        <w:rPr>
          <w:rFonts w:hint="eastAsia"/>
        </w:rPr>
        <w:t>雇用や処遇にあたっては、従業員の人権を尊重するとともに、人種、信条、性別、宗教、国籍、年齢、学歴、その他個人的な特性に基づいた差別は、いかなる場合にあっても、行ってはならない。（労働基準法、男女雇用機会均等法等）</w:t>
      </w:r>
    </w:p>
    <w:p>
      <w:pPr>
        <w:pStyle w:val="0"/>
        <w:ind w:firstLine="440" w:firstLineChars="200"/>
        <w:rPr>
          <w:rFonts w:hint="default"/>
        </w:rPr>
      </w:pPr>
    </w:p>
    <w:p>
      <w:pPr>
        <w:pStyle w:val="0"/>
        <w:ind w:firstLine="440" w:firstLineChars="200"/>
        <w:rPr>
          <w:rFonts w:hint="default"/>
        </w:rPr>
      </w:pPr>
      <w:r>
        <w:rPr>
          <w:rFonts w:hint="eastAsia"/>
        </w:rPr>
        <w:t>②　セクシャル・ハラスメント等の禁止</w:t>
      </w:r>
    </w:p>
    <w:p>
      <w:pPr>
        <w:pStyle w:val="0"/>
        <w:ind w:left="660" w:leftChars="300" w:firstLine="220" w:firstLineChars="100"/>
        <w:rPr>
          <w:rFonts w:hint="default"/>
        </w:rPr>
      </w:pPr>
      <w:r>
        <w:rPr>
          <w:rFonts w:hint="eastAsia"/>
        </w:rPr>
        <w:t>性的な嫌がらせや地位や立場を利用した嫌がらせ、また、それらと誤解されるおそれのある行為を行ってはならない。（労働基準法、男女雇用機会均等法）</w:t>
      </w:r>
    </w:p>
    <w:p>
      <w:pPr>
        <w:pStyle w:val="0"/>
        <w:ind w:firstLine="440" w:firstLineChars="200"/>
        <w:rPr>
          <w:rFonts w:hint="default"/>
        </w:rPr>
      </w:pPr>
    </w:p>
    <w:p>
      <w:pPr>
        <w:pStyle w:val="0"/>
        <w:ind w:firstLine="440" w:firstLineChars="200"/>
        <w:rPr>
          <w:rFonts w:hint="default"/>
        </w:rPr>
      </w:pPr>
      <w:r>
        <w:rPr>
          <w:rFonts w:hint="eastAsia"/>
        </w:rPr>
        <w:t>③　プライバシーの保護</w:t>
      </w:r>
    </w:p>
    <w:p>
      <w:pPr>
        <w:pStyle w:val="0"/>
        <w:ind w:left="660" w:leftChars="300" w:firstLine="220" w:firstLineChars="100"/>
        <w:rPr>
          <w:rFonts w:hint="default"/>
        </w:rPr>
      </w:pPr>
      <w:r>
        <w:rPr>
          <w:rFonts w:hint="eastAsia"/>
        </w:rPr>
        <w:t>従業員の個人情報は、適正に管理し、本来の目的以外に使用してはならない。また、裁判所の命令等の正当な理由がない限り、本人の承諾なく、これを外部に開示してならない。（個人情報保護法等）</w:t>
      </w:r>
    </w:p>
    <w:p>
      <w:pPr>
        <w:pStyle w:val="0"/>
        <w:ind w:firstLine="440" w:firstLineChars="200"/>
        <w:rPr>
          <w:rFonts w:hint="default"/>
        </w:rPr>
      </w:pPr>
    </w:p>
    <w:p>
      <w:pPr>
        <w:pStyle w:val="0"/>
        <w:ind w:firstLine="440" w:firstLineChars="200"/>
        <w:rPr>
          <w:rFonts w:hint="default"/>
        </w:rPr>
      </w:pPr>
      <w:r>
        <w:rPr>
          <w:rFonts w:hint="eastAsia"/>
        </w:rPr>
        <w:t>④　労働関係法令の遵守</w:t>
      </w:r>
    </w:p>
    <w:p>
      <w:pPr>
        <w:pStyle w:val="0"/>
        <w:ind w:left="660" w:leftChars="300" w:firstLine="220" w:firstLineChars="100"/>
        <w:rPr>
          <w:rFonts w:hint="default"/>
        </w:rPr>
      </w:pPr>
      <w:r>
        <w:rPr>
          <w:rFonts w:hint="eastAsia"/>
        </w:rPr>
        <w:t>労働関係法令を遵守し、勤務時間等の労働条件について、適正な管理を行わなければならない。（労働基準法、労働契約法、社内規程等）</w:t>
      </w:r>
    </w:p>
    <w:p>
      <w:pPr>
        <w:pStyle w:val="0"/>
        <w:ind w:firstLine="440" w:firstLineChars="200"/>
        <w:rPr>
          <w:rFonts w:hint="default"/>
        </w:rPr>
      </w:pPr>
    </w:p>
    <w:p>
      <w:pPr>
        <w:pStyle w:val="0"/>
        <w:ind w:firstLine="440" w:firstLineChars="200"/>
        <w:rPr>
          <w:rFonts w:hint="default"/>
        </w:rPr>
      </w:pPr>
      <w:r>
        <w:rPr>
          <w:rFonts w:hint="eastAsia"/>
        </w:rPr>
        <w:t>⑤　職場の安全衛生</w:t>
      </w:r>
    </w:p>
    <w:p>
      <w:pPr>
        <w:pStyle w:val="0"/>
        <w:ind w:left="660" w:leftChars="300" w:firstLine="220" w:firstLineChars="100"/>
        <w:rPr>
          <w:rFonts w:hint="default"/>
        </w:rPr>
      </w:pPr>
      <w:r>
        <w:rPr>
          <w:rFonts w:hint="eastAsia"/>
        </w:rPr>
        <w:t>職場の整理整頓に努め、快適な職場環境を保たなければならない。また、就業規則や安全衛生管理規程における安全衛生の各条項を遵守し、従業員の健康増進に努めなければならない。（労働安全衛生法、社内規程等）</w:t>
      </w:r>
    </w:p>
    <w:p>
      <w:pPr>
        <w:pStyle w:val="0"/>
        <w:rPr>
          <w:rFonts w:hint="default"/>
        </w:rPr>
      </w:pPr>
    </w:p>
    <w:p>
      <w:pPr>
        <w:pStyle w:val="0"/>
        <w:rPr>
          <w:rFonts w:hint="default"/>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3642995</wp:posOffset>
                </wp:positionH>
                <wp:positionV relativeFrom="paragraph">
                  <wp:posOffset>61595</wp:posOffset>
                </wp:positionV>
                <wp:extent cx="1741805" cy="309880"/>
                <wp:effectExtent l="36830" t="36195" r="62865" b="69850"/>
                <wp:wrapNone/>
                <wp:docPr id="1032" name="Rectangle 11"/>
                <a:graphic xmlns:a="http://schemas.openxmlformats.org/drawingml/2006/main">
                  <a:graphicData uri="http://schemas.microsoft.com/office/word/2010/wordprocessingShape">
                    <wps:wsp>
                      <wps:cNvPr id="1032" name="Rectangle 11"/>
                      <wps:cNvSpPr>
                        <a:spLocks noChangeArrowheads="1"/>
                      </wps:cNvSpPr>
                      <wps:spPr>
                        <a:xfrm>
                          <a:off x="0" y="0"/>
                          <a:ext cx="1741805" cy="309880"/>
                        </a:xfrm>
                        <a:prstGeom prst="rect">
                          <a:avLst/>
                        </a:prstGeom>
                        <a:solidFill>
                          <a:schemeClr val="accent1"/>
                        </a:solidFill>
                        <a:ln w="38100">
                          <a:solidFill>
                            <a:schemeClr val="lt1">
                              <a:lumMod val="95000"/>
                            </a:schemeClr>
                          </a:solidFill>
                          <a:miter lim="800000"/>
                          <a:headEnd/>
                          <a:tailEnd/>
                        </a:ln>
                        <a:effectLst>
                          <a:outerShdw dist="28398" dir="3806097" algn="ctr" rotWithShape="0">
                            <a:schemeClr val="accent1">
                              <a:lumMod val="50000"/>
                              <a:alpha val="50000"/>
                            </a:schemeClr>
                          </a:outerShdw>
                        </a:effectLst>
                      </wps:spPr>
                      <wps:txbx>
                        <w:txbxContent>
                          <w:p>
                            <w:pPr>
                              <w:pStyle w:val="0"/>
                              <w:jc w:val="center"/>
                              <w:rPr>
                                <w:rFonts w:hint="default"/>
                                <w:b w:val="1"/>
                                <w:color w:val="FFFFFF" w:themeColor="background1"/>
                                <w:sz w:val="24"/>
                              </w:rPr>
                            </w:pPr>
                            <w:r>
                              <w:rPr>
                                <w:rFonts w:hint="eastAsia"/>
                                <w:b w:val="1"/>
                                <w:color w:val="FFFFFF" w:themeColor="background1"/>
                                <w:sz w:val="24"/>
                              </w:rPr>
                              <w:t>⑦違反者に対する措置</w:t>
                            </w:r>
                          </w:p>
                        </w:txbxContent>
                      </wps:txbx>
                      <wps:bodyPr rot="0" vertOverflow="overflow" horzOverflow="overflow" wrap="square" lIns="74295" tIns="8890" rIns="74295" bIns="8890" anchor="t" anchorCtr="0" upright="1"/>
                    </wps:wsp>
                  </a:graphicData>
                </a:graphic>
              </wp:anchor>
            </w:drawing>
          </mc:Choice>
          <mc:Fallback>
            <w:pict>
              <v:rect id="Rectangle 11" style="mso-wrap-distance-right:9pt;mso-wrap-distance-bottom:0pt;margin-top:4.84pt;mso-position-vertical-relative:text;mso-position-horizontal-relative:text;v-text-anchor:top;position:absolute;height:24.4pt;mso-wrap-distance-top:0pt;width:137.15pt;mso-wrap-distance-left:9pt;margin-left:286.85000000000002pt;z-index:7;" o:spid="_x0000_s1032" o:allowincell="t" o:allowoverlap="t" filled="t" fillcolor="#4f81bd [3204]" stroked="t" strokecolor="#f2f2f2 [3041]" strokeweight="3pt" o:spt="1">
                <v:fill/>
                <v:stroke miterlimit="8" filltype="solid"/>
                <v:shadow on="t" color="#244062" opacity="32768f" offset="1pt,2pt" matrix="65536f,,,65536f,,"/>
                <v:textbox style="layout-flow:horizontal;" inset="2.0637499999999998mm,0.24694444444444438mm,2.0637499999999998mm,0.24694444444444438mm">
                  <w:txbxContent>
                    <w:p>
                      <w:pPr>
                        <w:pStyle w:val="0"/>
                        <w:jc w:val="center"/>
                        <w:rPr>
                          <w:rFonts w:hint="default"/>
                          <w:b w:val="1"/>
                          <w:color w:val="FFFFFF" w:themeColor="background1"/>
                          <w:sz w:val="24"/>
                        </w:rPr>
                      </w:pPr>
                      <w:r>
                        <w:rPr>
                          <w:rFonts w:hint="eastAsia"/>
                          <w:b w:val="1"/>
                          <w:color w:val="FFFFFF" w:themeColor="background1"/>
                          <w:sz w:val="24"/>
                        </w:rPr>
                        <w:t>⑦違反者に対する措置</w:t>
                      </w:r>
                    </w:p>
                  </w:txbxContent>
                </v:textbox>
                <v:imagedata o:title=""/>
                <w10:wrap type="none" anchorx="text" anchory="text"/>
              </v:rect>
            </w:pict>
          </mc:Fallback>
        </mc:AlternateContent>
      </w:r>
    </w:p>
    <w:p>
      <w:pPr>
        <w:pStyle w:val="0"/>
        <w:rPr>
          <w:rFonts w:hint="default"/>
        </w:rPr>
      </w:pPr>
    </w:p>
    <w:p>
      <w:pPr>
        <w:pStyle w:val="0"/>
        <w:rPr>
          <w:rFonts w:hint="default"/>
        </w:rPr>
      </w:pPr>
      <w:r>
        <w:rPr>
          <w:rFonts w:hint="eastAsia"/>
        </w:rPr>
        <w:t>５　違反者に対する措置</w:t>
      </w:r>
    </w:p>
    <w:p>
      <w:pPr>
        <w:pStyle w:val="0"/>
        <w:ind w:firstLine="220" w:firstLineChars="100"/>
        <w:rPr>
          <w:rFonts w:hint="default"/>
        </w:rPr>
      </w:pPr>
      <w:r>
        <w:rPr>
          <w:rFonts w:hint="eastAsia"/>
        </w:rPr>
        <w:t>このコンプライアンス基本方針に違反した者や違反行為を放置した者については、就業規則に基づき処分します。</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2"/>
      </w:rPr>
    </w:rPrDefault>
    <w:pPrDefault>
      <w:pPr>
        <w:jc w:val="both"/>
      </w:pPr>
    </w:pPrDefault>
  </w:docDefaults>
  <w:style w:type="paragraph" w:styleId="0" w:default="1">
    <w:name w:val="Normal"/>
    <w:next w:val="0"/>
    <w:link w:val="0"/>
    <w:uiPriority w:val="0"/>
    <w:qFormat/>
    <w:pPr>
      <w:widowControl w:val="0"/>
      <w:autoSpaceDE w:val="0"/>
      <w:autoSpaceDN w:val="0"/>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7</Pages>
  <Words>6</Words>
  <Characters>4063</Characters>
  <Application>JUST Note</Application>
  <Lines>219</Lines>
  <Paragraphs>107</Paragraphs>
  <Company>ioas</Company>
  <CharactersWithSpaces>4133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488961</cp:lastModifiedBy>
  <cp:lastPrinted>2017-08-02T23:52:00Z</cp:lastPrinted>
  <dcterms:created xsi:type="dcterms:W3CDTF">2020-08-24T04:44:00Z</dcterms:created>
  <dcterms:modified xsi:type="dcterms:W3CDTF">2026-05-22T09:36:25Z</dcterms:modified>
  <cp:revision>5</cp:revision>
</cp:coreProperties>
</file>