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center"/>
        <w:rPr>
          <w:rFonts w:hint="eastAsia"/>
          <w:highlight w:val="none"/>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4414520</wp:posOffset>
                </wp:positionH>
                <wp:positionV relativeFrom="paragraph">
                  <wp:posOffset>-354965</wp:posOffset>
                </wp:positionV>
                <wp:extent cx="1304925" cy="352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04925" cy="35242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資料１－１</w:t>
                            </w:r>
                          </w:p>
                        </w:txbxContent>
                      </wps:txbx>
                      <wps:bodyPr vertOverflow="overflow" horzOverflow="overflow" wrap="square" anchor="ctr"/>
                    </wps:wsp>
                  </a:graphicData>
                </a:graphic>
              </wp:anchor>
            </w:drawing>
          </mc:Choice>
          <mc:Fallback>
            <w:pict>
              <v:rect id="オブジェクト 0" style="mso-wrap-distance-right:5.65pt;mso-wrap-distance-bottom:0pt;margin-top:-27.95pt;mso-position-vertical-relative:text;mso-position-horizontal-relative:text;v-text-anchor:middle;position:absolute;height:27.75pt;mso-wrap-distance-top:0pt;width:102.75pt;mso-wrap-distance-left:5.65pt;margin-left:347.6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資料１－１</w:t>
                      </w:r>
                    </w:p>
                  </w:txbxContent>
                </v:textbox>
                <v:imagedata o:title=""/>
                <w10:wrap type="none" anchorx="text" anchory="text"/>
              </v:rect>
            </w:pict>
          </mc:Fallback>
        </mc:AlternateContent>
      </w:r>
      <w:r>
        <w:rPr>
          <w:rFonts w:hint="eastAsia" w:ascii="游ゴシック" w:hAnsi="游ゴシック" w:eastAsia="游ゴシック"/>
          <w:b w:val="1"/>
          <w:sz w:val="32"/>
          <w:highlight w:val="none"/>
        </w:rPr>
        <w:t>高知県における言語としての手話の普及等の推進</w:t>
      </w:r>
    </w:p>
    <w:p>
      <w:pPr>
        <w:pStyle w:val="0"/>
        <w:ind w:leftChars="0" w:firstLine="746" w:firstLineChars="233"/>
        <w:jc w:val="left"/>
        <w:rPr>
          <w:rFonts w:hint="eastAsia"/>
        </w:rPr>
      </w:pPr>
      <w:r>
        <w:rPr>
          <w:rFonts w:hint="eastAsia" w:ascii="游ゴシック" w:hAnsi="游ゴシック" w:eastAsia="游ゴシック"/>
          <w:b w:val="1"/>
          <w:sz w:val="32"/>
          <w:highlight w:val="none"/>
        </w:rPr>
        <w:t>に関する条例</w:t>
      </w:r>
      <w:r>
        <w:rPr>
          <w:rFonts w:hint="eastAsia" w:ascii="游ゴシック" w:hAnsi="游ゴシック" w:eastAsia="游ゴシック"/>
          <w:b w:val="1"/>
          <w:sz w:val="32"/>
        </w:rPr>
        <w:t>（案）</w:t>
      </w:r>
    </w:p>
    <w:p>
      <w:pPr>
        <w:pStyle w:val="0"/>
        <w:ind w:firstLine="210" w:firstLineChars="100"/>
        <w:rPr>
          <w:rFonts w:hint="eastAsia"/>
        </w:rPr>
      </w:pPr>
    </w:p>
    <w:p>
      <w:pPr>
        <w:pStyle w:val="0"/>
        <w:spacing w:line="240" w:lineRule="auto"/>
        <w:ind w:firstLine="210" w:firstLineChars="100"/>
        <w:rPr>
          <w:rFonts w:hint="eastAsia"/>
        </w:rPr>
      </w:pPr>
      <w:r>
        <w:rPr>
          <w:rFonts w:hint="eastAsia"/>
        </w:rPr>
        <w:t>手話は、音声言語とは異なる語彙や文法体系を有し、手や指、体の動きや表情などにより視覚的に表現される独自の言語である。</w:t>
      </w:r>
      <w:r>
        <w:rPr>
          <w:rFonts w:hint="eastAsia"/>
          <w:highlight w:val="none"/>
          <w:u w:val="none" w:color="auto"/>
        </w:rPr>
        <w:t>また、手話は、</w:t>
      </w:r>
      <w:r>
        <w:rPr>
          <w:rFonts w:hint="eastAsia"/>
        </w:rPr>
        <w:t>聞こえる人にとっての音声言語と同様に、音声が聞こえない、あるいは聞こえにくい人にとって、思考、感情及びコミュニケーションの基盤となる母語であって、日常生活や社会生活を営む上で必要不可欠なものとして、大切に育まれてきた。</w:t>
      </w:r>
    </w:p>
    <w:p>
      <w:pPr>
        <w:pStyle w:val="0"/>
        <w:spacing w:line="240" w:lineRule="auto"/>
        <w:ind w:firstLine="210" w:firstLineChars="100"/>
        <w:rPr>
          <w:rFonts w:hint="eastAsia"/>
        </w:rPr>
      </w:pPr>
      <w:r>
        <w:rPr>
          <w:rFonts w:hint="eastAsia"/>
        </w:rPr>
        <w:t>しかしながら、過去には、口の形を読み取り、意思を発音し、又は発声する口話法による意思疎通が推し進められ、手話の使用が制約された時代もあった。</w:t>
      </w:r>
    </w:p>
    <w:p>
      <w:pPr>
        <w:pStyle w:val="0"/>
        <w:spacing w:line="240" w:lineRule="auto"/>
        <w:ind w:firstLine="210" w:firstLineChars="100"/>
        <w:rPr>
          <w:rFonts w:hint="eastAsia"/>
        </w:rPr>
      </w:pPr>
      <w:r>
        <w:rPr>
          <w:rFonts w:hint="eastAsia"/>
        </w:rPr>
        <w:t>その後、障害者の権利に関する条約において、言語には手話</w:t>
      </w:r>
      <w:bookmarkStart w:id="0" w:name="_GoBack"/>
      <w:bookmarkEnd w:id="0"/>
      <w:r>
        <w:rPr>
          <w:rFonts w:hint="eastAsia"/>
        </w:rPr>
        <w:t>その他の形態の非音声言語が含まれることが明記され、また、障害者基本法（昭和</w:t>
      </w:r>
      <w:r>
        <w:rPr>
          <w:rFonts w:hint="eastAsia"/>
        </w:rPr>
        <w:t>45</w:t>
      </w:r>
      <w:r>
        <w:rPr>
          <w:rFonts w:hint="eastAsia"/>
        </w:rPr>
        <w:t>年法律第</w:t>
      </w:r>
      <w:r>
        <w:rPr>
          <w:rFonts w:hint="eastAsia"/>
        </w:rPr>
        <w:t>84</w:t>
      </w:r>
      <w:r>
        <w:rPr>
          <w:rFonts w:hint="eastAsia"/>
        </w:rPr>
        <w:t>号）においても、言語には手話が含まれることが明記されている。</w:t>
      </w:r>
    </w:p>
    <w:p>
      <w:pPr>
        <w:pStyle w:val="0"/>
        <w:spacing w:line="240" w:lineRule="auto"/>
        <w:ind w:firstLine="210" w:firstLineChars="100"/>
        <w:rPr>
          <w:rFonts w:hint="eastAsia"/>
        </w:rPr>
      </w:pPr>
      <w:r>
        <w:rPr>
          <w:rFonts w:hint="eastAsia"/>
        </w:rPr>
        <w:t>また、本県においても、令和６年に、全ての県民が障害の有無によって分け隔てられることなく、相互に人格と個性を尊重しながら共生する社会の実現を目指して、障害のある人もない人も共に安心して豊かに暮らせる高知県づくり条例（令和６年高知県条例第２号）を制定した。同条例では、手話を言語と位置付け、基本理念として、全ての障害のある人が、手話をはじめとする障害特性に応じた意思疎通のための手段について選択の機会が確保されるとともに、情報の取得及び利用のための手段について選択の機会の拡大が図られなければならないとされたところである。</w:t>
      </w:r>
    </w:p>
    <w:p>
      <w:pPr>
        <w:pStyle w:val="0"/>
        <w:spacing w:line="240" w:lineRule="auto"/>
        <w:ind w:firstLine="210" w:firstLineChars="100"/>
        <w:rPr>
          <w:rFonts w:hint="eastAsia"/>
          <w:highlight w:val="none"/>
          <w:u w:val="none" w:color="auto"/>
        </w:rPr>
      </w:pPr>
      <w:r>
        <w:rPr>
          <w:rFonts w:hint="eastAsia"/>
        </w:rPr>
        <w:t>しかしながら、手話が言語であることに対する認識が十分であるとは言えず、地域社会において、手話を日常的に使うろう者は、外出時や就労する際、母語とする手話を安心して使用したり、災害時に必要な情報を取得したりすることができないなど、日常生活の多くの場面で、不安</w:t>
      </w:r>
      <w:r>
        <w:rPr>
          <w:rFonts w:hint="eastAsia"/>
          <w:highlight w:val="none"/>
          <w:u w:val="none" w:color="auto"/>
        </w:rPr>
        <w:t>や不便さを感じている。加えて、ろう者の家族も、地域社会における手話への理解不足や手話を習得する機会の不足等から、ろう者と同様に様々な場面で不安や悩みを抱えている。</w:t>
      </w:r>
    </w:p>
    <w:p>
      <w:pPr>
        <w:pStyle w:val="0"/>
        <w:spacing w:line="240" w:lineRule="auto"/>
        <w:ind w:firstLine="210" w:firstLineChars="100"/>
        <w:rPr>
          <w:rFonts w:hint="eastAsia"/>
        </w:rPr>
      </w:pPr>
      <w:r>
        <w:rPr>
          <w:rFonts w:hint="eastAsia"/>
        </w:rPr>
        <w:t>このような背景を踏まえ、言語としての手話の認識の普及、手話を習得する機会の確保その他の手話を使用しやすい環境の整備を図り、ろう者を含む全ての県民が、相互に人格と個性を尊重し合いながら共生することのできる地域社会を実現するため、この条例を制定する。</w:t>
      </w:r>
    </w:p>
    <w:p>
      <w:pPr>
        <w:pStyle w:val="0"/>
        <w:spacing w:line="240" w:lineRule="exact"/>
        <w:ind w:leftChars="0" w:firstLine="0" w:firstLineChars="0"/>
        <w:rPr>
          <w:rFonts w:hint="eastAsia" w:ascii="游ゴシック" w:hAnsi="游ゴシック" w:eastAsia="游ゴシック"/>
          <w:b w:val="1"/>
          <w:sz w:val="22"/>
        </w:rPr>
      </w:pPr>
    </w:p>
    <w:p>
      <w:pPr>
        <w:pStyle w:val="0"/>
        <w:spacing w:line="400" w:lineRule="exact"/>
        <w:ind w:leftChars="0" w:firstLine="0" w:firstLineChars="0"/>
        <w:rPr>
          <w:rFonts w:hint="eastAsia" w:ascii="游ゴシック" w:hAnsi="游ゴシック" w:eastAsia="游ゴシック"/>
          <w:b w:val="1"/>
          <w:sz w:val="22"/>
        </w:rPr>
      </w:pPr>
      <w:r>
        <w:rPr>
          <w:rFonts w:hint="eastAsia" w:ascii="游ゴシック" w:hAnsi="游ゴシック" w:eastAsia="游ゴシック"/>
          <w:b w:val="1"/>
          <w:sz w:val="22"/>
        </w:rPr>
        <w:t>（目　的）</w:t>
      </w:r>
    </w:p>
    <w:p>
      <w:pPr>
        <w:pStyle w:val="0"/>
        <w:spacing w:line="240" w:lineRule="auto"/>
        <w:ind w:left="210" w:hanging="210" w:hangingChars="100"/>
        <w:rPr>
          <w:rFonts w:hint="eastAsia"/>
        </w:rPr>
      </w:pPr>
      <w:r>
        <w:rPr>
          <w:rFonts w:hint="eastAsia" w:ascii="游ゴシック" w:hAnsi="游ゴシック" w:eastAsia="游ゴシック"/>
          <w:b w:val="1"/>
          <w:sz w:val="21"/>
        </w:rPr>
        <w:t>第１条</w:t>
      </w:r>
      <w:r>
        <w:rPr>
          <w:rFonts w:hint="eastAsia"/>
          <w:sz w:val="21"/>
        </w:rPr>
        <w:t>　この条例は、手話が言語であるという認識に基づき、</w:t>
      </w:r>
      <w:r>
        <w:rPr>
          <w:rFonts w:hint="eastAsia"/>
          <w:sz w:val="21"/>
          <w:u w:val="none" w:color="auto"/>
        </w:rPr>
        <w:t>手話の</w:t>
      </w:r>
      <w:r>
        <w:rPr>
          <w:rFonts w:hint="eastAsia"/>
          <w:u w:val="none" w:color="auto"/>
        </w:rPr>
        <w:t>普及等</w:t>
      </w:r>
      <w:r>
        <w:rPr>
          <w:rFonts w:hint="eastAsia"/>
        </w:rPr>
        <w:t>に関し、基本理念を定め、県の責務、県民及び事業者の役割等を明らかにするとともに、手話の普及等に関する施策の基本となる事項を定め、もって、ろう者を含む全ての県民が共生することのできる地域社会を実現することを目的とする。</w:t>
      </w:r>
    </w:p>
    <w:p>
      <w:pPr>
        <w:pStyle w:val="0"/>
        <w:spacing w:line="240" w:lineRule="auto"/>
        <w:rPr>
          <w:rFonts w:hint="eastAsia"/>
        </w:rPr>
      </w:pPr>
    </w:p>
    <w:p>
      <w:pPr>
        <w:pStyle w:val="0"/>
        <w:spacing w:line="240" w:lineRule="auto"/>
        <w:rPr>
          <w:rFonts w:hint="eastAsia"/>
        </w:rPr>
      </w:pPr>
      <w:r>
        <w:rPr>
          <w:rFonts w:hint="eastAsia" w:ascii="游ゴシック" w:hAnsi="游ゴシック" w:eastAsia="游ゴシック"/>
          <w:b w:val="1"/>
        </w:rPr>
        <w:t>（定義）</w:t>
      </w:r>
    </w:p>
    <w:p>
      <w:pPr>
        <w:pStyle w:val="0"/>
        <w:spacing w:line="240" w:lineRule="auto"/>
        <w:ind w:left="210" w:hanging="210" w:hangingChars="100"/>
        <w:rPr>
          <w:rFonts w:hint="eastAsia"/>
        </w:rPr>
      </w:pPr>
      <w:r>
        <w:rPr>
          <w:rFonts w:hint="eastAsia" w:ascii="游ゴシック" w:hAnsi="游ゴシック" w:eastAsia="游ゴシック"/>
          <w:b w:val="1"/>
          <w:sz w:val="21"/>
        </w:rPr>
        <w:t>第２条　</w:t>
      </w:r>
      <w:r>
        <w:rPr>
          <w:rFonts w:hint="eastAsia"/>
          <w:sz w:val="21"/>
        </w:rPr>
        <w:t>この条例において、次の各号に掲げる用語の意義は、それぞれ当該各号に定める</w:t>
      </w:r>
      <w:r>
        <w:rPr>
          <w:rFonts w:hint="eastAsia"/>
        </w:rPr>
        <w:t>ところによる。</w:t>
      </w:r>
    </w:p>
    <w:p>
      <w:pPr>
        <w:pStyle w:val="0"/>
        <w:spacing w:line="240" w:lineRule="auto"/>
        <w:ind w:left="420" w:hanging="420" w:hangingChars="200"/>
        <w:rPr>
          <w:rFonts w:hint="eastAsia"/>
        </w:rPr>
      </w:pPr>
      <w:r>
        <w:rPr>
          <w:rFonts w:hint="eastAsia"/>
        </w:rPr>
        <w:t>（１）ろう者　聴覚障害のある人のうち、手話を使用して日常生活又は社会生活を営む者をいう。</w:t>
      </w:r>
    </w:p>
    <w:p>
      <w:pPr>
        <w:pStyle w:val="0"/>
        <w:spacing w:line="240" w:lineRule="auto"/>
        <w:ind w:left="420" w:hanging="420" w:hangingChars="200"/>
        <w:rPr>
          <w:rFonts w:hint="eastAsia"/>
        </w:rPr>
      </w:pPr>
      <w:r>
        <w:rPr>
          <w:rFonts w:hint="eastAsia"/>
        </w:rPr>
        <w:t>（２）手話の普及等　言語としての手話の認識の普及、手話を習得する機会の確保その他の手話を使用しやすい環境の整備をいう。</w:t>
      </w:r>
    </w:p>
    <w:p>
      <w:pPr>
        <w:pStyle w:val="0"/>
        <w:spacing w:line="240" w:lineRule="auto"/>
        <w:rPr>
          <w:rFonts w:hint="eastAsia"/>
        </w:rPr>
      </w:pPr>
      <w:r>
        <w:rPr>
          <w:rFonts w:hint="eastAsia"/>
        </w:rPr>
        <w:t>（３）手話通訳者等　手話通訳者その他の手話を使用することができる者をいう。</w:t>
      </w:r>
    </w:p>
    <w:p>
      <w:pPr>
        <w:pStyle w:val="0"/>
        <w:spacing w:line="320" w:lineRule="exact"/>
        <w:rPr>
          <w:rFonts w:hint="eastAsia"/>
        </w:rPr>
      </w:pPr>
    </w:p>
    <w:p>
      <w:pPr>
        <w:pStyle w:val="0"/>
        <w:spacing w:line="320" w:lineRule="exact"/>
        <w:rPr>
          <w:rFonts w:hint="eastAsia"/>
        </w:rPr>
      </w:pPr>
      <w:r>
        <w:rPr>
          <w:rFonts w:hint="eastAsia" w:ascii="游ゴシック" w:hAnsi="游ゴシック" w:eastAsia="游ゴシック"/>
          <w:b w:val="1"/>
        </w:rPr>
        <w:t>（基本理念）</w:t>
      </w:r>
    </w:p>
    <w:p>
      <w:pPr>
        <w:pStyle w:val="0"/>
        <w:spacing w:line="320" w:lineRule="exact"/>
        <w:ind w:left="220" w:hanging="220" w:hangingChars="100"/>
        <w:rPr>
          <w:rFonts w:hint="eastAsia"/>
        </w:rPr>
      </w:pPr>
      <w:r>
        <w:rPr>
          <w:rFonts w:hint="eastAsia" w:ascii="游ゴシック" w:hAnsi="游ゴシック" w:eastAsia="游ゴシック"/>
          <w:b w:val="1"/>
          <w:sz w:val="22"/>
        </w:rPr>
        <w:t>第３条　</w:t>
      </w:r>
      <w:r>
        <w:rPr>
          <w:rFonts w:hint="eastAsia"/>
        </w:rPr>
        <w:t>手話の普及等は、ろう者を含む全ての県民が相互に人格と個性を尊重し、手話が意思疎通を行うために必要な言語であるとの認識の下に、図られなければならない。</w:t>
      </w:r>
    </w:p>
    <w:p>
      <w:pPr>
        <w:pStyle w:val="0"/>
        <w:spacing w:line="320" w:lineRule="exact"/>
        <w:rPr>
          <w:rFonts w:hint="eastAsia"/>
        </w:rPr>
      </w:pPr>
    </w:p>
    <w:p>
      <w:pPr>
        <w:pStyle w:val="0"/>
        <w:rPr>
          <w:rFonts w:hint="eastAsia"/>
        </w:rPr>
      </w:pPr>
      <w:r>
        <w:rPr>
          <w:rFonts w:hint="eastAsia" w:ascii="游ゴシック" w:hAnsi="游ゴシック" w:eastAsia="游ゴシック"/>
          <w:b w:val="1"/>
        </w:rPr>
        <w:t>（県の責務）</w:t>
      </w:r>
    </w:p>
    <w:p>
      <w:pPr>
        <w:pStyle w:val="0"/>
        <w:spacing w:line="400" w:lineRule="exact"/>
        <w:ind w:left="210" w:hanging="210" w:hangingChars="100"/>
        <w:rPr>
          <w:rFonts w:hint="eastAsia"/>
        </w:rPr>
      </w:pPr>
      <w:r>
        <w:rPr>
          <w:rFonts w:hint="eastAsia" w:ascii="游ゴシック" w:hAnsi="游ゴシック" w:eastAsia="游ゴシック"/>
          <w:b w:val="1"/>
        </w:rPr>
        <w:t>第４条</w:t>
      </w:r>
      <w:r>
        <w:rPr>
          <w:rFonts w:hint="eastAsia"/>
        </w:rPr>
        <w:t>　県は、基本理念（前条に規定する基本理念をいう。以下同じ。）にのっとり、ろう者及び手話通訳者等の協力を得て、手話の普及等に必要な施策を策定し、及び推進する責務を有する。</w:t>
      </w:r>
    </w:p>
    <w:p>
      <w:pPr>
        <w:pStyle w:val="0"/>
        <w:ind w:left="210" w:hanging="210" w:hangingChars="100"/>
        <w:rPr>
          <w:rFonts w:hint="eastAsia"/>
        </w:rPr>
      </w:pPr>
      <w:r>
        <w:rPr>
          <w:rFonts w:hint="eastAsia"/>
        </w:rPr>
        <w:t>２　県は、基本理念に対する県民の理解を深めるために、必要な啓発を行うものとする。</w:t>
      </w:r>
    </w:p>
    <w:p>
      <w:pPr>
        <w:pStyle w:val="0"/>
        <w:rPr>
          <w:rFonts w:hint="eastAsia"/>
        </w:rPr>
      </w:pPr>
    </w:p>
    <w:p>
      <w:pPr>
        <w:pStyle w:val="0"/>
        <w:rPr>
          <w:rFonts w:hint="eastAsia"/>
        </w:rPr>
      </w:pPr>
      <w:r>
        <w:rPr>
          <w:rFonts w:hint="eastAsia" w:ascii="游ゴシック" w:hAnsi="游ゴシック" w:eastAsia="游ゴシック"/>
          <w:b w:val="1"/>
        </w:rPr>
        <w:t>（市町村との連携）</w:t>
      </w:r>
    </w:p>
    <w:p>
      <w:pPr>
        <w:pStyle w:val="0"/>
        <w:ind w:left="210" w:hanging="210" w:hangingChars="100"/>
        <w:rPr>
          <w:rFonts w:hint="eastAsia"/>
        </w:rPr>
      </w:pPr>
      <w:r>
        <w:rPr>
          <w:rFonts w:hint="eastAsia" w:ascii="游ゴシック" w:hAnsi="游ゴシック" w:eastAsia="游ゴシック"/>
          <w:b w:val="1"/>
        </w:rPr>
        <w:t>第５条　</w:t>
      </w:r>
      <w:r>
        <w:rPr>
          <w:rFonts w:hint="eastAsia" w:asciiTheme="minorEastAsia" w:hAnsiTheme="minorEastAsia" w:eastAsiaTheme="minorEastAsia"/>
          <w:b w:val="0"/>
        </w:rPr>
        <w:t>県は、基本理念に対する県民の理解の促進及び手話の普及等に当たっては、市町村と連携を図るものとする。</w:t>
      </w:r>
    </w:p>
    <w:p>
      <w:pPr>
        <w:pStyle w:val="0"/>
        <w:rPr>
          <w:rFonts w:hint="eastAsia"/>
        </w:rPr>
      </w:pPr>
    </w:p>
    <w:p>
      <w:pPr>
        <w:pStyle w:val="0"/>
        <w:spacing w:line="240" w:lineRule="auto"/>
        <w:rPr>
          <w:rFonts w:hint="eastAsia"/>
        </w:rPr>
      </w:pPr>
      <w:r>
        <w:rPr>
          <w:rFonts w:hint="eastAsia" w:ascii="游ゴシック" w:hAnsi="游ゴシック" w:eastAsia="游ゴシック"/>
          <w:b w:val="1"/>
        </w:rPr>
        <w:t>（県民の役割）</w:t>
      </w:r>
    </w:p>
    <w:p>
      <w:pPr>
        <w:pStyle w:val="0"/>
        <w:spacing w:line="240" w:lineRule="auto"/>
        <w:ind w:left="210" w:hanging="210" w:hangingChars="100"/>
        <w:rPr>
          <w:rFonts w:hint="eastAsia" w:asciiTheme="minorEastAsia" w:hAnsiTheme="minorEastAsia" w:eastAsiaTheme="minorEastAsia"/>
          <w:b w:val="0"/>
          <w:bdr w:val="single" w:color="auto" w:sz="4" w:space="0"/>
        </w:rPr>
      </w:pPr>
      <w:r>
        <w:rPr>
          <w:rFonts w:hint="eastAsia" w:ascii="游ゴシック" w:hAnsi="游ゴシック" w:eastAsia="游ゴシック"/>
          <w:b w:val="1"/>
        </w:rPr>
        <w:t>第６条　</w:t>
      </w:r>
      <w:r>
        <w:rPr>
          <w:rFonts w:hint="eastAsia" w:asciiTheme="minorEastAsia" w:hAnsiTheme="minorEastAsia" w:eastAsiaTheme="minorEastAsia"/>
          <w:b w:val="0"/>
          <w:bdr w:val="none" w:color="auto" w:sz="0" w:space="0"/>
        </w:rPr>
        <w:t>県民は、基本理念にのっとり、手話が言語であることを認識し、手話に対する理解を深めるとともに、県又は市町村が実施する手話の普及等に関する施策に協力するよう努めるものとする。</w:t>
      </w:r>
    </w:p>
    <w:p>
      <w:pPr>
        <w:pStyle w:val="0"/>
        <w:rPr>
          <w:rFonts w:hint="eastAsia"/>
        </w:rPr>
      </w:pPr>
    </w:p>
    <w:p>
      <w:pPr>
        <w:pStyle w:val="0"/>
        <w:rPr>
          <w:rFonts w:hint="eastAsia"/>
        </w:rPr>
      </w:pPr>
      <w:r>
        <w:rPr>
          <w:rFonts w:hint="eastAsia" w:ascii="游ゴシック" w:hAnsi="游ゴシック" w:eastAsia="游ゴシック"/>
          <w:b w:val="1"/>
        </w:rPr>
        <w:t>（事業者の役割）　</w:t>
      </w:r>
    </w:p>
    <w:p>
      <w:pPr>
        <w:pStyle w:val="0"/>
        <w:ind w:left="210" w:hanging="210" w:hangingChars="100"/>
        <w:rPr>
          <w:rFonts w:hint="eastAsia"/>
        </w:rPr>
      </w:pPr>
      <w:r>
        <w:rPr>
          <w:rFonts w:hint="eastAsia" w:ascii="游ゴシック" w:hAnsi="游ゴシック" w:eastAsia="游ゴシック"/>
          <w:b w:val="1"/>
        </w:rPr>
        <w:t>第７条　</w:t>
      </w:r>
      <w:r>
        <w:rPr>
          <w:rFonts w:hint="eastAsia" w:asciiTheme="minorEastAsia" w:hAnsiTheme="minorEastAsia" w:eastAsiaTheme="minorEastAsia"/>
          <w:b w:val="0"/>
          <w:bdr w:val="none" w:color="auto" w:sz="0" w:space="0"/>
        </w:rPr>
        <w:t>事業者は、ろう者に対しサービスを提供するに当たっては、基本理念にのっとり、手話が言語であることを認識し、手話その他の方法により、意思疎通を図り、必要な情報を取得することができるよう配慮するものとする。</w:t>
      </w:r>
    </w:p>
    <w:p>
      <w:pPr>
        <w:pStyle w:val="0"/>
        <w:ind w:left="210" w:hanging="210" w:hangingChars="100"/>
        <w:rPr>
          <w:rFonts w:hint="eastAsia"/>
        </w:rPr>
      </w:pPr>
      <w:r>
        <w:rPr>
          <w:rFonts w:hint="eastAsia" w:asciiTheme="minorEastAsia" w:hAnsiTheme="minorEastAsia" w:eastAsiaTheme="minorEastAsia"/>
          <w:b w:val="0"/>
          <w:bdr w:val="none" w:color="auto" w:sz="0" w:space="0"/>
        </w:rPr>
        <w:t>２　事業者は、その雇用するろう者が働きやすい環境の整備に努めるものとする。</w:t>
      </w:r>
    </w:p>
    <w:p>
      <w:pPr>
        <w:pStyle w:val="0"/>
        <w:ind w:left="210" w:hanging="210" w:hangingChars="100"/>
        <w:rPr>
          <w:rFonts w:hint="eastAsia"/>
        </w:rPr>
      </w:pPr>
      <w:r>
        <w:rPr>
          <w:rFonts w:hint="eastAsia" w:asciiTheme="minorEastAsia" w:hAnsiTheme="minorEastAsia" w:eastAsiaTheme="minorEastAsia"/>
          <w:b w:val="0"/>
          <w:bdr w:val="none" w:color="auto" w:sz="0" w:space="0"/>
        </w:rPr>
        <w:t>３　事業者は、県又は市町村が実施する手話の普及等に関する施策に協力するよう努めるものとする。　　　　　　　　　　　　　　　　　　　　　　　　　　　　　　　　　　　　　　　　　　　　　　　　　　　　　　　　　　　　　　　　　　　　　　　　　　　　　　　　　　　　　　　　　　　　　　　　　　　　　　　　　　　　　　　　　　　　　　　　　　　　　　　　　　　　　　　　　　　　　　　　　　　　　　　　　　　　　　　　　　　　　　　　　　　　　　　　　　　　　　　　　　　　　　　　　　　　　　　　　　　　　　　　　　　　　　　　　　　　　　　　　　　　　　　　　　　　　　　　　　　　　　　　　　　　　　　　　　　　　　　　　　　　　　　　　　　　　　　　　　　　　　　　　　　　　　　　　　　　　　　　　　　　　　　　　　　　　　　　　　　　　　　　　　　　　　　　　　　　　　　　　　　　　　　　　　　　　　　　　　　　　　　　　　　　　　　　　　　　　　　　　　　　　　　　　　　　　　　　　　　　　　　　　　　　　　　　　　　　　　　　　　　　　　　　　　　　　　　　　　　　　　　　　　　　　　　　　　　　　　　　　　　　　　　　　　　　　　　　　　　　　　　　　　　　　　　　　　　　　　　　　　　　　　　　　　　　　　　　　　　　　　　　　　　　　　　　　　　　　　　　　　　　　　　　　　　　　　　　　　　　　　　　　　　　　　　　　　　　　　　　　　　　　　　　　　　　　　　　　　　　　　　　　　　　　　　　　　　　　　　　　　　　　　　　　　　　　　　　　　　　　　　　　　　　　　　　　　　　　　　　　　　　　　　　　　　　　　　　　　　　　　　　　　　　　　　　　　　　　　　　　　　　　　　　　　　　　　　　　　　　　　　　　　　　　　　　　　　　　　　　　　　　　　　　　　　　　　　　　　　　　　　　　　　　　　　　　　　　　　　　　　　　　　　　　　　　　　　　　　　　　　　　　　　　　　　　　　　　　　　　　　　　　　　　　　　　　　　　　　　　　　　　　　　　　　　　　　　　　　　　　　　　　　　　　　　　　　　　　　　　　　　　　　　　　　　　　　　　　　　　　　　　　　　　　　　　　　　　　　　　　　　　　　　　　　　　　　　　　　　　　　　　　　　　　　　　　　　　　　　　　　　　　　　　　　　　　　　　　　　　　　　　　　　　　　　　　　　　　　　　　　　　　　　　　　　　　　　　　　　　　　　　　　　　　　　　　　　　　　　　　　　　　　　　　　　　　　　　　　　　　　　　　　　　　　　　　　　　　　　　　　　　　　　　　　　　　　　　　　　　　　　　　　　　　　　　　　　　　　　　　　　　　　　　　　　　　　　　　　　　　　　　　　　　　　　　　　　　　　　　　　　　　　　　　　　　　　　　　　　　　　　　　　　　　　　　　　　　　　　　　　　　　　　　　　　　　　　　　　　　　　　　　　　　　　　　　　　　　　　　　　　　　　　　　　　　　　　　　　　　　　　　　　　　　　　　　　　　　　　　　　　　　　　　　　　　　　　　　　　　　　　　　　　　　　　　　　　　　　　　　　　　　　　　　　　　　　　　　　　　　　　　　　　　　　　　　　　　　　　　　　　　　　　　　　　　　　　　　　　　　　　　　　　　　　　　　　　　　　　　　　　　　　　　　　　　　　　　　　　　　　　　　　　　　　　　　　　　　　　　　　　　　　　　　　　　　　　　　　　　　　　　　　　　　　　　　　　　　　　　　　　　　　　　　　　　　　　　　　　　　　　　　　　　　　　　　　　　　　　　　　　　　　　　　　　　　　　　　　　　　　　　　　　　　　　　　　　　　　　　　　　　　　　　　　　　　　　　　　　　　　　　　　　　　　　　　　　　　　　　　　　　　　　　　　　　　　　　　　　　　　　　　　　　　　　　　　　　　　　　　　　　　　　　　　　　　　　　　　　　　　　　　　　　　　　　　　　　　　　　　　　　　　　　　　　　　　　　　　　　　　　　　　　　　　　　　　　　　　　　　　　　　　　　　　　　　　　　　　　　　　　　　　　　　　　　　　　　　　　　　　　　　　　　　　　　　　　　　　　　　　　　　　　　　　　　　　　　　　　　　　　　　　　　　　　　　　　　　　　　　　　　　　　　　　　　　　　　　　　　　　　　　　　　　　　　　　　　　　　　　　　　　　　　　　　　　　　　　　　　　　　　　　　　　　　　　　　　　　　　　　　　　　　　　　　　　　　　　　　　　　　　　　　　　　　　　　　　　　　　　　　　　　　　　　　　　　　　　　　　　　　　　　　　　　　　　　　　　　　　　　　　　　　　　　　　　　　　　　　　　　　　　　　　　　　　　　　　　　　　　　　　　　　　　　　　　　　　　　　　　　　　　　　　　　　　　　　　　　　　　　　　　　　　　　　　　　　　　　　　　　　　　　　　　　　　　　　　　　　　　　　　　　　　　　　　　　　　　　　　　　　　　　　　　　　　　　　　　　　　　　　　　　　　　　　　　　　　　　　　　　　　　　　　　　　　　　　　　　　　　　　　　　　　　　　　　　　　　　　　　　　　　　　　　　　　　　　　　　　　　　　　　　　　　　　　　　　　　　　　　　　　　　　　　　　　　　　　　　　　　　　　　　　　　　　　　　　　　　　　　　　　　　　　　　　　　　　　　　　　　　　　　　　　　　　　　　　　　　　　　　　　　　　　　　　　　　　　　　　　　　　　　　　　　　　　　　　　　　　　　　　　　　　　　　　　　　　　　　　　　　　　　　　　　　　　　　　　　　　　　　　　　　　　　　　　　　　　　　　　　　　　　　　　　　　　　　　　　　　　　　　　　　　　　　　　　　　　　　　　　　　　　　　　　　　　　　　　　　　　　　　　　　　　　　　　　　　　　　　　　　　　　　　　　　　　　　　　　　　　　　　　　　　　　　　　　　　　　　　　　　　　　　　　　　　　　　　　　　　　　　　　　　　　　　　　　　　　　　　　　　　　　　　　　　　　　　　　　　　　　　　　　　　　　　　　　　　　　　　　　　　　　　　　　　　　　　　　　　　　　　　　　　　　　　　　　　　　　　　　　　　　　　　　　　　　　　　　　　　　　　　　　　　　　　　　　　　　　　　　　　　　　　　　　　　　　　　　　　　　　　　　　　　　　　　　　　　　　　　　</w:t>
      </w:r>
    </w:p>
    <w:p>
      <w:pPr>
        <w:pStyle w:val="0"/>
        <w:rPr>
          <w:rFonts w:hint="eastAsia"/>
        </w:rPr>
      </w:pPr>
    </w:p>
    <w:p>
      <w:pPr>
        <w:pStyle w:val="0"/>
        <w:rPr>
          <w:rFonts w:hint="eastAsia"/>
        </w:rPr>
      </w:pPr>
      <w:r>
        <w:rPr>
          <w:rFonts w:hint="eastAsia" w:ascii="游ゴシック" w:hAnsi="游ゴシック" w:eastAsia="游ゴシック"/>
          <w:b w:val="1"/>
        </w:rPr>
        <w:t>（手話の普及等に関する基本的</w:t>
      </w:r>
      <w:r>
        <w:rPr>
          <w:rFonts w:hint="eastAsia" w:ascii="游ゴシック" w:hAnsi="游ゴシック" w:eastAsia="游ゴシック"/>
          <w:b w:val="1"/>
          <w:i w:val="0"/>
          <w:strike w:val="0"/>
          <w:dstrike w:val="0"/>
          <w:u w:val="none" w:color="auto"/>
        </w:rPr>
        <w:t>施策</w:t>
      </w:r>
      <w:r>
        <w:rPr>
          <w:rFonts w:hint="eastAsia" w:ascii="游ゴシック" w:hAnsi="游ゴシック" w:eastAsia="游ゴシック"/>
          <w:b w:val="1"/>
        </w:rPr>
        <w:t>の策定及び推進）　</w:t>
      </w:r>
    </w:p>
    <w:p>
      <w:pPr>
        <w:pStyle w:val="0"/>
        <w:ind w:left="210" w:hanging="210" w:hangingChars="100"/>
        <w:rPr>
          <w:rFonts w:hint="eastAsia" w:asciiTheme="minorEastAsia" w:hAnsiTheme="minorEastAsia" w:eastAsiaTheme="minorEastAsia"/>
          <w:b w:val="0"/>
        </w:rPr>
      </w:pPr>
      <w:r>
        <w:rPr>
          <w:rFonts w:hint="eastAsia" w:ascii="游ゴシック" w:hAnsi="游ゴシック" w:eastAsia="游ゴシック"/>
          <w:b w:val="1"/>
        </w:rPr>
        <w:t>第８条　</w:t>
      </w:r>
      <w:r>
        <w:rPr>
          <w:rFonts w:hint="eastAsia" w:asciiTheme="minorEastAsia" w:hAnsiTheme="minorEastAsia" w:eastAsiaTheme="minorEastAsia"/>
          <w:b w:val="0"/>
        </w:rPr>
        <w:t>県は、障害者基本法第</w:t>
      </w:r>
      <w:r>
        <w:rPr>
          <w:rFonts w:hint="eastAsia" w:asciiTheme="minorEastAsia" w:hAnsiTheme="minorEastAsia" w:eastAsiaTheme="minorEastAsia"/>
          <w:b w:val="0"/>
        </w:rPr>
        <w:t>11</w:t>
      </w:r>
      <w:r>
        <w:rPr>
          <w:rFonts w:hint="eastAsia" w:asciiTheme="minorEastAsia" w:hAnsiTheme="minorEastAsia" w:eastAsiaTheme="minorEastAsia"/>
          <w:b w:val="0"/>
        </w:rPr>
        <w:t>条第２項の規定により策定する</w:t>
      </w:r>
      <w:r>
        <w:rPr>
          <w:rFonts w:hint="eastAsia" w:asciiTheme="minorEastAsia" w:hAnsiTheme="minorEastAsia" w:eastAsiaTheme="minorEastAsia"/>
          <w:b w:val="0"/>
          <w:strike w:val="0"/>
          <w:dstrike w:val="0"/>
          <w:highlight w:val="none"/>
          <w:u w:val="none" w:color="auto"/>
        </w:rPr>
        <w:t>高知県</w:t>
      </w:r>
      <w:r>
        <w:rPr>
          <w:rFonts w:hint="eastAsia" w:asciiTheme="minorEastAsia" w:hAnsiTheme="minorEastAsia" w:eastAsiaTheme="minorEastAsia"/>
          <w:b w:val="0"/>
        </w:rPr>
        <w:t>障害者計画において、</w:t>
      </w:r>
      <w:r>
        <w:rPr>
          <w:rFonts w:hint="eastAsia" w:asciiTheme="minorEastAsia" w:hAnsiTheme="minorEastAsia" w:eastAsiaTheme="minorEastAsia"/>
          <w:b w:val="0"/>
          <w:u w:val="none" w:color="auto"/>
        </w:rPr>
        <w:t>手話の普及等</w:t>
      </w:r>
      <w:r>
        <w:rPr>
          <w:rFonts w:hint="eastAsia" w:asciiTheme="minorEastAsia" w:hAnsiTheme="minorEastAsia" w:eastAsiaTheme="minorEastAsia"/>
          <w:b w:val="0"/>
        </w:rPr>
        <w:t>に関する基本的施策（以下この条において「基本的施策」という。）を定め、これを総合的かつ計画的に推進するものとする。</w:t>
      </w:r>
    </w:p>
    <w:p>
      <w:pPr>
        <w:pStyle w:val="0"/>
        <w:ind w:left="210" w:hanging="210" w:hangingChars="100"/>
        <w:rPr>
          <w:rFonts w:hint="eastAsia" w:asciiTheme="minorEastAsia" w:hAnsiTheme="minorEastAsia" w:eastAsiaTheme="minorEastAsia"/>
          <w:b w:val="0"/>
          <w:u w:val="none" w:color="auto"/>
        </w:rPr>
      </w:pPr>
      <w:r>
        <w:rPr>
          <w:rFonts w:hint="eastAsia" w:asciiTheme="minorEastAsia" w:hAnsiTheme="minorEastAsia" w:eastAsiaTheme="minorEastAsia"/>
          <w:b w:val="0"/>
          <w:highlight w:val="none"/>
          <w:u w:val="none" w:color="auto"/>
        </w:rPr>
        <w:t>２　県は、前項の規定により基本的施策を定め、及び推進するに当たっては、知事がろう者、手話通訳者等その他の関係者の意見を</w:t>
      </w:r>
      <w:r>
        <w:rPr>
          <w:rFonts w:hint="eastAsia" w:asciiTheme="minorEastAsia" w:hAnsiTheme="minorEastAsia" w:eastAsiaTheme="minorEastAsia"/>
          <w:b w:val="0"/>
          <w:u w:val="none" w:color="auto"/>
        </w:rPr>
        <w:t>聴</w:t>
      </w:r>
      <w:r>
        <w:rPr>
          <w:rFonts w:hint="eastAsia" w:asciiTheme="minorEastAsia" w:hAnsiTheme="minorEastAsia" w:eastAsiaTheme="minorEastAsia"/>
          <w:b w:val="0"/>
          <w:highlight w:val="none"/>
          <w:u w:val="none" w:color="auto"/>
        </w:rPr>
        <w:t>くための協議の場を設けるものとする。</w:t>
      </w:r>
    </w:p>
    <w:p>
      <w:pPr>
        <w:pStyle w:val="0"/>
        <w:ind w:left="210" w:hanging="210" w:hangingChars="100"/>
        <w:rPr>
          <w:rFonts w:hint="eastAsia" w:asciiTheme="minorEastAsia" w:hAnsiTheme="minorEastAsia" w:eastAsiaTheme="minorEastAsia"/>
          <w:b w:val="0"/>
        </w:rPr>
      </w:pPr>
      <w:r>
        <w:rPr>
          <w:rFonts w:hint="eastAsia" w:asciiTheme="minorEastAsia" w:hAnsiTheme="minorEastAsia" w:eastAsiaTheme="minorEastAsia"/>
          <w:b w:val="0"/>
          <w:u w:val="none" w:color="auto"/>
        </w:rPr>
        <w:t>３　県は</w:t>
      </w:r>
      <w:r>
        <w:rPr>
          <w:rFonts w:hint="eastAsia" w:asciiTheme="minorEastAsia" w:hAnsiTheme="minorEastAsia" w:eastAsiaTheme="minorEastAsia"/>
          <w:b w:val="0"/>
          <w:highlight w:val="none"/>
          <w:u w:val="none" w:color="auto"/>
        </w:rPr>
        <w:t>、知事が前項の協議の場から聴取した意見を踏まえて基本的施策の方針、素案その他これらに類するもの（以下この項において「方針等」という。）を作成するものとし、障害者基本法第</w:t>
      </w:r>
      <w:r>
        <w:rPr>
          <w:rFonts w:hint="eastAsia" w:asciiTheme="minorEastAsia" w:hAnsiTheme="minorEastAsia" w:eastAsiaTheme="minorEastAsia"/>
          <w:b w:val="0"/>
          <w:highlight w:val="none"/>
          <w:u w:val="none" w:color="auto"/>
        </w:rPr>
        <w:t>11</w:t>
      </w:r>
      <w:r>
        <w:rPr>
          <w:rFonts w:hint="eastAsia" w:asciiTheme="minorEastAsia" w:hAnsiTheme="minorEastAsia" w:eastAsiaTheme="minorEastAsia"/>
          <w:b w:val="0"/>
          <w:highlight w:val="none"/>
          <w:u w:val="none" w:color="auto"/>
        </w:rPr>
        <w:t>条第５項（同条第９項において準用する場合を含む。）の規定による高知県障害</w:t>
      </w:r>
      <w:r>
        <w:rPr>
          <w:rFonts w:hint="eastAsia" w:asciiTheme="minorEastAsia" w:hAnsiTheme="minorEastAsia" w:eastAsiaTheme="minorEastAsia"/>
          <w:b w:val="0"/>
          <w:highlight w:val="none"/>
        </w:rPr>
        <w:t>者施策推進協議会条例（昭和</w:t>
      </w:r>
      <w:r>
        <w:rPr>
          <w:rFonts w:hint="eastAsia" w:asciiTheme="minorEastAsia" w:hAnsiTheme="minorEastAsia" w:eastAsiaTheme="minorEastAsia"/>
          <w:b w:val="0"/>
          <w:highlight w:val="none"/>
        </w:rPr>
        <w:t>47</w:t>
      </w:r>
      <w:r>
        <w:rPr>
          <w:rFonts w:hint="eastAsia" w:asciiTheme="minorEastAsia" w:hAnsiTheme="minorEastAsia" w:eastAsiaTheme="minorEastAsia"/>
          <w:b w:val="0"/>
          <w:highlight w:val="none"/>
        </w:rPr>
        <w:t>年高知県条例第１号）第１条に規定する高知県障害者施策推進協議会への意見聴取は、当該方針等について行うものとする。</w:t>
      </w:r>
    </w:p>
    <w:p>
      <w:pPr>
        <w:pStyle w:val="0"/>
        <w:rPr>
          <w:rFonts w:hint="eastAsia"/>
        </w:rPr>
      </w:pPr>
    </w:p>
    <w:p>
      <w:pPr>
        <w:pStyle w:val="0"/>
        <w:spacing w:line="240" w:lineRule="auto"/>
        <w:rPr>
          <w:rFonts w:hint="eastAsia"/>
        </w:rPr>
      </w:pPr>
      <w:r>
        <w:rPr>
          <w:rFonts w:hint="eastAsia" w:ascii="游ゴシック" w:hAnsi="游ゴシック" w:eastAsia="游ゴシック"/>
          <w:b w:val="1"/>
        </w:rPr>
        <w:t>（手話を学ぶ機会の確保）</w:t>
      </w:r>
    </w:p>
    <w:p>
      <w:pPr>
        <w:pStyle w:val="0"/>
        <w:spacing w:line="240" w:lineRule="auto"/>
        <w:ind w:left="210" w:hanging="210" w:hangingChars="100"/>
        <w:rPr>
          <w:rFonts w:hint="eastAsia" w:asciiTheme="minorEastAsia" w:hAnsiTheme="minorEastAsia" w:eastAsiaTheme="minorEastAsia"/>
          <w:b w:val="0"/>
        </w:rPr>
      </w:pPr>
      <w:r>
        <w:rPr>
          <w:rFonts w:hint="eastAsia" w:ascii="游ゴシック" w:hAnsi="游ゴシック" w:eastAsia="游ゴシック"/>
          <w:b w:val="1"/>
        </w:rPr>
        <w:t>第９条　</w:t>
      </w:r>
      <w:r>
        <w:rPr>
          <w:rFonts w:hint="eastAsia" w:asciiTheme="minorEastAsia" w:hAnsiTheme="minorEastAsia" w:eastAsiaTheme="minorEastAsia"/>
          <w:b w:val="0"/>
        </w:rPr>
        <w:t>県は、市町村その他の関係機関（以下「市町村等」という。）、ろう者及び手話通訳者等と協力して、県民が手話を学ぶ機会の確保に努めるものとする。</w:t>
      </w:r>
    </w:p>
    <w:p>
      <w:pPr>
        <w:pStyle w:val="0"/>
        <w:spacing w:line="240" w:lineRule="auto"/>
        <w:ind w:left="210" w:hanging="210" w:hangingChars="100"/>
        <w:rPr>
          <w:rFonts w:hint="eastAsia" w:asciiTheme="minorEastAsia" w:hAnsiTheme="minorEastAsia" w:eastAsiaTheme="minorEastAsia"/>
          <w:b w:val="0"/>
        </w:rPr>
      </w:pPr>
      <w:r>
        <w:rPr>
          <w:rFonts w:hint="eastAsia" w:asciiTheme="minorEastAsia" w:hAnsiTheme="minorEastAsia" w:eastAsiaTheme="minorEastAsia"/>
          <w:b w:val="0"/>
        </w:rPr>
        <w:t>２　県は、市町村等、ろう者及び手話通訳者等と協力して、</w:t>
      </w:r>
      <w:r>
        <w:rPr>
          <w:rFonts w:hint="eastAsia" w:asciiTheme="minorEastAsia" w:hAnsiTheme="minorEastAsia" w:eastAsiaTheme="minorEastAsia"/>
          <w:b w:val="0"/>
          <w:u w:val="none" w:color="auto"/>
        </w:rPr>
        <w:t>手話を必要とする人が乳幼児期からその家族等と共に手話を学ぶ機会の確保</w:t>
      </w:r>
      <w:r>
        <w:rPr>
          <w:rFonts w:hint="eastAsia" w:asciiTheme="minorEastAsia" w:hAnsiTheme="minorEastAsia" w:eastAsiaTheme="minorEastAsia"/>
          <w:b w:val="0"/>
        </w:rPr>
        <w:t>に努めるものとする。</w:t>
      </w:r>
    </w:p>
    <w:p>
      <w:pPr>
        <w:pStyle w:val="0"/>
        <w:spacing w:line="240" w:lineRule="auto"/>
        <w:ind w:left="210" w:hanging="210" w:hangingChars="100"/>
        <w:rPr>
          <w:rFonts w:hint="eastAsia" w:asciiTheme="minorEastAsia" w:hAnsiTheme="minorEastAsia" w:eastAsiaTheme="minorEastAsia"/>
          <w:b w:val="0"/>
          <w:bdr w:val="single" w:color="auto" w:sz="4" w:space="0"/>
        </w:rPr>
      </w:pPr>
      <w:r>
        <w:rPr>
          <w:rFonts w:hint="eastAsia" w:asciiTheme="minorEastAsia" w:hAnsiTheme="minorEastAsia" w:eastAsiaTheme="minorEastAsia"/>
          <w:b w:val="0"/>
        </w:rPr>
        <w:t>３　県は、</w:t>
      </w:r>
      <w:r>
        <w:rPr>
          <w:rFonts w:hint="eastAsia" w:asciiTheme="minorEastAsia" w:hAnsiTheme="minorEastAsia" w:eastAsiaTheme="minorEastAsia"/>
          <w:b w:val="0"/>
          <w:highlight w:val="none"/>
          <w:u w:val="none" w:color="auto"/>
        </w:rPr>
        <w:t>手話に関する研修の実施等により、その職員が基本理念を理解し、手話を学習するための取組を推進する</w:t>
      </w:r>
      <w:r>
        <w:rPr>
          <w:rFonts w:hint="eastAsia" w:asciiTheme="minorEastAsia" w:hAnsiTheme="minorEastAsia" w:eastAsiaTheme="minorEastAsia"/>
          <w:b w:val="0"/>
        </w:rPr>
        <w:t>ものとする。</w:t>
      </w:r>
    </w:p>
    <w:p>
      <w:pPr>
        <w:pStyle w:val="0"/>
        <w:spacing w:line="240" w:lineRule="auto"/>
        <w:rPr>
          <w:rFonts w:hint="eastAsia"/>
        </w:rPr>
      </w:pPr>
    </w:p>
    <w:p>
      <w:pPr>
        <w:pStyle w:val="0"/>
        <w:spacing w:line="240" w:lineRule="auto"/>
        <w:rPr>
          <w:rFonts w:hint="eastAsia"/>
        </w:rPr>
      </w:pPr>
      <w:r>
        <w:rPr>
          <w:rFonts w:hint="eastAsia" w:ascii="游ゴシック" w:hAnsi="游ゴシック" w:eastAsia="游ゴシック"/>
          <w:b w:val="1"/>
        </w:rPr>
        <w:t>（手話を用いた情報発信）　</w:t>
      </w:r>
    </w:p>
    <w:p>
      <w:pPr>
        <w:pStyle w:val="0"/>
        <w:spacing w:line="240" w:lineRule="auto"/>
        <w:ind w:left="210" w:hanging="210" w:hangingChars="100"/>
        <w:rPr>
          <w:rFonts w:hint="eastAsia" w:asciiTheme="minorEastAsia" w:hAnsiTheme="minorEastAsia" w:eastAsiaTheme="minorEastAsia"/>
          <w:b w:val="0"/>
          <w:strike w:val="0"/>
          <w:dstrike w:val="1"/>
          <w:bdr w:val="single" w:color="auto" w:sz="4" w:space="0"/>
        </w:rPr>
      </w:pPr>
      <w:r>
        <w:rPr>
          <w:rFonts w:hint="eastAsia" w:ascii="游ゴシック" w:hAnsi="游ゴシック" w:eastAsia="游ゴシック"/>
          <w:b w:val="1"/>
          <w:strike w:val="0"/>
          <w:dstrike w:val="0"/>
        </w:rPr>
        <w:t>第</w:t>
      </w:r>
      <w:r>
        <w:rPr>
          <w:rFonts w:hint="eastAsia" w:ascii="游ゴシック" w:hAnsi="游ゴシック" w:eastAsia="游ゴシック"/>
          <w:b w:val="1"/>
          <w:strike w:val="0"/>
          <w:dstrike w:val="0"/>
        </w:rPr>
        <w:t>10</w:t>
      </w:r>
      <w:r>
        <w:rPr>
          <w:rFonts w:hint="eastAsia" w:ascii="游ゴシック" w:hAnsi="游ゴシック" w:eastAsia="游ゴシック"/>
          <w:b w:val="1"/>
          <w:strike w:val="0"/>
          <w:dstrike w:val="0"/>
        </w:rPr>
        <w:t>条　</w:t>
      </w:r>
      <w:r>
        <w:rPr>
          <w:rFonts w:hint="eastAsia" w:asciiTheme="minorEastAsia" w:hAnsiTheme="minorEastAsia" w:eastAsiaTheme="minorEastAsia"/>
          <w:b w:val="0"/>
          <w:strike w:val="0"/>
          <w:dstrike w:val="0"/>
          <w:bdr w:val="none" w:color="auto" w:sz="0" w:space="0"/>
        </w:rPr>
        <w:t>県は、ろう者が県政に関する情報を速やかに取得することができるよう、必要に応じて、情報通信技術を活用して手話を用いた情報発信を行うものとする。</w:t>
      </w:r>
    </w:p>
    <w:p>
      <w:pPr>
        <w:pStyle w:val="0"/>
        <w:spacing w:line="240" w:lineRule="auto"/>
        <w:rPr>
          <w:rFonts w:hint="eastAsia"/>
        </w:rPr>
      </w:pPr>
    </w:p>
    <w:p>
      <w:pPr>
        <w:pStyle w:val="0"/>
        <w:spacing w:line="240" w:lineRule="auto"/>
        <w:rPr>
          <w:rFonts w:hint="eastAsia"/>
        </w:rPr>
      </w:pPr>
      <w:r>
        <w:rPr>
          <w:rFonts w:hint="eastAsia" w:ascii="游ゴシック" w:hAnsi="游ゴシック" w:eastAsia="游ゴシック"/>
          <w:b w:val="1"/>
        </w:rPr>
        <w:t>（手話通訳者等及びその指導者の確保、養成等）</w:t>
      </w:r>
    </w:p>
    <w:p>
      <w:pPr>
        <w:pStyle w:val="0"/>
        <w:spacing w:line="240" w:lineRule="auto"/>
        <w:ind w:left="210" w:hanging="210" w:hangingChars="100"/>
        <w:rPr>
          <w:rFonts w:hint="eastAsia"/>
        </w:rPr>
      </w:pPr>
      <w:r>
        <w:rPr>
          <w:rFonts w:hint="eastAsia" w:ascii="游ゴシック" w:hAnsi="游ゴシック" w:eastAsia="游ゴシック"/>
          <w:b w:val="1"/>
        </w:rPr>
        <w:t>第</w:t>
      </w:r>
      <w:r>
        <w:rPr>
          <w:rFonts w:hint="eastAsia" w:ascii="游ゴシック" w:hAnsi="游ゴシック" w:eastAsia="游ゴシック"/>
          <w:b w:val="1"/>
        </w:rPr>
        <w:t>11</w:t>
      </w:r>
      <w:r>
        <w:rPr>
          <w:rFonts w:hint="eastAsia" w:ascii="游ゴシック" w:hAnsi="游ゴシック" w:eastAsia="游ゴシック"/>
          <w:b w:val="1"/>
        </w:rPr>
        <w:t>条　</w:t>
      </w:r>
      <w:r>
        <w:rPr>
          <w:rFonts w:hint="eastAsia" w:asciiTheme="minorEastAsia" w:hAnsiTheme="minorEastAsia" w:eastAsiaTheme="minorEastAsia"/>
          <w:b w:val="0"/>
          <w:bdr w:val="none" w:color="auto" w:sz="0" w:space="0"/>
        </w:rPr>
        <w:t>県は、市町村等と連携して、手話通訳者等及びその指導者の確保、養成並びに手話技術及び専門性の向上に対する支援</w:t>
      </w:r>
      <w:r>
        <w:rPr>
          <w:rFonts w:hint="eastAsia" w:asciiTheme="minorEastAsia" w:hAnsiTheme="minorEastAsia" w:eastAsiaTheme="minorEastAsia"/>
          <w:b w:val="0"/>
          <w:strike w:val="0"/>
          <w:dstrike w:val="0"/>
          <w:highlight w:val="none"/>
          <w:bdr w:val="none" w:color="auto" w:sz="0" w:space="0"/>
        </w:rPr>
        <w:t>を行う</w:t>
      </w:r>
      <w:r>
        <w:rPr>
          <w:rFonts w:hint="eastAsia" w:asciiTheme="minorEastAsia" w:hAnsiTheme="minorEastAsia" w:eastAsiaTheme="minorEastAsia"/>
          <w:b w:val="0"/>
          <w:bdr w:val="none" w:color="auto" w:sz="0" w:space="0"/>
        </w:rPr>
        <w:t>ものとする。</w:t>
      </w:r>
    </w:p>
    <w:p>
      <w:pPr>
        <w:pStyle w:val="0"/>
        <w:spacing w:line="240" w:lineRule="auto"/>
        <w:rPr>
          <w:rFonts w:hint="eastAsia"/>
        </w:rPr>
      </w:pPr>
    </w:p>
    <w:p>
      <w:pPr>
        <w:pStyle w:val="0"/>
        <w:spacing w:line="240" w:lineRule="auto"/>
        <w:rPr>
          <w:rFonts w:hint="eastAsia"/>
        </w:rPr>
      </w:pPr>
      <w:r>
        <w:rPr>
          <w:rFonts w:hint="eastAsia" w:ascii="游ゴシック" w:hAnsi="游ゴシック" w:eastAsia="游ゴシック"/>
          <w:b w:val="1"/>
        </w:rPr>
        <w:t>（学校における手話の学習等）</w:t>
      </w:r>
    </w:p>
    <w:p>
      <w:pPr>
        <w:pStyle w:val="0"/>
        <w:spacing w:line="240" w:lineRule="auto"/>
        <w:ind w:left="210" w:hanging="210" w:hangingChars="100"/>
        <w:jc w:val="left"/>
        <w:rPr>
          <w:rFonts w:hint="eastAsia" w:asciiTheme="minorEastAsia" w:hAnsiTheme="minorEastAsia" w:eastAsiaTheme="minorEastAsia"/>
          <w:b w:val="0"/>
          <w:bdr w:val="none" w:color="auto" w:sz="0" w:space="0"/>
        </w:rPr>
      </w:pPr>
      <w:r>
        <w:rPr>
          <w:rFonts w:hint="eastAsia" w:ascii="游ゴシック" w:hAnsi="游ゴシック" w:eastAsia="游ゴシック"/>
          <w:b w:val="1"/>
        </w:rPr>
        <w:t>第</w:t>
      </w:r>
      <w:r>
        <w:rPr>
          <w:rFonts w:hint="eastAsia" w:ascii="游ゴシック" w:hAnsi="游ゴシック" w:eastAsia="游ゴシック"/>
          <w:b w:val="1"/>
        </w:rPr>
        <w:t>12</w:t>
      </w:r>
      <w:r>
        <w:rPr>
          <w:rFonts w:hint="eastAsia" w:ascii="游ゴシック" w:hAnsi="游ゴシック" w:eastAsia="游ゴシック"/>
          <w:b w:val="1"/>
        </w:rPr>
        <w:t>条</w:t>
      </w:r>
      <w:r>
        <w:rPr>
          <w:rFonts w:hint="eastAsia" w:ascii="游ゴシック" w:hAnsi="游ゴシック" w:eastAsia="游ゴシック"/>
          <w:b w:val="1"/>
        </w:rPr>
        <w:t xml:space="preserve">  </w:t>
      </w:r>
      <w:r>
        <w:rPr>
          <w:rFonts w:hint="eastAsia" w:asciiTheme="minorEastAsia" w:hAnsiTheme="minorEastAsia" w:eastAsiaTheme="minorEastAsia"/>
          <w:b w:val="0"/>
          <w:bdr w:val="none" w:color="auto" w:sz="0" w:space="0"/>
        </w:rPr>
        <w:t>県は、</w:t>
      </w:r>
      <w:r>
        <w:rPr>
          <w:rFonts w:hint="eastAsia" w:asciiTheme="minorEastAsia" w:hAnsiTheme="minorEastAsia" w:eastAsiaTheme="minorEastAsia"/>
          <w:b w:val="0"/>
          <w:color w:val="000000" w:themeColor="text1"/>
          <w:u w:val="none" w:color="auto"/>
          <w:bdr w:val="none" w:color="auto" w:sz="0" w:space="0"/>
        </w:rPr>
        <w:t>聴覚障害のある人のうち手話を必要とする者</w:t>
      </w:r>
      <w:r>
        <w:rPr>
          <w:rFonts w:hint="eastAsia" w:asciiTheme="minorEastAsia" w:hAnsiTheme="minorEastAsia" w:eastAsiaTheme="minorEastAsia"/>
          <w:b w:val="0"/>
          <w:bdr w:val="none" w:color="auto" w:sz="0" w:space="0"/>
        </w:rPr>
        <w:t>が通学する学校（学校教育法（昭和</w:t>
      </w:r>
      <w:r>
        <w:rPr>
          <w:rFonts w:hint="eastAsia" w:asciiTheme="minorEastAsia" w:hAnsiTheme="minorEastAsia" w:eastAsiaTheme="minorEastAsia"/>
          <w:b w:val="0"/>
          <w:bdr w:val="none" w:color="auto" w:sz="0" w:space="0"/>
        </w:rPr>
        <w:t>22</w:t>
      </w:r>
      <w:r>
        <w:rPr>
          <w:rFonts w:hint="eastAsia" w:asciiTheme="minorEastAsia" w:hAnsiTheme="minorEastAsia" w:eastAsiaTheme="minorEastAsia"/>
          <w:b w:val="0"/>
          <w:bdr w:val="none" w:color="auto" w:sz="0" w:space="0"/>
        </w:rPr>
        <w:t>年法律第</w:t>
      </w:r>
      <w:r>
        <w:rPr>
          <w:rFonts w:hint="eastAsia" w:asciiTheme="minorEastAsia" w:hAnsiTheme="minorEastAsia" w:eastAsiaTheme="minorEastAsia"/>
          <w:b w:val="0"/>
          <w:bdr w:val="none" w:color="auto" w:sz="0" w:space="0"/>
        </w:rPr>
        <w:t>26</w:t>
      </w:r>
      <w:r>
        <w:rPr>
          <w:rFonts w:hint="eastAsia" w:asciiTheme="minorEastAsia" w:hAnsiTheme="minorEastAsia" w:eastAsiaTheme="minorEastAsia"/>
          <w:b w:val="0"/>
          <w:bdr w:val="none" w:color="auto" w:sz="0" w:space="0"/>
        </w:rPr>
        <w:t>号）第１条に規定する学校及び同法第</w:t>
      </w:r>
      <w:r>
        <w:rPr>
          <w:rFonts w:hint="eastAsia" w:asciiTheme="minorEastAsia" w:hAnsiTheme="minorEastAsia" w:eastAsiaTheme="minorEastAsia"/>
          <w:b w:val="0"/>
          <w:bdr w:val="none" w:color="auto" w:sz="0" w:space="0"/>
        </w:rPr>
        <w:t>124</w:t>
      </w:r>
      <w:r>
        <w:rPr>
          <w:rFonts w:hint="eastAsia" w:asciiTheme="minorEastAsia" w:hAnsiTheme="minorEastAsia" w:eastAsiaTheme="minorEastAsia"/>
          <w:b w:val="0"/>
          <w:bdr w:val="none" w:color="auto" w:sz="0" w:space="0"/>
        </w:rPr>
        <w:t>条に規定する専修学校（高等課程を置くものに限る。）をいう。以下この条において同じ。）において、当該手話を必要とする者が手話を学習し、手話により教育が受けられるよう、当該学校の教職員の手話に関する技術の向上のために必要な支援に努めるものとする。</w:t>
      </w:r>
    </w:p>
    <w:p>
      <w:pPr>
        <w:pStyle w:val="0"/>
        <w:spacing w:line="240" w:lineRule="auto"/>
        <w:ind w:left="210" w:hanging="210" w:hangingChars="100"/>
        <w:rPr>
          <w:rFonts w:hint="eastAsia" w:asciiTheme="minorEastAsia" w:hAnsiTheme="minorEastAsia" w:eastAsiaTheme="minorEastAsia"/>
          <w:b w:val="0"/>
          <w:bdr w:val="none" w:color="auto" w:sz="0" w:space="0"/>
        </w:rPr>
      </w:pPr>
      <w:r>
        <w:rPr>
          <w:rFonts w:hint="eastAsia" w:asciiTheme="minorEastAsia" w:hAnsiTheme="minorEastAsia" w:eastAsiaTheme="minorEastAsia"/>
          <w:b w:val="0"/>
          <w:bdr w:val="none" w:color="auto" w:sz="0" w:space="0"/>
        </w:rPr>
        <w:t>２　県は、学校の児童、生徒等及びその保護者に対して、手話を使用した教育に関する相談その他必要な支援に努めるものとする。</w:t>
      </w:r>
    </w:p>
    <w:p>
      <w:pPr>
        <w:pStyle w:val="0"/>
        <w:spacing w:line="240" w:lineRule="auto"/>
        <w:ind w:left="210" w:hanging="210" w:hangingChars="100"/>
        <w:rPr>
          <w:rFonts w:hint="eastAsia" w:asciiTheme="minorEastAsia" w:hAnsiTheme="minorEastAsia" w:eastAsiaTheme="minorEastAsia"/>
          <w:b w:val="0"/>
          <w:bdr w:val="none" w:color="auto" w:sz="0" w:space="0"/>
        </w:rPr>
      </w:pPr>
      <w:r>
        <w:rPr>
          <w:rFonts w:hint="eastAsia" w:asciiTheme="minorEastAsia" w:hAnsiTheme="minorEastAsia" w:eastAsiaTheme="minorEastAsia"/>
          <w:b w:val="0"/>
          <w:bdr w:val="none" w:color="auto" w:sz="0" w:space="0"/>
        </w:rPr>
        <w:t>３　県は、学校において基本理念及び手話に対する理解を深めるため、市町村等、ろう者及び手話通訳者等と協力して、</w:t>
      </w:r>
      <w:r>
        <w:rPr>
          <w:rFonts w:hint="eastAsia" w:asciiTheme="minorEastAsia" w:hAnsiTheme="minorEastAsia" w:eastAsiaTheme="minorEastAsia"/>
          <w:b w:val="0"/>
          <w:highlight w:val="none"/>
          <w:u w:val="none" w:color="auto"/>
          <w:bdr w:val="none" w:color="auto" w:sz="0" w:space="0"/>
        </w:rPr>
        <w:t>手話に関する啓発その他</w:t>
      </w:r>
      <w:r>
        <w:rPr>
          <w:rFonts w:hint="eastAsia" w:asciiTheme="minorEastAsia" w:hAnsiTheme="minorEastAsia" w:eastAsiaTheme="minorEastAsia"/>
          <w:b w:val="0"/>
          <w:bdr w:val="none" w:color="auto" w:sz="0" w:space="0"/>
        </w:rPr>
        <w:t>必要な支援に努めるものとする。</w:t>
      </w:r>
    </w:p>
    <w:p>
      <w:pPr>
        <w:pStyle w:val="0"/>
        <w:spacing w:line="240" w:lineRule="auto"/>
        <w:rPr>
          <w:rFonts w:hint="eastAsia"/>
        </w:rPr>
      </w:pPr>
    </w:p>
    <w:p>
      <w:pPr>
        <w:pStyle w:val="0"/>
        <w:spacing w:line="240" w:lineRule="auto"/>
        <w:rPr>
          <w:rFonts w:hint="eastAsia"/>
        </w:rPr>
      </w:pPr>
      <w:r>
        <w:rPr>
          <w:rFonts w:hint="eastAsia" w:ascii="游ゴシック" w:hAnsi="游ゴシック" w:eastAsia="游ゴシック"/>
          <w:b w:val="1"/>
        </w:rPr>
        <w:t>（事業者への支援）　</w:t>
      </w:r>
    </w:p>
    <w:p>
      <w:pPr>
        <w:pStyle w:val="0"/>
        <w:spacing w:line="240" w:lineRule="auto"/>
        <w:ind w:left="210" w:hanging="210" w:hangingChars="100"/>
        <w:rPr>
          <w:rFonts w:hint="eastAsia" w:asciiTheme="minorEastAsia" w:hAnsiTheme="minorEastAsia" w:eastAsiaTheme="minorEastAsia"/>
          <w:b w:val="0"/>
          <w:bdr w:val="single" w:color="auto" w:sz="4" w:space="0"/>
        </w:rPr>
      </w:pPr>
      <w:r>
        <w:rPr>
          <w:rFonts w:hint="eastAsia" w:ascii="游ゴシック" w:hAnsi="游ゴシック" w:eastAsia="游ゴシック"/>
          <w:b w:val="1"/>
        </w:rPr>
        <w:t>第</w:t>
      </w:r>
      <w:r>
        <w:rPr>
          <w:rFonts w:hint="eastAsia" w:ascii="游ゴシック" w:hAnsi="游ゴシック" w:eastAsia="游ゴシック"/>
          <w:b w:val="1"/>
        </w:rPr>
        <w:t>13</w:t>
      </w:r>
      <w:r>
        <w:rPr>
          <w:rFonts w:hint="eastAsia" w:ascii="游ゴシック" w:hAnsi="游ゴシック" w:eastAsia="游ゴシック"/>
          <w:b w:val="1"/>
        </w:rPr>
        <w:t>条　</w:t>
      </w:r>
      <w:r>
        <w:rPr>
          <w:rFonts w:hint="eastAsia" w:asciiTheme="minorEastAsia" w:hAnsiTheme="minorEastAsia" w:eastAsiaTheme="minorEastAsia"/>
          <w:b w:val="0"/>
          <w:bdr w:val="none" w:color="auto" w:sz="0" w:space="0"/>
        </w:rPr>
        <w:t>県は、事業者が行う手話の普及等に関する取組に対して、情報提供その他の必要な支援を行うものとする。</w:t>
      </w:r>
    </w:p>
    <w:p>
      <w:pPr>
        <w:pStyle w:val="0"/>
        <w:spacing w:line="240" w:lineRule="auto"/>
        <w:rPr>
          <w:rFonts w:hint="eastAsia"/>
        </w:rPr>
      </w:pPr>
    </w:p>
    <w:p>
      <w:pPr>
        <w:pStyle w:val="0"/>
        <w:spacing w:line="240" w:lineRule="auto"/>
        <w:rPr>
          <w:rFonts w:hint="eastAsia"/>
        </w:rPr>
      </w:pPr>
      <w:r>
        <w:rPr>
          <w:rFonts w:hint="eastAsia" w:ascii="游ゴシック" w:hAnsi="游ゴシック" w:eastAsia="游ゴシック"/>
          <w:b w:val="1"/>
        </w:rPr>
        <w:t>（手話に関する調査研究）</w:t>
      </w:r>
    </w:p>
    <w:p>
      <w:pPr>
        <w:pStyle w:val="0"/>
        <w:spacing w:line="240" w:lineRule="auto"/>
        <w:ind w:left="210" w:hanging="210" w:hangingChars="100"/>
        <w:rPr>
          <w:rFonts w:hint="eastAsia" w:asciiTheme="minorEastAsia" w:hAnsiTheme="minorEastAsia" w:eastAsiaTheme="minorEastAsia"/>
          <w:b w:val="0"/>
          <w:bdr w:val="single" w:color="auto" w:sz="4" w:space="0"/>
        </w:rPr>
      </w:pPr>
      <w:r>
        <w:rPr>
          <w:rFonts w:hint="eastAsia" w:ascii="游ゴシック" w:hAnsi="游ゴシック" w:eastAsia="游ゴシック"/>
          <w:b w:val="1"/>
        </w:rPr>
        <w:t>第</w:t>
      </w:r>
      <w:r>
        <w:rPr>
          <w:rFonts w:hint="eastAsia" w:ascii="游ゴシック" w:hAnsi="游ゴシック" w:eastAsia="游ゴシック"/>
          <w:b w:val="1"/>
        </w:rPr>
        <w:t>14</w:t>
      </w:r>
      <w:r>
        <w:rPr>
          <w:rFonts w:hint="eastAsia" w:ascii="游ゴシック" w:hAnsi="游ゴシック" w:eastAsia="游ゴシック"/>
          <w:b w:val="1"/>
        </w:rPr>
        <w:t>条　</w:t>
      </w:r>
      <w:r>
        <w:rPr>
          <w:rFonts w:hint="eastAsia" w:asciiTheme="minorEastAsia" w:hAnsiTheme="minorEastAsia" w:eastAsiaTheme="minorEastAsia"/>
          <w:b w:val="0"/>
          <w:bdr w:val="none" w:color="auto" w:sz="0" w:space="0"/>
        </w:rPr>
        <w:t>県は、ろう者及び手話通訳者等が手話</w:t>
      </w:r>
      <w:r>
        <w:rPr>
          <w:rFonts w:hint="eastAsia" w:asciiTheme="minorEastAsia" w:hAnsiTheme="minorEastAsia" w:eastAsiaTheme="minorEastAsia"/>
          <w:b w:val="0"/>
          <w:highlight w:val="none"/>
          <w:u w:val="none" w:color="auto"/>
          <w:bdr w:val="none" w:color="auto" w:sz="0" w:space="0"/>
        </w:rPr>
        <w:t>を守り、発展させる</w:t>
      </w:r>
      <w:r>
        <w:rPr>
          <w:rFonts w:hint="eastAsia" w:asciiTheme="minorEastAsia" w:hAnsiTheme="minorEastAsia" w:eastAsiaTheme="minorEastAsia"/>
          <w:b w:val="0"/>
          <w:bdr w:val="none" w:color="auto" w:sz="0" w:space="0"/>
        </w:rPr>
        <w:t>ために行う手話に関する調査研究及びその成果の普及に協力するものとする。</w:t>
      </w:r>
    </w:p>
    <w:p>
      <w:pPr>
        <w:pStyle w:val="0"/>
        <w:spacing w:line="240" w:lineRule="auto"/>
        <w:rPr>
          <w:rFonts w:hint="eastAsia"/>
        </w:rPr>
      </w:pPr>
    </w:p>
    <w:p>
      <w:pPr>
        <w:pStyle w:val="0"/>
        <w:spacing w:line="240" w:lineRule="auto"/>
        <w:rPr>
          <w:rFonts w:hint="eastAsia"/>
        </w:rPr>
      </w:pPr>
      <w:r>
        <w:rPr>
          <w:rFonts w:hint="eastAsia" w:ascii="游ゴシック" w:hAnsi="游ゴシック" w:eastAsia="游ゴシック"/>
          <w:b w:val="1"/>
        </w:rPr>
        <w:t>（財政上の措置）　</w:t>
      </w:r>
    </w:p>
    <w:p>
      <w:pPr>
        <w:pStyle w:val="0"/>
        <w:spacing w:line="240" w:lineRule="auto"/>
        <w:ind w:left="210" w:hanging="210" w:hangingChars="100"/>
        <w:rPr>
          <w:rFonts w:hint="eastAsia"/>
        </w:rPr>
      </w:pPr>
      <w:r>
        <w:rPr>
          <w:rFonts w:hint="eastAsia" w:ascii="游ゴシック" w:hAnsi="游ゴシック" w:eastAsia="游ゴシック"/>
          <w:b w:val="1"/>
        </w:rPr>
        <w:t>第</w:t>
      </w:r>
      <w:r>
        <w:rPr>
          <w:rFonts w:hint="eastAsia" w:ascii="游ゴシック" w:hAnsi="游ゴシック" w:eastAsia="游ゴシック"/>
          <w:b w:val="1"/>
        </w:rPr>
        <w:t>15</w:t>
      </w:r>
      <w:r>
        <w:rPr>
          <w:rFonts w:hint="eastAsia" w:ascii="游ゴシック" w:hAnsi="游ゴシック" w:eastAsia="游ゴシック"/>
          <w:b w:val="1"/>
        </w:rPr>
        <w:t>条　</w:t>
      </w:r>
      <w:r>
        <w:rPr>
          <w:rFonts w:hint="eastAsia"/>
        </w:rPr>
        <w:t>県は、手話の普及等に関する施策を推進するため、必要な財政上の措置を講ずるよう努めるものとする。</w:t>
      </w:r>
    </w:p>
    <w:p>
      <w:pPr>
        <w:pStyle w:val="0"/>
        <w:spacing w:line="240" w:lineRule="auto"/>
        <w:ind w:left="210" w:hanging="210" w:hangingChars="100"/>
        <w:rPr>
          <w:rFonts w:hint="eastAsia"/>
        </w:rPr>
      </w:pPr>
    </w:p>
    <w:p>
      <w:pPr>
        <w:pStyle w:val="0"/>
        <w:spacing w:line="240" w:lineRule="auto"/>
        <w:ind w:left="210" w:hanging="210" w:hangingChars="100"/>
        <w:rPr>
          <w:rFonts w:hint="eastAsia"/>
        </w:rPr>
      </w:pPr>
      <w:r>
        <w:rPr>
          <w:rFonts w:hint="eastAsia"/>
        </w:rPr>
        <w:t>　　附　則</w:t>
      </w:r>
    </w:p>
    <w:p>
      <w:pPr>
        <w:pStyle w:val="0"/>
        <w:spacing w:line="240" w:lineRule="auto"/>
        <w:ind w:left="210" w:hanging="210" w:hangingChars="100"/>
        <w:rPr>
          <w:rFonts w:hint="eastAsia"/>
        </w:rPr>
      </w:pPr>
      <w:r>
        <w:rPr>
          <w:rFonts w:hint="eastAsia"/>
        </w:rPr>
        <w:t>　この条例は、公布の日から施行する。</w:t>
      </w:r>
    </w:p>
    <w:sectPr>
      <w:footerReference r:id="rId5" w:type="default"/>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1647</TotalTime>
  <Pages>4</Pages>
  <Words>14</Words>
  <Characters>3212</Characters>
  <Application>JUST Note</Application>
  <Lines>127</Lines>
  <Paragraphs>53</Paragraphs>
  <CharactersWithSpaces>5994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事務局</dc:creator>
  <cp:lastModifiedBy>438681</cp:lastModifiedBy>
  <cp:lastPrinted>2024-12-10T06:40:11Z</cp:lastPrinted>
  <dcterms:created xsi:type="dcterms:W3CDTF">2024-08-12T07:17:00Z</dcterms:created>
  <dcterms:modified xsi:type="dcterms:W3CDTF">2024-12-02T02:57:59Z</dcterms:modified>
  <cp:revision>28</cp:revision>
</cp:coreProperties>
</file>