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B0" w:rsidRPr="005914B0" w:rsidRDefault="005914B0" w:rsidP="005914B0">
      <w:pPr>
        <w:widowControl/>
        <w:spacing w:line="288" w:lineRule="atLeast"/>
        <w:jc w:val="right"/>
        <w:rPr>
          <w:rFonts w:ascii="ＭＳ Ｐゴシック" w:eastAsia="ＭＳ Ｐゴシック" w:hAnsi="ＭＳ Ｐゴシック" w:cs="ＭＳ Ｐゴシック"/>
          <w:kern w:val="0"/>
          <w:szCs w:val="21"/>
        </w:rPr>
      </w:pPr>
      <w:r w:rsidRPr="005914B0">
        <w:rPr>
          <w:rFonts w:ascii="ＭＳ Ｐゴシック" w:eastAsia="ＭＳ Ｐゴシック" w:hAnsi="ＭＳ Ｐゴシック" w:cs="ＭＳ Ｐゴシック" w:hint="eastAsia"/>
          <w:b/>
          <w:bCs/>
          <w:kern w:val="0"/>
          <w:szCs w:val="21"/>
        </w:rPr>
        <w:t>建設省道政発第九〇号</w:t>
      </w:r>
    </w:p>
    <w:p w:rsidR="005914B0" w:rsidRPr="005914B0" w:rsidRDefault="005914B0" w:rsidP="005914B0">
      <w:pPr>
        <w:widowControl/>
        <w:spacing w:line="288" w:lineRule="atLeast"/>
        <w:jc w:val="righ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b/>
          <w:bCs/>
          <w:kern w:val="0"/>
          <w:szCs w:val="21"/>
        </w:rPr>
        <w:t>昭和四二年一一月一三日</w:t>
      </w:r>
    </w:p>
    <w:p w:rsidR="005914B0" w:rsidRPr="005914B0" w:rsidRDefault="005914B0" w:rsidP="005914B0">
      <w:pPr>
        <w:widowControl/>
        <w:spacing w:before="100" w:beforeAutospacing="1" w:after="100" w:afterAutospacing="1" w:line="288" w:lineRule="atLeast"/>
        <w:jc w:val="left"/>
        <w:rPr>
          <w:rFonts w:ascii="ＭＳ Ｐゴシック" w:eastAsia="ＭＳ Ｐゴシック" w:hAnsi="ＭＳ Ｐゴシック" w:cs="ＭＳ Ｐゴシック" w:hint="eastAsia"/>
          <w:b/>
          <w:bCs/>
          <w:kern w:val="0"/>
          <w:szCs w:val="21"/>
        </w:rPr>
      </w:pPr>
      <w:r w:rsidRPr="005914B0">
        <w:rPr>
          <w:rFonts w:ascii="ＭＳ Ｐゴシック" w:eastAsia="ＭＳ Ｐゴシック" w:hAnsi="ＭＳ Ｐゴシック" w:cs="ＭＳ Ｐゴシック" w:hint="eastAsia"/>
          <w:b/>
          <w:bCs/>
          <w:kern w:val="0"/>
          <w:szCs w:val="21"/>
        </w:rPr>
        <w:t>各地方建設局長あて</w:t>
      </w:r>
    </w:p>
    <w:p w:rsidR="005914B0" w:rsidRPr="005914B0" w:rsidRDefault="005914B0" w:rsidP="005914B0">
      <w:pPr>
        <w:widowControl/>
        <w:spacing w:line="288" w:lineRule="atLeast"/>
        <w:jc w:val="righ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b/>
          <w:bCs/>
          <w:kern w:val="0"/>
          <w:szCs w:val="21"/>
        </w:rPr>
        <w:t>道路局長通達</w:t>
      </w:r>
    </w:p>
    <w:p w:rsidR="005914B0" w:rsidRPr="005914B0" w:rsidRDefault="005914B0" w:rsidP="005914B0">
      <w:pPr>
        <w:widowControl/>
        <w:spacing w:after="240"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center"/>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道路法施行令及び道路整備特別措置法施行令の一部を改正する政令の施行について</w:t>
      </w:r>
    </w:p>
    <w:p w:rsidR="005914B0" w:rsidRPr="005914B0" w:rsidRDefault="005914B0" w:rsidP="005914B0">
      <w:pPr>
        <w:widowControl/>
        <w:spacing w:before="100" w:beforeAutospacing="1" w:after="100" w:afterAutospacing="1"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昭和四二年一〇月二六日付け政令第三三五号で別添のとおり道路法施行令及び道路整備特別措置法施行令の一部を改正する政令が公布、施行されたので、左記事項に留意の上、その運用に遺憾のないようにされたい。</w:t>
      </w:r>
    </w:p>
    <w:p w:rsidR="005914B0" w:rsidRPr="005914B0" w:rsidRDefault="005914B0" w:rsidP="005914B0">
      <w:pPr>
        <w:widowControl/>
        <w:spacing w:before="100" w:beforeAutospacing="1" w:after="100" w:afterAutospacing="1" w:line="288" w:lineRule="atLeast"/>
        <w:jc w:val="center"/>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記</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1　工事開始等の告示</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指定区間の一般国道において建設大臣が工事を行なう場合の工事の開始又は完了の告示を行なわないこととした。</w:t>
      </w: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なお、定期バスの運行の円滑化を図るため、工事の内容が定期バスの運行に影響を与えるような場合、例えば、工事の実施に当該道路が通行禁止又は一方通行の措置を必要とするとき、バスの停留所の移動を必要とするとき等の場合には、工事の開始又は完了の日をあらかじめ所轄地方運輸局陸運支局長に通知すること。</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2　占用物件の追加</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高速自動車国道又は自動車専用道路の区域において、道路の占用物件として休憩所、給油所及び自動車修理所を追加した。</w:t>
      </w: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これらの占用物件の許可基準については、別途通達する予定であるが、許可にあたっては当局と事前協議すること。</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3　占用料の額</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(1)　第一九条の二第一項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(イ)　占用の期間が翌年度以後にわたる場合は、各年度ごとに占用料を算出して徴収する。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(ロ)　一件の占用許可に係る各年度ごとの占用料の額が一〇〇円に満たない場合は、占用料の額を一〇〇円とする。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(2)　第一九条の二第三項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(イ)　第一号</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国有林野事業、印刷事業、造幣事業及び地方財政法第六条に規定する公営企業に係る占用料は、徴収しない。</w:t>
      </w: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なお、前記以外の国及び地方公共団体の行なう事業に係る占用料は、法第三九条第一項、令第一九条及び道路法施行規則第四条の五により徴収することができないものとされていることから、国及び地方公共団体の行なう事業のための占用物件に係る占用料は全て徴収しないこととな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(ロ)　第二号</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(a)　日本鉄道建設公団が建設し又は災害復旧工事を行なう鉄道施設に係る占用料は、徴収しない。</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(b)　鉄道事業法第二条第一項に規定する鉄道事業で一般の需要に応ずるものの用に供する施設(本線、支線及び車庫等への引込線)及び同条第五項に規定する索道事業で一般の需要に応ずるものの用に供する施設(以下「鉄道等」という。)に係る占用料(主として地下鉄の形態により鉄道事業を経営する者の保有する鉄道等に係るものを除く。)は、次によ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　道路が鉄道等の敷地を使用する場合無償であるときは、当該鉄道等に係る占用料は、徴収しない。</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(二)　道路が鉄道等の敷地を使用する場合有償であるときは、当該鉄道等に係る占用料は、政令に定める額を徴収する。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(三)　削除</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(c)　主として地下鉄の形態により鉄道事業を経営する者の保有する鉄道等に係る占用料は次のとおりとする。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　帝都高速度交通営団の保有する鉄道等に係る占用料は、路上施設(通風孔、出入口等)に係るものを除き徴収しない。</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(二)　国、地方公共団体又はこれに準ずる公法人から出資を受け、主として公共的な目的をもって設立された事業主体の保有する鉄道等に係る占用料は、規則で定める額に二五％を上限として地方整備局長等が定める率を乗じて得た額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(三)　(一)又は(二)に該当しない鉄道等に係る占用料は、政令で定める額を徴収するものとする。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(ハ)　第三号</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公職選挙法による選挙運動のために使用する物件に係る占用料は、徴収しない。</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(ニ)　第四号</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(a)　街灯(アーチ型のものを除く。)に係る占用料は、徴収しない。</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(b)　農道、林道その他の公共通路(公衆が常時道路交通の一環として通行している通路)に係る占用料は、徴収しない。</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(c)　駐車場法第一七条第一項に規定する都市計画として決定された路外駐車場に係る占用料は、政令で定める額の二五％の額とする。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 xml:space="preserve">　</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(ホ)　第五号</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(a)　占用料を徴収しない物件</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　道路の附属物を無償で添加している電柱又は電話柱</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(二)　占用物件たる電柱又は電話柱を支えている支柱</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(三)　公共的団体が設置する有線放送電話柱</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(四)　公益法人が設置する有線テレビ(CATV)電柱及びその支柱、架空の道路横断電線及び各戸引込電線</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(五)　公共的団体又は電気事業者(卸供給事業者を除く。)若しくは電気通信事業法(昭和五九年法律第八六号)第一二条第一項に規定する第一種電気通信事業者(以下「第一種電気通信事業者」という。)が設ける架空の道路横断電線及び各戸引込電線</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(六)　ガス、電気、電気通信(第一種電気通信事業者の設けるものに限る。)、水道及び下水道の各戸引込地下埋設管</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(七)　公共的団体が設ける水管及び下水道管</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(八)　積雪の度がはなはだしい地域におけるがんぎ</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(九)　郵便切手の販売場所を示す規格化された看板(店舗に取付けられたもので、一店舗一個に限る。)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(一〇)　無料で不特定多数人に解放している公園、広場及び運動場</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(一一)　かんがい排水施設その他農業用地の保全又は利用上必要な施設</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(一二)　カーブミラー、くずかご、灰皿、花壇、掲示板等で営利目的がなく交通安全、道路の美化及び公衆の利便に著しく寄与する物件</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(一三)　地上権等により道路敷の権原を取得し、道路を築造した場合における当該道路敷内の占用物件</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200" w:firstLine="42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ただし、地上権等設定の際占用料徴収を前提としている場合はこの限りでない。</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(一四)　前各号に掲げる物件のほか、慣行等から占用料を徴収することが不適当であると地方整備局長等が認めた物件</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(b)　占用料を減額する物件及びその減額率</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(一)　民営の水道事業(専用水道事業を除く。)に係る占用物件　政令で定める額の五〇％</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(二)　バス停留所標識、地下鉄出入口案内標識及びバス待合所　政令で定める額の五〇％</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(三)　駐車場(駐車場法第一七条第一項に規定する都市計画として決定された路外駐車場を除く。)　政令で定める額の五〇％</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(四)　公安委員会の設置する交通信号灯を無償で添加している電気事業者又は第一種電気通信事業者の設置する電柱又は電話柱　政令で定める額の五〇％</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(五)　公益法人が設ける有線テレビ(CATV)の架空道路縦断電線　政令で定める額の五〇％</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(六)　削除</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(七)　前各号に掲げる物件のほか、慣行等から政令で定める額の占用料を徴収することが不適当であると地方整備局長等が認めた物件　地方整備局長等が定める減額率</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(3)　占用料の特例(経過措置)</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(イ)　甲地に存する占用物件である広告塔、上空に設ける通路、地下に設ける通路、道路法第三二条第一項第六号に掲げる施設、看板、旗ざお、幕、アーチ並びに道路法施行令第七条第二号に掲げる工事用施設及び同条第三号に掲げる工事用材料の占用料の額については、当分の間、道路法施行令の一部を改正する政令(平成七年政令第三六三号)による改正前の道路法施行令に基づき平成七年度において徴収された占用料の額の二倍を限度とするもの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(ロ)　既存の占用物件について占用料が増額となる場合における占用料の額の特例(経過措置)は、次のとおりとする。ただし、これにより難い特別の事情が存する場合には、地方整備局長若しくは沖縄総合事務局長は別に特例を定めることができ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(a)　電気事業者、ガス事業者(ガス事業法第二条第六項に規定する大口ガス事業の用に供するものを除く。)及び第一種電気通信事業者が設ける占用物件に係る占用料の額</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平成八年度以降の各年度の占用料の額は、道路占用許可事務を行っている各事務所に対し占用料の支払い業務を行っている事業所ごとに算出した占用料の額が前年度の占用料の額に一・一を乗じて得た額(以下「調整占用料額」という。)を越える場合には、当該調整占用料額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(b)　(a)に掲げるもの以外の占用物件に係る占用料の額</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平成八年度以降の各年度の占用料の額は、各占用物件ごとに算出した占用料の額が調整占用料額を越える場合には、当該調整占用料額とする。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(ハ)　相模原市の区域に係る既存の占用物件の占用料については、所要の経過措置を講じることができる。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lastRenderedPageBreak/>
        <w:t>(4)　別表適用の運用</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(イ)　削除</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(ロ)　別表中備考六の計算は、占用物件一個ごとに行う。</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(ハ)　占用料の額が月額で定められているものの月の計算は、民法第一四三条の規定による。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4　特殊な占用物件の別表適用</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(1)　「法第三二条第一項第一号に掲げる工作物」の項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(イ)　「第一種電柱、第二種電柱、第三種電柱」の項　ガス事業者が設ける電磁防食等のための電力引込柱については、本項を適用する。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(ロ)　「第一種電話柱、第二種電話柱、第三種電話柱」の項　電気事業者が設ける電力保安通信設備(独立電話柱)については、本項を適用する。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(ハ)　「その他の柱類」の項　支線柱(線及び柱により電柱をささえるもの)については、本項を適用する。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(ニ)　「路上に設ける変圧器」の項　路上に設ける開閉器、低圧分岐装置、高圧キャビネット等については、本項を適用する。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(ホ)　「地下に設ける変圧器」の項　地下に設ける開閉器、低圧分岐装置、高圧キャビネット等については、本項を適用する。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(ヘ)　「変圧塔その他これに類するもの及び公衆電話所」の項　ガス事業者が地上に設けるガス整圧塔、パーソナル・ハンディホン・システム無線基地局及び光アクセス装置については、本項を適用する。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(ト)　「その他のもの」の項　バス待合所、時刻表示板及び非常用救助袋固定環(一対で一m2とする。)については、本項を適用する。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(2)　「法第三二条第一項第二号に掲げる物件」の項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(イ)　削除</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(ロ)　削除</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(3)</w:t>
      </w:r>
      <w:r>
        <w:rPr>
          <w:rFonts w:ascii="ＭＳ Ｐゴシック" w:eastAsia="ＭＳ Ｐゴシック" w:hAnsi="ＭＳ Ｐゴシック" w:cs="ＭＳ Ｐゴシック" w:hint="eastAsia"/>
          <w:kern w:val="0"/>
          <w:szCs w:val="21"/>
        </w:rPr>
        <w:t xml:space="preserve">　「</w:t>
      </w:r>
      <w:r w:rsidRPr="005914B0">
        <w:rPr>
          <w:rFonts w:ascii="ＭＳ Ｐゴシック" w:eastAsia="ＭＳ Ｐゴシック" w:hAnsi="ＭＳ Ｐゴシック" w:cs="ＭＳ Ｐゴシック" w:hint="eastAsia"/>
          <w:kern w:val="0"/>
          <w:szCs w:val="21"/>
          <w:u w:val="single"/>
        </w:rPr>
        <w:t>法第32条第１項第３号及び第４号</w:t>
      </w:r>
      <w:r w:rsidRPr="005914B0">
        <w:rPr>
          <w:rFonts w:ascii="ＭＳ Ｐゴシック" w:eastAsia="ＭＳ Ｐゴシック" w:hAnsi="ＭＳ Ｐゴシック" w:cs="ＭＳ Ｐゴシック" w:hint="eastAsia"/>
          <w:kern w:val="0"/>
          <w:szCs w:val="21"/>
        </w:rPr>
        <w:t>に掲げる施設」の項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鉱石運搬のための索道及びその保安施設については、本項を適用する。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(4)　「法第三二条第一項第五号に掲げる施設」の項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「その他のもの」の項　地下駐車場、通路(上空又は地下に設けるもの以外のもの)及びベルトコンベアについては、本項を適用する。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lastRenderedPageBreak/>
        <w:t>(5)　「法第三二条第一項第六号に掲げる施設」の項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firstLineChars="100" w:firstLine="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コインロッカー、靴みがき及び新聞売りについては、本項を適用する。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(6)　「第七条第一号に掲げる物件」の項</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(イ)　「看板」の項　ショーウィンド及びサインポールについては、本項を適用する。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(ロ)　「標識」の項　商店・会社・商品名を表示せず理容所、クリーニング所等の業種を示すマーク及び工場、寮等への道程を示す案内板及びバス停留所標識については、本項を適用する。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(ハ)　「アーチ」の項　アーチ型の街灯については、本項を適用する。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5　その他</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(1)　占用者以外の者が占用物件に新たな物件を添加した場合及び占用者が自己の占用物件に占用目的外の物件を新たに添加した場合には、当該物件について別途別表に定める占用料を徴収する。</w:t>
      </w:r>
    </w:p>
    <w:p w:rsidR="005914B0" w:rsidRPr="005914B0" w:rsidRDefault="005914B0" w:rsidP="005914B0">
      <w:pPr>
        <w:widowControl/>
        <w:spacing w:line="288" w:lineRule="atLeast"/>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(2)　更新もれの占用物件は、新規占用として処理する。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(3)　新規の占用物件については、減免の適用を受けるものを除き、政令で定める占用料の額を徴収する。</w:t>
      </w:r>
    </w:p>
    <w:p w:rsidR="005914B0" w:rsidRPr="005914B0" w:rsidRDefault="005914B0" w:rsidP="005914B0">
      <w:pPr>
        <w:widowControl/>
        <w:spacing w:line="288" w:lineRule="atLeast"/>
        <w:ind w:left="210" w:hangingChars="100" w:hanging="210"/>
        <w:jc w:val="left"/>
        <w:rPr>
          <w:rFonts w:ascii="ＭＳ Ｐゴシック" w:eastAsia="ＭＳ Ｐゴシック" w:hAnsi="ＭＳ Ｐゴシック" w:cs="ＭＳ Ｐゴシック" w:hint="eastAsia"/>
          <w:kern w:val="0"/>
          <w:szCs w:val="21"/>
        </w:rPr>
      </w:pPr>
      <w:r w:rsidRPr="005914B0">
        <w:rPr>
          <w:rFonts w:ascii="ＭＳ Ｐゴシック" w:eastAsia="ＭＳ Ｐゴシック" w:hAnsi="ＭＳ Ｐゴシック" w:cs="ＭＳ Ｐゴシック" w:hint="eastAsia"/>
          <w:kern w:val="0"/>
          <w:szCs w:val="21"/>
        </w:rPr>
        <w:t>(4)　督促状を発する場合、督促状に指定する納付すべき期限は、その発行の日から二〇日以上三〇日以内とする。</w:t>
      </w:r>
    </w:p>
    <w:p w:rsidR="00F82639" w:rsidRPr="005914B0" w:rsidRDefault="005914B0">
      <w:pPr>
        <w:rPr>
          <w:sz w:val="22"/>
        </w:rPr>
      </w:pPr>
    </w:p>
    <w:sectPr w:rsidR="00F82639" w:rsidRPr="005914B0" w:rsidSect="00270CF6">
      <w:pgSz w:w="11906" w:h="16838" w:code="9"/>
      <w:pgMar w:top="1418" w:right="2087" w:bottom="1134" w:left="1418" w:header="851" w:footer="992" w:gutter="0"/>
      <w:cols w:space="425"/>
      <w:docGrid w:type="linesAndChars" w:linePitch="3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E0E" w:rsidRDefault="00E05E0E" w:rsidP="00270CF6">
      <w:r>
        <w:separator/>
      </w:r>
    </w:p>
  </w:endnote>
  <w:endnote w:type="continuationSeparator" w:id="0">
    <w:p w:rsidR="00E05E0E" w:rsidRDefault="00E05E0E" w:rsidP="00270CF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E0E" w:rsidRDefault="00E05E0E" w:rsidP="00270CF6">
      <w:r>
        <w:separator/>
      </w:r>
    </w:p>
  </w:footnote>
  <w:footnote w:type="continuationSeparator" w:id="0">
    <w:p w:rsidR="00E05E0E" w:rsidRDefault="00E05E0E" w:rsidP="00270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0CF6"/>
    <w:rsid w:val="00042030"/>
    <w:rsid w:val="00270CF6"/>
    <w:rsid w:val="005914B0"/>
    <w:rsid w:val="00734A54"/>
    <w:rsid w:val="00754A7F"/>
    <w:rsid w:val="00E05E0E"/>
    <w:rsid w:val="00FE363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0CF6"/>
    <w:pPr>
      <w:tabs>
        <w:tab w:val="center" w:pos="4252"/>
        <w:tab w:val="right" w:pos="8504"/>
      </w:tabs>
      <w:snapToGrid w:val="0"/>
    </w:pPr>
  </w:style>
  <w:style w:type="character" w:customStyle="1" w:styleId="a4">
    <w:name w:val="ヘッダー (文字)"/>
    <w:basedOn w:val="a0"/>
    <w:link w:val="a3"/>
    <w:uiPriority w:val="99"/>
    <w:semiHidden/>
    <w:rsid w:val="00270CF6"/>
  </w:style>
  <w:style w:type="paragraph" w:styleId="a5">
    <w:name w:val="footer"/>
    <w:basedOn w:val="a"/>
    <w:link w:val="a6"/>
    <w:uiPriority w:val="99"/>
    <w:semiHidden/>
    <w:unhideWhenUsed/>
    <w:rsid w:val="00270CF6"/>
    <w:pPr>
      <w:tabs>
        <w:tab w:val="center" w:pos="4252"/>
        <w:tab w:val="right" w:pos="8504"/>
      </w:tabs>
      <w:snapToGrid w:val="0"/>
    </w:pPr>
  </w:style>
  <w:style w:type="character" w:customStyle="1" w:styleId="a6">
    <w:name w:val="フッター (文字)"/>
    <w:basedOn w:val="a0"/>
    <w:link w:val="a5"/>
    <w:uiPriority w:val="99"/>
    <w:semiHidden/>
    <w:rsid w:val="00270CF6"/>
  </w:style>
  <w:style w:type="paragraph" w:styleId="Web">
    <w:name w:val="Normal (Web)"/>
    <w:basedOn w:val="a"/>
    <w:uiPriority w:val="99"/>
    <w:semiHidden/>
    <w:unhideWhenUsed/>
    <w:rsid w:val="005914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476220168">
      <w:bodyDiv w:val="1"/>
      <w:marLeft w:val="150"/>
      <w:marRight w:val="0"/>
      <w:marTop w:val="0"/>
      <w:marBottom w:val="0"/>
      <w:divBdr>
        <w:top w:val="none" w:sz="0" w:space="0" w:color="auto"/>
        <w:left w:val="none" w:sz="0" w:space="0" w:color="auto"/>
        <w:bottom w:val="none" w:sz="0" w:space="0" w:color="auto"/>
        <w:right w:val="none" w:sz="0" w:space="0" w:color="auto"/>
      </w:divBdr>
      <w:divsChild>
        <w:div w:id="1943105810">
          <w:marLeft w:val="0"/>
          <w:marRight w:val="0"/>
          <w:marTop w:val="0"/>
          <w:marBottom w:val="0"/>
          <w:divBdr>
            <w:top w:val="none" w:sz="0" w:space="0" w:color="auto"/>
            <w:left w:val="none" w:sz="0" w:space="0" w:color="auto"/>
            <w:bottom w:val="none" w:sz="0" w:space="0" w:color="auto"/>
            <w:right w:val="none" w:sz="0" w:space="0" w:color="auto"/>
          </w:divBdr>
        </w:div>
        <w:div w:id="1514103876">
          <w:marLeft w:val="0"/>
          <w:marRight w:val="0"/>
          <w:marTop w:val="0"/>
          <w:marBottom w:val="0"/>
          <w:divBdr>
            <w:top w:val="none" w:sz="0" w:space="0" w:color="auto"/>
            <w:left w:val="none" w:sz="0" w:space="0" w:color="auto"/>
            <w:bottom w:val="none" w:sz="0" w:space="0" w:color="auto"/>
            <w:right w:val="none" w:sz="0" w:space="0" w:color="auto"/>
          </w:divBdr>
        </w:div>
        <w:div w:id="549655694">
          <w:marLeft w:val="0"/>
          <w:marRight w:val="0"/>
          <w:marTop w:val="0"/>
          <w:marBottom w:val="0"/>
          <w:divBdr>
            <w:top w:val="none" w:sz="0" w:space="0" w:color="auto"/>
            <w:left w:val="none" w:sz="0" w:space="0" w:color="auto"/>
            <w:bottom w:val="none" w:sz="0" w:space="0" w:color="auto"/>
            <w:right w:val="none" w:sz="0" w:space="0" w:color="auto"/>
          </w:divBdr>
        </w:div>
        <w:div w:id="365105125">
          <w:marLeft w:val="0"/>
          <w:marRight w:val="0"/>
          <w:marTop w:val="0"/>
          <w:marBottom w:val="0"/>
          <w:divBdr>
            <w:top w:val="none" w:sz="0" w:space="0" w:color="auto"/>
            <w:left w:val="none" w:sz="0" w:space="0" w:color="auto"/>
            <w:bottom w:val="none" w:sz="0" w:space="0" w:color="auto"/>
            <w:right w:val="none" w:sz="0" w:space="0" w:color="auto"/>
          </w:divBdr>
          <w:divsChild>
            <w:div w:id="140778051">
              <w:marLeft w:val="0"/>
              <w:marRight w:val="0"/>
              <w:marTop w:val="0"/>
              <w:marBottom w:val="0"/>
              <w:divBdr>
                <w:top w:val="none" w:sz="0" w:space="0" w:color="auto"/>
                <w:left w:val="none" w:sz="0" w:space="0" w:color="auto"/>
                <w:bottom w:val="none" w:sz="0" w:space="0" w:color="auto"/>
                <w:right w:val="none" w:sz="0" w:space="0" w:color="auto"/>
              </w:divBdr>
            </w:div>
            <w:div w:id="334576423">
              <w:marLeft w:val="0"/>
              <w:marRight w:val="0"/>
              <w:marTop w:val="0"/>
              <w:marBottom w:val="0"/>
              <w:divBdr>
                <w:top w:val="none" w:sz="0" w:space="0" w:color="auto"/>
                <w:left w:val="none" w:sz="0" w:space="0" w:color="auto"/>
                <w:bottom w:val="none" w:sz="0" w:space="0" w:color="auto"/>
                <w:right w:val="none" w:sz="0" w:space="0" w:color="auto"/>
              </w:divBdr>
            </w:div>
            <w:div w:id="1842237964">
              <w:marLeft w:val="0"/>
              <w:marRight w:val="0"/>
              <w:marTop w:val="0"/>
              <w:marBottom w:val="0"/>
              <w:divBdr>
                <w:top w:val="none" w:sz="0" w:space="0" w:color="auto"/>
                <w:left w:val="none" w:sz="0" w:space="0" w:color="auto"/>
                <w:bottom w:val="none" w:sz="0" w:space="0" w:color="auto"/>
                <w:right w:val="none" w:sz="0" w:space="0" w:color="auto"/>
              </w:divBdr>
            </w:div>
            <w:div w:id="889532982">
              <w:marLeft w:val="0"/>
              <w:marRight w:val="0"/>
              <w:marTop w:val="0"/>
              <w:marBottom w:val="0"/>
              <w:divBdr>
                <w:top w:val="none" w:sz="0" w:space="0" w:color="auto"/>
                <w:left w:val="none" w:sz="0" w:space="0" w:color="auto"/>
                <w:bottom w:val="none" w:sz="0" w:space="0" w:color="auto"/>
                <w:right w:val="none" w:sz="0" w:space="0" w:color="auto"/>
              </w:divBdr>
            </w:div>
            <w:div w:id="1579024970">
              <w:marLeft w:val="0"/>
              <w:marRight w:val="0"/>
              <w:marTop w:val="0"/>
              <w:marBottom w:val="0"/>
              <w:divBdr>
                <w:top w:val="none" w:sz="0" w:space="0" w:color="auto"/>
                <w:left w:val="none" w:sz="0" w:space="0" w:color="auto"/>
                <w:bottom w:val="none" w:sz="0" w:space="0" w:color="auto"/>
                <w:right w:val="none" w:sz="0" w:space="0" w:color="auto"/>
              </w:divBdr>
            </w:div>
            <w:div w:id="1349984927">
              <w:marLeft w:val="0"/>
              <w:marRight w:val="0"/>
              <w:marTop w:val="0"/>
              <w:marBottom w:val="0"/>
              <w:divBdr>
                <w:top w:val="none" w:sz="0" w:space="0" w:color="auto"/>
                <w:left w:val="none" w:sz="0" w:space="0" w:color="auto"/>
                <w:bottom w:val="none" w:sz="0" w:space="0" w:color="auto"/>
                <w:right w:val="none" w:sz="0" w:space="0" w:color="auto"/>
              </w:divBdr>
            </w:div>
            <w:div w:id="1232498307">
              <w:marLeft w:val="0"/>
              <w:marRight w:val="0"/>
              <w:marTop w:val="0"/>
              <w:marBottom w:val="0"/>
              <w:divBdr>
                <w:top w:val="none" w:sz="0" w:space="0" w:color="auto"/>
                <w:left w:val="none" w:sz="0" w:space="0" w:color="auto"/>
                <w:bottom w:val="none" w:sz="0" w:space="0" w:color="auto"/>
                <w:right w:val="none" w:sz="0" w:space="0" w:color="auto"/>
              </w:divBdr>
            </w:div>
            <w:div w:id="1365138620">
              <w:marLeft w:val="0"/>
              <w:marRight w:val="0"/>
              <w:marTop w:val="0"/>
              <w:marBottom w:val="0"/>
              <w:divBdr>
                <w:top w:val="none" w:sz="0" w:space="0" w:color="auto"/>
                <w:left w:val="none" w:sz="0" w:space="0" w:color="auto"/>
                <w:bottom w:val="none" w:sz="0" w:space="0" w:color="auto"/>
                <w:right w:val="none" w:sz="0" w:space="0" w:color="auto"/>
              </w:divBdr>
            </w:div>
            <w:div w:id="858354567">
              <w:marLeft w:val="0"/>
              <w:marRight w:val="0"/>
              <w:marTop w:val="0"/>
              <w:marBottom w:val="0"/>
              <w:divBdr>
                <w:top w:val="none" w:sz="0" w:space="0" w:color="auto"/>
                <w:left w:val="none" w:sz="0" w:space="0" w:color="auto"/>
                <w:bottom w:val="none" w:sz="0" w:space="0" w:color="auto"/>
                <w:right w:val="none" w:sz="0" w:space="0" w:color="auto"/>
              </w:divBdr>
            </w:div>
            <w:div w:id="539511419">
              <w:marLeft w:val="0"/>
              <w:marRight w:val="0"/>
              <w:marTop w:val="0"/>
              <w:marBottom w:val="0"/>
              <w:divBdr>
                <w:top w:val="none" w:sz="0" w:space="0" w:color="auto"/>
                <w:left w:val="none" w:sz="0" w:space="0" w:color="auto"/>
                <w:bottom w:val="none" w:sz="0" w:space="0" w:color="auto"/>
                <w:right w:val="none" w:sz="0" w:space="0" w:color="auto"/>
              </w:divBdr>
            </w:div>
            <w:div w:id="1837841745">
              <w:marLeft w:val="0"/>
              <w:marRight w:val="0"/>
              <w:marTop w:val="0"/>
              <w:marBottom w:val="0"/>
              <w:divBdr>
                <w:top w:val="none" w:sz="0" w:space="0" w:color="auto"/>
                <w:left w:val="none" w:sz="0" w:space="0" w:color="auto"/>
                <w:bottom w:val="none" w:sz="0" w:space="0" w:color="auto"/>
                <w:right w:val="none" w:sz="0" w:space="0" w:color="auto"/>
              </w:divBdr>
            </w:div>
            <w:div w:id="1882664797">
              <w:marLeft w:val="0"/>
              <w:marRight w:val="0"/>
              <w:marTop w:val="0"/>
              <w:marBottom w:val="0"/>
              <w:divBdr>
                <w:top w:val="none" w:sz="0" w:space="0" w:color="auto"/>
                <w:left w:val="none" w:sz="0" w:space="0" w:color="auto"/>
                <w:bottom w:val="none" w:sz="0" w:space="0" w:color="auto"/>
                <w:right w:val="none" w:sz="0" w:space="0" w:color="auto"/>
              </w:divBdr>
            </w:div>
            <w:div w:id="234629919">
              <w:marLeft w:val="0"/>
              <w:marRight w:val="0"/>
              <w:marTop w:val="0"/>
              <w:marBottom w:val="0"/>
              <w:divBdr>
                <w:top w:val="none" w:sz="0" w:space="0" w:color="auto"/>
                <w:left w:val="none" w:sz="0" w:space="0" w:color="auto"/>
                <w:bottom w:val="none" w:sz="0" w:space="0" w:color="auto"/>
                <w:right w:val="none" w:sz="0" w:space="0" w:color="auto"/>
              </w:divBdr>
            </w:div>
            <w:div w:id="1807164934">
              <w:marLeft w:val="0"/>
              <w:marRight w:val="0"/>
              <w:marTop w:val="0"/>
              <w:marBottom w:val="0"/>
              <w:divBdr>
                <w:top w:val="none" w:sz="0" w:space="0" w:color="auto"/>
                <w:left w:val="none" w:sz="0" w:space="0" w:color="auto"/>
                <w:bottom w:val="none" w:sz="0" w:space="0" w:color="auto"/>
                <w:right w:val="none" w:sz="0" w:space="0" w:color="auto"/>
              </w:divBdr>
            </w:div>
            <w:div w:id="1310672057">
              <w:marLeft w:val="0"/>
              <w:marRight w:val="0"/>
              <w:marTop w:val="0"/>
              <w:marBottom w:val="0"/>
              <w:divBdr>
                <w:top w:val="none" w:sz="0" w:space="0" w:color="auto"/>
                <w:left w:val="none" w:sz="0" w:space="0" w:color="auto"/>
                <w:bottom w:val="none" w:sz="0" w:space="0" w:color="auto"/>
                <w:right w:val="none" w:sz="0" w:space="0" w:color="auto"/>
              </w:divBdr>
            </w:div>
            <w:div w:id="2097744656">
              <w:marLeft w:val="0"/>
              <w:marRight w:val="0"/>
              <w:marTop w:val="0"/>
              <w:marBottom w:val="0"/>
              <w:divBdr>
                <w:top w:val="none" w:sz="0" w:space="0" w:color="auto"/>
                <w:left w:val="none" w:sz="0" w:space="0" w:color="auto"/>
                <w:bottom w:val="none" w:sz="0" w:space="0" w:color="auto"/>
                <w:right w:val="none" w:sz="0" w:space="0" w:color="auto"/>
              </w:divBdr>
            </w:div>
            <w:div w:id="1559168038">
              <w:marLeft w:val="0"/>
              <w:marRight w:val="0"/>
              <w:marTop w:val="0"/>
              <w:marBottom w:val="0"/>
              <w:divBdr>
                <w:top w:val="none" w:sz="0" w:space="0" w:color="auto"/>
                <w:left w:val="none" w:sz="0" w:space="0" w:color="auto"/>
                <w:bottom w:val="none" w:sz="0" w:space="0" w:color="auto"/>
                <w:right w:val="none" w:sz="0" w:space="0" w:color="auto"/>
              </w:divBdr>
            </w:div>
            <w:div w:id="1069427489">
              <w:marLeft w:val="0"/>
              <w:marRight w:val="0"/>
              <w:marTop w:val="0"/>
              <w:marBottom w:val="0"/>
              <w:divBdr>
                <w:top w:val="none" w:sz="0" w:space="0" w:color="auto"/>
                <w:left w:val="none" w:sz="0" w:space="0" w:color="auto"/>
                <w:bottom w:val="none" w:sz="0" w:space="0" w:color="auto"/>
                <w:right w:val="none" w:sz="0" w:space="0" w:color="auto"/>
              </w:divBdr>
            </w:div>
            <w:div w:id="371734662">
              <w:marLeft w:val="0"/>
              <w:marRight w:val="0"/>
              <w:marTop w:val="0"/>
              <w:marBottom w:val="0"/>
              <w:divBdr>
                <w:top w:val="none" w:sz="0" w:space="0" w:color="auto"/>
                <w:left w:val="none" w:sz="0" w:space="0" w:color="auto"/>
                <w:bottom w:val="none" w:sz="0" w:space="0" w:color="auto"/>
                <w:right w:val="none" w:sz="0" w:space="0" w:color="auto"/>
              </w:divBdr>
            </w:div>
            <w:div w:id="230431041">
              <w:marLeft w:val="0"/>
              <w:marRight w:val="0"/>
              <w:marTop w:val="0"/>
              <w:marBottom w:val="0"/>
              <w:divBdr>
                <w:top w:val="none" w:sz="0" w:space="0" w:color="auto"/>
                <w:left w:val="none" w:sz="0" w:space="0" w:color="auto"/>
                <w:bottom w:val="none" w:sz="0" w:space="0" w:color="auto"/>
                <w:right w:val="none" w:sz="0" w:space="0" w:color="auto"/>
              </w:divBdr>
            </w:div>
            <w:div w:id="1445688530">
              <w:marLeft w:val="0"/>
              <w:marRight w:val="0"/>
              <w:marTop w:val="0"/>
              <w:marBottom w:val="0"/>
              <w:divBdr>
                <w:top w:val="none" w:sz="0" w:space="0" w:color="auto"/>
                <w:left w:val="none" w:sz="0" w:space="0" w:color="auto"/>
                <w:bottom w:val="none" w:sz="0" w:space="0" w:color="auto"/>
                <w:right w:val="none" w:sz="0" w:space="0" w:color="auto"/>
              </w:divBdr>
            </w:div>
            <w:div w:id="978847673">
              <w:marLeft w:val="0"/>
              <w:marRight w:val="0"/>
              <w:marTop w:val="0"/>
              <w:marBottom w:val="0"/>
              <w:divBdr>
                <w:top w:val="none" w:sz="0" w:space="0" w:color="auto"/>
                <w:left w:val="none" w:sz="0" w:space="0" w:color="auto"/>
                <w:bottom w:val="none" w:sz="0" w:space="0" w:color="auto"/>
                <w:right w:val="none" w:sz="0" w:space="0" w:color="auto"/>
              </w:divBdr>
            </w:div>
            <w:div w:id="1373847959">
              <w:marLeft w:val="0"/>
              <w:marRight w:val="0"/>
              <w:marTop w:val="0"/>
              <w:marBottom w:val="0"/>
              <w:divBdr>
                <w:top w:val="none" w:sz="0" w:space="0" w:color="auto"/>
                <w:left w:val="none" w:sz="0" w:space="0" w:color="auto"/>
                <w:bottom w:val="none" w:sz="0" w:space="0" w:color="auto"/>
                <w:right w:val="none" w:sz="0" w:space="0" w:color="auto"/>
              </w:divBdr>
            </w:div>
            <w:div w:id="1286892650">
              <w:marLeft w:val="0"/>
              <w:marRight w:val="0"/>
              <w:marTop w:val="0"/>
              <w:marBottom w:val="0"/>
              <w:divBdr>
                <w:top w:val="none" w:sz="0" w:space="0" w:color="auto"/>
                <w:left w:val="none" w:sz="0" w:space="0" w:color="auto"/>
                <w:bottom w:val="none" w:sz="0" w:space="0" w:color="auto"/>
                <w:right w:val="none" w:sz="0" w:space="0" w:color="auto"/>
              </w:divBdr>
            </w:div>
            <w:div w:id="997222576">
              <w:marLeft w:val="0"/>
              <w:marRight w:val="0"/>
              <w:marTop w:val="0"/>
              <w:marBottom w:val="0"/>
              <w:divBdr>
                <w:top w:val="none" w:sz="0" w:space="0" w:color="auto"/>
                <w:left w:val="none" w:sz="0" w:space="0" w:color="auto"/>
                <w:bottom w:val="none" w:sz="0" w:space="0" w:color="auto"/>
                <w:right w:val="none" w:sz="0" w:space="0" w:color="auto"/>
              </w:divBdr>
            </w:div>
            <w:div w:id="1314749687">
              <w:marLeft w:val="0"/>
              <w:marRight w:val="0"/>
              <w:marTop w:val="0"/>
              <w:marBottom w:val="0"/>
              <w:divBdr>
                <w:top w:val="none" w:sz="0" w:space="0" w:color="auto"/>
                <w:left w:val="none" w:sz="0" w:space="0" w:color="auto"/>
                <w:bottom w:val="none" w:sz="0" w:space="0" w:color="auto"/>
                <w:right w:val="none" w:sz="0" w:space="0" w:color="auto"/>
              </w:divBdr>
            </w:div>
            <w:div w:id="1280140785">
              <w:marLeft w:val="0"/>
              <w:marRight w:val="0"/>
              <w:marTop w:val="0"/>
              <w:marBottom w:val="0"/>
              <w:divBdr>
                <w:top w:val="none" w:sz="0" w:space="0" w:color="auto"/>
                <w:left w:val="none" w:sz="0" w:space="0" w:color="auto"/>
                <w:bottom w:val="none" w:sz="0" w:space="0" w:color="auto"/>
                <w:right w:val="none" w:sz="0" w:space="0" w:color="auto"/>
              </w:divBdr>
            </w:div>
            <w:div w:id="2132672660">
              <w:marLeft w:val="0"/>
              <w:marRight w:val="0"/>
              <w:marTop w:val="0"/>
              <w:marBottom w:val="0"/>
              <w:divBdr>
                <w:top w:val="none" w:sz="0" w:space="0" w:color="auto"/>
                <w:left w:val="none" w:sz="0" w:space="0" w:color="auto"/>
                <w:bottom w:val="none" w:sz="0" w:space="0" w:color="auto"/>
                <w:right w:val="none" w:sz="0" w:space="0" w:color="auto"/>
              </w:divBdr>
            </w:div>
            <w:div w:id="1165628730">
              <w:marLeft w:val="0"/>
              <w:marRight w:val="0"/>
              <w:marTop w:val="0"/>
              <w:marBottom w:val="0"/>
              <w:divBdr>
                <w:top w:val="none" w:sz="0" w:space="0" w:color="auto"/>
                <w:left w:val="none" w:sz="0" w:space="0" w:color="auto"/>
                <w:bottom w:val="none" w:sz="0" w:space="0" w:color="auto"/>
                <w:right w:val="none" w:sz="0" w:space="0" w:color="auto"/>
              </w:divBdr>
            </w:div>
            <w:div w:id="1580138552">
              <w:marLeft w:val="0"/>
              <w:marRight w:val="0"/>
              <w:marTop w:val="0"/>
              <w:marBottom w:val="0"/>
              <w:divBdr>
                <w:top w:val="none" w:sz="0" w:space="0" w:color="auto"/>
                <w:left w:val="none" w:sz="0" w:space="0" w:color="auto"/>
                <w:bottom w:val="none" w:sz="0" w:space="0" w:color="auto"/>
                <w:right w:val="none" w:sz="0" w:space="0" w:color="auto"/>
              </w:divBdr>
            </w:div>
            <w:div w:id="2040857460">
              <w:marLeft w:val="0"/>
              <w:marRight w:val="0"/>
              <w:marTop w:val="0"/>
              <w:marBottom w:val="0"/>
              <w:divBdr>
                <w:top w:val="none" w:sz="0" w:space="0" w:color="auto"/>
                <w:left w:val="none" w:sz="0" w:space="0" w:color="auto"/>
                <w:bottom w:val="none" w:sz="0" w:space="0" w:color="auto"/>
                <w:right w:val="none" w:sz="0" w:space="0" w:color="auto"/>
              </w:divBdr>
            </w:div>
            <w:div w:id="221452521">
              <w:marLeft w:val="0"/>
              <w:marRight w:val="0"/>
              <w:marTop w:val="0"/>
              <w:marBottom w:val="0"/>
              <w:divBdr>
                <w:top w:val="none" w:sz="0" w:space="0" w:color="auto"/>
                <w:left w:val="none" w:sz="0" w:space="0" w:color="auto"/>
                <w:bottom w:val="none" w:sz="0" w:space="0" w:color="auto"/>
                <w:right w:val="none" w:sz="0" w:space="0" w:color="auto"/>
              </w:divBdr>
            </w:div>
            <w:div w:id="674575999">
              <w:marLeft w:val="0"/>
              <w:marRight w:val="0"/>
              <w:marTop w:val="0"/>
              <w:marBottom w:val="0"/>
              <w:divBdr>
                <w:top w:val="none" w:sz="0" w:space="0" w:color="auto"/>
                <w:left w:val="none" w:sz="0" w:space="0" w:color="auto"/>
                <w:bottom w:val="none" w:sz="0" w:space="0" w:color="auto"/>
                <w:right w:val="none" w:sz="0" w:space="0" w:color="auto"/>
              </w:divBdr>
            </w:div>
            <w:div w:id="1270501801">
              <w:marLeft w:val="0"/>
              <w:marRight w:val="0"/>
              <w:marTop w:val="0"/>
              <w:marBottom w:val="0"/>
              <w:divBdr>
                <w:top w:val="none" w:sz="0" w:space="0" w:color="auto"/>
                <w:left w:val="none" w:sz="0" w:space="0" w:color="auto"/>
                <w:bottom w:val="none" w:sz="0" w:space="0" w:color="auto"/>
                <w:right w:val="none" w:sz="0" w:space="0" w:color="auto"/>
              </w:divBdr>
            </w:div>
            <w:div w:id="1563717018">
              <w:marLeft w:val="0"/>
              <w:marRight w:val="0"/>
              <w:marTop w:val="0"/>
              <w:marBottom w:val="0"/>
              <w:divBdr>
                <w:top w:val="none" w:sz="0" w:space="0" w:color="auto"/>
                <w:left w:val="none" w:sz="0" w:space="0" w:color="auto"/>
                <w:bottom w:val="none" w:sz="0" w:space="0" w:color="auto"/>
                <w:right w:val="none" w:sz="0" w:space="0" w:color="auto"/>
              </w:divBdr>
            </w:div>
            <w:div w:id="1269509933">
              <w:marLeft w:val="0"/>
              <w:marRight w:val="0"/>
              <w:marTop w:val="0"/>
              <w:marBottom w:val="0"/>
              <w:divBdr>
                <w:top w:val="none" w:sz="0" w:space="0" w:color="auto"/>
                <w:left w:val="none" w:sz="0" w:space="0" w:color="auto"/>
                <w:bottom w:val="none" w:sz="0" w:space="0" w:color="auto"/>
                <w:right w:val="none" w:sz="0" w:space="0" w:color="auto"/>
              </w:divBdr>
            </w:div>
            <w:div w:id="1524368172">
              <w:marLeft w:val="0"/>
              <w:marRight w:val="0"/>
              <w:marTop w:val="0"/>
              <w:marBottom w:val="0"/>
              <w:divBdr>
                <w:top w:val="none" w:sz="0" w:space="0" w:color="auto"/>
                <w:left w:val="none" w:sz="0" w:space="0" w:color="auto"/>
                <w:bottom w:val="none" w:sz="0" w:space="0" w:color="auto"/>
                <w:right w:val="none" w:sz="0" w:space="0" w:color="auto"/>
              </w:divBdr>
            </w:div>
            <w:div w:id="861432174">
              <w:marLeft w:val="0"/>
              <w:marRight w:val="0"/>
              <w:marTop w:val="0"/>
              <w:marBottom w:val="0"/>
              <w:divBdr>
                <w:top w:val="none" w:sz="0" w:space="0" w:color="auto"/>
                <w:left w:val="none" w:sz="0" w:space="0" w:color="auto"/>
                <w:bottom w:val="none" w:sz="0" w:space="0" w:color="auto"/>
                <w:right w:val="none" w:sz="0" w:space="0" w:color="auto"/>
              </w:divBdr>
            </w:div>
            <w:div w:id="1323041893">
              <w:marLeft w:val="0"/>
              <w:marRight w:val="0"/>
              <w:marTop w:val="0"/>
              <w:marBottom w:val="0"/>
              <w:divBdr>
                <w:top w:val="none" w:sz="0" w:space="0" w:color="auto"/>
                <w:left w:val="none" w:sz="0" w:space="0" w:color="auto"/>
                <w:bottom w:val="none" w:sz="0" w:space="0" w:color="auto"/>
                <w:right w:val="none" w:sz="0" w:space="0" w:color="auto"/>
              </w:divBdr>
            </w:div>
            <w:div w:id="481699815">
              <w:marLeft w:val="0"/>
              <w:marRight w:val="0"/>
              <w:marTop w:val="0"/>
              <w:marBottom w:val="0"/>
              <w:divBdr>
                <w:top w:val="none" w:sz="0" w:space="0" w:color="auto"/>
                <w:left w:val="none" w:sz="0" w:space="0" w:color="auto"/>
                <w:bottom w:val="none" w:sz="0" w:space="0" w:color="auto"/>
                <w:right w:val="none" w:sz="0" w:space="0" w:color="auto"/>
              </w:divBdr>
            </w:div>
            <w:div w:id="1624923281">
              <w:marLeft w:val="0"/>
              <w:marRight w:val="0"/>
              <w:marTop w:val="0"/>
              <w:marBottom w:val="0"/>
              <w:divBdr>
                <w:top w:val="none" w:sz="0" w:space="0" w:color="auto"/>
                <w:left w:val="none" w:sz="0" w:space="0" w:color="auto"/>
                <w:bottom w:val="none" w:sz="0" w:space="0" w:color="auto"/>
                <w:right w:val="none" w:sz="0" w:space="0" w:color="auto"/>
              </w:divBdr>
            </w:div>
            <w:div w:id="1111167943">
              <w:marLeft w:val="0"/>
              <w:marRight w:val="0"/>
              <w:marTop w:val="0"/>
              <w:marBottom w:val="0"/>
              <w:divBdr>
                <w:top w:val="none" w:sz="0" w:space="0" w:color="auto"/>
                <w:left w:val="none" w:sz="0" w:space="0" w:color="auto"/>
                <w:bottom w:val="none" w:sz="0" w:space="0" w:color="auto"/>
                <w:right w:val="none" w:sz="0" w:space="0" w:color="auto"/>
              </w:divBdr>
            </w:div>
            <w:div w:id="1055735460">
              <w:marLeft w:val="0"/>
              <w:marRight w:val="0"/>
              <w:marTop w:val="0"/>
              <w:marBottom w:val="0"/>
              <w:divBdr>
                <w:top w:val="none" w:sz="0" w:space="0" w:color="auto"/>
                <w:left w:val="none" w:sz="0" w:space="0" w:color="auto"/>
                <w:bottom w:val="none" w:sz="0" w:space="0" w:color="auto"/>
                <w:right w:val="none" w:sz="0" w:space="0" w:color="auto"/>
              </w:divBdr>
            </w:div>
            <w:div w:id="946160807">
              <w:marLeft w:val="0"/>
              <w:marRight w:val="0"/>
              <w:marTop w:val="0"/>
              <w:marBottom w:val="0"/>
              <w:divBdr>
                <w:top w:val="none" w:sz="0" w:space="0" w:color="auto"/>
                <w:left w:val="none" w:sz="0" w:space="0" w:color="auto"/>
                <w:bottom w:val="none" w:sz="0" w:space="0" w:color="auto"/>
                <w:right w:val="none" w:sz="0" w:space="0" w:color="auto"/>
              </w:divBdr>
            </w:div>
            <w:div w:id="1690906111">
              <w:marLeft w:val="0"/>
              <w:marRight w:val="0"/>
              <w:marTop w:val="0"/>
              <w:marBottom w:val="0"/>
              <w:divBdr>
                <w:top w:val="none" w:sz="0" w:space="0" w:color="auto"/>
                <w:left w:val="none" w:sz="0" w:space="0" w:color="auto"/>
                <w:bottom w:val="none" w:sz="0" w:space="0" w:color="auto"/>
                <w:right w:val="none" w:sz="0" w:space="0" w:color="auto"/>
              </w:divBdr>
            </w:div>
            <w:div w:id="402458385">
              <w:marLeft w:val="0"/>
              <w:marRight w:val="0"/>
              <w:marTop w:val="0"/>
              <w:marBottom w:val="0"/>
              <w:divBdr>
                <w:top w:val="none" w:sz="0" w:space="0" w:color="auto"/>
                <w:left w:val="none" w:sz="0" w:space="0" w:color="auto"/>
                <w:bottom w:val="none" w:sz="0" w:space="0" w:color="auto"/>
                <w:right w:val="none" w:sz="0" w:space="0" w:color="auto"/>
              </w:divBdr>
            </w:div>
            <w:div w:id="484276453">
              <w:marLeft w:val="0"/>
              <w:marRight w:val="0"/>
              <w:marTop w:val="0"/>
              <w:marBottom w:val="0"/>
              <w:divBdr>
                <w:top w:val="none" w:sz="0" w:space="0" w:color="auto"/>
                <w:left w:val="none" w:sz="0" w:space="0" w:color="auto"/>
                <w:bottom w:val="none" w:sz="0" w:space="0" w:color="auto"/>
                <w:right w:val="none" w:sz="0" w:space="0" w:color="auto"/>
              </w:divBdr>
            </w:div>
            <w:div w:id="200677206">
              <w:marLeft w:val="0"/>
              <w:marRight w:val="0"/>
              <w:marTop w:val="0"/>
              <w:marBottom w:val="0"/>
              <w:divBdr>
                <w:top w:val="none" w:sz="0" w:space="0" w:color="auto"/>
                <w:left w:val="none" w:sz="0" w:space="0" w:color="auto"/>
                <w:bottom w:val="none" w:sz="0" w:space="0" w:color="auto"/>
                <w:right w:val="none" w:sz="0" w:space="0" w:color="auto"/>
              </w:divBdr>
            </w:div>
            <w:div w:id="1086459514">
              <w:marLeft w:val="0"/>
              <w:marRight w:val="0"/>
              <w:marTop w:val="0"/>
              <w:marBottom w:val="0"/>
              <w:divBdr>
                <w:top w:val="none" w:sz="0" w:space="0" w:color="auto"/>
                <w:left w:val="none" w:sz="0" w:space="0" w:color="auto"/>
                <w:bottom w:val="none" w:sz="0" w:space="0" w:color="auto"/>
                <w:right w:val="none" w:sz="0" w:space="0" w:color="auto"/>
              </w:divBdr>
            </w:div>
            <w:div w:id="2024630212">
              <w:marLeft w:val="0"/>
              <w:marRight w:val="0"/>
              <w:marTop w:val="0"/>
              <w:marBottom w:val="0"/>
              <w:divBdr>
                <w:top w:val="none" w:sz="0" w:space="0" w:color="auto"/>
                <w:left w:val="none" w:sz="0" w:space="0" w:color="auto"/>
                <w:bottom w:val="none" w:sz="0" w:space="0" w:color="auto"/>
                <w:right w:val="none" w:sz="0" w:space="0" w:color="auto"/>
              </w:divBdr>
            </w:div>
            <w:div w:id="1847818758">
              <w:marLeft w:val="0"/>
              <w:marRight w:val="0"/>
              <w:marTop w:val="0"/>
              <w:marBottom w:val="0"/>
              <w:divBdr>
                <w:top w:val="none" w:sz="0" w:space="0" w:color="auto"/>
                <w:left w:val="none" w:sz="0" w:space="0" w:color="auto"/>
                <w:bottom w:val="none" w:sz="0" w:space="0" w:color="auto"/>
                <w:right w:val="none" w:sz="0" w:space="0" w:color="auto"/>
              </w:divBdr>
            </w:div>
            <w:div w:id="1427388469">
              <w:marLeft w:val="0"/>
              <w:marRight w:val="0"/>
              <w:marTop w:val="0"/>
              <w:marBottom w:val="0"/>
              <w:divBdr>
                <w:top w:val="none" w:sz="0" w:space="0" w:color="auto"/>
                <w:left w:val="none" w:sz="0" w:space="0" w:color="auto"/>
                <w:bottom w:val="none" w:sz="0" w:space="0" w:color="auto"/>
                <w:right w:val="none" w:sz="0" w:space="0" w:color="auto"/>
              </w:divBdr>
            </w:div>
            <w:div w:id="1346786937">
              <w:marLeft w:val="0"/>
              <w:marRight w:val="0"/>
              <w:marTop w:val="0"/>
              <w:marBottom w:val="0"/>
              <w:divBdr>
                <w:top w:val="none" w:sz="0" w:space="0" w:color="auto"/>
                <w:left w:val="none" w:sz="0" w:space="0" w:color="auto"/>
                <w:bottom w:val="none" w:sz="0" w:space="0" w:color="auto"/>
                <w:right w:val="none" w:sz="0" w:space="0" w:color="auto"/>
              </w:divBdr>
            </w:div>
            <w:div w:id="284703675">
              <w:marLeft w:val="0"/>
              <w:marRight w:val="0"/>
              <w:marTop w:val="0"/>
              <w:marBottom w:val="0"/>
              <w:divBdr>
                <w:top w:val="none" w:sz="0" w:space="0" w:color="auto"/>
                <w:left w:val="none" w:sz="0" w:space="0" w:color="auto"/>
                <w:bottom w:val="none" w:sz="0" w:space="0" w:color="auto"/>
                <w:right w:val="none" w:sz="0" w:space="0" w:color="auto"/>
              </w:divBdr>
            </w:div>
            <w:div w:id="400835189">
              <w:marLeft w:val="0"/>
              <w:marRight w:val="0"/>
              <w:marTop w:val="0"/>
              <w:marBottom w:val="0"/>
              <w:divBdr>
                <w:top w:val="none" w:sz="0" w:space="0" w:color="auto"/>
                <w:left w:val="none" w:sz="0" w:space="0" w:color="auto"/>
                <w:bottom w:val="none" w:sz="0" w:space="0" w:color="auto"/>
                <w:right w:val="none" w:sz="0" w:space="0" w:color="auto"/>
              </w:divBdr>
            </w:div>
            <w:div w:id="696975703">
              <w:marLeft w:val="0"/>
              <w:marRight w:val="0"/>
              <w:marTop w:val="0"/>
              <w:marBottom w:val="0"/>
              <w:divBdr>
                <w:top w:val="none" w:sz="0" w:space="0" w:color="auto"/>
                <w:left w:val="none" w:sz="0" w:space="0" w:color="auto"/>
                <w:bottom w:val="none" w:sz="0" w:space="0" w:color="auto"/>
                <w:right w:val="none" w:sz="0" w:space="0" w:color="auto"/>
              </w:divBdr>
            </w:div>
            <w:div w:id="2106339619">
              <w:marLeft w:val="0"/>
              <w:marRight w:val="0"/>
              <w:marTop w:val="0"/>
              <w:marBottom w:val="0"/>
              <w:divBdr>
                <w:top w:val="none" w:sz="0" w:space="0" w:color="auto"/>
                <w:left w:val="none" w:sz="0" w:space="0" w:color="auto"/>
                <w:bottom w:val="none" w:sz="0" w:space="0" w:color="auto"/>
                <w:right w:val="none" w:sz="0" w:space="0" w:color="auto"/>
              </w:divBdr>
            </w:div>
            <w:div w:id="795293502">
              <w:marLeft w:val="0"/>
              <w:marRight w:val="0"/>
              <w:marTop w:val="0"/>
              <w:marBottom w:val="0"/>
              <w:divBdr>
                <w:top w:val="none" w:sz="0" w:space="0" w:color="auto"/>
                <w:left w:val="none" w:sz="0" w:space="0" w:color="auto"/>
                <w:bottom w:val="none" w:sz="0" w:space="0" w:color="auto"/>
                <w:right w:val="none" w:sz="0" w:space="0" w:color="auto"/>
              </w:divBdr>
            </w:div>
            <w:div w:id="1477140372">
              <w:marLeft w:val="0"/>
              <w:marRight w:val="0"/>
              <w:marTop w:val="0"/>
              <w:marBottom w:val="0"/>
              <w:divBdr>
                <w:top w:val="none" w:sz="0" w:space="0" w:color="auto"/>
                <w:left w:val="none" w:sz="0" w:space="0" w:color="auto"/>
                <w:bottom w:val="none" w:sz="0" w:space="0" w:color="auto"/>
                <w:right w:val="none" w:sz="0" w:space="0" w:color="auto"/>
              </w:divBdr>
            </w:div>
            <w:div w:id="1724402239">
              <w:marLeft w:val="0"/>
              <w:marRight w:val="0"/>
              <w:marTop w:val="0"/>
              <w:marBottom w:val="0"/>
              <w:divBdr>
                <w:top w:val="none" w:sz="0" w:space="0" w:color="auto"/>
                <w:left w:val="none" w:sz="0" w:space="0" w:color="auto"/>
                <w:bottom w:val="none" w:sz="0" w:space="0" w:color="auto"/>
                <w:right w:val="none" w:sz="0" w:space="0" w:color="auto"/>
              </w:divBdr>
            </w:div>
            <w:div w:id="2000961009">
              <w:marLeft w:val="0"/>
              <w:marRight w:val="0"/>
              <w:marTop w:val="0"/>
              <w:marBottom w:val="0"/>
              <w:divBdr>
                <w:top w:val="none" w:sz="0" w:space="0" w:color="auto"/>
                <w:left w:val="none" w:sz="0" w:space="0" w:color="auto"/>
                <w:bottom w:val="none" w:sz="0" w:space="0" w:color="auto"/>
                <w:right w:val="none" w:sz="0" w:space="0" w:color="auto"/>
              </w:divBdr>
            </w:div>
            <w:div w:id="1768118817">
              <w:marLeft w:val="0"/>
              <w:marRight w:val="0"/>
              <w:marTop w:val="0"/>
              <w:marBottom w:val="0"/>
              <w:divBdr>
                <w:top w:val="none" w:sz="0" w:space="0" w:color="auto"/>
                <w:left w:val="none" w:sz="0" w:space="0" w:color="auto"/>
                <w:bottom w:val="none" w:sz="0" w:space="0" w:color="auto"/>
                <w:right w:val="none" w:sz="0" w:space="0" w:color="auto"/>
              </w:divBdr>
            </w:div>
            <w:div w:id="1147479102">
              <w:marLeft w:val="0"/>
              <w:marRight w:val="0"/>
              <w:marTop w:val="0"/>
              <w:marBottom w:val="0"/>
              <w:divBdr>
                <w:top w:val="none" w:sz="0" w:space="0" w:color="auto"/>
                <w:left w:val="none" w:sz="0" w:space="0" w:color="auto"/>
                <w:bottom w:val="none" w:sz="0" w:space="0" w:color="auto"/>
                <w:right w:val="none" w:sz="0" w:space="0" w:color="auto"/>
              </w:divBdr>
            </w:div>
            <w:div w:id="53893250">
              <w:marLeft w:val="0"/>
              <w:marRight w:val="0"/>
              <w:marTop w:val="0"/>
              <w:marBottom w:val="0"/>
              <w:divBdr>
                <w:top w:val="none" w:sz="0" w:space="0" w:color="auto"/>
                <w:left w:val="none" w:sz="0" w:space="0" w:color="auto"/>
                <w:bottom w:val="none" w:sz="0" w:space="0" w:color="auto"/>
                <w:right w:val="none" w:sz="0" w:space="0" w:color="auto"/>
              </w:divBdr>
            </w:div>
            <w:div w:id="184709987">
              <w:marLeft w:val="0"/>
              <w:marRight w:val="0"/>
              <w:marTop w:val="0"/>
              <w:marBottom w:val="0"/>
              <w:divBdr>
                <w:top w:val="none" w:sz="0" w:space="0" w:color="auto"/>
                <w:left w:val="none" w:sz="0" w:space="0" w:color="auto"/>
                <w:bottom w:val="none" w:sz="0" w:space="0" w:color="auto"/>
                <w:right w:val="none" w:sz="0" w:space="0" w:color="auto"/>
              </w:divBdr>
            </w:div>
            <w:div w:id="1289509773">
              <w:marLeft w:val="0"/>
              <w:marRight w:val="0"/>
              <w:marTop w:val="0"/>
              <w:marBottom w:val="0"/>
              <w:divBdr>
                <w:top w:val="none" w:sz="0" w:space="0" w:color="auto"/>
                <w:left w:val="none" w:sz="0" w:space="0" w:color="auto"/>
                <w:bottom w:val="none" w:sz="0" w:space="0" w:color="auto"/>
                <w:right w:val="none" w:sz="0" w:space="0" w:color="auto"/>
              </w:divBdr>
            </w:div>
            <w:div w:id="1469937302">
              <w:marLeft w:val="0"/>
              <w:marRight w:val="0"/>
              <w:marTop w:val="0"/>
              <w:marBottom w:val="0"/>
              <w:divBdr>
                <w:top w:val="none" w:sz="0" w:space="0" w:color="auto"/>
                <w:left w:val="none" w:sz="0" w:space="0" w:color="auto"/>
                <w:bottom w:val="none" w:sz="0" w:space="0" w:color="auto"/>
                <w:right w:val="none" w:sz="0" w:space="0" w:color="auto"/>
              </w:divBdr>
            </w:div>
            <w:div w:id="261844165">
              <w:marLeft w:val="0"/>
              <w:marRight w:val="0"/>
              <w:marTop w:val="0"/>
              <w:marBottom w:val="0"/>
              <w:divBdr>
                <w:top w:val="none" w:sz="0" w:space="0" w:color="auto"/>
                <w:left w:val="none" w:sz="0" w:space="0" w:color="auto"/>
                <w:bottom w:val="none" w:sz="0" w:space="0" w:color="auto"/>
                <w:right w:val="none" w:sz="0" w:space="0" w:color="auto"/>
              </w:divBdr>
            </w:div>
            <w:div w:id="1746488345">
              <w:marLeft w:val="0"/>
              <w:marRight w:val="0"/>
              <w:marTop w:val="0"/>
              <w:marBottom w:val="0"/>
              <w:divBdr>
                <w:top w:val="none" w:sz="0" w:space="0" w:color="auto"/>
                <w:left w:val="none" w:sz="0" w:space="0" w:color="auto"/>
                <w:bottom w:val="none" w:sz="0" w:space="0" w:color="auto"/>
                <w:right w:val="none" w:sz="0" w:space="0" w:color="auto"/>
              </w:divBdr>
            </w:div>
            <w:div w:id="1756781802">
              <w:marLeft w:val="0"/>
              <w:marRight w:val="0"/>
              <w:marTop w:val="0"/>
              <w:marBottom w:val="0"/>
              <w:divBdr>
                <w:top w:val="none" w:sz="0" w:space="0" w:color="auto"/>
                <w:left w:val="none" w:sz="0" w:space="0" w:color="auto"/>
                <w:bottom w:val="none" w:sz="0" w:space="0" w:color="auto"/>
                <w:right w:val="none" w:sz="0" w:space="0" w:color="auto"/>
              </w:divBdr>
            </w:div>
            <w:div w:id="358359362">
              <w:marLeft w:val="0"/>
              <w:marRight w:val="0"/>
              <w:marTop w:val="0"/>
              <w:marBottom w:val="0"/>
              <w:divBdr>
                <w:top w:val="none" w:sz="0" w:space="0" w:color="auto"/>
                <w:left w:val="none" w:sz="0" w:space="0" w:color="auto"/>
                <w:bottom w:val="none" w:sz="0" w:space="0" w:color="auto"/>
                <w:right w:val="none" w:sz="0" w:space="0" w:color="auto"/>
              </w:divBdr>
            </w:div>
            <w:div w:id="2016766101">
              <w:marLeft w:val="0"/>
              <w:marRight w:val="0"/>
              <w:marTop w:val="0"/>
              <w:marBottom w:val="0"/>
              <w:divBdr>
                <w:top w:val="none" w:sz="0" w:space="0" w:color="auto"/>
                <w:left w:val="none" w:sz="0" w:space="0" w:color="auto"/>
                <w:bottom w:val="none" w:sz="0" w:space="0" w:color="auto"/>
                <w:right w:val="none" w:sz="0" w:space="0" w:color="auto"/>
              </w:divBdr>
            </w:div>
            <w:div w:id="1047610479">
              <w:marLeft w:val="0"/>
              <w:marRight w:val="0"/>
              <w:marTop w:val="0"/>
              <w:marBottom w:val="0"/>
              <w:divBdr>
                <w:top w:val="none" w:sz="0" w:space="0" w:color="auto"/>
                <w:left w:val="none" w:sz="0" w:space="0" w:color="auto"/>
                <w:bottom w:val="none" w:sz="0" w:space="0" w:color="auto"/>
                <w:right w:val="none" w:sz="0" w:space="0" w:color="auto"/>
              </w:divBdr>
            </w:div>
            <w:div w:id="1826821689">
              <w:marLeft w:val="0"/>
              <w:marRight w:val="0"/>
              <w:marTop w:val="0"/>
              <w:marBottom w:val="0"/>
              <w:divBdr>
                <w:top w:val="none" w:sz="0" w:space="0" w:color="auto"/>
                <w:left w:val="none" w:sz="0" w:space="0" w:color="auto"/>
                <w:bottom w:val="none" w:sz="0" w:space="0" w:color="auto"/>
                <w:right w:val="none" w:sz="0" w:space="0" w:color="auto"/>
              </w:divBdr>
            </w:div>
            <w:div w:id="690110274">
              <w:marLeft w:val="0"/>
              <w:marRight w:val="0"/>
              <w:marTop w:val="0"/>
              <w:marBottom w:val="0"/>
              <w:divBdr>
                <w:top w:val="none" w:sz="0" w:space="0" w:color="auto"/>
                <w:left w:val="none" w:sz="0" w:space="0" w:color="auto"/>
                <w:bottom w:val="none" w:sz="0" w:space="0" w:color="auto"/>
                <w:right w:val="none" w:sz="0" w:space="0" w:color="auto"/>
              </w:divBdr>
            </w:div>
            <w:div w:id="1898858853">
              <w:marLeft w:val="0"/>
              <w:marRight w:val="0"/>
              <w:marTop w:val="0"/>
              <w:marBottom w:val="0"/>
              <w:divBdr>
                <w:top w:val="none" w:sz="0" w:space="0" w:color="auto"/>
                <w:left w:val="none" w:sz="0" w:space="0" w:color="auto"/>
                <w:bottom w:val="none" w:sz="0" w:space="0" w:color="auto"/>
                <w:right w:val="none" w:sz="0" w:space="0" w:color="auto"/>
              </w:divBdr>
            </w:div>
            <w:div w:id="1119177585">
              <w:marLeft w:val="0"/>
              <w:marRight w:val="0"/>
              <w:marTop w:val="0"/>
              <w:marBottom w:val="0"/>
              <w:divBdr>
                <w:top w:val="none" w:sz="0" w:space="0" w:color="auto"/>
                <w:left w:val="none" w:sz="0" w:space="0" w:color="auto"/>
                <w:bottom w:val="none" w:sz="0" w:space="0" w:color="auto"/>
                <w:right w:val="none" w:sz="0" w:space="0" w:color="auto"/>
              </w:divBdr>
            </w:div>
            <w:div w:id="1309046973">
              <w:marLeft w:val="0"/>
              <w:marRight w:val="0"/>
              <w:marTop w:val="0"/>
              <w:marBottom w:val="0"/>
              <w:divBdr>
                <w:top w:val="none" w:sz="0" w:space="0" w:color="auto"/>
                <w:left w:val="none" w:sz="0" w:space="0" w:color="auto"/>
                <w:bottom w:val="none" w:sz="0" w:space="0" w:color="auto"/>
                <w:right w:val="none" w:sz="0" w:space="0" w:color="auto"/>
              </w:divBdr>
            </w:div>
            <w:div w:id="160968682">
              <w:marLeft w:val="0"/>
              <w:marRight w:val="0"/>
              <w:marTop w:val="0"/>
              <w:marBottom w:val="0"/>
              <w:divBdr>
                <w:top w:val="none" w:sz="0" w:space="0" w:color="auto"/>
                <w:left w:val="none" w:sz="0" w:space="0" w:color="auto"/>
                <w:bottom w:val="none" w:sz="0" w:space="0" w:color="auto"/>
                <w:right w:val="none" w:sz="0" w:space="0" w:color="auto"/>
              </w:divBdr>
            </w:div>
            <w:div w:id="1112552010">
              <w:marLeft w:val="0"/>
              <w:marRight w:val="0"/>
              <w:marTop w:val="0"/>
              <w:marBottom w:val="0"/>
              <w:divBdr>
                <w:top w:val="none" w:sz="0" w:space="0" w:color="auto"/>
                <w:left w:val="none" w:sz="0" w:space="0" w:color="auto"/>
                <w:bottom w:val="none" w:sz="0" w:space="0" w:color="auto"/>
                <w:right w:val="none" w:sz="0" w:space="0" w:color="auto"/>
              </w:divBdr>
            </w:div>
            <w:div w:id="1565603960">
              <w:marLeft w:val="0"/>
              <w:marRight w:val="0"/>
              <w:marTop w:val="0"/>
              <w:marBottom w:val="0"/>
              <w:divBdr>
                <w:top w:val="none" w:sz="0" w:space="0" w:color="auto"/>
                <w:left w:val="none" w:sz="0" w:space="0" w:color="auto"/>
                <w:bottom w:val="none" w:sz="0" w:space="0" w:color="auto"/>
                <w:right w:val="none" w:sz="0" w:space="0" w:color="auto"/>
              </w:divBdr>
            </w:div>
            <w:div w:id="1715539767">
              <w:marLeft w:val="0"/>
              <w:marRight w:val="0"/>
              <w:marTop w:val="0"/>
              <w:marBottom w:val="0"/>
              <w:divBdr>
                <w:top w:val="none" w:sz="0" w:space="0" w:color="auto"/>
                <w:left w:val="none" w:sz="0" w:space="0" w:color="auto"/>
                <w:bottom w:val="none" w:sz="0" w:space="0" w:color="auto"/>
                <w:right w:val="none" w:sz="0" w:space="0" w:color="auto"/>
              </w:divBdr>
            </w:div>
            <w:div w:id="858196612">
              <w:marLeft w:val="0"/>
              <w:marRight w:val="0"/>
              <w:marTop w:val="0"/>
              <w:marBottom w:val="0"/>
              <w:divBdr>
                <w:top w:val="none" w:sz="0" w:space="0" w:color="auto"/>
                <w:left w:val="none" w:sz="0" w:space="0" w:color="auto"/>
                <w:bottom w:val="none" w:sz="0" w:space="0" w:color="auto"/>
                <w:right w:val="none" w:sz="0" w:space="0" w:color="auto"/>
              </w:divBdr>
            </w:div>
            <w:div w:id="1986082994">
              <w:marLeft w:val="0"/>
              <w:marRight w:val="0"/>
              <w:marTop w:val="0"/>
              <w:marBottom w:val="0"/>
              <w:divBdr>
                <w:top w:val="none" w:sz="0" w:space="0" w:color="auto"/>
                <w:left w:val="none" w:sz="0" w:space="0" w:color="auto"/>
                <w:bottom w:val="none" w:sz="0" w:space="0" w:color="auto"/>
                <w:right w:val="none" w:sz="0" w:space="0" w:color="auto"/>
              </w:divBdr>
            </w:div>
            <w:div w:id="478349577">
              <w:marLeft w:val="0"/>
              <w:marRight w:val="0"/>
              <w:marTop w:val="0"/>
              <w:marBottom w:val="0"/>
              <w:divBdr>
                <w:top w:val="none" w:sz="0" w:space="0" w:color="auto"/>
                <w:left w:val="none" w:sz="0" w:space="0" w:color="auto"/>
                <w:bottom w:val="none" w:sz="0" w:space="0" w:color="auto"/>
                <w:right w:val="none" w:sz="0" w:space="0" w:color="auto"/>
              </w:divBdr>
            </w:div>
            <w:div w:id="782462905">
              <w:marLeft w:val="0"/>
              <w:marRight w:val="0"/>
              <w:marTop w:val="0"/>
              <w:marBottom w:val="0"/>
              <w:divBdr>
                <w:top w:val="none" w:sz="0" w:space="0" w:color="auto"/>
                <w:left w:val="none" w:sz="0" w:space="0" w:color="auto"/>
                <w:bottom w:val="none" w:sz="0" w:space="0" w:color="auto"/>
                <w:right w:val="none" w:sz="0" w:space="0" w:color="auto"/>
              </w:divBdr>
            </w:div>
            <w:div w:id="648940808">
              <w:marLeft w:val="0"/>
              <w:marRight w:val="0"/>
              <w:marTop w:val="0"/>
              <w:marBottom w:val="0"/>
              <w:divBdr>
                <w:top w:val="none" w:sz="0" w:space="0" w:color="auto"/>
                <w:left w:val="none" w:sz="0" w:space="0" w:color="auto"/>
                <w:bottom w:val="none" w:sz="0" w:space="0" w:color="auto"/>
                <w:right w:val="none" w:sz="0" w:space="0" w:color="auto"/>
              </w:divBdr>
            </w:div>
            <w:div w:id="152727163">
              <w:marLeft w:val="0"/>
              <w:marRight w:val="0"/>
              <w:marTop w:val="0"/>
              <w:marBottom w:val="0"/>
              <w:divBdr>
                <w:top w:val="none" w:sz="0" w:space="0" w:color="auto"/>
                <w:left w:val="none" w:sz="0" w:space="0" w:color="auto"/>
                <w:bottom w:val="none" w:sz="0" w:space="0" w:color="auto"/>
                <w:right w:val="none" w:sz="0" w:space="0" w:color="auto"/>
              </w:divBdr>
            </w:div>
            <w:div w:id="42215996">
              <w:marLeft w:val="0"/>
              <w:marRight w:val="0"/>
              <w:marTop w:val="0"/>
              <w:marBottom w:val="0"/>
              <w:divBdr>
                <w:top w:val="none" w:sz="0" w:space="0" w:color="auto"/>
                <w:left w:val="none" w:sz="0" w:space="0" w:color="auto"/>
                <w:bottom w:val="none" w:sz="0" w:space="0" w:color="auto"/>
                <w:right w:val="none" w:sz="0" w:space="0" w:color="auto"/>
              </w:divBdr>
            </w:div>
            <w:div w:id="1353268423">
              <w:marLeft w:val="0"/>
              <w:marRight w:val="0"/>
              <w:marTop w:val="0"/>
              <w:marBottom w:val="0"/>
              <w:divBdr>
                <w:top w:val="none" w:sz="0" w:space="0" w:color="auto"/>
                <w:left w:val="none" w:sz="0" w:space="0" w:color="auto"/>
                <w:bottom w:val="none" w:sz="0" w:space="0" w:color="auto"/>
                <w:right w:val="none" w:sz="0" w:space="0" w:color="auto"/>
              </w:divBdr>
            </w:div>
            <w:div w:id="1231769979">
              <w:marLeft w:val="0"/>
              <w:marRight w:val="0"/>
              <w:marTop w:val="0"/>
              <w:marBottom w:val="0"/>
              <w:divBdr>
                <w:top w:val="none" w:sz="0" w:space="0" w:color="auto"/>
                <w:left w:val="none" w:sz="0" w:space="0" w:color="auto"/>
                <w:bottom w:val="none" w:sz="0" w:space="0" w:color="auto"/>
                <w:right w:val="none" w:sz="0" w:space="0" w:color="auto"/>
              </w:divBdr>
            </w:div>
            <w:div w:id="48771955">
              <w:marLeft w:val="0"/>
              <w:marRight w:val="0"/>
              <w:marTop w:val="0"/>
              <w:marBottom w:val="0"/>
              <w:divBdr>
                <w:top w:val="none" w:sz="0" w:space="0" w:color="auto"/>
                <w:left w:val="none" w:sz="0" w:space="0" w:color="auto"/>
                <w:bottom w:val="none" w:sz="0" w:space="0" w:color="auto"/>
                <w:right w:val="none" w:sz="0" w:space="0" w:color="auto"/>
              </w:divBdr>
            </w:div>
            <w:div w:id="1565408001">
              <w:marLeft w:val="0"/>
              <w:marRight w:val="0"/>
              <w:marTop w:val="0"/>
              <w:marBottom w:val="0"/>
              <w:divBdr>
                <w:top w:val="none" w:sz="0" w:space="0" w:color="auto"/>
                <w:left w:val="none" w:sz="0" w:space="0" w:color="auto"/>
                <w:bottom w:val="none" w:sz="0" w:space="0" w:color="auto"/>
                <w:right w:val="none" w:sz="0" w:space="0" w:color="auto"/>
              </w:divBdr>
            </w:div>
            <w:div w:id="6505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dcterms:created xsi:type="dcterms:W3CDTF">2013-04-04T00:38:00Z</dcterms:created>
  <dcterms:modified xsi:type="dcterms:W3CDTF">2013-04-04T00:38:00Z</dcterms:modified>
</cp:coreProperties>
</file>