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spacing w:line="240" w:lineRule="auto"/>
        <w:jc w:val="left"/>
        <w:rPr>
          <w:rFonts w:hint="eastAsia" w:ascii="ＭＳ Ｐ明朝" w:hAnsi="ＭＳ Ｐ明朝" w:eastAsia="ＭＳ Ｐ明朝"/>
          <w:spacing w:val="8"/>
          <w:sz w:val="20"/>
        </w:rPr>
      </w:pPr>
      <w:bookmarkStart w:id="0" w:name="_GoBack"/>
      <w:bookmarkEnd w:id="0"/>
    </w:p>
    <w:p>
      <w:pPr>
        <w:pStyle w:val="0"/>
        <w:adjustRightInd w:val="1"/>
        <w:spacing w:line="480" w:lineRule="auto"/>
        <w:jc w:val="left"/>
        <w:rPr>
          <w:rFonts w:hint="eastAsia" w:ascii="ＭＳ Ｐ明朝" w:hAnsi="ＭＳ Ｐ明朝" w:eastAsia="ＭＳ Ｐ明朝"/>
          <w:spacing w:val="8"/>
          <w:sz w:val="20"/>
        </w:rPr>
      </w:pPr>
      <w:r>
        <w:rPr>
          <w:rFonts w:hint="eastAsia" w:ascii="ＭＳ Ｐ明朝" w:hAnsi="ＭＳ Ｐ明朝" w:eastAsia="ＭＳ Ｐ明朝"/>
          <w:spacing w:val="8"/>
          <w:sz w:val="20"/>
        </w:rPr>
        <w:t>特記事項</w:t>
      </w:r>
    </w:p>
    <w:p>
      <w:pPr>
        <w:pStyle w:val="0"/>
        <w:adjustRightInd w:val="1"/>
        <w:spacing w:line="360" w:lineRule="auto"/>
        <w:jc w:val="left"/>
        <w:rPr>
          <w:rFonts w:hint="eastAsia" w:ascii="ＭＳ Ｐ明朝" w:hAnsi="ＭＳ Ｐ明朝" w:eastAsia="ＭＳ Ｐ明朝"/>
          <w:color w:val="auto"/>
          <w:spacing w:val="8"/>
          <w:sz w:val="20"/>
        </w:rPr>
      </w:pPr>
      <w:r>
        <w:rPr>
          <w:rFonts w:hint="eastAsia" w:ascii="ＭＳ Ｐ明朝" w:hAnsi="ＭＳ Ｐ明朝" w:eastAsia="ＭＳ Ｐ明朝"/>
          <w:color w:val="auto"/>
          <w:spacing w:val="8"/>
          <w:sz w:val="20"/>
        </w:rPr>
        <w:t>建設リサイクル法第</w:t>
      </w:r>
      <w:r>
        <w:rPr>
          <w:rFonts w:hint="eastAsia" w:ascii="ＭＳ Ｐ明朝" w:hAnsi="ＭＳ Ｐ明朝" w:eastAsia="ＭＳ Ｐ明朝"/>
          <w:color w:val="auto"/>
          <w:spacing w:val="8"/>
          <w:sz w:val="20"/>
        </w:rPr>
        <w:t>13</w:t>
      </w:r>
      <w:r>
        <w:rPr>
          <w:rFonts w:hint="eastAsia" w:ascii="ＭＳ Ｐ明朝" w:hAnsi="ＭＳ Ｐ明朝" w:eastAsia="ＭＳ Ｐ明朝"/>
          <w:color w:val="auto"/>
          <w:spacing w:val="8"/>
          <w:sz w:val="20"/>
        </w:rPr>
        <w:t>条及び省令第４条に基づく書面</w:t>
      </w:r>
    </w:p>
    <w:p>
      <w:pPr>
        <w:pStyle w:val="0"/>
        <w:adjustRightInd w:val="1"/>
        <w:spacing w:line="176" w:lineRule="exact"/>
        <w:jc w:val="left"/>
        <w:rPr>
          <w:rFonts w:hint="eastAsia" w:ascii="ＭＳ Ｐ明朝" w:hAnsi="ＭＳ Ｐ明朝" w:eastAsia="ＭＳ Ｐ明朝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１．契約内容</w:t>
      </w:r>
    </w:p>
    <w:tbl>
      <w:tblPr>
        <w:tblStyle w:val="11"/>
        <w:jc w:val="left"/>
        <w:tblInd w:w="3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474"/>
        <w:gridCol w:w="2012"/>
        <w:gridCol w:w="3195"/>
        <w:gridCol w:w="3314"/>
      </w:tblGrid>
      <w:tr>
        <w:trPr>
          <w:trHeight w:val="724" w:hRule="atLeast"/>
        </w:trPr>
        <w:tc>
          <w:tcPr>
            <w:tcW w:w="4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40" w:lineRule="atLeast"/>
              <w:ind w:left="113" w:leftChars="0" w:right="113" w:rightChars="0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工程ごとの作業内容及び分別解体等の方法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構造物等名称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作　業　内　容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分別解体等の方法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（解体工事が含まれる場合）</w:t>
            </w:r>
          </w:p>
        </w:tc>
      </w:tr>
      <w:tr>
        <w:trPr>
          <w:trHeight w:val="318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①仮設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仮設工事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</w:tc>
      </w:tr>
      <w:tr>
        <w:trPr>
          <w:trHeight w:val="35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②土工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土工事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</w:tc>
      </w:tr>
      <w:tr>
        <w:trPr>
          <w:trHeight w:val="35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③基礎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基礎工事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</w:tc>
      </w:tr>
      <w:tr>
        <w:trPr>
          <w:trHeight w:val="35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④本体構造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本体構造の工事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</w:tc>
      </w:tr>
      <w:tr>
        <w:trPr>
          <w:trHeight w:val="35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⑤本体付属品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本体付属品の工事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</w:tc>
      </w:tr>
      <w:tr>
        <w:trPr>
          <w:trHeight w:val="35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⑥その他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（　　　　　　）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その他の工事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</w:tc>
      </w:tr>
    </w:tbl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spacing w:line="280" w:lineRule="exact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２．解体工事に要する費用（直接工事費）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  <w:u w:val="single" w:color="auto"/>
        </w:rPr>
        <w:t xml:space="preserve">      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  <w:u w:val="single" w:color="auto"/>
        </w:rPr>
        <w:t>　　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  <w:u w:val="single" w:color="auto"/>
        </w:rPr>
        <w:t xml:space="preserve">              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円（税抜き）</w:t>
      </w:r>
    </w:p>
    <w:p>
      <w:pPr>
        <w:pStyle w:val="0"/>
        <w:adjustRightInd w:val="1"/>
        <w:spacing w:line="280" w:lineRule="exact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 xml:space="preserve">    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〔解体工事に伴う仮設費及び運搬費は含まない〕</w:t>
      </w:r>
    </w:p>
    <w:p>
      <w:pPr>
        <w:pStyle w:val="0"/>
        <w:adjustRightInd w:val="1"/>
        <w:spacing w:line="280" w:lineRule="exact"/>
        <w:ind w:firstLine="400" w:firstLineChars="200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（注）解体工事の場合のみ記載する。</w:t>
      </w: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３．再資源化等をする施設の名称及び所在地</w:t>
      </w:r>
    </w:p>
    <w:tbl>
      <w:tblPr>
        <w:tblStyle w:val="11"/>
        <w:jc w:val="left"/>
        <w:tblInd w:w="8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2603"/>
        <w:gridCol w:w="2604"/>
        <w:gridCol w:w="2604"/>
      </w:tblGrid>
      <w:tr>
        <w:trPr/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建設資材廃棄物の種類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施設の名称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所在地</w:t>
            </w:r>
          </w:p>
        </w:tc>
      </w:tr>
      <w:tr>
        <w:trPr/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</w:tr>
      <w:tr>
        <w:trPr/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</w:tr>
      <w:tr>
        <w:trPr/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</w:tr>
      <w:tr>
        <w:trPr/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</w:tr>
    </w:tbl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spacing w:line="280" w:lineRule="exact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４．再資源化等に要する費用（直接工事費）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  <w:u w:val="single" w:color="auto"/>
        </w:rPr>
        <w:t>　　　　　　　　　　　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円（税抜き）</w:t>
      </w:r>
    </w:p>
    <w:p>
      <w:pPr>
        <w:pStyle w:val="0"/>
        <w:adjustRightInd w:val="1"/>
        <w:spacing w:line="280" w:lineRule="exact"/>
        <w:jc w:val="left"/>
        <w:rPr>
          <w:rFonts w:hint="eastAsia"/>
          <w:color w:val="auto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 xml:space="preserve">    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〔運搬費を含む。〕</w:t>
      </w:r>
    </w:p>
    <w:p>
      <w:pPr>
        <w:pStyle w:val="0"/>
        <w:adjustRightInd w:val="1"/>
        <w:spacing w:line="280" w:lineRule="exact"/>
        <w:jc w:val="left"/>
        <w:rPr>
          <w:rFonts w:hint="eastAsia"/>
          <w:color w:val="auto"/>
          <w:sz w:val="20"/>
        </w:rPr>
      </w:pPr>
      <w:r>
        <w:rPr>
          <w:rFonts w:hint="eastAsia"/>
          <w:color w:val="auto"/>
        </w:rPr>
        <w:br w:type="page"/>
      </w:r>
    </w:p>
    <w:p>
      <w:pPr>
        <w:pStyle w:val="0"/>
        <w:adjustRightInd w:val="1"/>
        <w:spacing w:line="240" w:lineRule="auto"/>
        <w:jc w:val="left"/>
        <w:rPr>
          <w:rFonts w:hint="eastAsia" w:ascii="ＭＳ Ｐ明朝" w:hAnsi="ＭＳ Ｐ明朝" w:eastAsia="ＭＳ Ｐ明朝"/>
          <w:color w:val="auto"/>
          <w:spacing w:val="8"/>
          <w:sz w:val="20"/>
        </w:rPr>
      </w:pPr>
    </w:p>
    <w:p>
      <w:pPr>
        <w:pStyle w:val="0"/>
        <w:adjustRightInd w:val="1"/>
        <w:spacing w:line="480" w:lineRule="auto"/>
        <w:jc w:val="left"/>
        <w:rPr>
          <w:rFonts w:hint="eastAsia" w:ascii="ＭＳ Ｐ明朝" w:hAnsi="ＭＳ Ｐ明朝" w:eastAsia="ＭＳ Ｐ明朝"/>
          <w:color w:val="auto"/>
          <w:spacing w:val="8"/>
          <w:sz w:val="20"/>
        </w:rPr>
      </w:pPr>
      <w:r>
        <w:rPr>
          <w:rFonts w:hint="eastAsia" w:ascii="ＭＳ Ｐ明朝" w:hAnsi="ＭＳ Ｐ明朝" w:eastAsia="ＭＳ Ｐ明朝"/>
          <w:color w:val="auto"/>
          <w:spacing w:val="8"/>
          <w:sz w:val="20"/>
        </w:rPr>
        <w:t>特記事項</w:t>
      </w:r>
    </w:p>
    <w:p>
      <w:pPr>
        <w:pStyle w:val="0"/>
        <w:adjustRightInd w:val="1"/>
        <w:spacing w:line="360" w:lineRule="auto"/>
        <w:jc w:val="left"/>
        <w:rPr>
          <w:rFonts w:hint="eastAsia" w:ascii="ＭＳ Ｐ明朝" w:hAnsi="ＭＳ Ｐ明朝" w:eastAsia="ＭＳ Ｐ明朝"/>
          <w:color w:val="auto"/>
          <w:spacing w:val="8"/>
          <w:sz w:val="20"/>
        </w:rPr>
      </w:pPr>
      <w:r>
        <w:rPr>
          <w:rFonts w:hint="eastAsia" w:ascii="ＭＳ Ｐ明朝" w:hAnsi="ＭＳ Ｐ明朝" w:eastAsia="ＭＳ Ｐ明朝"/>
          <w:color w:val="auto"/>
          <w:spacing w:val="8"/>
          <w:sz w:val="20"/>
        </w:rPr>
        <w:t>建設リサイクル法第</w:t>
      </w:r>
      <w:r>
        <w:rPr>
          <w:rFonts w:hint="eastAsia" w:ascii="ＭＳ Ｐ明朝" w:hAnsi="ＭＳ Ｐ明朝" w:eastAsia="ＭＳ Ｐ明朝"/>
          <w:color w:val="auto"/>
          <w:spacing w:val="8"/>
          <w:sz w:val="20"/>
        </w:rPr>
        <w:t>13</w:t>
      </w:r>
      <w:r>
        <w:rPr>
          <w:rFonts w:hint="eastAsia" w:ascii="ＭＳ Ｐ明朝" w:hAnsi="ＭＳ Ｐ明朝" w:eastAsia="ＭＳ Ｐ明朝"/>
          <w:color w:val="auto"/>
          <w:spacing w:val="8"/>
          <w:sz w:val="20"/>
        </w:rPr>
        <w:t>条及び省令第４条に基づく書面</w:t>
      </w:r>
    </w:p>
    <w:p>
      <w:pPr>
        <w:pStyle w:val="0"/>
        <w:adjustRightInd w:val="1"/>
        <w:spacing w:line="176" w:lineRule="exact"/>
        <w:jc w:val="left"/>
        <w:rPr>
          <w:rFonts w:hint="eastAsia" w:ascii="ＭＳ Ｐ明朝" w:hAnsi="ＭＳ Ｐ明朝" w:eastAsia="ＭＳ Ｐ明朝"/>
          <w:color w:val="auto"/>
          <w:spacing w:val="8"/>
          <w:sz w:val="20"/>
        </w:rPr>
      </w:pPr>
    </w:p>
    <w:p>
      <w:pPr>
        <w:pStyle w:val="0"/>
        <w:adjustRightInd w:val="1"/>
        <w:spacing w:line="280" w:lineRule="exact"/>
        <w:jc w:val="left"/>
        <w:rPr>
          <w:rFonts w:hint="eastAsia"/>
          <w:color w:val="auto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１．契約内容</w:t>
      </w:r>
    </w:p>
    <w:tbl>
      <w:tblPr>
        <w:tblStyle w:val="11"/>
        <w:jc w:val="left"/>
        <w:tblInd w:w="3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474"/>
        <w:gridCol w:w="2012"/>
        <w:gridCol w:w="3195"/>
        <w:gridCol w:w="3314"/>
      </w:tblGrid>
      <w:tr>
        <w:trPr>
          <w:trHeight w:val="724" w:hRule="atLeast"/>
        </w:trPr>
        <w:tc>
          <w:tcPr>
            <w:tcW w:w="4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40" w:lineRule="atLeast"/>
              <w:ind w:left="113" w:leftChars="0" w:right="113" w:rightChars="0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工程ごとの作業内容及び分別解体等の方法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構造物等名称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作　業　内　容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分別解体等の方法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（解体工事が含まれる場合）</w:t>
            </w:r>
          </w:p>
        </w:tc>
      </w:tr>
      <w:tr>
        <w:trPr>
          <w:trHeight w:val="318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①造成等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造成等の工事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</w:tc>
      </w:tr>
      <w:tr>
        <w:trPr>
          <w:trHeight w:val="35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②基礎・基礎ぐい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基礎・基礎ぐいの工事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</w:tc>
      </w:tr>
      <w:tr>
        <w:trPr>
          <w:trHeight w:val="35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③上部構造部分・外装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上部構造部分・外装の工事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</w:tc>
      </w:tr>
      <w:tr>
        <w:trPr>
          <w:trHeight w:val="35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④屋根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屋根の工事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</w:tc>
      </w:tr>
      <w:tr>
        <w:trPr>
          <w:trHeight w:val="35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⑤建築設備・内装等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建築設備・内装等の工事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</w:tc>
      </w:tr>
      <w:tr>
        <w:trPr>
          <w:trHeight w:val="35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⑥その他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（　　　　　　）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その他の工事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</w:tc>
      </w:tr>
    </w:tbl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spacing w:line="280" w:lineRule="exact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２．解体工事に要する費用（直接工事費）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  <w:u w:val="single" w:color="auto"/>
        </w:rPr>
        <w:t xml:space="preserve">      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  <w:u w:val="single" w:color="auto"/>
        </w:rPr>
        <w:t>　　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  <w:u w:val="single" w:color="auto"/>
        </w:rPr>
        <w:t xml:space="preserve">              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円（税抜き）</w:t>
      </w:r>
    </w:p>
    <w:p>
      <w:pPr>
        <w:pStyle w:val="0"/>
        <w:adjustRightInd w:val="1"/>
        <w:spacing w:line="280" w:lineRule="exact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 xml:space="preserve">    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〔解体工事に伴う仮設費及び運搬費は含まない〕</w:t>
      </w:r>
    </w:p>
    <w:p>
      <w:pPr>
        <w:pStyle w:val="0"/>
        <w:adjustRightInd w:val="1"/>
        <w:spacing w:line="280" w:lineRule="exact"/>
        <w:ind w:firstLine="400" w:firstLineChars="200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（注）解体工事の場合のみ記載する。</w:t>
      </w: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３．再資源化等をする施設の名称及び所在地</w:t>
      </w:r>
    </w:p>
    <w:tbl>
      <w:tblPr>
        <w:tblStyle w:val="11"/>
        <w:jc w:val="left"/>
        <w:tblInd w:w="8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2603"/>
        <w:gridCol w:w="2604"/>
        <w:gridCol w:w="2604"/>
      </w:tblGrid>
      <w:tr>
        <w:trPr/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建設資材廃棄物の種類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施設の名称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所在地</w:t>
            </w:r>
          </w:p>
        </w:tc>
      </w:tr>
      <w:tr>
        <w:trPr/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</w:tr>
      <w:tr>
        <w:trPr/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</w:tr>
      <w:tr>
        <w:trPr/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</w:tr>
      <w:tr>
        <w:trPr/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</w:tr>
    </w:tbl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spacing w:line="280" w:lineRule="exact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４．再資源化等に要する費用（直接工事費）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  <w:u w:val="single" w:color="auto"/>
        </w:rPr>
        <w:t>　　　　　　　　　　　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円（税抜き）</w:t>
      </w:r>
    </w:p>
    <w:p>
      <w:pPr>
        <w:pStyle w:val="0"/>
        <w:adjustRightInd w:val="1"/>
        <w:spacing w:line="280" w:lineRule="exact"/>
        <w:jc w:val="left"/>
        <w:rPr>
          <w:rFonts w:hint="eastAsia"/>
          <w:color w:val="auto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 xml:space="preserve">    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〔運搬費を含む。〕</w:t>
      </w:r>
    </w:p>
    <w:p>
      <w:pPr>
        <w:pStyle w:val="0"/>
        <w:adjustRightInd w:val="1"/>
        <w:spacing w:line="280" w:lineRule="exact"/>
        <w:jc w:val="left"/>
        <w:rPr>
          <w:rFonts w:hint="eastAsia"/>
          <w:color w:val="auto"/>
          <w:sz w:val="20"/>
        </w:rPr>
      </w:pPr>
      <w:r>
        <w:rPr>
          <w:rFonts w:hint="eastAsia"/>
          <w:color w:val="auto"/>
        </w:rPr>
        <w:br w:type="page"/>
      </w:r>
    </w:p>
    <w:p>
      <w:pPr>
        <w:pStyle w:val="0"/>
        <w:adjustRightInd w:val="1"/>
        <w:spacing w:line="240" w:lineRule="auto"/>
        <w:jc w:val="left"/>
        <w:rPr>
          <w:rFonts w:hint="eastAsia" w:ascii="ＭＳ Ｐ明朝" w:hAnsi="ＭＳ Ｐ明朝" w:eastAsia="ＭＳ Ｐ明朝"/>
          <w:color w:val="auto"/>
          <w:spacing w:val="8"/>
          <w:sz w:val="20"/>
        </w:rPr>
      </w:pPr>
    </w:p>
    <w:p>
      <w:pPr>
        <w:pStyle w:val="0"/>
        <w:adjustRightInd w:val="1"/>
        <w:spacing w:line="480" w:lineRule="auto"/>
        <w:jc w:val="left"/>
        <w:rPr>
          <w:rFonts w:hint="eastAsia" w:ascii="ＭＳ Ｐ明朝" w:hAnsi="ＭＳ Ｐ明朝" w:eastAsia="ＭＳ Ｐ明朝"/>
          <w:color w:val="auto"/>
          <w:spacing w:val="8"/>
          <w:sz w:val="20"/>
        </w:rPr>
      </w:pPr>
      <w:r>
        <w:rPr>
          <w:rFonts w:hint="eastAsia" w:ascii="ＭＳ Ｐ明朝" w:hAnsi="ＭＳ Ｐ明朝" w:eastAsia="ＭＳ Ｐ明朝"/>
          <w:color w:val="auto"/>
          <w:spacing w:val="8"/>
          <w:sz w:val="20"/>
        </w:rPr>
        <w:t>特記事項</w:t>
      </w:r>
    </w:p>
    <w:p>
      <w:pPr>
        <w:pStyle w:val="0"/>
        <w:adjustRightInd w:val="1"/>
        <w:spacing w:line="360" w:lineRule="auto"/>
        <w:jc w:val="left"/>
        <w:rPr>
          <w:rFonts w:hint="eastAsia" w:ascii="ＭＳ Ｐ明朝" w:hAnsi="ＭＳ Ｐ明朝" w:eastAsia="ＭＳ Ｐ明朝"/>
          <w:color w:val="auto"/>
          <w:spacing w:val="8"/>
          <w:sz w:val="20"/>
        </w:rPr>
      </w:pPr>
      <w:r>
        <w:rPr>
          <w:rFonts w:hint="eastAsia" w:ascii="ＭＳ Ｐ明朝" w:hAnsi="ＭＳ Ｐ明朝" w:eastAsia="ＭＳ Ｐ明朝"/>
          <w:color w:val="auto"/>
          <w:spacing w:val="8"/>
          <w:sz w:val="20"/>
        </w:rPr>
        <w:t>建設リサイクル法第</w:t>
      </w:r>
      <w:r>
        <w:rPr>
          <w:rFonts w:hint="eastAsia" w:ascii="ＭＳ Ｐ明朝" w:hAnsi="ＭＳ Ｐ明朝" w:eastAsia="ＭＳ Ｐ明朝"/>
          <w:color w:val="auto"/>
          <w:spacing w:val="8"/>
          <w:sz w:val="20"/>
        </w:rPr>
        <w:t>13</w:t>
      </w:r>
      <w:r>
        <w:rPr>
          <w:rFonts w:hint="eastAsia" w:ascii="ＭＳ Ｐ明朝" w:hAnsi="ＭＳ Ｐ明朝" w:eastAsia="ＭＳ Ｐ明朝"/>
          <w:color w:val="auto"/>
          <w:spacing w:val="8"/>
          <w:sz w:val="20"/>
        </w:rPr>
        <w:t>条及び省令第４条に基づく書面</w:t>
      </w:r>
    </w:p>
    <w:p>
      <w:pPr>
        <w:pStyle w:val="0"/>
        <w:adjustRightInd w:val="1"/>
        <w:spacing w:line="176" w:lineRule="exact"/>
        <w:jc w:val="left"/>
        <w:rPr>
          <w:rFonts w:hint="eastAsia" w:ascii="ＭＳ Ｐ明朝" w:hAnsi="ＭＳ Ｐ明朝" w:eastAsia="ＭＳ Ｐ明朝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１．契約内容</w:t>
      </w:r>
    </w:p>
    <w:tbl>
      <w:tblPr>
        <w:tblStyle w:val="11"/>
        <w:jc w:val="left"/>
        <w:tblInd w:w="3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474"/>
        <w:gridCol w:w="2012"/>
        <w:gridCol w:w="3195"/>
        <w:gridCol w:w="3314"/>
      </w:tblGrid>
      <w:tr>
        <w:trPr>
          <w:trHeight w:val="724" w:hRule="atLeast"/>
        </w:trPr>
        <w:tc>
          <w:tcPr>
            <w:tcW w:w="4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40" w:lineRule="atLeast"/>
              <w:ind w:left="113" w:leftChars="0" w:right="113" w:rightChars="0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工程ごとの作業内容及び分別解体等の方法</w:t>
            </w: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構造物等名称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作　業　内　容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分別解体等の方法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132" w:lineRule="exac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（解体工事が含まれる場合）</w:t>
            </w:r>
          </w:p>
        </w:tc>
      </w:tr>
      <w:tr>
        <w:trPr>
          <w:trHeight w:val="318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①建築設備・内装材等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建築設備・内装材等の取り外し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併用の場合の理由（　　　　）</w:t>
            </w:r>
          </w:p>
        </w:tc>
      </w:tr>
      <w:tr>
        <w:trPr>
          <w:trHeight w:val="35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②屋根ふき材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屋根ふき材の取り外し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併用の場合の理由（　　　　）</w:t>
            </w:r>
          </w:p>
        </w:tc>
      </w:tr>
      <w:tr>
        <w:trPr>
          <w:trHeight w:val="35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③外装材・上部構造部分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外装材・上部構造部分の取り壊し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</w:tc>
      </w:tr>
      <w:tr>
        <w:trPr>
          <w:trHeight w:val="35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④基礎・基礎ぐい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基礎・基礎ぐいの取り壊し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</w:tc>
      </w:tr>
      <w:tr>
        <w:trPr>
          <w:trHeight w:val="35" w:hRule="atLeast"/>
        </w:trPr>
        <w:tc>
          <w:tcPr>
            <w:tcW w:w="474" w:type="dxa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textDirection w:val="tbRlV"/>
            <w:vAlign w:val="top"/>
          </w:tcPr>
          <w:p>
            <w:pPr>
              <w:pStyle w:val="0"/>
              <w:suppressAutoHyphens w:val="0"/>
              <w:wordWrap w:val="1"/>
              <w:spacing w:before="0" w:beforeLines="0" w:beforeAutospacing="0" w:after="0" w:afterLines="0" w:afterAutospacing="0"/>
              <w:textAlignment w:val="top"/>
              <w:rPr>
                <w:rFonts w:hint="default" w:ascii="Times New Roman" w:hAnsi="Times New Roman" w:eastAsia="Times New Roman"/>
                <w:spacing w:val="8"/>
              </w:rPr>
            </w:pPr>
          </w:p>
        </w:tc>
        <w:tc>
          <w:tcPr>
            <w:tcW w:w="2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⑤その他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（　　　　　　）</w:t>
            </w:r>
          </w:p>
        </w:tc>
        <w:tc>
          <w:tcPr>
            <w:tcW w:w="3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その他の取り壊し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　□有　　　□無</w:t>
            </w:r>
          </w:p>
        </w:tc>
        <w:tc>
          <w:tcPr>
            <w:tcW w:w="3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</w:t>
            </w:r>
          </w:p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□手作業・機械作業の併用</w:t>
            </w:r>
          </w:p>
        </w:tc>
      </w:tr>
    </w:tbl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spacing w:line="280" w:lineRule="exact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２．解体工事に要する費用（直接工事費）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  <w:u w:val="single" w:color="auto"/>
        </w:rPr>
        <w:t xml:space="preserve">      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  <w:u w:val="single" w:color="auto"/>
        </w:rPr>
        <w:t>　　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  <w:u w:val="single" w:color="auto"/>
        </w:rPr>
        <w:t xml:space="preserve">              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円（税抜き）</w:t>
      </w:r>
    </w:p>
    <w:p>
      <w:pPr>
        <w:pStyle w:val="0"/>
        <w:adjustRightInd w:val="1"/>
        <w:spacing w:line="280" w:lineRule="exact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 xml:space="preserve">    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〔解体工事に伴う仮設費及び運搬費は含まない〕</w:t>
      </w:r>
    </w:p>
    <w:p>
      <w:pPr>
        <w:pStyle w:val="0"/>
        <w:adjustRightInd w:val="1"/>
        <w:spacing w:line="280" w:lineRule="exact"/>
        <w:ind w:firstLine="400" w:firstLineChars="200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（注）解体工事の場合のみ記載する。</w:t>
      </w: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３．再資源化等をする施設の名称及び所在地</w:t>
      </w:r>
    </w:p>
    <w:tbl>
      <w:tblPr>
        <w:tblStyle w:val="11"/>
        <w:jc w:val="left"/>
        <w:tblInd w:w="8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2" w:type="dxa"/>
          <w:bottom w:w="0" w:type="dxa"/>
          <w:right w:w="52" w:type="dxa"/>
        </w:tblCellMar>
        <w:tblLook w:firstRow="1" w:lastRow="0" w:firstColumn="1" w:lastColumn="0" w:noHBand="0" w:noVBand="1" w:val="04A0"/>
      </w:tblPr>
      <w:tblGrid>
        <w:gridCol w:w="2603"/>
        <w:gridCol w:w="2604"/>
        <w:gridCol w:w="2604"/>
      </w:tblGrid>
      <w:tr>
        <w:trPr/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建設資材廃棄物の種類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施設の名称</w:t>
            </w: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jc w:val="center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  <w:r>
              <w:rPr>
                <w:rFonts w:hint="eastAsia" w:ascii="ＭＳ 明朝" w:hAnsi="ＭＳ 明朝" w:eastAsia="ＭＳ 明朝"/>
                <w:color w:val="auto"/>
                <w:spacing w:val="0"/>
                <w:w w:val="100"/>
                <w:sz w:val="20"/>
              </w:rPr>
              <w:t>所在地</w:t>
            </w:r>
          </w:p>
        </w:tc>
      </w:tr>
      <w:tr>
        <w:trPr/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</w:tr>
      <w:tr>
        <w:trPr/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</w:tr>
      <w:tr>
        <w:trPr/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</w:tr>
      <w:tr>
        <w:trPr/>
        <w:tc>
          <w:tcPr>
            <w:tcW w:w="2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  <w:tc>
          <w:tcPr>
            <w:tcW w:w="2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kinsoku w:val="0"/>
              <w:overflowPunct w:val="0"/>
              <w:spacing w:before="0" w:beforeLines="0" w:beforeAutospacing="0" w:after="0" w:afterLines="0" w:afterAutospacing="0" w:line="264" w:lineRule="atLeast"/>
              <w:rPr>
                <w:rFonts w:hint="default" w:ascii="Times New Roman" w:hAnsi="Times New Roman" w:eastAsia="Times New Roman"/>
                <w:color w:val="auto"/>
                <w:spacing w:val="8"/>
                <w:sz w:val="20"/>
              </w:rPr>
            </w:pPr>
          </w:p>
        </w:tc>
      </w:tr>
    </w:tbl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</w:p>
    <w:p>
      <w:pPr>
        <w:pStyle w:val="0"/>
        <w:adjustRightInd w:val="1"/>
        <w:spacing w:line="280" w:lineRule="exact"/>
        <w:jc w:val="left"/>
        <w:rPr>
          <w:rFonts w:hint="default" w:ascii="Times New Roman" w:hAnsi="Times New Roman" w:eastAsia="Times New Roman"/>
          <w:color w:val="auto"/>
          <w:spacing w:val="8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４．再資源化等に要する費用（直接工事費）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  <w:u w:val="single" w:color="auto"/>
        </w:rPr>
        <w:t>　　　　　　　　　　　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円（税抜き）</w:t>
      </w:r>
    </w:p>
    <w:p>
      <w:pPr>
        <w:pStyle w:val="0"/>
        <w:adjustRightInd w:val="1"/>
        <w:spacing w:line="280" w:lineRule="exact"/>
        <w:jc w:val="left"/>
        <w:rPr>
          <w:rFonts w:hint="eastAsia"/>
          <w:color w:val="auto"/>
          <w:sz w:val="20"/>
        </w:rPr>
      </w:pP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 xml:space="preserve">    </w:t>
      </w:r>
      <w:r>
        <w:rPr>
          <w:rFonts w:hint="eastAsia" w:ascii="ＭＳ 明朝" w:hAnsi="ＭＳ 明朝" w:eastAsia="ＭＳ 明朝"/>
          <w:color w:val="auto"/>
          <w:spacing w:val="0"/>
          <w:w w:val="100"/>
          <w:sz w:val="20"/>
        </w:rPr>
        <w:t>〔運搬費を含む。〕</w:t>
      </w:r>
    </w:p>
    <w:p>
      <w:pPr>
        <w:pStyle w:val="0"/>
        <w:adjustRightInd w:val="1"/>
        <w:spacing w:line="280" w:lineRule="exact"/>
        <w:jc w:val="left"/>
        <w:rPr>
          <w:rFonts w:hint="eastAsia"/>
          <w:sz w:val="20"/>
        </w:rPr>
      </w:pPr>
    </w:p>
    <w:sectPr>
      <w:pgSz w:w="11906" w:h="16838"/>
      <w:pgMar w:top="1134" w:right="1077" w:bottom="998" w:left="1080" w:header="717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  <a:solidFill>
          <a:srgbClr val="FFFFBE"/>
        </a:solidFill>
        <a:ln w="6350" cap="flat" cmpd="sng" algn="ctr">
          <a:solidFill>
            <a:schemeClr val="tx1"/>
          </a:solidFill>
          <a:prstDash val="solid"/>
          <a:miter lim="800000"/>
          <a:headEnd/>
          <a:tailEnd/>
        </a:ln>
      </a:spPr>
      <a:bodyPr vertOverflow="overflow" horzOverflow="overflow" wrap="square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398</TotalTime>
  <Pages>3</Pages>
  <Words>3</Words>
  <Characters>2308</Characters>
  <Application>JUST Note</Application>
  <Lines>1365</Lines>
  <Paragraphs>174</Paragraphs>
  <CharactersWithSpaces>2604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500995</cp:lastModifiedBy>
  <cp:lastPrinted>2024-11-08T02:25:27Z</cp:lastPrinted>
  <dcterms:created xsi:type="dcterms:W3CDTF">2024-08-27T07:22:00Z</dcterms:created>
  <dcterms:modified xsi:type="dcterms:W3CDTF">2026-08-31T05:50:06Z</dcterms:modified>
  <cp:revision>22</cp:revision>
</cp:coreProperties>
</file>